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7"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4" w:lineRule="exact"/>
        <w:rPr>
          <w:rFonts w:ascii="MS PGothic" w:cs="MS PGothic" w:eastAsia="MS PGothic" w:hAnsi="MS PGothic"/>
          <w:sz w:val="18"/>
          <w:szCs w:val="18"/>
          <w:color w:val="auto"/>
          <w:highlight w:val="black"/>
        </w:rPr>
      </w:pPr>
    </w:p>
    <w:p>
      <w:pPr>
        <w:ind w:left="38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June 30, 2024</w:t>
      </w:r>
    </w:p>
    <w:p>
      <w:pPr>
        <w:sectPr>
          <w:pgSz w:w="11900" w:h="16838" w:orient="portrait"/>
          <w:cols w:equalWidth="0" w:num="1">
            <w:col w:w="11240"/>
          </w:cols>
          <w:pgMar w:left="320" w:top="1380"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1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Commission file number 001-40994</w:t>
      </w:r>
    </w:p>
    <w:p>
      <w:pPr>
        <w:spacing w:after="0" w:line="11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25"/>
          <w:szCs w:val="25"/>
          <w:b w:val="1"/>
          <w:bCs w:val="1"/>
          <w:color w:val="auto"/>
        </w:rPr>
        <w:t>NerdWallet, Inc.</w:t>
      </w:r>
    </w:p>
    <w:p>
      <w:pPr>
        <w:spacing w:after="0" w:line="3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136"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Delaware</w:t>
      </w:r>
    </w:p>
    <w:p>
      <w:pPr>
        <w:ind w:left="7460"/>
        <w:spacing w:after="0"/>
        <w:rPr>
          <w:sz w:val="20"/>
          <w:szCs w:val="20"/>
          <w:color w:val="auto"/>
        </w:rPr>
      </w:pPr>
      <w:r>
        <w:rPr>
          <w:rFonts w:ascii="Times New Roman" w:cs="Times New Roman" w:eastAsia="Times New Roman" w:hAnsi="Times New Roman"/>
          <w:sz w:val="17"/>
          <w:szCs w:val="17"/>
          <w:b w:val="1"/>
          <w:bCs w:val="1"/>
          <w:color w:val="auto"/>
        </w:rPr>
        <w:t>45-4180440</w:t>
      </w:r>
    </w:p>
    <w:p>
      <w:pPr>
        <w:spacing w:after="0" w:line="39" w:lineRule="exact"/>
        <w:rPr>
          <w:sz w:val="24"/>
          <w:szCs w:val="24"/>
          <w:color w:val="auto"/>
        </w:rPr>
      </w:pPr>
    </w:p>
    <w:p>
      <w:pPr>
        <w:ind w:left="180"/>
        <w:spacing w:after="0"/>
        <w:tabs>
          <w:tab w:leader="none" w:pos="6620" w:val="left"/>
        </w:tabs>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i w:val="1"/>
          <w:iCs w:val="1"/>
          <w:color w:val="auto"/>
        </w:rPr>
        <w:t>(I.R.S. Employer Identification No.)</w:t>
      </w:r>
    </w:p>
    <w:p>
      <w:pPr>
        <w:spacing w:after="0" w:line="39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55 Hawthorne Street, 10th Floor, San Francisco, California 94105</w:t>
      </w:r>
    </w:p>
    <w:p>
      <w:pPr>
        <w:spacing w:after="0" w:line="2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(Zip code)</w:t>
      </w:r>
    </w:p>
    <w:p>
      <w:pPr>
        <w:spacing w:after="0" w:line="9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(415) 549-8913</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180" w:space="400"/>
            <w:col w:w="10660"/>
          </w:cols>
          <w:pgMar w:left="320" w:top="1380" w:right="339" w:bottom="1440" w:gutter="0" w:footer="0" w:header="0"/>
          <w:type w:val="continuous"/>
        </w:sectPr>
      </w:pP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19" w:lineRule="exact"/>
        <w:rPr>
          <w:sz w:val="24"/>
          <w:szCs w:val="24"/>
          <w:color w:val="auto"/>
        </w:rPr>
      </w:pPr>
    </w:p>
    <w:p>
      <w:pPr>
        <w:ind w:left="1340"/>
        <w:spacing w:after="0"/>
        <w:tabs>
          <w:tab w:leader="none" w:pos="4500" w:val="left"/>
          <w:tab w:leader="none" w:pos="7220" w:val="left"/>
        </w:tabs>
        <w:rPr>
          <w:sz w:val="20"/>
          <w:szCs w:val="20"/>
          <w:color w:val="auto"/>
        </w:rPr>
      </w:pPr>
      <w:r>
        <w:rPr>
          <w:rFonts w:ascii="Times New Roman" w:cs="Times New Roman" w:eastAsia="Times New Roman" w:hAnsi="Times New Roman"/>
          <w:sz w:val="17"/>
          <w:szCs w:val="17"/>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65" w:lineRule="exact"/>
        <w:rPr>
          <w:sz w:val="24"/>
          <w:szCs w:val="24"/>
          <w:color w:val="auto"/>
        </w:rPr>
      </w:pPr>
    </w:p>
    <w:p>
      <w:pPr>
        <w:ind w:left="540"/>
        <w:spacing w:after="0"/>
        <w:tabs>
          <w:tab w:leader="none" w:pos="4940" w:val="left"/>
          <w:tab w:leader="none" w:pos="7860" w:val="left"/>
        </w:tabs>
        <w:rPr>
          <w:sz w:val="20"/>
          <w:szCs w:val="20"/>
          <w:color w:val="auto"/>
        </w:rPr>
      </w:pPr>
      <w:r>
        <w:rPr>
          <w:rFonts w:ascii="Times New Roman" w:cs="Times New Roman" w:eastAsia="Times New Roman" w:hAnsi="Times New Roman"/>
          <w:sz w:val="17"/>
          <w:szCs w:val="17"/>
          <w:color w:val="auto"/>
        </w:rPr>
        <w:t>Class A common stock, $0.0001 par value</w:t>
      </w:r>
      <w:r>
        <w:rPr>
          <w:sz w:val="20"/>
          <w:szCs w:val="20"/>
          <w:color w:val="auto"/>
        </w:rPr>
        <w:tab/>
      </w:r>
      <w:r>
        <w:rPr>
          <w:rFonts w:ascii="Times New Roman" w:cs="Times New Roman" w:eastAsia="Times New Roman" w:hAnsi="Times New Roman"/>
          <w:sz w:val="17"/>
          <w:szCs w:val="17"/>
          <w:color w:val="auto"/>
        </w:rPr>
        <w:t>NRDS</w:t>
      </w:r>
      <w:r>
        <w:rPr>
          <w:sz w:val="20"/>
          <w:szCs w:val="20"/>
          <w:color w:val="auto"/>
        </w:rPr>
        <w:tab/>
      </w:r>
      <w:r>
        <w:rPr>
          <w:rFonts w:ascii="Times New Roman" w:cs="Times New Roman" w:eastAsia="Times New Roman" w:hAnsi="Times New Roman"/>
          <w:sz w:val="17"/>
          <w:szCs w:val="17"/>
          <w:color w:val="auto"/>
        </w:rPr>
        <w:t>The Nasdaq Global Market</w:t>
      </w:r>
    </w:p>
    <w:p>
      <w:pPr>
        <w:spacing w:after="0" w:line="237" w:lineRule="exact"/>
        <w:rPr>
          <w:sz w:val="24"/>
          <w:szCs w:val="24"/>
          <w:color w:val="auto"/>
        </w:rPr>
      </w:pPr>
    </w:p>
    <w:p>
      <w:pPr>
        <w:jc w:val="both"/>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59" w:lineRule="exact"/>
        <w:rPr>
          <w:sz w:val="24"/>
          <w:szCs w:val="24"/>
          <w:color w:val="auto"/>
        </w:rPr>
      </w:pPr>
    </w:p>
    <w:p>
      <w:pPr>
        <w:jc w:val="both"/>
        <w:spacing w:after="0" w:line="24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62"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1080" w:type="dxa"/>
        <w:tblCellMar>
          <w:top w:w="0" w:type="dxa"/>
          <w:left w:w="0" w:type="dxa"/>
          <w:bottom w:w="0" w:type="dxa"/>
          <w:right w:w="0" w:type="dxa"/>
        </w:tblCellMar>
      </w:tblPr>
      <w:tr>
        <w:trPr>
          <w:trHeight w:val="303"/>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8"/>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9"/>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42"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47,021,577 shares of Class A common stock and 31,685,652 shares of Class B common stock as of July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Form 10-Q</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5"/>
        </w:trPr>
        <w:tc>
          <w:tcPr>
            <w:tcW w:w="320" w:type="dxa"/>
            <w:vAlign w:val="bottom"/>
          </w:tcPr>
          <w:p>
            <w:pPr>
              <w:spacing w:after="0"/>
              <w:rPr>
                <w:sz w:val="15"/>
                <w:szCs w:val="15"/>
                <w:color w:val="auto"/>
              </w:rPr>
            </w:pPr>
          </w:p>
        </w:tc>
        <w:tc>
          <w:tcPr>
            <w:tcW w:w="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540" w:type="dxa"/>
            <w:vAlign w:val="bottom"/>
            <w:gridSpan w:val="8"/>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080" w:type="dxa"/>
            <w:vAlign w:val="bottom"/>
            <w:gridSpan w:val="2"/>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080" w:type="dxa"/>
            <w:vAlign w:val="bottom"/>
            <w:gridSpan w:val="2"/>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760" w:type="dxa"/>
            <w:vAlign w:val="bottom"/>
            <w:gridSpan w:val="6"/>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480" w:type="dxa"/>
            <w:vAlign w:val="bottom"/>
            <w:gridSpan w:val="5"/>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0"/>
                <w:szCs w:val="20"/>
                <w:color w:val="auto"/>
              </w:rPr>
            </w:pPr>
          </w:p>
        </w:tc>
        <w:tc>
          <w:tcPr>
            <w:tcW w:w="20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700" w:type="dxa"/>
            <w:vAlign w:val="bottom"/>
            <w:gridSpan w:val="10"/>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300" w:type="dxa"/>
            <w:vAlign w:val="bottom"/>
          </w:tcPr>
          <w:p>
            <w:pPr>
              <w:spacing w:after="0"/>
              <w:rPr>
                <w:sz w:val="20"/>
                <w:szCs w:val="20"/>
                <w:color w:val="auto"/>
              </w:rPr>
            </w:pPr>
          </w:p>
        </w:tc>
      </w:tr>
      <w:tr>
        <w:trPr>
          <w:trHeight w:val="507"/>
        </w:trPr>
        <w:tc>
          <w:tcPr>
            <w:tcW w:w="3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7"/>
        </w:trPr>
        <w:tc>
          <w:tcPr>
            <w:tcW w:w="3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Item</w:t>
            </w:r>
          </w:p>
        </w:tc>
        <w:tc>
          <w:tcPr>
            <w:tcW w:w="20" w:type="dxa"/>
            <w:vAlign w:val="bottom"/>
            <w:tcBorders>
              <w:bottom w:val="single" w:sz="8" w:color="0000FF"/>
            </w:tcBorders>
          </w:tcPr>
          <w:p>
            <w:pPr>
              <w:spacing w:after="0"/>
              <w:rPr>
                <w:sz w:val="20"/>
                <w:szCs w:val="20"/>
                <w:color w:val="auto"/>
              </w:rPr>
            </w:pP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Borders>
              <w:bottom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60" w:type="dxa"/>
            <w:vAlign w:val="bottom"/>
            <w:tcBorders>
              <w:top w:val="single" w:sz="8" w:color="0000FF"/>
            </w:tcBorders>
          </w:tcPr>
          <w:p>
            <w:pPr>
              <w:spacing w:after="0"/>
              <w:rPr>
                <w:sz w:val="20"/>
                <w:szCs w:val="20"/>
                <w:color w:val="auto"/>
              </w:rPr>
            </w:pPr>
          </w:p>
        </w:tc>
        <w:tc>
          <w:tcPr>
            <w:tcW w:w="6980" w:type="dxa"/>
            <w:vAlign w:val="bottom"/>
            <w:gridSpan w:val="12"/>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5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1A.</w:t>
            </w: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120" w:type="dxa"/>
            <w:vAlign w:val="bottom"/>
            <w:gridSpan w:val="4"/>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0"/>
                <w:szCs w:val="20"/>
                <w:color w:val="auto"/>
              </w:rPr>
            </w:pPr>
          </w:p>
        </w:tc>
        <w:tc>
          <w:tcPr>
            <w:tcW w:w="6160" w:type="dxa"/>
            <w:vAlign w:val="bottom"/>
            <w:gridSpan w:val="9"/>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160" w:type="dxa"/>
            <w:vAlign w:val="bottom"/>
            <w:gridSpan w:val="14"/>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06"/>
        </w:trPr>
        <w:tc>
          <w:tcPr>
            <w:tcW w:w="320" w:type="dxa"/>
            <w:vAlign w:val="bottom"/>
          </w:tcPr>
          <w:p>
            <w:pPr>
              <w:spacing w:after="0"/>
              <w:rPr>
                <w:sz w:val="24"/>
                <w:szCs w:val="24"/>
                <w:color w:val="auto"/>
              </w:rPr>
            </w:pPr>
          </w:p>
        </w:tc>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300" w:type="dxa"/>
            <w:vAlign w:val="bottom"/>
          </w:tcPr>
          <w:p>
            <w:pPr>
              <w:spacing w:after="0"/>
              <w:rPr>
                <w:sz w:val="24"/>
                <w:szCs w:val="24"/>
                <w:color w:val="auto"/>
              </w:rPr>
            </w:pPr>
          </w:p>
        </w:tc>
      </w:tr>
      <w:tr>
        <w:trPr>
          <w:trHeight w:val="1432"/>
        </w:trPr>
        <w:tc>
          <w:tcPr>
            <w:tcW w:w="3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83" w:lineRule="exact"/>
        <w:rPr>
          <w:sz w:val="20"/>
          <w:szCs w:val="20"/>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developments, including but not limited to, inflation, high interest rates, tightening credit markets and general macroeconomic uncertainty on our business results of operations, financial condition and stock price;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financial and operating performance, including total revenue, cost of revenue, non-GAAP operating income (loss), adjusted EBITDA and Monthly Unique Users;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traffic and engagement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returns on marketing investments and brand campaigns;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consumer demand for the products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users into registered users and improve repeat user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consumers into matches with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within existing and new verticals;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geographically;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relationships with our existing financial services partners and to identify new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efficient and scalable technical capabilities to deliver personalized guidance and nudge users;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 awareness and consumer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high quality, engaging consumer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evolving financial interests of consumers;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existing and new competitors in existing and new market verticals;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attract and retain highly skilled, diverse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in compliance with laws and regulations that currently apply or become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cash equivalents, and investments to meet our liquidity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expand our infrastructure and maintain our corporate culture;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manage, and integrate any existing and potential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expected synergies, accretive value and other benefits from completed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repurchase plan, including expectations regarding the amount, timing and manner of repurchases made under the plan;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and scope of our workforce reduction, the amount and timing of related charges thereto, our ability to realize the expected cost savings and the expectations regarding the impact of said reduction on our business results of operations and future investment opportunities.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or guarantees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elsewhere in this Quarterly Report on Form 10-Q, in Part I, Item 1A. Risk Factors in our Annual Report on Form 10-K for the year ended December 31, 2023, and in our subsequent periodic filings with the U.S. Securities and Exchange Commission. Moreover, we operate in a very competitive and rapidly changing environment. New risks and uncertainties emerge from time to time, and it is not possible for us to predict all risks and uncertainties that could have an impact on our business or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speak only as of the date hereof.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Our forward-looking statements do not reflect the potential impact of any future acquisitions, mergers, dispositions, joint ventures or investments.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p>
      <w:pPr>
        <w:jc w:val="right"/>
        <w:ind w:right="2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ind w:left="20"/>
        <w:spacing w:after="0"/>
        <w:tabs>
          <w:tab w:leader="none" w:pos="9000" w:val="left"/>
          <w:tab w:leader="none" w:pos="10420" w:val="left"/>
        </w:tabs>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 and per share amounts)</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receivable—net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equipment and software—net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tabs>
          <w:tab w:leader="none" w:pos="820" w:val="left"/>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113.8</w:t>
      </w:r>
      <w:r>
        <w:rPr>
          <w:sz w:val="20"/>
          <w:szCs w:val="20"/>
          <w:color w:val="auto"/>
        </w:rPr>
        <w:tab/>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93.7</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840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230.0</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48.9</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111.5</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40.0</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6.0</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840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6" w:lineRule="exact"/>
        <w:rPr>
          <w:sz w:val="20"/>
          <w:szCs w:val="20"/>
          <w:color w:val="auto"/>
        </w:rPr>
      </w:pPr>
    </w:p>
    <w:p>
      <w:pPr>
        <w:spacing w:after="0"/>
        <w:tabs>
          <w:tab w:leader="none" w:pos="800" w:val="left"/>
          <w:tab w:leader="none" w:pos="14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446.2</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36830</wp:posOffset>
            </wp:positionV>
            <wp:extent cx="840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100.4</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75.5</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198.4</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52.6</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111.5</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46.9</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7.2</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44450</wp:posOffset>
            </wp:positionV>
            <wp:extent cx="8401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3">
            <w:col w:w="7800" w:space="720"/>
            <w:col w:w="1520" w:space="720"/>
            <w:col w:w="4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liabilities—noncurrent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stock—$0.0001 par value per share—5,000 shares authorized; zero shares issued and outstanding</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4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Common stock—$0.0001 par value per share—296,686 shares authorized; 78,397 and 76,940 shares issued and</w:t>
            </w:r>
          </w:p>
        </w:tc>
        <w:tc>
          <w:tcPr>
            <w:tcW w:w="4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as of June 30, 2024 and December 31, 2023</w:t>
            </w:r>
          </w:p>
        </w:tc>
        <w:tc>
          <w:tcPr>
            <w:tcW w:w="4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-2562225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323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-2219325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1.7</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35.6</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37.3</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14.4</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51.7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483.7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(116.5)</w:t>
      </w:r>
    </w:p>
    <w:p>
      <w:pPr>
        <w:spacing w:after="0" w:line="8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34290</wp:posOffset>
            </wp:positionV>
            <wp:extent cx="8401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36830</wp:posOffset>
            </wp:positionV>
            <wp:extent cx="8401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-496570</wp:posOffset>
            </wp:positionH>
            <wp:positionV relativeFrom="paragraph">
              <wp:posOffset>62865</wp:posOffset>
            </wp:positionV>
            <wp:extent cx="840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10020" w:space="680"/>
            <w:col w:w="520"/>
          </w:cols>
          <w:pgMar w:left="320" w:top="121" w:right="359" w:bottom="1440" w:gutter="0" w:footer="0" w:header="0"/>
          <w:type w:val="continuous"/>
        </w:sectPr>
      </w:pP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0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312.9</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37"/>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5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losses, net</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6"/>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Loss Per Share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7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 Common Stockholders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0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539"/>
              <w:spacing w:after="0"/>
              <w:rPr>
                <w:sz w:val="20"/>
                <w:szCs w:val="20"/>
                <w:color w:val="auto"/>
              </w:rPr>
            </w:pPr>
            <w:r>
              <w:rPr>
                <w:rFonts w:ascii="Times New Roman" w:cs="Times New Roman" w:eastAsia="Times New Roman" w:hAnsi="Times New Roman"/>
                <w:sz w:val="18"/>
                <w:szCs w:val="18"/>
                <w:color w:val="auto"/>
                <w:w w:val="98"/>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7"/>
              </w:rPr>
              <w:t>0.5</w:t>
            </w:r>
          </w:p>
        </w:tc>
        <w:tc>
          <w:tcPr>
            <w:tcW w:w="0" w:type="dxa"/>
            <w:vAlign w:val="bottom"/>
          </w:tcPr>
          <w:p>
            <w:pPr>
              <w:spacing w:after="0"/>
              <w:rPr>
                <w:sz w:val="1"/>
                <w:szCs w:val="1"/>
                <w:color w:val="auto"/>
              </w:rPr>
            </w:pPr>
          </w:p>
        </w:tc>
      </w:tr>
      <w:tr>
        <w:trPr>
          <w:trHeight w:val="26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center"/>
              <w:ind w:left="539"/>
              <w:spacing w:after="0"/>
              <w:rPr>
                <w:sz w:val="20"/>
                <w:szCs w:val="20"/>
                <w:color w:val="auto"/>
              </w:rPr>
            </w:pPr>
            <w:r>
              <w:rPr>
                <w:rFonts w:ascii="Times New Roman" w:cs="Times New Roman" w:eastAsia="Times New Roman" w:hAnsi="Times New Roman"/>
                <w:sz w:val="18"/>
                <w:szCs w:val="18"/>
                <w:color w:val="auto"/>
                <w:w w:val="98"/>
              </w:rPr>
              <w:t>(9.3)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center"/>
              <w:ind w:left="455"/>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ind w:right="1660"/>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96"/>
        </w:trPr>
        <w:tc>
          <w:tcPr>
            <w:tcW w:w="580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760" w:type="dxa"/>
            <w:vAlign w:val="bottom"/>
            <w:vMerge w:val="restart"/>
          </w:tcPr>
          <w:p>
            <w:pPr>
              <w:jc w:val="center"/>
              <w:ind w:left="48"/>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0" w:type="dxa"/>
            <w:vAlign w:val="bottom"/>
          </w:tcPr>
          <w:p>
            <w:pPr>
              <w:spacing w:after="0"/>
              <w:rPr>
                <w:sz w:val="1"/>
                <w:szCs w:val="1"/>
                <w:color w:val="auto"/>
              </w:rPr>
            </w:pPr>
          </w:p>
        </w:tc>
      </w:tr>
      <w:tr>
        <w:trPr>
          <w:trHeight w:val="37"/>
        </w:trPr>
        <w:tc>
          <w:tcPr>
            <w:tcW w:w="58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4" w:lineRule="exact"/>
        <w:rPr>
          <w:sz w:val="20"/>
          <w:szCs w:val="20"/>
          <w:color w:val="auto"/>
        </w:rPr>
      </w:pPr>
    </w:p>
    <w:p>
      <w:pPr>
        <w:spacing w:after="0"/>
        <w:tabs>
          <w:tab w:leader="none" w:pos="1060" w:val="left"/>
          <w:tab w:leader="none" w:pos="2020" w:val="left"/>
        </w:tabs>
        <w:rPr>
          <w:sz w:val="20"/>
          <w:szCs w:val="20"/>
          <w:color w:val="auto"/>
        </w:rPr>
      </w:pPr>
      <w:r>
        <w:rPr>
          <w:rFonts w:ascii="Times New Roman" w:cs="Times New Roman" w:eastAsia="Times New Roman" w:hAnsi="Times New Roman"/>
          <w:sz w:val="14"/>
          <w:szCs w:val="14"/>
          <w:b w:val="1"/>
          <w:bCs w:val="1"/>
          <w:color w:val="auto"/>
        </w:rPr>
        <w:t>Comprehensive</w:t>
        <w:tab/>
        <w:t>Accumulated</w:t>
        <w:tab/>
        <w:t>Stockholders’</w:t>
      </w:r>
    </w:p>
    <w:p>
      <w:pPr>
        <w:spacing w:after="0" w:line="15" w:lineRule="exact"/>
        <w:rPr>
          <w:sz w:val="20"/>
          <w:szCs w:val="20"/>
          <w:color w:val="auto"/>
        </w:rPr>
      </w:pPr>
    </w:p>
    <w:p>
      <w:pPr>
        <w:ind w:left="340"/>
        <w:spacing w:after="0"/>
        <w:tabs>
          <w:tab w:leader="none" w:pos="1280" w:val="left"/>
          <w:tab w:leader="none" w:pos="2220" w:val="left"/>
        </w:tabs>
        <w:rPr>
          <w:sz w:val="20"/>
          <w:szCs w:val="20"/>
          <w:color w:val="auto"/>
        </w:rPr>
      </w:pPr>
      <w:r>
        <w:rPr>
          <w:rFonts w:ascii="Times New Roman" w:cs="Times New Roman" w:eastAsia="Times New Roman" w:hAnsi="Times New Roman"/>
          <w:sz w:val="14"/>
          <w:szCs w:val="14"/>
          <w:b w:val="1"/>
          <w:bCs w:val="1"/>
          <w:color w:val="auto"/>
        </w:rPr>
        <w:t>Loss</w:t>
      </w:r>
      <w:r>
        <w:rPr>
          <w:sz w:val="20"/>
          <w:szCs w:val="20"/>
          <w:color w:val="auto"/>
        </w:rPr>
        <w:tab/>
      </w:r>
      <w:r>
        <w:rPr>
          <w:rFonts w:ascii="Times New Roman" w:cs="Times New Roman" w:eastAsia="Times New Roman" w:hAnsi="Times New Roman"/>
          <w:sz w:val="14"/>
          <w:szCs w:val="14"/>
          <w:b w:val="1"/>
          <w:bCs w:val="1"/>
          <w:color w:val="auto"/>
        </w:rPr>
        <w:t>Deficit</w:t>
      </w:r>
      <w:r>
        <w:rPr>
          <w:sz w:val="20"/>
          <w:szCs w:val="20"/>
          <w:color w:val="auto"/>
        </w:rPr>
        <w:tab/>
      </w:r>
      <w:r>
        <w:rPr>
          <w:rFonts w:ascii="Times New Roman" w:cs="Times New Roman" w:eastAsia="Times New Roman" w:hAnsi="Times New Roman"/>
          <w:sz w:val="14"/>
          <w:szCs w:val="14"/>
          <w:b w:val="1"/>
          <w:bCs w:val="1"/>
          <w:color w:val="auto"/>
        </w:rPr>
        <w:t>Equity</w:t>
      </w:r>
    </w:p>
    <w:p>
      <w:pPr>
        <w:spacing w:after="0" w:line="66" w:lineRule="exact"/>
        <w:rPr>
          <w:sz w:val="20"/>
          <w:szCs w:val="20"/>
          <w:color w:val="auto"/>
        </w:rPr>
      </w:pPr>
    </w:p>
    <w:p>
      <w:pPr>
        <w:sectPr>
          <w:pgSz w:w="11900" w:h="16838" w:orient="portrait"/>
          <w:cols w:equalWidth="0" w:num="2">
            <w:col w:w="8200" w:space="140"/>
            <w:col w:w="2900"/>
          </w:cols>
          <w:pgMar w:left="320" w:top="333"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76,940</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483.7</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(0.3)</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366.9</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77,720</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494.5</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(0.4)</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(115.4)</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378.7</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78,397</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505.6</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(0.3)</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(125.9)</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379.4</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rPr>
                <w:sz w:val="15"/>
                <w:szCs w:val="15"/>
                <w:color w:val="auto"/>
              </w:rPr>
            </w:pP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96"/>
        </w:trPr>
        <w:tc>
          <w:tcPr>
            <w:tcW w:w="580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8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58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6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under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6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75,120</w:t>
            </w:r>
          </w:p>
        </w:tc>
        <w:tc>
          <w:tcPr>
            <w:tcW w:w="8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427.3</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(0.9)</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341.7</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91"/>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97"/>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2"/>
        </w:trPr>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76,711</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445.5</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(0.7)</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361.8</w:t>
            </w:r>
          </w:p>
        </w:tc>
      </w:tr>
      <w:tr>
        <w:trPr>
          <w:trHeight w:val="234"/>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77,525</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460.5</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(0.5)</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365.0</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lease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investment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Class A common stock under Employee Stock Purchase Plan</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payments related to net-share settlements on restricted stock units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6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recorded in accounts payable and accrued expenses and other current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payments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 Related to Operating Leases: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10"/>
        </w:trPr>
        <w:tc>
          <w:tcPr>
            <w:tcW w:w="8500" w:type="dxa"/>
            <w:vAlign w:val="bottom"/>
            <w:gridSpan w:val="2"/>
          </w:tcPr>
          <w:p>
            <w:pPr>
              <w:ind w:left="35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709"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709"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Basis of Presentation</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NerdWallet, Inc., a Delaware corporation, was formed on December 29, 2011. NerdWallet, Inc. and its subsidiaries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provide consumer-driven advice about personal finance through its platform by connecting individuals and small and mid-sized businesses (SMBs) with providers of financial products.</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Basis of Consolidation and Presentation—</w:t>
      </w:r>
      <w:r>
        <w:rPr>
          <w:rFonts w:ascii="Times New Roman" w:cs="Times New Roman" w:eastAsia="Times New Roman" w:hAnsi="Times New Roman"/>
          <w:sz w:val="18"/>
          <w:szCs w:val="18"/>
          <w:color w:val="auto"/>
        </w:rPr>
        <w:t>The accompanying unaudited interim condensed consolidated financial statements have been prepared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accounting principles generally accepted in the United States of America (GAAP) and applicable rules and regulations of the U.S. Securities and Exchange Commission regarding interim financial reporting. Accordingly, the accompanying unaudited interim condensed consolidated financial statements do not include all disclosures normally required in annual consolidated financial statements prepared in accordance with GAAP. The accompanying unaudited interim condensed consolidated financial statements should be read in conjunction with the Company’s audited consolidated financial statements and notes included in the Company’s Annual Report on Form 10-K for the year ended December 31, 2023.</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condensed consolidated financial statements have been prepared on the same basis as the audited consolidated financial statements, and include all adjustments, consisting only of normal recurring adjustments, necessary for the fair statement of the Company’s financial position and results of operations for the periods presented. The accompanying unaudited interim condensed consolidated financial statements include the accounts of the Company and its wholly-owned subsidiaries. All intercompany transactions and balances have been eliminated in consolidation. Certain comparative amounts for the three and six months ended June 30, 2023 have been reclassified to conform to the financial statement presentation as of and for the three and six months ended June 30, 2024. The results of operations for the three and six months ended June 30, 2024 are not necessarily indicative of the results to be expected for the full year or any other future period.</w:t>
      </w:r>
    </w:p>
    <w:p>
      <w:pPr>
        <w:spacing w:after="0" w:line="13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—During the six months ended June 30, 2024, the Company made a strategic investment of $8.1 million in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a privately-held company over which the Company does not exercise significant influence. See Note 4–Significant Condensed Consolidated Balance Sheet Components for further discussion. During the six months ended June 30, 2024, there have been no other material changes to the Company’s significant accounting policies as disclosed in Note 1–The Company and its Significant Accounting Policies in the notes to the consolidated financial statements in the Company’s Annual Report on Form 10-K for the year ended December 31, 2023.</w:t>
      </w:r>
    </w:p>
    <w:p>
      <w:pPr>
        <w:spacing w:after="0" w:line="12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a disaggregation of the Company’s revenue based on product category: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2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products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verticals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recognized $4.1 million of revenue that was deferred as of December 31, 2023, none of which was recognized during the three months ended June 30, 2024. Revenue recognized during the six months ended June 30, 2023 which was deferred as of December 31, 2022 was immaterial.</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contract asset recorded within prepaid expenses and other current assets on the condensed consolidated balance sheet related to estimated variable consideration was $6.5 million and $5.5 million as of June 30, 2024 and December 31, 2023,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assets that are measured at fair value on a recurring basis, by level, within the fair value hierarchy are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5"/>
                <w:szCs w:val="15"/>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4"/>
                <w:szCs w:val="14"/>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20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7"/>
                <w:szCs w:val="17"/>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6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7"/>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1"/>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5"/>
                <w:szCs w:val="15"/>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9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7"/>
        </w:trPr>
        <w:tc>
          <w:tcPr>
            <w:tcW w:w="6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7"/>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89.8</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Condensed Consolidated Balance Sheet Components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equipment and software, net includes capitalized software development costs, net of accumulated amortization, of $46.0 million and $49.0 million as of June 30, 2024 and December 31, 2023, respectively. The Company capitalized $6.9 million and $13.3 million of software development costs during the three and six months ended June 30, 2024, respectively, and $9.2 million and $17.8 million during the three and six months ended June 30, 2023, respectively. The Company recorded amortization expense related to capitalized software development costs of $8.3 million and $16.3 million during the three and six months ended June 30, 2024 and $7.0 million and $13.6 million during the three and six months ended June 30, 2023, respectively.</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2024, the Company made a strategic investment of $8.1 million in equity securities of a privately-held company over which the Company does not exercise significant influence. These equity securities do not have a readily determinable fair value and are accounted for under the measurement alternative. Under the measurement alternative, the carrying value of the security is measured at cost less any impairment, and adjusted for changes resulting from observable price changes in orderly transactions for identical or similar securities of the same issuer. An equity security without a readily determinable fair value is considered impaired when the fair value of the Company’s interest is less than the carrying value. Equity investments without readily determinable fair values are included in other assets on the Company’s condensed consolidated balance sheet, and any related gains or losses would be included in other gains (losses), net on the Company’s condensed consolidated statements of operations. Equity investments without readily determinable fair values were $8.1 million as of June 30, 2024, and there were no related changes in carrying amount or impairment during the six months ended June 30, 2024.</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include operating lease liabilities of $3.4 million as of both June 30, 2024 and December 31, 2023.</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liabilities—noncurrent includes operating lease liabilities of $4.4 million and $6.2 million as of June 30, 2024 and December 31, 2023,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Commitments and Other Financial Arrangements</w:t>
      </w:r>
      <w:r>
        <w:rPr>
          <w:rFonts w:ascii="Times New Roman" w:cs="Times New Roman" w:eastAsia="Times New Roman" w:hAnsi="Times New Roman"/>
          <w:sz w:val="18"/>
          <w:szCs w:val="18"/>
          <w:color w:val="auto"/>
        </w:rPr>
        <w:t>—The Company has certain financial commitments and other arrangements including unused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letters of credit and commitments under leases. During the three months ended June 30, 2024, the Company entered into an amendment, that has not yet commenced, of an operating lease for office space, with total future lease payments of approximately $5 million that are not yet recorded on the Company’s condensed consolidated balance sheet. This lease amendment is expected to commence in 2025 (upon availability of the office space) with an expected lease term of approximately five years. As of June 30, 2024, there were no other material changes to the Company’s commitments and other financial arrangements as disclosed in Note 8–Commitments and Contingencies in the notes to the consolidated financial statements in the Company’s Annual Report on Form 10-K for the year ended December 31, 2023.</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Litigation and Other Legal Matters</w:t>
      </w:r>
      <w:r>
        <w:rPr>
          <w:rFonts w:ascii="Times New Roman" w:cs="Times New Roman" w:eastAsia="Times New Roman" w:hAnsi="Times New Roman"/>
          <w:sz w:val="18"/>
          <w:szCs w:val="18"/>
          <w:color w:val="auto"/>
        </w:rPr>
        <w:t>—The Company is involved from time to time in litigation, claims, and proceedings. Periodically,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June 30, 2024 or December 31, 2023.</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Share Repurchase Plans</w:t>
      </w:r>
      <w:r>
        <w:rPr>
          <w:rFonts w:ascii="Times New Roman" w:cs="Times New Roman" w:eastAsia="Times New Roman" w:hAnsi="Times New Roman"/>
          <w:sz w:val="18"/>
          <w:szCs w:val="18"/>
          <w:color w:val="auto"/>
        </w:rPr>
        <w:t>—On May 2, 2023, the Company announced that its Board of Directors authorized a plan under which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up to $20 million of the Company’s Class A common stock and, following the Company’s utilization of that share repurchase authorization, the Company announced on October 26, 2023 that its Board of Directors approved a share repurchase authorization under which the Company may repurchase up to an additional $30 million of the Company’s Class A common stock (collectively, the Repurchase Plans). The Company repurchased 0.1 million shares of Class A common stock for $1.1 million, including costs associated with the repurchases, during the three and six months ended June 30, 2024, and 0.1 million shares for $1.3 million during the three and six months ended June 30, 2023. The remaining share repurchase authorization under the Repurchase Plans is $28.9 million as of June 30, 2024.</w:t>
      </w:r>
    </w:p>
    <w:p>
      <w:pPr>
        <w:spacing w:after="0" w:line="12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Equity Incentive Plans</w:t>
      </w:r>
      <w:r>
        <w:rPr>
          <w:rFonts w:ascii="Times New Roman" w:cs="Times New Roman" w:eastAsia="Times New Roman" w:hAnsi="Times New Roman"/>
          <w:sz w:val="18"/>
          <w:szCs w:val="18"/>
          <w:color w:val="auto"/>
        </w:rPr>
        <w:t>—The 2021 Equity Incentive Plan and the predecessor 2012 Equity Incentive Plan, both as amended, along with the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Inducement Equity Incentive Plan (collectively, the Plans) comprise the equity incentive plans of the Company.</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2021 Equity Incentive Plan, the number of shares of Class A common stock reserved for issuance under the plan will automatically increase on January 1 of each calendar year, starting January 1, 2023 and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 In accordance with these plan terms, the aggregate number of shares of Class A common stock reserved for issuance under the 2021 Equity Incentive Plan increased by 3.8 million shares effective January 1, 2024.</w:t>
      </w:r>
    </w:p>
    <w:p>
      <w:pPr>
        <w:sectPr>
          <w:pgSz w:w="11900" w:h="16838" w:orient="portrait"/>
          <w:cols w:equalWidth="0" w:num="1">
            <w:col w:w="11240"/>
          </w:cols>
          <w:pgMar w:left="320" w:top="333" w:right="339" w:bottom="1440" w:gutter="0" w:footer="0" w:header="0"/>
        </w:sectPr>
      </w:pP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—A summary of the Company’s stock option activity for its Plans is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30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61"/>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7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6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r>
              <w:rPr>
                <w:rFonts w:ascii="Times New Roman" w:cs="Times New Roman" w:eastAsia="Times New Roman" w:hAnsi="Times New Roman"/>
                <w:sz w:val="23"/>
                <w:szCs w:val="23"/>
                <w:color w:val="auto"/>
                <w:vertAlign w:val="superscript"/>
              </w:rPr>
              <w:t>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June 30,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974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0.2 million of target award stock options with both service-based and performance-based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5"/>
                <w:szCs w:val="15"/>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80" w:type="dxa"/>
            <w:vAlign w:val="bottom"/>
          </w:tcPr>
          <w:p>
            <w:pPr>
              <w:spacing w:after="0"/>
              <w:rPr>
                <w:sz w:val="14"/>
                <w:szCs w:val="14"/>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4"/>
        </w:trPr>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18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3"/>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180" w:type="dxa"/>
        <w:tblCellMar>
          <w:top w:w="0" w:type="dxa"/>
          <w:left w:w="0" w:type="dxa"/>
          <w:bottom w:w="0" w:type="dxa"/>
          <w:right w:w="0" w:type="dxa"/>
        </w:tblCellMar>
      </w:tblPr>
      <w:tr>
        <w:trPr>
          <w:trHeight w:val="261"/>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6.2</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97"/>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5.7</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bl>
    <w:p>
      <w:pPr>
        <w:spacing w:after="0" w:line="575" w:lineRule="exact"/>
        <w:rPr>
          <w:sz w:val="20"/>
          <w:szCs w:val="20"/>
          <w:color w:val="auto"/>
        </w:rPr>
      </w:pPr>
    </w:p>
    <w:p>
      <w:pPr>
        <w:sectPr>
          <w:pgSz w:w="11900" w:h="16838" w:orient="portrait"/>
          <w:cols w:equalWidth="0" w:num="2">
            <w:col w:w="8200" w:space="100"/>
            <w:col w:w="2940"/>
          </w:cols>
          <w:pgMar w:left="320" w:top="333" w:right="339" w:bottom="1440" w:gutter="0" w:footer="0" w:header="0"/>
          <w:type w:val="continuous"/>
        </w:sect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six months ended June 30, 2024 was $9.08 per share. The aggregate intrinsic value of options exercised was $3.8 million for the six months ended June 30, 2024.</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0.2 million of target award stock options with both service-based and performance-based conditions to certain employees of the Company. Recipients of these performance-based stock options are eligible to earn between 0% and 200% of their target awards based upon the achievement of (i) a revenue-related growth metric and (ii) a non-GAAP operating income-related metric, both in fiscal year 2024, subject to certification of the attainment of the performance levels. These performance-based stock options are also subject to service-based vesting over a period of three years.</w:t>
      </w:r>
    </w:p>
    <w:p>
      <w:pPr>
        <w:spacing w:after="0" w:line="75"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For the six months ended June 30, 2024, the per-share fair value of each stock option granted was determined on the date of grant using the following weighted-average assumptions:</w:t>
      </w:r>
    </w:p>
    <w:tbl>
      <w:tblPr>
        <w:tblLayout w:type="fixed"/>
        <w:tblInd w:w="0" w:type="dxa"/>
        <w:tblCellMar>
          <w:top w:w="0" w:type="dxa"/>
          <w:left w:w="0" w:type="dxa"/>
          <w:bottom w:w="0" w:type="dxa"/>
          <w:right w:w="0" w:type="dxa"/>
        </w:tblCellMar>
      </w:tblPr>
      <w:tr>
        <w:trPr>
          <w:trHeight w:val="176"/>
        </w:trPr>
        <w:tc>
          <w:tcPr>
            <w:tcW w:w="9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9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37"/>
        </w:trPr>
        <w:tc>
          <w:tcPr>
            <w:tcW w:w="9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244"/>
        </w:trPr>
        <w:tc>
          <w:tcPr>
            <w:tcW w:w="9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r>
      <w:tr>
        <w:trPr>
          <w:trHeight w:val="270"/>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9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stock options granted for the six months ended June 30, 2023.</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—A summary of the Company’s outstanding nonvested restricted stock units (RSUs) for its Plans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204"/>
        </w:trPr>
        <w:tc>
          <w:tcPr>
            <w:tcW w:w="8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8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2023</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7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7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70"/>
        </w:trPr>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88"/>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June 30, 2024</w:t>
            </w:r>
            <w:r>
              <w:rPr>
                <w:rFonts w:ascii="Times New Roman" w:cs="Times New Roman" w:eastAsia="Times New Roman" w:hAnsi="Times New Roman"/>
                <w:sz w:val="23"/>
                <w:szCs w:val="23"/>
                <w:color w:val="auto"/>
                <w:vertAlign w:val="superscript"/>
              </w:rPr>
              <w:t>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of target award RSUs with both service-based and performance-based conditions.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0.1 million of target award RSUs with both service-based and performance-based conditions.</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shares that vested under RSUs was $19.1 million during the six months ended June 30, 2024.</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0.1 million of target award RSUs with both service-based and performance-based conditions to certain employees of the Company. Recipients of these performance-based RSUs are eligible to earn between 0% and 200% of their target awards based upon the achievement of (i) a revenue-related growth metric and (ii) a non-GAAP operating income-related metric, both in fiscal year 2024, subject to certification of the attainment of the performance levels. These performance-based RSUs are also subject to service-based vesting over a period of three years.</w:t>
      </w:r>
    </w:p>
    <w:p>
      <w:pPr>
        <w:spacing w:after="0" w:line="1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Employee Stock Purchase Plan</w:t>
      </w:r>
      <w:r>
        <w:rPr>
          <w:rFonts w:ascii="Times New Roman" w:cs="Times New Roman" w:eastAsia="Times New Roman" w:hAnsi="Times New Roman"/>
          <w:sz w:val="18"/>
          <w:szCs w:val="18"/>
          <w:color w:val="auto"/>
        </w:rPr>
        <w:t>—The terms of the Employee Stock Purchase Plan (ESPP) provide for automatic increases in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reserved for issuance on January 1 of each calendar year, beginning in 2023 and through 2031, subject to terms of the ESPP. In accordance with these plan terms, the aggregate number of Class A common stock authorized for issuance under the ESPP increased by 0.8 million effective January 1, 2024. Prior to capitalizing amounts related to software development costs, the Company recognized stock-based compensation related to the ESPP of $0.2 million during the three and six months ended June 30, 2024, which relates to the ESPP purchase period which began on May 1, 2024. Prior to capitalizing amounts related to software development costs, the Company recognized stock-based compensation related to the ESPP of $1.0 million and $2.0 million during the three and six months ended June 30, 2023.</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Company recognized stock-based compensation under the Plans and ESPP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2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6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stock-based compensation capitalized related to software development costs was $1.3 million and $1.6 million during the three months ended June 30, 2024 and 2023, respectively, and $2.2 million and $3.1 million during the six months ended June 30, 2024 and 2023,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Beginning with the three months ended June 30, 2023, the Company’s tax provision for interim periods was determined using a discrete effective tax rate method, as allowed by ASC Topic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The Company’s tax provision for interim periods was previously determined using an estimated annual effective tax rate which was adjusted for discrete items occurring during the periods presented. The Company determined that since small changes in estimated “ordinary” income would result in significant changes in the estimated annual effective tax rate, the historical method would not provide a reliable estimate for the three and six months ended June 30, 2024.</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primary difference between the Company’s effective tax rate and the statutory federal income tax rate is the full valuation allowance established on the Company’s federal, state and foreign deferred tax attributes. As of June 30, 2024 and December 31, 2023, the Company recorded a full valuation allowance against these net deferred tax assets as the Company believes that it is more likely than not that the Company will not be able to fully realize such net deferred tax assets. The Company’s judgment regarding the likelihood of realization of these deferred tax assets could change in future periods, which could result in a material impact in the Company’s income tax provision in the period of change.</w:t>
      </w:r>
    </w:p>
    <w:p>
      <w:pPr>
        <w:spacing w:after="0" w:line="1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Basic and Diluted Share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the basic and diluted per share computations for net loss attributable to common stockholders: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2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stockholders—basic and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stock—basic and diluted</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center"/>
              <w:ind w:left="334"/>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7"/>
        </w:trPr>
        <w:tc>
          <w:tcPr>
            <w:tcW w:w="6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computation of diluted net loss per share because including them would have been antidilutive: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6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3"/>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6200" w:type="dxa"/>
            <w:vAlign w:val="bottom"/>
            <w:gridSpan w:val="2"/>
            <w:vMerge w:val="continue"/>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restricted stock units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30, 2024, the Company committed to a restructuring plan, effective August 1, 2024, intended to reduce the Company’s operating expenses and better position the Company to execute its long-term strategic initiatives (the Restructuring Plan). The Restructuring Plan will reduce the size of the Company’s workforce by approximately 15% of its full-time employees, as compared to its headcount as of December 31, 2023. The Company expects to incur a total estimated pre-tax restructuring charge of approximately $8 million to $10 million for the year ended December 31, 2024 in connection with the Restructuring Plan, with most of these charges expected to occur in the third quarter of 2024.</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condensed consolidated financial statements and related notes included in Item 1 of Part I of this Quarterly Report on Form 10-Q, and with our audited consolidated financial statements and related notes included in our Annual Report on Form 10-K for the fiscal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NerdWallet provides trustworthy financial guidance to consumers and small and mid-sized businesses (SMBs).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personal finance website and app, NerdWallet provides consumers—both individuals and SMBs—with trustworthy and knowledgeable financial information so they can make smart money moves. From finding the best credit card to buying a house, NerdWallet is there to help consumers make financial decisions with confidence. Consumers have free access to our expert content and comparison shopping marketplaces, plus a data-driven app, which helps them stay on top of their finances and save time and money, giving them the freedom to do more. NerdWallet is available for consumers in the U.S., United Kingdom, Canada and Australia.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Plan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30, 2024, we committed to a restructuring plan, effective August 1, 2024, intended to reduce our operating expenses and better position us to execute our long-term strategic initiatives (the Restructuring Plan). The Restructuring Plan will reduce the size of our workforce by approximately 15% of our full-time employees, as compared to our headcount as of December 31, 2023. We expect to incur a total estimated pre-tax restructuring charge of approximately $8 million to $10 million for the year ended December 31, 2024 in connection with the Restructuring Plan, with most of these charges expected to occur in the third quarter of 2024. We expect to realize approximately $30 million of annualized cost savings as a result of the Restructuring Plan.</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charges that we expect to incur and the savings we expect to realize are subject to several assumptions, including, but not limited to, compliance with legal requirements in various jurisdictions, the impact of the workforce reduction on our business results of operations, and future investment opportunities. Actual results may differ materially from the estimates disclosed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 and 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collect, review and analyze operating and financial data of our business to assess our ongoing performance and compare our results to prior period results. In addition to revenue, net income (loss) and other results under generally accepted accounting principles (GAAP), the following sets forth the key operating metric and non-GAAP financial measures we use to evaluate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Unique Users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define a Monthly Unique User (MUU) as a unique user with at least one session in a given month as determined by a unique device identifier. We measure MUUs during a time period longer than one month by averaging the MUUs of each month within that period. We track MUUs to frame the number of users who may transact with our financial services partners on our platform during a given period. We had 23 million and 26 million average MUUs for the three and six months ended June 30, 2024, which was up 7% and 16% compared to the three and six months ended June 30, 2023, respectively. We saw strong engagement in areas such as travel products, investing and insurance. While we expect MUUs to grow over time, the metric may fluctuate from period to period based on economic conditions, trends in consumer behavior and our strategic marketing decisions.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non-GAAP operating income (loss) and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1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Non-GAAP operating income (loss): </w:t>
      </w:r>
      <w:r>
        <w:rPr>
          <w:rFonts w:ascii="Times New Roman" w:cs="Times New Roman" w:eastAsia="Times New Roman" w:hAnsi="Times New Roman"/>
          <w:sz w:val="18"/>
          <w:szCs w:val="18"/>
          <w:color w:val="auto"/>
        </w:rPr>
        <w:t>We define non-GAAP operating income (loss) as income (loss) from operations adjusted to exclude depreciation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amortization, and further exclude (1) impairment of right-of-use asset, (2) losses (gains) on disposals of assets, (3) change in fair value of contingent consideration related to earnouts, (4) deferred compensation related to earnouts, and (5) acquisition-related costs. We also reduce income from operations, or increase loss from operations, for capitalized internally developed software costs.</w:t>
      </w:r>
    </w:p>
    <w:p>
      <w:pPr>
        <w:spacing w:after="0" w:line="12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net income (loss) from continuing operations adjusted to exclude depreciation and amortization,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income (expense), net, and provision (benefit) for income taxes, and further exclude (1) impairment of right-of-use asset, (2) losses (gains) on disposals of assets, (3) change in fair value of contingent consideration related to earnouts, (4) deferred compensation related to earnouts, (5) stock-based compensation, and (6) acquisition-related costs.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above items are excluded from our non-GAAP operating income (loss) and adjusted EBITDA measures because these items are non-cash in nature, or because the amounts are not driven by core operating results and renders comparisons with prior periods less meaningful. We deduct capitalized internally developed software costs in our non-GAAP operating income (loss) measure to reflect the cash impact of personnel costs incurred within the time period.</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non-GAAP operating income (loss) and adjusted EBITDA provide useful information to investors and others in understanding and evaluating our operating results and in comparing operating results across periods. Moreover, non-GAAP operating income (loss) and adjusted EBITDA are key measurements used by our management internally to make operating decisions, including those related to analyzing operating expenses, evaluating performance, and performing strategic planning and annual budgeting. However, the use of these non-GAAP measures have certain limitations because they do not reflect all items of income and expense that affect our operations. Non-GAAP operating income (loss) and adjusted EBITDA have limitations as financial measures, should be considered as supplemental in nature, and are not meant as substitutes for the related financial information prepared in accordance with GAAP. These limitations include the following:</w:t>
      </w:r>
    </w:p>
    <w:p>
      <w:pPr>
        <w:spacing w:after="0" w:line="135" w:lineRule="exact"/>
        <w:rPr>
          <w:sz w:val="20"/>
          <w:szCs w:val="20"/>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certain recurring, non-cash charges, such as amortization of software, depreciation of property and equipment, amortization of intangible assets, impairment of right-of-use asset, and (losses) gains on disposals of assets. Although these are non-cash charges, the assets being depreciated and amortized may have to be replaced in the future, and non-GAAP operating income (loss) and adjusted EBITDA do not reflect all cash requirements for such replacements or for new capital expenditure requirements;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acquisition-related costs, including acquisition-related retention compensation under compensatory retention agreements with certain key employees, acquisition-related transaction expenses, contingent consideration fair value adjustments related to earnouts, and deferred compensation related to earnouts;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income (expense) and other gains (losses), net, which include unrealized and realized gains and losses on foreign currency exchange, as well as certain nonrecurring gains (losses).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Operations—Results of Operations—Non-GAAP Financial Measures” for reconciliations of non-GAAP operating income (loss) to income (loss) from operations, and adjusted EBITDA to net income (loss), the most directly comparable respective GAAP financial measures.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The following discussion should be read in conjunction with the condensed consolidated financial statements and related notes included elsewhere in this Quarterly Report on Form 10-Q.</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312.9</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7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70"/>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37"/>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losses, net</w:t>
            </w: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1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1"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as follows:</w:t>
      </w:r>
    </w:p>
    <w:p>
      <w:pPr>
        <w:spacing w:after="0" w:line="3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Total stock-based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20" w:type="dxa"/>
            <w:vAlign w:val="bottom"/>
            <w:gridSpan w:val="4"/>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Six Months Ended</w:t>
            </w:r>
          </w:p>
        </w:tc>
        <w:tc>
          <w:tcPr>
            <w:tcW w:w="700" w:type="dxa"/>
            <w:vAlign w:val="bottom"/>
          </w:tcPr>
          <w:p>
            <w:pPr>
              <w:spacing w:after="0"/>
              <w:rPr>
                <w:sz w:val="14"/>
                <w:szCs w:val="14"/>
                <w:color w:val="auto"/>
              </w:rPr>
            </w:pPr>
          </w:p>
        </w:tc>
      </w:tr>
      <w:tr>
        <w:trPr>
          <w:trHeight w:val="176"/>
        </w:trPr>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00" w:type="dxa"/>
            <w:vAlign w:val="bottom"/>
            <w:tcBorders>
              <w:bottom w:val="single" w:sz="8" w:color="auto"/>
            </w:tcBorders>
          </w:tcPr>
          <w:p>
            <w:pPr>
              <w:spacing w:after="0"/>
              <w:rPr>
                <w:sz w:val="15"/>
                <w:szCs w:val="15"/>
                <w:color w:val="auto"/>
              </w:rPr>
            </w:pPr>
          </w:p>
        </w:tc>
      </w:tr>
      <w:tr>
        <w:trPr>
          <w:trHeight w:val="187"/>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30"/>
        </w:trPr>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6"/>
        </w:trPr>
        <w:tc>
          <w:tcPr>
            <w:tcW w:w="7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78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700" w:type="dxa"/>
            <w:vAlign w:val="bottom"/>
          </w:tcPr>
          <w:p>
            <w:pPr>
              <w:jc w:val="right"/>
              <w:ind w:right="55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29"/>
        </w:trPr>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30"/>
        </w:trPr>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37"/>
        </w:trPr>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6"/>
        </w:trPr>
        <w:tc>
          <w:tcPr>
            <w:tcW w:w="7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78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700" w:type="dxa"/>
            <w:vAlign w:val="bottom"/>
          </w:tcPr>
          <w:p>
            <w:pPr>
              <w:jc w:val="right"/>
              <w:ind w:right="55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37"/>
        </w:trPr>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-333375</wp:posOffset>
            </wp:positionV>
            <wp:extent cx="667766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77660" cy="14541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-633730</wp:posOffset>
            </wp:positionV>
            <wp:extent cx="667766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7766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300"/>
          </w:cols>
          <w:pgMar w:left="320" w:top="135"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condensed consolidated statements of operations as a percentage of revenue: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r>
      <w:tr>
        <w:trPr>
          <w:trHeight w:val="37"/>
        </w:trPr>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6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102</w:t>
            </w:r>
          </w:p>
        </w:tc>
      </w:tr>
      <w:tr>
        <w:trPr>
          <w:trHeight w:val="237"/>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3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7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losses, net</w:t>
            </w:r>
          </w:p>
        </w:tc>
        <w:tc>
          <w:tcPr>
            <w:tcW w:w="17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6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Loss from operations increased $5.4 million, or 129%, for the three months ended June 30, 2024 compared to the three months ended June 30, 2023, as a $7.3 million increase in revenue was more than offset by a $12.7 million increase in operating expenses, primarily attributable to increases of $7.3 million in sales and marketing expenses and $2.7 million in research and development expenses. Loss from operations increased $0.9 million, or 17% for the six months ended June 30, 2024 compared to the six months ended June 30, 2023, reflecting a $0.4 million decrease in revenue and a $0.5 million increase in operating expenses, as a $6.5 million decrease in sales and marketing expenses was more than offset by increases in other operating expenses.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loss decreased $1.3 million, or 12%, and $0.7 million, or 8%, respectively, for the three and six months ended June 30, 2024 compared to the three and six months ended June 30, 2023, as the increases of $5.4 million and $0.9 million in loss from operations were more than offset by decreases in income tax provision of $6.0 million and $0.5 million, respectively, and increases of $0.7 million and $1.1 million, respectively, in interest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2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products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verticals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increased $7.3 million, or 5%, for the three months ended June 30, 2024, and decreased $0.4 million, for the six months ended June 30, 2024, compared to the three and six months ended June 30, 2023, respectively, reflecting the net impact of lower credit cards and loans revenue, offset by growth in emerging verticals and SMB products revenue.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cards revenue consists of revenue from consumer credit cards. Credit cards revenue decreased $5.1 million, or 10%, and $16.4 million, or 15%, for the three and six months ended June 30, 2024, respectively, primarily due to reduced marketing spending by our financial services partners amidst a combination of continued cautious underwriting and heightened balance sheet conservatism.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Loans revenue includes revenue from personal loans, mortgages, student loans and auto loans. Loans revenue decreased $1.4 million, or 6%, and $2.0 million, or 5%, for the three and six months ended June 30, 2024, respectively. The decrease for the three months ended June 30, 2024 was primarily due to a 17% decrease in personal loans revenue, as we continue to work through a tight underwriting environment while improving our near-prime matching and partner coverage, partially offset by increases of 7% in mortgages revenue and 33% in student loans revenue. The decrease for the six months ended June 30, 2024 was primarily due to decreases of 5% in personal loans revenue and 4% in mortgages revenue.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SMB products revenue includes revenue from loans, credit cards and other financial products and services intended for small and mid-sized businesses. SMB products revenue increased $2.4 million, or 10%, and $7.6 million, or 16%, for the three and six months ended June 30, 2024, respectively, primarily driven by revenue growth in products such as business credit cards and loan renewals, as we continue to scale our product offerings, partially offset by decreases in business loan originations.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Emerging verticals revenue includes revenue from other product sources, including banking, insurance, investing and international. Emerging verticals revenue increased $11.4 million, or 25%, and $10.4 million, or 10%, for the three and six months ended June 30, 2024, respectively, primarily due to increases of 196% and 67% in insurance products revenue as carriers expanded budgets, partially offset by decreases of 26% and 17% in banking revenue as consumer demand for banking products continued to moderate.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 increased $1.8 million, or 14%, and $2.2 million, or 8%, for the three and six months ended June 30, 2024 compared to the three and six months ended June 30, 2023, respectively, primarily due to increases of $1.3 million and $2.6 million in amortization expense related to capitalized software development costs and $0.8 million and $0.3 million primarily related to third-party service charges, partially offset by decreases of $0.5 million and $1.0 million in amortization expense related to intangible assets.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$2.7 million, or 13%, and $3.9 million, or 10%, for the three and six months ended June 30, 2024 compared to the three and six months ended June 30, 2023, respectively, primarily attributable to increases of $2.1 million and $3.5 million in personnel-related costs for our engineering, data, and product management personnel and contractors to support our continued growth and key platform capabilities, and $0.7 million and $0.6 million in software and technology costs related to our platform.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2024, our total sales and marketing expense was comprised of approximately 18% and 21% for brand marketing, respectively, and 56% and 53% for performance marketing, respectively, with the remainder for organic and other marketing expenses. For the three and six months ended June 30, 2023, our total sales and marketing expense was comprised of approximately 21% and 27% for brand marketing, respectively, and 50% and 48% for performance marketing, respectively, with the remainder for organic and other marketing expenses. We are able to adjust our marketing spend to reflect changes in external factors and consumer behavior.</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$7.3 million, or 7%, for the three months ended June 30, 2024 compared to the three months ended June 30, 2023, as a $10.1 million increase in performance marketing expenses was partially offset by decreases of $1.7 million in brand marketing expenses and $1.1 million in organic and other marketing expenses primarily due to lower personnel-related costs. Sales and marketing expenses decreased $6.5 million, or 3%, for the six months ended June 30, 2024 compared to the six months ended June 30, 2023, as decreases of $13.3 million in brand marketing expenses and $2.1 million in organic and other marketing expenses primarily due to lower personnel-related costs, were partially offset by an $8.9 million increase in performance marketing expenses.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center"/>
              <w:ind w:left="278"/>
              <w:spacing w:after="0"/>
              <w:rPr>
                <w:sz w:val="20"/>
                <w:szCs w:val="20"/>
                <w:color w:val="auto"/>
              </w:rPr>
            </w:pPr>
            <w:r>
              <w:rPr>
                <w:rFonts w:ascii="Times New Roman" w:cs="Times New Roman" w:eastAsia="Times New Roman" w:hAnsi="Times New Roman"/>
                <w:sz w:val="18"/>
                <w:szCs w:val="18"/>
                <w:color w:val="auto"/>
                <w:w w:val="97"/>
              </w:rPr>
              <w:t>2.9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w w:val="97"/>
              </w:rPr>
              <w:t>1.8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center"/>
              <w:ind w:left="238"/>
              <w:spacing w:after="0"/>
              <w:rPr>
                <w:sz w:val="20"/>
                <w:szCs w:val="20"/>
                <w:color w:val="auto"/>
              </w:rPr>
            </w:pPr>
            <w:r>
              <w:rPr>
                <w:rFonts w:ascii="Times New Roman" w:cs="Times New Roman" w:eastAsia="Times New Roman" w:hAnsi="Times New Roman"/>
                <w:sz w:val="18"/>
                <w:szCs w:val="18"/>
                <w:color w:val="auto"/>
                <w:w w:val="98"/>
              </w:rPr>
              <w:t>(0.4)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8"/>
              </w:rPr>
              <w:t>(0.4)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left="238"/>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6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center"/>
              <w:ind w:left="278"/>
              <w:spacing w:after="0"/>
              <w:rPr>
                <w:sz w:val="20"/>
                <w:szCs w:val="20"/>
                <w:color w:val="auto"/>
              </w:rPr>
            </w:pPr>
            <w:r>
              <w:rPr>
                <w:rFonts w:ascii="Times New Roman" w:cs="Times New Roman" w:eastAsia="Times New Roman" w:hAnsi="Times New Roman"/>
                <w:sz w:val="18"/>
                <w:szCs w:val="18"/>
                <w:color w:val="auto"/>
                <w:w w:val="97"/>
              </w:rPr>
              <w:t>2.4</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color w:val="auto"/>
                <w:w w:val="97"/>
              </w:rPr>
              <w:t>1.3</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Other income, net increased $0.7 million or 112%, and $1.1 million, or 82%, for the three and six months ended June 30, 2024 compared to the three and six months ended June 30, 2023, respectively, primarily attributable to higher interest income reflecting higher interest rates and average cash balances.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Beginning with the three months ended June 30, 2023, our tax provision for interim periods was determined using a discrete effective tax rate method, as allowed by ASC Topic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Our tax provision for interim periods was previously determined using an estimated annual effective tax rate which was adjusted for discrete items occurring during the periods presented. We determined that since small changes in estimated “ordinary” income would result in significant changes in the estimated annual effective tax rate, the historical method would not provide a reliable estimate for the three months ended June 30, 2024.</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had income tax provisions of $1.1 million and $4.8 million for the three and six months ended June 30, 2024, respectively, and $7.1 million and $5.3 million for the three and six months ended June 30, 2023, respectively. Our effective tax rate was (13.7%) and (138.6%) for the three and six months ended June 30, 2024, and (200.4%) and (144.0%) for the three and six months ended June 30, 2023. Our effective tax rate for the three and six months ended June 30, 2024 differs from the U.S. federal statutory income tax rate of 21% primarily due to the valuation allowance maintained against our net U.S. deferred tax assets and state taxes, partially offset by research and development credits. Our effective tax rate for the three and six months ended June 30, 2023 differs from the U.S. federal statutory income tax rate of 21% primarily due to capitalization of research and development expenses under tax regulations effective in 2022, a full valuation allowance recorded against our net U.S. deferred tax assets, and excess tax benefits related to stock-based compensation.</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Based on our ongoing assessment of all available evidence, both positive and negative, including consideration of our historical profitability and the estimated impact of our operating model on future profitability, we concluded that it was more likely than not that our U.S. deferred tax assets in excess of deferred tax liabilities would not be realized and recorded a valuation allowance against these net U.S. deferred tax assets as of June 30, 2024. Our judgment regarding the likelihood of realization of these deferred tax assets could change in future periods, which could result in a material impact to our income tax provision in the period of change. Given our current earnings projections, sufficient positive evidence may become available for us to release all, or a portion, of the valuation allowance within the next six months. However, the timing and amounts of such valuation allowance releases are subject to change based on the level of profitability achieved in future periods.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loss from operations, net loss and our other GAAP results.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reconciling non-GAAP operating income (loss) to loss from operations, and adjusted EBITDA to net loss, the most comparable GAAP financial measures,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00" w:type="dxa"/>
            <w:vAlign w:val="bottom"/>
          </w:tcPr>
          <w:p>
            <w:pPr>
              <w:spacing w:after="0"/>
              <w:rPr>
                <w:sz w:val="21"/>
                <w:szCs w:val="21"/>
                <w:color w:val="auto"/>
              </w:rPr>
            </w:pP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6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(2.7)</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 margin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income (loss) margin</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6"/>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00" w:type="dxa"/>
            <w:vAlign w:val="bottom"/>
          </w:tcPr>
          <w:p>
            <w:pPr>
              <w:spacing w:after="0"/>
              <w:rPr>
                <w:sz w:val="21"/>
                <w:szCs w:val="21"/>
                <w:color w:val="auto"/>
              </w:rPr>
            </w:pP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21"/>
                <w:szCs w:val="21"/>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Pr>
          <w:p>
            <w:pPr>
              <w:spacing w:after="0"/>
              <w:rPr>
                <w:sz w:val="21"/>
                <w:szCs w:val="21"/>
                <w:color w:val="auto"/>
              </w:rPr>
            </w:pP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14.3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41.6</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6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(2.7)</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margin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non-GAAP operating income (loss) as a percentage of revenue.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adjusted EBITDA as a percentage of revenue.</w:t>
      </w:r>
    </w:p>
    <w:p>
      <w:pPr>
        <w:spacing w:after="0" w:line="2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Operations—Results of Operations” for a discussion of the changes in loss from operations and net loss for the three and six months ended June 30, 2024 compared to the three and six months ended June 30, 2023.</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had a non-GAAP operating loss of $2.7 million for the three months ended June 30, 2024, as compared to non-GAAP operating income of $0.5 million for the three months ended June 30, 2023, with the change primarily due to a $5.4 million increase in loss from operations, partially offset by a $2.2 million decrease in capitalized internally developed software costs. Non-GAAP operating income increased $3.6 million, or 82%, for the six months ended June 30, 2024 compared to the six months ended June 30, 2023, as a $0.9 million increase in loss from operations was more than offset by a $4.5 million decrease in capitalized internally developed software costs.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EBITDA decreased $6.4 million, or 31%, and $1.8 million, or 4%, for the three and six months ended June 30, 2024 compared to the three and six months ended June 30, 2023, respectively. The decreases were primarily attributable to decreases in adjustments to reconcile adjusted EBITDA to net loss, including decreases of $6.0 million and $0.5 million in income tax provision, $1.0 million and $0.9 million for stock-based compensation, and $0.7 million and $1.1 million for interest income, net. These decreases were partially offset by decreases of $1.3 million and $0.7 million in net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to meet our business requirements and plans, both in the short-term (i.e., the next twelve months from June 30, 2024) and long-term (i.e., beyond the next twelve months), have historically been cash generated from operations and, more recently, sales of our common stock, and borrowings under our credit facilities. Our primary liquidity needs are related to the funding of general business requirements, including working capital requirements, research and development, and capital expenditures, as well as other liquidity requirements including, but not limited to, business combinations.</w:t>
      </w:r>
    </w:p>
    <w:p>
      <w:pPr>
        <w:spacing w:after="0" w:line="129" w:lineRule="exact"/>
        <w:rPr>
          <w:sz w:val="20"/>
          <w:szCs w:val="20"/>
          <w:color w:val="auto"/>
        </w:rPr>
      </w:pPr>
    </w:p>
    <w:p>
      <w:pPr>
        <w:ind w:right="1500" w:firstLine="324"/>
        <w:spacing w:after="0" w:line="438" w:lineRule="auto"/>
        <w:rPr>
          <w:sz w:val="20"/>
          <w:szCs w:val="20"/>
          <w:color w:val="auto"/>
        </w:rPr>
      </w:pPr>
      <w:r>
        <w:rPr>
          <w:rFonts w:ascii="Times New Roman" w:cs="Times New Roman" w:eastAsia="Times New Roman" w:hAnsi="Times New Roman"/>
          <w:sz w:val="18"/>
          <w:szCs w:val="18"/>
          <w:color w:val="auto"/>
        </w:rPr>
        <w:t xml:space="preserve">As of June 30, 2024 and December 31, 2023, we had cash and cash equivalents of $113.8 million and $100.4 million, respectively. </w:t>
      </w:r>
      <w:r>
        <w:rPr>
          <w:rFonts w:ascii="Times New Roman" w:cs="Times New Roman" w:eastAsia="Times New Roman" w:hAnsi="Times New Roman"/>
          <w:sz w:val="18"/>
          <w:szCs w:val="18"/>
          <w:b w:val="1"/>
          <w:bCs w:val="1"/>
          <w:i w:val="1"/>
          <w:iCs w:val="1"/>
          <w:color w:val="auto"/>
        </w:rPr>
        <w:t>Known Contractual and Other Obligations</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description of contractual commitments as of June 30, 2024 is included in Note 5–Commitments and Contingencies in the notes to our condensed consolidated financial statements.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 broadly, we also have purchase obligations under contractual arrangements with vendors and service providers, including for certain web-hosting and cloud computing services, which do not qualify for recognition on our condensed consolidated balance sheets but which we consider non-cancellable. During the six months ended June 30, 2024, there have been no material changes in our purchase obligations as disclosed in “Management’s Discussion and Analysis of Financial Condition and Results of Operations–Liquidity and Capital Resources” in our Annual Report on Form 10-K for the year ended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Uncertainties and Anticipated Sources of Funds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grow our business, we intend to make significant investments in our business, which may result in increases in our personnel and related expenses.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w:t>
      </w:r>
    </w:p>
    <w:p>
      <w:pPr>
        <w:spacing w:after="0" w:line="2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announced on May 2, 2023 that our Board of Directors authorized a plan under which we may repurchase up to $20 million of our Class A common stock and, following our utilization of that share repurchase authorization, we announced on October 26, 2023 that our Board of Directors approved a share repurchase authorization under which we may repurchase up to an additional $30 million of our Class A common stock (collectively, the Repurchase Plans). Subject to market conditions and other factors, the Repurchase Plans are intended to make opportunistic repurchases of our Class A common stock to reduce our outstanding share count. Under the Repurchase Plans, shares of Class A common stock may be repurchased in the open market through privately negotiated transactions or otherwise, in accordance with applicable securities laws and other restrictions. The Repurchase Plans do not have fixed expiration dates and do not obligate us to acquire any specific number of shares. The timing and terms of any repurchases under the Repurchase Plans are at management’s discretion and depend on a variety of factors, including business, economic and market conditions, regulatory requirements, prevailing stock prices and other considerations. Additionally, we may, from time to time, enter into Rule 10b-5 trading plans to facilitate repurchases. Shares repurchased under the Repurchase Plans are retired. We expect to fund repurchases with existing cash and cash equivalents. We repurchased 0.1 million shares of Class A common stock for $1.1 million, including costs associated with the repurchases, during the six months ended June 30, 2024.</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including three of our wholly-owned subsidiaries, maintain a credit agreement (the Credit Agreement) with JPMorgan Chase Bank, National Association, as Administrative Agent, and a syndicate of lenders. The Credit Agreement provides for a $125.0 million senior secured revolving credit facility (the Credit Facility), with the option to increase up to an additional $75.0 million, and is available to be used by us and certain of our domestic subsidiaries for general corporate purposes, including acquisitions. The Credit Facility matures on September 26, 2028. We had no outstanding balance on our Credit Agreement as of June 30, 2024 or December 31, 2023. The available amount to borrow under our Credit Agreement was $123.7 million at both June 30, 2024 and December 31, 2023, which was equal to the available amount under the credit agreement of $125.0 million, net of letters of credit of $1.3 million. Our Credit Agreement contains certain customary financial and non-financial covenants. We were in compliance with all covenants as of June 30, 2024 and December 31, 2023.</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our current cash and cash equivalents and future cash flow from operations, as well as access to our Credit Agreement, will be sufficient to meet our ongoing working capital, capital expenditure and other liquidity requirements for the next twelve months and beyond.</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ectPr>
          <w:pgSz w:w="11900" w:h="16838" w:orient="portrait"/>
          <w:cols w:equalWidth="0" w:num="1">
            <w:col w:w="11240"/>
          </w:cols>
          <w:pgMar w:left="320" w:top="135" w:right="339" w:bottom="1440" w:gutter="0" w:footer="0" w:header="0"/>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Capital Resources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15862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8020" w:space="720"/>
            <w:col w:w="2500"/>
          </w:cols>
          <w:pgMar w:left="320" w:top="135" w:right="339" w:bottom="1440" w:gutter="0" w:footer="0" w:header="0"/>
          <w:type w:val="continuous"/>
        </w:sect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$26.5 million in the six months ended June 30, 2024 compared to the six months ended June 30, 2023, as a $27.6 million decrease in net cash outflow from changes in operating assets and liabilities was partially offset by decreases of $1.8 million in non-cash charges and $0.7 million in net loss. The decrease in net cash outflow from changes in operating assets and liabilities was primarily due to a $14.0 million payment in the six months ended June 30, 2023 for contingent consideration in excess of the amounts recorded at the acquisition date, as well as decreases of $12.9 million in accrued expenses and other current liabilities, $9.9 million in accounts payable, and $3.4 million in prepaid expenses and other assets, partially offset by an increase of $12.0 million in accounts receivable. The decrease in non-cash charges was primarily due to decreases of $0.9 million in stock-based compensation and $0.9 million in other, net.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$3.9 million in the six months ended June 30, 2024 compared to the six months ended June 30, 2023, primarily due to an $8.1 million purchase of an investment in the six months ended June 30, 2024, partially offset by a $4.1 million decrease in capitalized software development costs.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decreased $7.6 million in the six months ended June 30, 2024 compared to the six months ended June 30, 2023, primarily due to a $16.9 million payment in the six months ended June 30, 2023 for contingent consideration recorded at the acquisition date, partially offset by a $6.7 million decrease from exercises of stock options and $1.9 million from issuance of Class A common stock under our Employee Stock Purchase Plan in the six months ended June 30,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six months ended June 30, 2024, there have been no material changes in our critical accounting policies as disclosed in “Management’s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of Financial Condition and Results of Operations–Critical Accounting Policies and Estimates” in our Annual Report on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there were no material changes from the market risk disclosures in our Annual Report on Form 10-K for the year ended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under Rules 13a-15(e) and 15d-15(e) of the Securities Exchange Act of 1934, as amended). Management, under the supervision and with the participation of our Chief Executive Officer and our Chief Financial Officer, evaluated the effectiveness of the Company’s disclosure controls and procedures pursuant to Exchange Act Rule 13a-15(b) as of June 30, 2024. Based on that evaluation, the Chief Executive Officer and the Chief Financial Officer concluded that these disclosure controls and procedures were effective as of June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Rules 13a-15(d) and 15d-15(d) of the Exchange Act that occurred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any certainty, and regardless of the outcome, litigation can have an adverse impact on us because of defense and settlement costs, diversion of management resources and other factors. See further discussion under “Litigation and Other Legal Matters” in Note 5–Commitments and Contingencies in the notes to condensed consolidated financial statements in Item 1 of Part I of this Quarterly Report on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 factors set forth in Part I, Item 1A. Risk Factors in our Annual Report on Form 10-K for the year ended December 31, 2023 and in our subsequent periodic filings with the Securities and Exchange Commission.</w:t>
      </w:r>
    </w:p>
    <w:p>
      <w:pPr>
        <w:sectPr>
          <w:pgSz w:w="11900" w:h="16838" w:orient="portrait"/>
          <w:cols w:equalWidth="0" w:num="1">
            <w:col w:w="11240"/>
          </w:cols>
          <w:pgMar w:left="320" w:top="135" w:right="339" w:bottom="1440" w:gutter="0" w:footer="0" w:header="0"/>
        </w:sectPr>
      </w:pP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 activity for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8"/>
                <w:szCs w:val="18"/>
                <w:b w:val="1"/>
                <w:bCs w:val="1"/>
                <w:i w:val="1"/>
                <w:iCs w:val="1"/>
                <w:color w:val="auto"/>
                <w:vertAlign w:val="superscript"/>
              </w:rPr>
              <w:t>2</w:t>
            </w:r>
          </w:p>
        </w:tc>
        <w:tc>
          <w:tcPr>
            <w:tcW w:w="0" w:type="dxa"/>
            <w:vAlign w:val="bottom"/>
          </w:tcPr>
          <w:p>
            <w:pPr>
              <w:spacing w:after="0"/>
              <w:rPr>
                <w:sz w:val="1"/>
                <w:szCs w:val="1"/>
                <w:color w:val="auto"/>
              </w:rPr>
            </w:pPr>
          </w:p>
        </w:tc>
      </w:tr>
      <w:tr>
        <w:trPr>
          <w:trHeight w:val="26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7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7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5"/>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175"/>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172"/>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Under the Plans or</w:t>
            </w:r>
          </w:p>
        </w:tc>
      </w:tr>
      <w:tr>
        <w:trPr>
          <w:trHeight w:val="165"/>
        </w:trPr>
        <w:tc>
          <w:tcPr>
            <w:tcW w:w="1440" w:type="dxa"/>
            <w:vAlign w:val="bottom"/>
          </w:tcPr>
          <w:p>
            <w:pPr>
              <w:jc w:val="center"/>
              <w:spacing w:after="0" w:line="165" w:lineRule="exact"/>
              <w:rPr>
                <w:sz w:val="20"/>
                <w:szCs w:val="20"/>
                <w:color w:val="auto"/>
              </w:rPr>
            </w:pPr>
            <w:r>
              <w:rPr>
                <w:rFonts w:ascii="Times New Roman" w:cs="Times New Roman" w:eastAsia="Times New Roman" w:hAnsi="Times New Roman"/>
                <w:sz w:val="14"/>
                <w:szCs w:val="14"/>
                <w:b w:val="1"/>
                <w:bCs w:val="1"/>
                <w:color w:val="auto"/>
                <w:w w:val="98"/>
              </w:rPr>
              <w:t>Programs</w:t>
            </w:r>
            <w:r>
              <w:rPr>
                <w:rFonts w:ascii="Times New Roman" w:cs="Times New Roman" w:eastAsia="Times New Roman" w:hAnsi="Times New Roman"/>
                <w:sz w:val="18"/>
                <w:szCs w:val="18"/>
                <w:b w:val="1"/>
                <w:bCs w:val="1"/>
                <w:color w:val="auto"/>
                <w:w w:val="98"/>
                <w:vertAlign w:val="superscript"/>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39"/>
              <w:spacing w:after="0" w:line="165" w:lineRule="exact"/>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18"/>
                <w:szCs w:val="18"/>
                <w:b w:val="1"/>
                <w:bCs w:val="1"/>
                <w:color w:val="auto"/>
                <w:vertAlign w:val="superscript"/>
              </w:rPr>
              <w:t>1</w:t>
            </w:r>
          </w:p>
        </w:tc>
      </w:tr>
      <w:tr>
        <w:trPr>
          <w:trHeight w:val="190"/>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37"/>
        </w:trPr>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7"/>
        </w:trPr>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97"/>
        </w:trPr>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70"/>
        </w:trPr>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37"/>
        </w:trPr>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72" w:lineRule="exact"/>
        <w:rPr>
          <w:sz w:val="20"/>
          <w:szCs w:val="20"/>
          <w:color w:val="auto"/>
        </w:rPr>
      </w:pPr>
    </w:p>
    <w:p>
      <w:pPr>
        <w:sectPr>
          <w:pgSz w:w="11900" w:h="16838" w:orient="portrait"/>
          <w:cols w:equalWidth="0" w:num="2">
            <w:col w:w="8180" w:space="100"/>
            <w:col w:w="2960"/>
          </w:cols>
          <w:pgMar w:left="320" w:top="13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jc w:val="both"/>
        <w:ind w:left="340" w:hanging="332"/>
        <w:spacing w:after="0" w:line="261" w:lineRule="auto"/>
        <w:tabs>
          <w:tab w:leader="none" w:pos="37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2, 2023, we announced that our Board of Directors authorized a plan (the Repurchase Plan) under which we may repurchase up to $20 million of our Class A common stock. Following our utilization of the share repurchase authorization under the Repurchase Plan, we announced on October 26, 2023 that our Board of Directors authorized a new plan (the October 2023 Repurchase Plan) under which we may repurchase up to $30 million of our Class A common stock. Under the Repurchase Plan and the October 2023 Repurchase Plan, shares of Class A common stock may be repurchased in the open market through privately negotiated transactions or otherwise, in accordance with applicable securities laws and other restrictions. The Repurchase Plan and the October 2023 Repurchase Plan do not have fixed expiration dates and do not obligate us to acquire any specific number of shares. The timing and terms of any repurchases under the Repurchase Plan and the October 2023 Repurchase Plan are at management’s discretion and depend on a variety of factors, including business, economic and market conditions, regulatory requirements, prevailing stock prices and other considerations. Additionally, we may, from time to time, enter into Rule 10b5-1 trading plans to facilitate repurchases.</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costs associated with the repurchases.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or Executive Officers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none of our directors or officers (as defined in Rule 16a-1 of the Exchange Act) adopted, modified or terminated a Rule 10b5-1 trading arrangement or a non-Rule 10b5-1 trading arrangement (as such terms are defined under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99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jc w:val="right"/>
        <w:ind w:right="10020"/>
        <w:spacing w:after="0"/>
        <w:rPr>
          <w:sz w:val="20"/>
          <w:szCs w:val="20"/>
          <w:color w:val="auto"/>
        </w:rPr>
      </w:pPr>
      <w:r>
        <w:rPr>
          <w:rFonts w:ascii="Times New Roman" w:cs="Times New Roman" w:eastAsia="Times New Roman" w:hAnsi="Times New Roman"/>
          <w:sz w:val="18"/>
          <w:szCs w:val="18"/>
          <w:color w:val="auto"/>
        </w:rPr>
        <w:t>(a)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tcPr>
          <w:p>
            <w:pPr>
              <w:spacing w:after="0"/>
              <w:rPr>
                <w:sz w:val="15"/>
                <w:szCs w:val="15"/>
                <w:color w:val="auto"/>
              </w:rPr>
            </w:pPr>
          </w:p>
        </w:tc>
      </w:tr>
      <w:tr>
        <w:trPr>
          <w:trHeight w:val="190"/>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60" w:type="dxa"/>
            <w:vAlign w:val="bottom"/>
            <w:gridSpan w:val="9"/>
          </w:tcPr>
          <w:p>
            <w:pPr>
              <w:ind w:left="10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Certificate of Amendment of Amended and Restated Certificate of Incorporation</w:t>
            </w:r>
          </w:p>
        </w:tc>
        <w:tc>
          <w:tcPr>
            <w:tcW w:w="280" w:type="dxa"/>
            <w:vAlign w:val="bottom"/>
            <w:gridSpan w:val="5"/>
          </w:tcPr>
          <w:p>
            <w:pPr>
              <w:spacing w:after="0"/>
              <w:rPr>
                <w:sz w:val="17"/>
                <w:szCs w:val="17"/>
                <w:color w:val="auto"/>
              </w:rPr>
            </w:pPr>
          </w:p>
        </w:tc>
        <w:tc>
          <w:tcPr>
            <w:tcW w:w="4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of the Registrant.</w:t>
            </w:r>
          </w:p>
        </w:tc>
        <w:tc>
          <w:tcPr>
            <w:tcW w:w="4860" w:type="dxa"/>
            <w:vAlign w:val="bottom"/>
            <w:gridSpan w:val="9"/>
          </w:tcPr>
          <w:p>
            <w:pPr>
              <w:spacing w:after="0"/>
              <w:rPr>
                <w:sz w:val="17"/>
                <w:szCs w:val="17"/>
                <w:color w:val="auto"/>
              </w:rPr>
            </w:pPr>
          </w:p>
        </w:tc>
        <w:tc>
          <w:tcPr>
            <w:tcW w:w="4080" w:type="dxa"/>
            <w:vAlign w:val="bottom"/>
          </w:tcPr>
          <w:p>
            <w:pPr>
              <w:spacing w:after="0"/>
              <w:rPr>
                <w:sz w:val="17"/>
                <w:szCs w:val="17"/>
                <w:color w:val="auto"/>
              </w:rPr>
            </w:pPr>
          </w:p>
        </w:tc>
      </w:tr>
      <w:tr>
        <w:trPr>
          <w:trHeight w:val="25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3"/>
          </w:tcPr>
          <w:p>
            <w:pPr>
              <w:spacing w:after="0"/>
              <w:rPr>
                <w:sz w:val="17"/>
                <w:szCs w:val="17"/>
                <w:color w:val="auto"/>
              </w:rPr>
            </w:pPr>
          </w:p>
        </w:tc>
        <w:tc>
          <w:tcPr>
            <w:tcW w:w="420" w:type="dxa"/>
            <w:vAlign w:val="bottom"/>
            <w:gridSpan w:val="7"/>
          </w:tcPr>
          <w:p>
            <w:pPr>
              <w:spacing w:after="0"/>
              <w:rPr>
                <w:sz w:val="17"/>
                <w:szCs w:val="17"/>
                <w:color w:val="auto"/>
              </w:rPr>
            </w:pPr>
          </w:p>
        </w:tc>
        <w:tc>
          <w:tcPr>
            <w:tcW w:w="4080" w:type="dxa"/>
            <w:vAlign w:val="bottom"/>
          </w:tcPr>
          <w:p>
            <w:pPr>
              <w:spacing w:after="0"/>
              <w:rPr>
                <w:sz w:val="17"/>
                <w:szCs w:val="17"/>
                <w:color w:val="auto"/>
              </w:rPr>
            </w:pPr>
          </w:p>
        </w:tc>
      </w:tr>
      <w:tr>
        <w:trPr>
          <w:trHeight w:val="23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1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3"/>
          </w:tcPr>
          <w:p>
            <w:pPr>
              <w:spacing w:after="0"/>
              <w:rPr>
                <w:sz w:val="17"/>
                <w:szCs w:val="17"/>
                <w:color w:val="auto"/>
              </w:rPr>
            </w:pPr>
          </w:p>
        </w:tc>
        <w:tc>
          <w:tcPr>
            <w:tcW w:w="420" w:type="dxa"/>
            <w:vAlign w:val="bottom"/>
            <w:gridSpan w:val="7"/>
          </w:tcPr>
          <w:p>
            <w:pPr>
              <w:spacing w:after="0"/>
              <w:rPr>
                <w:sz w:val="17"/>
                <w:szCs w:val="17"/>
                <w:color w:val="auto"/>
              </w:rPr>
            </w:pPr>
          </w:p>
        </w:tc>
        <w:tc>
          <w:tcPr>
            <w:tcW w:w="4080" w:type="dxa"/>
            <w:vAlign w:val="bottom"/>
          </w:tcPr>
          <w:p>
            <w:pPr>
              <w:spacing w:after="0"/>
              <w:rPr>
                <w:sz w:val="17"/>
                <w:szCs w:val="17"/>
                <w:color w:val="auto"/>
              </w:rPr>
            </w:pPr>
          </w:p>
        </w:tc>
      </w:tr>
      <w:tr>
        <w:trPr>
          <w:trHeight w:val="23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020" w:type="dxa"/>
            <w:vAlign w:val="bottom"/>
            <w:tcBorders>
              <w:top w:val="single" w:sz="8" w:color="0000FF"/>
            </w:tcBorders>
            <w:gridSpan w:val="6"/>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25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980" w:type="dxa"/>
            <w:vAlign w:val="bottom"/>
            <w:tcBorders>
              <w:top w:val="single" w:sz="8" w:color="0000FF"/>
            </w:tcBorders>
            <w:gridSpan w:val="5"/>
          </w:tcPr>
          <w:p>
            <w:pPr>
              <w:spacing w:after="0"/>
              <w:rPr>
                <w:sz w:val="15"/>
                <w:szCs w:val="15"/>
                <w:color w:val="auto"/>
              </w:rPr>
            </w:pPr>
          </w:p>
        </w:tc>
        <w:tc>
          <w:tcPr>
            <w:tcW w:w="200" w:type="dxa"/>
            <w:vAlign w:val="bottom"/>
            <w:gridSpan w:val="3"/>
          </w:tcPr>
          <w:p>
            <w:pPr>
              <w:spacing w:after="0"/>
              <w:rPr>
                <w:sz w:val="15"/>
                <w:szCs w:val="15"/>
                <w:color w:val="auto"/>
              </w:rPr>
            </w:pPr>
          </w:p>
        </w:tc>
        <w:tc>
          <w:tcPr>
            <w:tcW w:w="4080" w:type="dxa"/>
            <w:vAlign w:val="bottom"/>
          </w:tcPr>
          <w:p>
            <w:pPr>
              <w:spacing w:after="0"/>
              <w:rPr>
                <w:sz w:val="15"/>
                <w:szCs w:val="15"/>
                <w:color w:val="auto"/>
              </w:rPr>
            </w:pPr>
          </w:p>
        </w:tc>
      </w:tr>
      <w:tr>
        <w:trPr>
          <w:trHeight w:val="259"/>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2"/>
                <w:szCs w:val="22"/>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408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4080" w:type="dxa"/>
            <w:vAlign w:val="bottom"/>
          </w:tcPr>
          <w:p>
            <w:pPr>
              <w:spacing w:after="0"/>
              <w:rPr>
                <w:sz w:val="20"/>
                <w:szCs w:val="20"/>
                <w:color w:val="auto"/>
              </w:rPr>
            </w:pPr>
          </w:p>
        </w:tc>
      </w:tr>
      <w:tr>
        <w:trPr>
          <w:trHeight w:val="256"/>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2"/>
                <w:szCs w:val="22"/>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3"/>
                <w:szCs w:val="23"/>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Exhibits 101).</w:t>
            </w:r>
          </w:p>
        </w:tc>
        <w:tc>
          <w:tcPr>
            <w:tcW w:w="4080" w:type="dxa"/>
            <w:vAlign w:val="bottom"/>
          </w:tcPr>
          <w:p>
            <w:pPr>
              <w:spacing w:after="0"/>
              <w:rPr>
                <w:sz w:val="20"/>
                <w:szCs w:val="20"/>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59" w:lineRule="exact"/>
        <w:rPr>
          <w:sz w:val="20"/>
          <w:szCs w:val="20"/>
          <w:color w:val="auto"/>
        </w:rPr>
      </w:pPr>
    </w:p>
    <w:p>
      <w:pPr>
        <w:ind w:left="340" w:hanging="332"/>
        <w:spacing w:after="0" w:line="271" w:lineRule="auto"/>
        <w:tabs>
          <w:tab w:leader="none" w:pos="2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2" w:lineRule="exact"/>
        <w:rPr>
          <w:sz w:val="20"/>
          <w:szCs w:val="20"/>
          <w:color w:val="auto"/>
        </w:rPr>
      </w:pPr>
    </w:p>
    <w:p>
      <w:pPr>
        <w:jc w:val="both"/>
        <w:ind w:left="340" w:hanging="332"/>
        <w:spacing w:after="0" w:line="281" w:lineRule="auto"/>
        <w:tabs>
          <w:tab w:leader="none" w:pos="353"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612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NERDWALLET, INC.</w:t>
            </w:r>
          </w:p>
        </w:tc>
      </w:tr>
      <w:tr>
        <w:trPr>
          <w:trHeight w:val="52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2024</w:t>
            </w:r>
          </w:p>
        </w:tc>
        <w:tc>
          <w:tcPr>
            <w:tcW w:w="612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   /s/ Lauren StClair</w:t>
            </w:r>
          </w:p>
        </w:tc>
      </w:tr>
      <w:tr>
        <w:trPr>
          <w:trHeight w:val="27"/>
        </w:trPr>
        <w:tc>
          <w:tcPr>
            <w:tcW w:w="3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Lauren StClair</w:t>
            </w:r>
          </w:p>
        </w:tc>
      </w:tr>
      <w:tr>
        <w:trPr>
          <w:trHeight w:val="270"/>
        </w:trPr>
        <w:tc>
          <w:tcPr>
            <w:tcW w:w="3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35"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NERDWALLET, INC.</w:t>
      </w:r>
    </w:p>
    <w:p>
      <w:pPr>
        <w:spacing w:after="0" w:line="230"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NerdWallet,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hereby certifies as follows:</w:t>
      </w:r>
    </w:p>
    <w:p>
      <w:pPr>
        <w:spacing w:after="0" w:line="15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NerdWallet, Inc.</w:t>
      </w:r>
    </w:p>
    <w:p>
      <w:pPr>
        <w:spacing w:after="0" w:line="22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(the “</w:t>
      </w:r>
      <w:r>
        <w:rPr>
          <w:rFonts w:ascii="Times New Roman" w:cs="Times New Roman" w:eastAsia="Times New Roman" w:hAnsi="Times New Roman"/>
          <w:sz w:val="18"/>
          <w:szCs w:val="18"/>
          <w:b w:val="1"/>
          <w:bCs w:val="1"/>
          <w:color w:val="auto"/>
        </w:rPr>
        <w:t>Certificate of Amendment</w:t>
      </w:r>
      <w:r>
        <w:rPr>
          <w:rFonts w:ascii="Times New Roman" w:cs="Times New Roman" w:eastAsia="Times New Roman" w:hAnsi="Times New Roman"/>
          <w:sz w:val="18"/>
          <w:szCs w:val="18"/>
          <w:color w:val="auto"/>
        </w:rPr>
        <w:t>”) amends the provisions of the Corporation's Amended and Restated Certificate of Incorporation of NerdWallet, Inc. filed with the Secretary of State on November 8, 2021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at a meeting duly convened and held, approved, ratified and duly adopted resolutions setting forth the following amendment to the Certificate of Incorporation, declaring such amendment to be advisable.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this Certificate of Amendment was duly adopted by the vote of the stockholders holding the requisite number of shares of outstanding stock of the Corporation entitled to vote thereon in accordance with the provisions of Sections 216 and 242 of the General Corporation Law of the State of Delaware.</w:t>
      </w:r>
    </w:p>
    <w:p>
      <w:pPr>
        <w:spacing w:after="0" w:line="175" w:lineRule="exact"/>
        <w:rPr>
          <w:rFonts w:ascii="Times New Roman" w:cs="Times New Roman" w:eastAsia="Times New Roman" w:hAnsi="Times New Roman"/>
          <w:sz w:val="18"/>
          <w:szCs w:val="18"/>
          <w:color w:val="auto"/>
        </w:rPr>
      </w:pPr>
    </w:p>
    <w:p>
      <w:pPr>
        <w:ind w:left="660" w:right="2300" w:hanging="328"/>
        <w:spacing w:after="0" w:line="50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A of Article VI of the Certificate of Incorporation is hereby amended and restated in its entirety as follows: “VI.</w:t>
      </w:r>
    </w:p>
    <w:p>
      <w:pPr>
        <w:spacing w:after="0" w:line="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directors and officers of the Company for monetary damages for breach of fiduciary duty as a director or officer shall be eliminated to the fullest extent permitted under applicable law.”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shall remain in full force and effect.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effective upon filing with the Secretary of State of the State of Delaware.</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the undersigned, as the Chief Executive Officer of the Corporation, have signed this Amended and Restated Certificate of Incorporation as of the 15th day of May, 2024.</w:t>
      </w:r>
    </w:p>
    <w:p>
      <w:pPr>
        <w:spacing w:after="0" w:line="200" w:lineRule="exact"/>
        <w:rPr>
          <w:sz w:val="20"/>
          <w:szCs w:val="20"/>
          <w:color w:val="auto"/>
        </w:rPr>
      </w:pPr>
    </w:p>
    <w:p>
      <w:pPr>
        <w:spacing w:after="0" w:line="2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16541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Tim Chen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Chen, certify that:</w:t>
      </w:r>
    </w:p>
    <w:p>
      <w:pPr>
        <w:spacing w:after="0" w:line="11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31, 2024</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 StClair, certify that:</w:t>
      </w:r>
    </w:p>
    <w:p>
      <w:pPr>
        <w:spacing w:after="0" w:line="11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31, 2024</w:t>
      </w:r>
      <w:r>
        <w:rPr>
          <w:sz w:val="20"/>
          <w:szCs w:val="20"/>
          <w:color w:val="auto"/>
        </w:rPr>
        <w:tab/>
      </w:r>
      <w:r>
        <w:rPr>
          <w:rFonts w:ascii="Times New Roman" w:cs="Times New Roman" w:eastAsia="Times New Roman" w:hAnsi="Times New Roman"/>
          <w:sz w:val="17"/>
          <w:szCs w:val="17"/>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Lauren StClair</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35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spacing w:after="0" w:line="68"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2024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31, 2024</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Lauren StClair, Chief Financial Officer of NerdWallet,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2024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31, 2024</w:t>
      </w:r>
      <w:r>
        <w:rPr>
          <w:sz w:val="20"/>
          <w:szCs w:val="20"/>
          <w:color w:val="auto"/>
        </w:rPr>
        <w:tab/>
      </w:r>
      <w:r>
        <w:rPr>
          <w:rFonts w:ascii="Times New Roman" w:cs="Times New Roman" w:eastAsia="Times New Roman" w:hAnsi="Times New Roman"/>
          <w:sz w:val="17"/>
          <w:szCs w:val="17"/>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Lauren StClair</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7"/>
    </w:lvl>
  </w:abstractNum>
  <w:abstractNum w:abstractNumId="11">
    <w:nsid w:val="431BD7B7"/>
    <w:multiLevelType w:val="hybridMultilevel"/>
    <w:lvl w:ilvl="0">
      <w:lvlJc w:val="left"/>
      <w:lvlText w:val="%1."/>
      <w:numFmt w:val="decimal"/>
      <w:start w:val="8"/>
    </w:lvl>
  </w:abstractNum>
  <w:abstractNum w:abstractNumId="12">
    <w:nsid w:val="3F2DBA31"/>
    <w:multiLevelType w:val="hybridMultilevel"/>
    <w:lvl w:ilvl="0">
      <w:lvlJc w:val="left"/>
      <w:lvlText w:val="%1."/>
      <w:numFmt w:val="decimal"/>
      <w:start w:val="9"/>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2024-07-31T16:22:47Z</dcterms:created>
  <dcterms:modified xsi:type="dcterms:W3CDTF">2024-07-31T16:22:47Z</dcterms:modified>
</cp:coreProperties>
</file>