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8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March 31, 2024</w:t>
      </w:r>
    </w:p>
    <w:p>
      <w:pPr>
        <w:sectPr>
          <w:pgSz w:w="11900" w:h="16838" w:orient="portrait"/>
          <w:cols w:equalWidth="0" w:num="1">
            <w:col w:w="11240"/>
          </w:cols>
          <w:pgMar w:left="320" w:top="1380"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Hawthorne Street, 10th Floor, San Francisco, California 94105</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9"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9"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2"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46,052,254 shares of Class A common stock and 31,685,652 shares of Class B common stock as of April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80" w:type="dxa"/>
            <w:vAlign w:val="bottom"/>
            <w:tcBorders>
              <w:top w:val="single" w:sz="8" w:color="0000FF"/>
            </w:tcBorders>
          </w:tcPr>
          <w:p>
            <w:pPr>
              <w:spacing w:after="0"/>
              <w:rPr>
                <w:sz w:val="20"/>
                <w:szCs w:val="20"/>
                <w:color w:val="auto"/>
              </w:rPr>
            </w:pPr>
          </w:p>
        </w:tc>
        <w:tc>
          <w:tcPr>
            <w:tcW w:w="390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7"/>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1"/>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3"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developments, including but not limited to, inflation, rising interest rates, tightening credit markets and general macroeconomic uncertainty on our business results of operations, financial condition and stock price;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and operating performance, including total revenue, cost of revenue, non-GAAP operating income (loss), adjusted EBITDA and Monthly Unique Users;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into registered users and improve repeat user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existing financial services partners and to identify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efficient and scalable technical capabilities to deliver personalized guidance and nudge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attract and retain highly skilled, diverse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infrastructure and maintain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any existing and potential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synergies, accretive value and other benefits from completed acquisitions;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plan, including expectations regarding the amount, timing and manner of repurchases made under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elsewhere in this Quarterly Report on Form 10-Q, in Part I, Item 1A. Risk Factors in our Annual Report on Form 10-K for the year ended December 31, 2023,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our business or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speak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Our forward-looking statements do not reflect the potential impact of any future acquisitions, mergers, dispositions, joint ventures or investments.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82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110.9</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93.9</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224.2</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50.6</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111.5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43.5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6.5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446.1</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100.4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75.5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198.4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111.5</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44450</wp:posOffset>
            </wp:positionV>
            <wp:extent cx="840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77,720 and 76,940 shares issued and</w:t>
            </w:r>
          </w:p>
        </w:tc>
        <w:tc>
          <w:tcPr>
            <w:tcW w:w="4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1.7</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35.6</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37.3</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14.4</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483.7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(116.5)</w:t>
      </w:r>
    </w:p>
    <w:p>
      <w:pPr>
        <w:spacing w:after="0" w:line="8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34290</wp:posOffset>
            </wp:positionV>
            <wp:extent cx="8401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36830</wp:posOffset>
            </wp:positionV>
            <wp:extent cx="8401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62865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0020" w:space="680"/>
            <w:col w:w="520"/>
          </w:cols>
          <w:pgMar w:left="320" w:top="121" w:right="35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6"/>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559"/>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ind w:right="166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76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4" w:lineRule="exact"/>
        <w:rPr>
          <w:sz w:val="20"/>
          <w:szCs w:val="20"/>
          <w:color w:val="auto"/>
        </w:rPr>
      </w:pPr>
    </w:p>
    <w:p>
      <w:pPr>
        <w:spacing w:after="0"/>
        <w:tabs>
          <w:tab w:leader="none" w:pos="1060" w:val="left"/>
          <w:tab w:leader="none" w:pos="2020" w:val="left"/>
        </w:tabs>
        <w:rPr>
          <w:sz w:val="20"/>
          <w:szCs w:val="20"/>
          <w:color w:val="auto"/>
        </w:rPr>
      </w:pPr>
      <w:r>
        <w:rPr>
          <w:rFonts w:ascii="Times New Roman" w:cs="Times New Roman" w:eastAsia="Times New Roman" w:hAnsi="Times New Roman"/>
          <w:sz w:val="14"/>
          <w:szCs w:val="14"/>
          <w:b w:val="1"/>
          <w:bCs w:val="1"/>
          <w:color w:val="auto"/>
        </w:rPr>
        <w:t>Comprehensive</w:t>
        <w:tab/>
        <w:t>Accumulated</w:t>
        <w:tab/>
        <w:t>Stockholders’</w:t>
      </w:r>
    </w:p>
    <w:p>
      <w:pPr>
        <w:spacing w:after="0" w:line="15" w:lineRule="exact"/>
        <w:rPr>
          <w:sz w:val="20"/>
          <w:szCs w:val="20"/>
          <w:color w:val="auto"/>
        </w:rPr>
      </w:pPr>
    </w:p>
    <w:p>
      <w:pPr>
        <w:ind w:left="340"/>
        <w:spacing w:after="0"/>
        <w:tabs>
          <w:tab w:leader="none" w:pos="1280" w:val="left"/>
          <w:tab w:leader="none" w:pos="2220" w:val="left"/>
        </w:tabs>
        <w:rPr>
          <w:sz w:val="20"/>
          <w:szCs w:val="20"/>
          <w:color w:val="auto"/>
        </w:rPr>
      </w:pPr>
      <w:r>
        <w:rPr>
          <w:rFonts w:ascii="Times New Roman" w:cs="Times New Roman" w:eastAsia="Times New Roman" w:hAnsi="Times New Roman"/>
          <w:sz w:val="14"/>
          <w:szCs w:val="14"/>
          <w:b w:val="1"/>
          <w:bCs w:val="1"/>
          <w:color w:val="auto"/>
        </w:rPr>
        <w:t>Loss</w:t>
      </w:r>
      <w:r>
        <w:rPr>
          <w:sz w:val="20"/>
          <w:szCs w:val="20"/>
          <w:color w:val="auto"/>
        </w:rPr>
        <w:tab/>
      </w:r>
      <w:r>
        <w:rPr>
          <w:rFonts w:ascii="Times New Roman" w:cs="Times New Roman" w:eastAsia="Times New Roman" w:hAnsi="Times New Roman"/>
          <w:sz w:val="14"/>
          <w:szCs w:val="14"/>
          <w:b w:val="1"/>
          <w:bCs w:val="1"/>
          <w:color w:val="auto"/>
        </w:rPr>
        <w:t>Deficit</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66" w:lineRule="exact"/>
        <w:rPr>
          <w:sz w:val="20"/>
          <w:szCs w:val="20"/>
          <w:color w:val="auto"/>
        </w:rPr>
      </w:pPr>
    </w:p>
    <w:p>
      <w:pPr>
        <w:sectPr>
          <w:pgSz w:w="11900" w:h="16838" w:orient="portrait"/>
          <w:cols w:equalWidth="0" w:num="2">
            <w:col w:w="8200" w:space="140"/>
            <w:col w:w="2900"/>
          </w:cols>
          <w:pgMar w:left="320" w:top="333"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76,940</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77,720</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620" w:type="dxa"/>
            <w:vAlign w:val="bottom"/>
            <w:gridSpan w:val="2"/>
            <w:vMerge w:val="continue"/>
          </w:tcPr>
          <w:p>
            <w:pPr>
              <w:spacing w:after="0"/>
              <w:rPr>
                <w:sz w:val="9"/>
                <w:szCs w:val="9"/>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75,120</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76,711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investment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recorded in accounts payable and accrued expenses and other current liabilities</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310"/>
        </w:trPr>
        <w:tc>
          <w:tcPr>
            <w:tcW w:w="850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unaudited interim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2023.</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months ended March 31, 2023 have been reclassified to conform to the financial statement presentation as of and for the three months ended March 31, 2024. The results of operations for the three months ended March 31, 2024 are not necessarily indicative of the results to be expected for the full year or any other future period.</w:t>
      </w:r>
    </w:p>
    <w:p>
      <w:pPr>
        <w:spacing w:after="0" w:line="13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—During the three months ended March 31, 2024, the Company made a strategic investment of $8.1 million in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a privately-held company over which the Company does not exercise significant influence. See Note 4–Significant Condensed Consolidated Balance Sheet Components for further discussion. During the three months ended March 31, 2024, there have been no other material changes to the Company’s significant accounting policies as disclosed in Note 1–The Company and its Significant Accounting Policies in the notes to the consolidated financial statements in the Company’s Annual Report on Form 10-K for the year ended December 31, 2023.</w:t>
      </w:r>
    </w:p>
    <w:p>
      <w:pPr>
        <w:spacing w:after="0" w:line="1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$4.1 million of revenue that was deferred as of December 31, 2023. Revenue recognized during the three months ended March 31, 2023 which was deferred as of December 31, 2022 was immaterial.</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$6.5 million and $5.5 million as of March 31, 2024 and December 31,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$47.4 million and $49.0 million as of March 31, 2024 and December 31, 2023, respectively. The Company capitalized $6.4 million and $8.6 million of software development costs during the three months ended March 31, 2024 and 2023, respectively. The Company recorded amortization expense related to capitalized software development costs of $8.0 million and $6.6 million during the three months ended March 31, 2024 and 2023, respectively.</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a strategic investment of $8.1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and adjusted for changes resulting from observable price changes in orderly transactions for identical or similar securities of the same issuer. An equity security without a readily determinable fair value is considered impaired when the fair value of the Company’s interest is less than the carrying value. Equity investments without readily determinable fair values are included in other assets on the Company’s condensed consolidated balance sheet, and any related gains or losses would be included in other gains (losses), net on the Company’s condensed consolidated statements of operations. Equity investments without readily determinable fair values were $8.1 million as of March 31, 2024, and there were no related changes in carrying amount or impairment during the three months ended March 31, 2024.</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operating lease liabilities of $3.4 million as of both March 31, 2024 and December 31, 2023.</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liabilities—noncurrent includes operating lease liabilities of $5.2 million and $6.2 million as of March 31, 2024 and December 31,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and commitments under leases. As of March 31, 2024, there were no material changes to the Company’s commitments and other financial arrangements as disclosed in Note 8–Commitments and Contingencies in the notes to the consolidated financial statements in the Company’s Annual Report on Form 10-K for the year ended December 31, 2023.</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March 31, 2024 or December 31, 2023.</w:t>
      </w:r>
    </w:p>
    <w:p>
      <w:pPr>
        <w:spacing w:after="0" w:line="13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Share Repurchase Plans</w:t>
      </w:r>
      <w:r>
        <w:rPr>
          <w:rFonts w:ascii="Times New Roman" w:cs="Times New Roman" w:eastAsia="Times New Roman" w:hAnsi="Times New Roman"/>
          <w:sz w:val="18"/>
          <w:szCs w:val="18"/>
          <w:color w:val="auto"/>
        </w:rPr>
        <w:t>—On May 2, 2023, the Company announced that its Board of Directors authorized a plan under which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$20 million of the Company’s Class A common stock and, following the Company’s utilization of that share repurchase authorization, the Company announced on October 26, 2023 that its Board of Directors approved a share repurchase authorization under which the Company may repurchase up to an additional $30 million of the Company’s Class A common stock (collectively, the Repurchase Plans). There were no repurchases of shares of Class A common stock during the three months ended March 31, 2024. The remaining share repurchase authorization under the Repurchase Plans is $30 million as of March 31, 2024.</w:t>
      </w:r>
    </w:p>
    <w:p>
      <w:pPr>
        <w:spacing w:after="0" w:line="12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—The 2021 Equity Incentive Plan and the predecessor 2012 Equity Incentive Plan, both as amended, along with the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Equity Incentive Plan (collectively, the Plans) comprise the equity incentive plans of the Company.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3.8 million shares effective January 1, 2024.</w:t>
      </w:r>
    </w:p>
    <w:p>
      <w:pPr>
        <w:sectPr>
          <w:pgSz w:w="11900" w:h="16838" w:orient="portrait"/>
          <w:cols w:equalWidth="0" w:num="1">
            <w:col w:w="11240"/>
          </w:cols>
          <w:pgMar w:left="320" w:top="333"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30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6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6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March 31,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0.2 million of target award stock options with both service-based and performance-based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8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61"/>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6.4</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9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610" w:lineRule="exact"/>
        <w:rPr>
          <w:sz w:val="20"/>
          <w:szCs w:val="20"/>
          <w:color w:val="auto"/>
        </w:rPr>
      </w:pPr>
    </w:p>
    <w:p>
      <w:pPr>
        <w:sectPr>
          <w:pgSz w:w="11900" w:h="16838" w:orient="portrait"/>
          <w:cols w:equalWidth="0" w:num="2">
            <w:col w:w="8200" w:space="100"/>
            <w:col w:w="2940"/>
          </w:cols>
          <w:pgMar w:left="320" w:top="333"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2024 was $9.08 per share. The aggregate intrinsic value of options exercised was $2.8 million for the three months ended March 31, 2024.</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0.2 million of target award stock options with both service-based and performance-based conditions to certain employees of the Company. Recipients of these performance-based stock options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stock options are also subject to service-based vesting over a period of three years.</w:t>
      </w:r>
    </w:p>
    <w:p>
      <w:pPr>
        <w:spacing w:after="0" w:line="75"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For the three months ended March 31, 2024, the per-share fair value of each stock option granted was determined on the date of grant using the following weighted-average assumptions:</w:t>
      </w:r>
    </w:p>
    <w:tbl>
      <w:tblPr>
        <w:tblLayout w:type="fixed"/>
        <w:tblInd w:w="0" w:type="dxa"/>
        <w:tblCellMar>
          <w:top w:w="0" w:type="dxa"/>
          <w:left w:w="0" w:type="dxa"/>
          <w:bottom w:w="0" w:type="dxa"/>
          <w:right w:w="0" w:type="dxa"/>
        </w:tblCellMar>
      </w:tblPr>
      <w:tr>
        <w:trPr>
          <w:trHeight w:val="176"/>
        </w:trPr>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7"/>
        </w:trPr>
        <w:tc>
          <w:tcPr>
            <w:tcW w:w="9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43"/>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7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stock options granted for the three months ended March 31,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restricted stock units (RSUs) for its Plans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204"/>
        </w:trPr>
        <w:tc>
          <w:tcPr>
            <w:tcW w:w="8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2024</w:t>
            </w:r>
            <w:r>
              <w:rPr>
                <w:rFonts w:ascii="Times New Roman" w:cs="Times New Roman" w:eastAsia="Times New Roman" w:hAnsi="Times New Roman"/>
                <w:sz w:val="23"/>
                <w:szCs w:val="23"/>
                <w:color w:val="auto"/>
                <w:vertAlign w:val="superscript"/>
              </w:rPr>
              <w:t>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target award RSUs with both service-based and performance-based conditions.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0.1 million of target award RSUs with both service-based and performance-based conditions.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$8.9 million during the three months ended March 31, 2024.</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0.1 million of target award RSUs with both service-based and performance-based conditions to certain employees of the Company. Recipients of these performance-based RSUs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RSUs are also subject to service-based vesting over a period of three years.</w:t>
      </w:r>
    </w:p>
    <w:p>
      <w:pPr>
        <w:spacing w:after="0" w:line="1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terms of the Employee Stock Purchase Plan (ESPP) provide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0.8 million effective January 1, 2024. The Company did not recognize any stock-based compensation related to the ESPP for the three months ended March 31, 2024, as the previous ESPP purchase period ended on December 31, 2023 and the next ESPP purchase period will begin on May 1, 2024. Prior to capitalizing amounts related to software development costs, the Company recognized stock-based compensation related to the ESPP of $1.0 million during the three months ended March 31,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$0.9 million and $1.5 million during the three months ended March 31, 2024 and 2023, respectively.</w:t>
      </w:r>
    </w:p>
    <w:p>
      <w:pPr>
        <w:spacing w:after="0" w:line="10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three months ended June 30, 2023, the Company’s tax provision for interim periods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The Company’s tax provision for interim periods was previously determined using an estimated annual effective tax rate which was adjusted for discrete items occurring during the periods presented. The Company determined that since small changes in estimated “ordinary” income would result in significant changes in the estimated annual effective tax rate, the historical method would not provide a reliable estimate for the three months ended March 31, 2024.</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primary difference between the Company’s effective tax rate and the statutory federal income tax rate is the full valuation allowance established on the Company’s federal, state and foreign deferred tax attributes. As of March 31, 2024 and December 31, 2023, the Company recorded a full valuation allowance against these net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1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Basic and Diluted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basic and diluted per share computations for net income attributable to common stockholders: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8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per share because including them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restricted stock units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and app, NerdWallet provides consumers—both individuals and SMBs—with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 and 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key operating metric and non-GAAP financial measures we use to evaluate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29 million average MUUs for the three months ended March 31, 2024, which was up 25% compared to the three months ended March 31, 2023. We saw strong engagement in areas such as investing, travel products, taxes and insurance. While we expect MUUs to grow over time, the metric may fluctuate from period to period based on economic conditions, trends in consumer behavior and our strategic marketing decisions.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change in fair value of contingent consideration related to earnouts, (4) deferred compensation related to earnouts, and (5) acquisition-related costs. We also reduce income from operations, or increase loss from operations, for capitalized internally developed software costs.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and provision (benefit) for income taxes, and further exclude (1) impairment of right-of-use asset, (2) losses (gains) on disposals of assets, (3) change in fair value of contingent consideration related to earnouts, (4) deferred compensation related to earnouts, (5) stock-based compensation, and (6) acquisition-related costs.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respective GAAP financial measures.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80" w:type="dxa"/>
            <w:vAlign w:val="bottom"/>
            <w:gridSpan w:val="2"/>
            <w:vMerge w:val="continue"/>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5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169.6</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4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4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4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60" w:type="dxa"/>
            <w:vAlign w:val="bottom"/>
            <w:gridSpan w:val="4"/>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280" w:type="dxa"/>
            <w:vAlign w:val="bottom"/>
            <w:gridSpan w:val="2"/>
            <w:vMerge w:val="continue"/>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stock-based compensation as follows:</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3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1"/>
              </w:rPr>
              <w:t>2.6</w:t>
            </w: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1"/>
              </w:rPr>
              <w:t>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1"/>
              </w:rPr>
              <w:t>3.6</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416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w w:val="91"/>
              </w:rPr>
              <w:t>8.7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vMerge w:val="restart"/>
          </w:tcPr>
          <w:p>
            <w:pPr>
              <w:jc w:val="right"/>
              <w:ind w:right="253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11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3"/>
          </w:tcPr>
          <w:p>
            <w:pPr>
              <w:ind w:left="90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income from operations of $3.7 million for the three months ended March 31, 2024, as compared to a loss from operations of $0.8 million for the three months ended March 31, 2023, as a $7.7 million decrease in revenue was more than offset by a $12.2 million decrease in operating expenses, primarily attributable to a $13.8 million decrease in sales and marketing expenses.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income decreased $0.6 million, or 34%. for the three months ended March 31, 2024 compared to the three months ended March 31, 2023, as the impact of income from operations of $3.7 million for the three months ended March 31, 2024, as compared to a loss from operations of $0.8 million for the three months ended March 31, 2023, was more than offset by the impact of an income tax provision of $3.7 million for the three months ended March 31, 2024, as compared to an income tax benefit of $1.8 million for the three months ended March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decreased $7.7 million, or 5% for the three months ended March 31, 2024 compared to the three months ended March 31, 2023, primarily due to lower credit cards revenue, partially offset by growth in SMB products revenue.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cards revenue decreased $11.3 million, or 19%, for the three months ended March 31, 2024, primarily due to reduced marketing spending by our financial services partners amidst a combination of continued cautious underwriting and heightened balance sheet conservatism following the 2023 regional banking crisis.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Loans revenue decreased $0.6 million, or 3%, for the three months ended March 31, 2024, primarily due to decreases of 13% in mortgages revenue, as a result of higher interest rates, and 19% in student loans revenue, partially offset by a 12% increase in personal loans revenue.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SMB products revenue increased $5.2 million, or 21%, for the three months ended March 31, 2024, primarily driven by revenue growth in products such as business credit cards and banking as we continue to scale our product offerings.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Emerging verticals revenue decreased $1.0 million, or 2%, for the three months ended March 31, 2024, primarily due to a 9% decrease in banking revenue as consumer demand for banking products begins to moderate, partially offset by increases of 30% in investing revenue and 5% in insurance products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$0.4 million, or 3%, for the three months ended March 31, 2024 compared to the three months ended March 31, 2023, primarily due to a $1.3 million increase in amortization expense related to capitalized software development costs, partially offset by decreases of $0.5 million in amortization expense related to intangible assets and $0.5 million primarily related to third-party service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$1.2 million, or 6%, for the three months ended March 31, 2024 compared to the three months ended March 31, 2023, primarily attributable to a $1.4 million increase in personnel-related costs for our engineering, data, and product management personnel and contractors to support our continued growth and key platform capabilities.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our total sales and marketing expense was comprised of approximately 25% for brand marketing, and 51% for performance marketing, with the remainder for organic and other marketing expenses. For the three months ended March 31, 2023, our total sales and marketing expense was comprised of approximately 32% for brand marketing, and 46% for performance marketing, with the remainder for organic and other marketing expenses. We are able to adjust our marketing spend to reflect changes in external factors and consumer behavior.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$13.8 million, or 11%, for the three months ended March 31, 2024 compared to the three months ended March 31, 2023, attributable to decreases of $11.6 million in brand marketing expenses, $1.2 million in performance marketing expenses and $1.0 million in organic and other marketing expenses primarily due to lower personnel-related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center"/>
              <w:ind w:left="298"/>
              <w:spacing w:after="0"/>
              <w:rPr>
                <w:sz w:val="20"/>
                <w:szCs w:val="20"/>
                <w:color w:val="auto"/>
              </w:rPr>
            </w:pPr>
            <w:r>
              <w:rPr>
                <w:rFonts w:ascii="Times New Roman" w:cs="Times New Roman" w:eastAsia="Times New Roman" w:hAnsi="Times New Roman"/>
                <w:sz w:val="18"/>
                <w:szCs w:val="18"/>
                <w:color w:val="auto"/>
                <w:w w:val="97"/>
              </w:rPr>
              <w:t>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760" w:type="dxa"/>
            <w:vAlign w:val="bottom"/>
          </w:tcPr>
          <w:p>
            <w:pPr>
              <w:jc w:val="center"/>
              <w:ind w:left="258"/>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6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center"/>
              <w:ind w:left="298"/>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increased $0.4 million or 56% for the three months ended March 31, 2024 compared to the three months ended March 31, 2023, primarily attributable to higher interest income reflecting higher interest rates and average cash balances.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three months ended June 30, 2023, our tax provision for interim periods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Our tax provision for interim periods was previously determined using an estimated annual effective tax rate which was adjusted for discrete items occurring during the periods presented. We determined that since small changes in estimated “ordinary” income would result in significant changes in the estimated annual effective tax rate, the historical method would not provide a reliable estimate for the three months ended March 31, 2024.</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an income tax provision of $3.7 million for the three months ended March 31, 2024, as compared to an income tax benefit of $1.8 million for the three months ended March 31, 2023. Our effective tax rate was 76.2% for the three months ended March 31, 2024, and 1,600.2% for the three months ended March 31, 2023. Our effective tax rate for the three months ended March 31, 2024 differs from the U.S. federal statutory income tax rate of 21% primarily due to the valuation allowance maintained against our net U.S. deferred tax assets and state taxes, partially offset by research and development credits. Our effective tax rate for the three months ended March 31, 2023 differs from the U.S. federal statutory income tax rate of 21% primarily due to excess tax benefits related to stock based compensation, partially offset by higher capitalization of research and development expenses under tax regulations effective in 2022 and a full valuation allowance recorded against our net U.S. deferred tax assets.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recorded a valuation allowance against these net U.S. deferred tax assets as of March 31, 2024. Our judgment regarding the likelihood of realization of these deferred tax assets could change in future periods, which could result in a material impact to our income tax provision in the period of change. Given our current earnings projections, sufficient positive evidence may become available for us to release all, or a portion, of the valuation allowance within the next nine months. However, the timing and amounts of such valuation allowance releases are subject to change based on the level of profitability achieved in future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income (loss) from operations, and adjusted EBITDA to net income (loss),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6"/>
        </w:trPr>
        <w:tc>
          <w:tcPr>
            <w:tcW w:w="8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2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 for a discussion of the changes in income (loss) from operations and net income for the three months ended March 31, 2024 compared to the three months ended March 31, 2023.</w:t>
      </w:r>
    </w:p>
    <w:p>
      <w:pPr>
        <w:spacing w:after="0" w:line="10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Non-GAAP operating income increased $6.8 million, or 176%, for the three months ended March 31, 2024 compared to the three months ended March 31, 2023. The increase was primarily driven by $3.7 million of income from operations for the three months ended March 31, 2024, as compared to a loss from operations of $0.8 million for the three months ended March 31, 2023, and a $2.3 million decrease in capitalized internally developed software costs.</w:t>
      </w:r>
    </w:p>
    <w:p>
      <w:pPr>
        <w:spacing w:after="0" w:line="34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increased $4.6 million, or 22%, for the three months ended March 31, 2024 compared to the three months ended March 31, 2023. The increase was primarily attributable to an income tax provision of $3.7 million for the three months ended March 31, 2024, as compared to an income tax benefit of $1.8 million for the three months ended March 31, 2023, partially offset by a $0.6 million decrease in net income.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March 31, 2024)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9" w:lineRule="exact"/>
        <w:rPr>
          <w:sz w:val="20"/>
          <w:szCs w:val="20"/>
          <w:color w:val="auto"/>
        </w:rPr>
      </w:pPr>
    </w:p>
    <w:p>
      <w:pPr>
        <w:ind w:right="136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March 31, 2024 and December 31, 2023, we had cash and cash equivalents of $110.9 million and $100.4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March 31, 2024 is included in Note 5–Commitments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three months ended March 31, 2024, there have been no material changes in our purchase obligations as disclosed in “Management’s Discussion and Analysis of Financial Condition and Results of Operations–Liquidity and Capital Resources” in our Annual Report on Form 10-K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announced on May 2, 2023 that our Board of Directors authorized a plan under which we may repurchase up to $20 million of our Class A common stock and, following our utilization of that share repurchase authorization, we announced on October 26, 2023 that our Board of Directors approved a share repurchase authorization under which we may repurchase up to an additional $30 million of our Class A common stock (collectively, the Repurchase Plans). Subject to market conditions and other factors, the Repurchase Plans are intended to make opportunistic repurchases of our Class A common stock to reduce our outstanding share count. Under the Repurchase Plans, shares of Class A common stock may be repurchased in the open market through privately negotiated transactions or otherwise, in accordance with applicable securities laws and other restrictions. The Repurchase Plans do not have fixed expiration dates and do not obligate us to acquire any specific number of shares. The timing and terms of any repurchases under the Repurchase Plans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Plans are retired. We expect to fund repurchases with existing cash and cash equivalents. We did not repurchase any shares of Class A common stock during the three months ended March 31, 2024.</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including three of our wholly-owned subsidiaries, maintain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March 31, 2024 or December 31, 2023. The available amount to borrow under our Credit Agreement was $123.7 million at both March 31, 2024 and December 31, 2023, which was equal to the available amount under the credit agreement of $125.0 million, net of letters of credit of $1.3 million. Our Credit Agreement contains certain customary financial and non-financial covenants. We were in compliance with all covenants as of March 31, 2024 and December 31,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35"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1586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$6.3 million in the three months ended March 31, 2024 compared to the three months ended March 31, 2023, as an $8.0 million decrease in net cash outflow from changes in operating assets and liabilities was partially offset by decreases of $1.1 million in non-cash charges and $0.6 million in net income. The decrease in net cash outflow from changes in operating assets and liabilities was primarily due to decreases of $5.6 million in prepaid expenses and other assets, $4.8 million in accounts payable, and $3.8 million in accrued expenses and other current liabilities, partially offset by an increase of $6.7 million in accounts receivable. The decrease in non-cash charges was primarily due to a $1.2 million decrease in other, net.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$5.9 million in the three months ended March 31, 2024 compared to the three months ended March 31, 2023, primarily due to an $8.1 million purchase of an investment in the three months ended March 31, 2024, partially offset by a $1.9 million decrease in capitalized software development costs.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$6.8 million in the three months ended March 31, 2024 compared to the three months ended March 31, 2023, primarily due to a $6.7 million decrease from exercises of stock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there have been no material changes in our critical accounting policies as disclosed in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Estimates” in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from the market risk disclosures in our Annual Report on Form 10-K for the year ended December 31, 2023.</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March 31, 2024. Based on that evaluation, the Chief Executive Officer and the Chief Financial Officer concluded that these disclosure controls and procedures were effective as of March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5–Commitments and Contingencies in the notes to condensed consolidated financial statements in Item 1 of Part I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2023 and in our subsequent periodic filings with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 of the Exchange Act) adopted, modified or terminated a Rule 10b5-1 trading arrangement or a non-Rule 10b5-1 trading arrangement (as such terms are defined under Item 408 of Regulation S-K), except as noted below.</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20, 2024, Samuel Yount, General Manager, Consumer Credit, adopted a trading plan that is intended to satisfy the affirmative defense conditions of Rule 10b5-1 of the Exchange Act as currently in effect (the Yount Trading Plan). The Yount Trading Plan has a duration of July 2, 2024 to June 20, 2025, and provides for the sale of up to 948,597 shares of the Company’s Class A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0" w:type="dxa"/>
            <w:vAlign w:val="bottom"/>
            <w:gridSpan w:val="9"/>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Form of Performance Stock Option Agreement</w:t>
            </w: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2"/>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4"/>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7"/>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2"/>
                <w:szCs w:val="22"/>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9"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55" w:lineRule="exact"/>
        <w:rPr>
          <w:sz w:val="20"/>
          <w:szCs w:val="20"/>
          <w:color w:val="auto"/>
        </w:rPr>
      </w:pPr>
    </w:p>
    <w:p>
      <w:pPr>
        <w:ind w:left="340" w:hanging="332"/>
        <w:spacing w:after="0" w:line="281"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5" w:lineRule="exact"/>
        <w:rPr>
          <w:sz w:val="20"/>
          <w:szCs w:val="20"/>
          <w:color w:val="auto"/>
        </w:rPr>
      </w:pPr>
    </w:p>
    <w:p>
      <w:pPr>
        <w:jc w:val="both"/>
        <w:ind w:left="340" w:hanging="332"/>
        <w:spacing w:after="0" w:line="271" w:lineRule="auto"/>
        <w:tabs>
          <w:tab w:leader="none" w:pos="35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60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NERDWALLET, INC.</w:t>
            </w:r>
          </w:p>
        </w:tc>
      </w:tr>
      <w:tr>
        <w:trPr>
          <w:trHeight w:val="52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60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/s/ Lauren StClair</w:t>
            </w:r>
          </w:p>
        </w:tc>
      </w:tr>
      <w:tr>
        <w:trPr>
          <w:trHeight w:val="27"/>
        </w:trPr>
        <w:tc>
          <w:tcPr>
            <w:tcW w:w="3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StClair</w:t>
            </w:r>
          </w:p>
        </w:tc>
      </w:tr>
      <w:tr>
        <w:trPr>
          <w:trHeight w:val="270"/>
        </w:trPr>
        <w:tc>
          <w:tcPr>
            <w:tcW w:w="3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5"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ERD</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6"/>
          <w:szCs w:val="16"/>
          <w:b w:val="1"/>
          <w:bCs w:val="1"/>
          <w:color w:val="auto"/>
        </w:rPr>
        <w:t>ALLET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ERFORMANCE-</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ASED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RANT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OTICE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NerdWallet,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2021 Equity Incentive Plan, as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you (“</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a performance-based stock option to purchase the target number of shares of the Common Stock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specified, and on the terms set forth below, which award constitutes a “Performance Award” under the Plan. Your Option is subject to all of the terms and conditions as set forth in this Performance-Based Stock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in the Plan, the Performance-Based Stock Option Agreement and the Notice of Exercise, all of which are attached hereto and incorporated herein in their entirety. Capitalized terms not explicitly defined herein but defined in the Plan or the Performance-Based Stock Option Agreement shall have the meanings set forth in the Plan or the Performance-Based Stock Option Agreement, as applicable.</w:t>
      </w: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Optionholder:</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Target 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Maximum 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21590</wp:posOffset>
            </wp:positionV>
            <wp:extent cx="27171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-140335</wp:posOffset>
            </wp:positionV>
            <wp:extent cx="27171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79"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2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Type of Grant:</w:t>
            </w:r>
          </w:p>
        </w:tc>
        <w:tc>
          <w:tcPr>
            <w:tcW w:w="80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Nonstatutory Stock Option</w:t>
            </w:r>
          </w:p>
        </w:tc>
      </w:tr>
      <w:tr>
        <w:trPr>
          <w:trHeight w:val="241"/>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Exercise and Vesting Schedule:</w:t>
            </w: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Subject to the conditions in Exhibit A to the Award Agreement, between [__]% and [__]%</w:t>
            </w:r>
          </w:p>
        </w:tc>
      </w:tr>
      <w:tr>
        <w:trPr>
          <w:trHeight w:val="243"/>
        </w:trPr>
        <w:tc>
          <w:tcPr>
            <w:tcW w:w="2980" w:type="dxa"/>
            <w:vAlign w:val="bottom"/>
          </w:tcPr>
          <w:p>
            <w:pPr>
              <w:spacing w:after="0"/>
              <w:rPr>
                <w:sz w:val="21"/>
                <w:szCs w:val="21"/>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number of shares of Common Stock subject to the Option will be eligible to vest and become</w:t>
            </w:r>
          </w:p>
        </w:tc>
      </w:tr>
      <w:tr>
        <w:trPr>
          <w:trHeight w:val="229"/>
        </w:trPr>
        <w:tc>
          <w:tcPr>
            <w:tcW w:w="298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exercisable contingent upon: (i) the Committee’s certification of the actual level of attainment</w:t>
            </w:r>
          </w:p>
        </w:tc>
      </w:tr>
      <w:tr>
        <w:trPr>
          <w:trHeight w:val="243"/>
        </w:trPr>
        <w:tc>
          <w:tcPr>
            <w:tcW w:w="2980" w:type="dxa"/>
            <w:vAlign w:val="bottom"/>
          </w:tcPr>
          <w:p>
            <w:pPr>
              <w:spacing w:after="0"/>
              <w:rPr>
                <w:sz w:val="21"/>
                <w:szCs w:val="21"/>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of the Performance Goals for each of the Performance Criteria during the Performance Period</w:t>
            </w:r>
          </w:p>
        </w:tc>
      </w:tr>
      <w:tr>
        <w:trPr>
          <w:trHeight w:val="243"/>
        </w:trPr>
        <w:tc>
          <w:tcPr>
            <w:tcW w:w="2980" w:type="dxa"/>
            <w:vAlign w:val="bottom"/>
          </w:tcPr>
          <w:p>
            <w:pPr>
              <w:spacing w:after="0"/>
              <w:rPr>
                <w:sz w:val="21"/>
                <w:szCs w:val="21"/>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and (ii) your Continuous Service from the Date of Grant through each applicable vesting date</w:t>
            </w:r>
          </w:p>
        </w:tc>
      </w:tr>
      <w:tr>
        <w:trPr>
          <w:trHeight w:val="212"/>
        </w:trPr>
        <w:tc>
          <w:tcPr>
            <w:tcW w:w="2980" w:type="dxa"/>
            <w:vAlign w:val="bottom"/>
          </w:tcPr>
          <w:p>
            <w:pPr>
              <w:spacing w:after="0"/>
              <w:rPr>
                <w:sz w:val="18"/>
                <w:szCs w:val="18"/>
                <w:color w:val="auto"/>
              </w:rPr>
            </w:pPr>
          </w:p>
        </w:tc>
        <w:tc>
          <w:tcPr>
            <w:tcW w:w="8000" w:type="dxa"/>
            <w:vAlign w:val="bottom"/>
            <w:gridSpan w:val="3"/>
          </w:tcPr>
          <w:p>
            <w:pPr>
              <w:ind w:left="360"/>
              <w:spacing w:after="0" w:line="212" w:lineRule="exact"/>
              <w:rPr>
                <w:sz w:val="20"/>
                <w:szCs w:val="20"/>
                <w:color w:val="auto"/>
              </w:rPr>
            </w:pPr>
            <w:r>
              <w:rPr>
                <w:rFonts w:ascii="Times New Roman" w:cs="Times New Roman" w:eastAsia="Times New Roman" w:hAnsi="Times New Roman"/>
                <w:sz w:val="20"/>
                <w:szCs w:val="20"/>
                <w:color w:val="auto"/>
              </w:rPr>
              <w:t>(as set forth in Exhibit A to the Award Agreement). Upon the termination of your Continuous</w:t>
            </w:r>
          </w:p>
        </w:tc>
      </w:tr>
      <w:tr>
        <w:trPr>
          <w:trHeight w:val="20"/>
        </w:trPr>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41"/>
        </w:trPr>
        <w:tc>
          <w:tcPr>
            <w:tcW w:w="2980" w:type="dxa"/>
            <w:vAlign w:val="bottom"/>
          </w:tcPr>
          <w:p>
            <w:pPr>
              <w:spacing w:after="0"/>
              <w:rPr>
                <w:sz w:val="20"/>
                <w:szCs w:val="20"/>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w w:val="99"/>
              </w:rPr>
              <w:t>Service for any reason, all shares of Common Stock subject to the Option that have not become</w:t>
            </w:r>
          </w:p>
        </w:tc>
      </w:tr>
      <w:tr>
        <w:trPr>
          <w:trHeight w:val="229"/>
        </w:trPr>
        <w:tc>
          <w:tcPr>
            <w:tcW w:w="298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vested in accordance with Exhibit A to the Award Agreement at the time of such termination</w:t>
            </w:r>
          </w:p>
        </w:tc>
      </w:tr>
      <w:tr>
        <w:trPr>
          <w:trHeight w:val="243"/>
        </w:trPr>
        <w:tc>
          <w:tcPr>
            <w:tcW w:w="2980" w:type="dxa"/>
            <w:vAlign w:val="bottom"/>
          </w:tcPr>
          <w:p>
            <w:pPr>
              <w:spacing w:after="0"/>
              <w:rPr>
                <w:sz w:val="21"/>
                <w:szCs w:val="21"/>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will be immediately and automatically forfeited (except as otherwise provided in the Award</w:t>
            </w:r>
          </w:p>
        </w:tc>
      </w:tr>
      <w:tr>
        <w:trPr>
          <w:trHeight w:val="258"/>
        </w:trPr>
        <w:tc>
          <w:tcPr>
            <w:tcW w:w="2980" w:type="dxa"/>
            <w:vAlign w:val="bottom"/>
          </w:tcPr>
          <w:p>
            <w:pPr>
              <w:spacing w:after="0"/>
              <w:rPr>
                <w:sz w:val="22"/>
                <w:szCs w:val="22"/>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Agreement or Exhibit A thereto).</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Optionholder Acknowledgements: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pacing w:after="0" w:line="200" w:lineRule="exact"/>
        <w:rPr>
          <w:sz w:val="20"/>
          <w:szCs w:val="20"/>
          <w:color w:val="auto"/>
        </w:rPr>
      </w:pPr>
    </w:p>
    <w:p>
      <w:pPr>
        <w:jc w:val="both"/>
        <w:ind w:left="1300" w:hanging="320"/>
        <w:spacing w:after="0" w:line="263" w:lineRule="auto"/>
        <w:tabs>
          <w:tab w:leader="none" w:pos="1246" w:val="left"/>
        </w:tabs>
        <w:numPr>
          <w:ilvl w:val="0"/>
          <w:numId w:val="18"/>
        </w:numPr>
        <w:rPr>
          <w:rFonts w:ascii="Arial" w:cs="Arial" w:eastAsia="Arial" w:hAnsi="Arial"/>
          <w:sz w:val="14"/>
          <w:szCs w:val="14"/>
          <w:color w:val="auto"/>
        </w:rPr>
      </w:pPr>
      <w:r>
        <w:rPr>
          <w:rFonts w:ascii="Times New Roman" w:cs="Times New Roman" w:eastAsia="Times New Roman" w:hAnsi="Times New Roman"/>
          <w:sz w:val="20"/>
          <w:szCs w:val="20"/>
          <w:color w:val="auto"/>
        </w:rPr>
        <w:t>The Option is governed by the Grant Notice, and the provisions of the Plan, the Performance-Based Stock Option Agreement and the Notice of Exercise, all of which are made a part of this document. Unless otherwise provided in the Plan, this Grant Notice and the Performance-Based Stock Option Agreement (together, the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4" w:right="339" w:bottom="1440" w:gutter="0" w:footer="0" w:header="0"/>
          <w:type w:val="continuous"/>
        </w:sectPr>
      </w:pPr>
    </w:p>
    <w:bookmarkStart w:id="28" w:name="page29"/>
    <w:bookmarkEnd w:id="28"/>
    <w:p>
      <w:pPr>
        <w:jc w:val="both"/>
        <w:ind w:left="1300" w:hanging="320"/>
        <w:spacing w:after="0" w:line="268" w:lineRule="auto"/>
        <w:tabs>
          <w:tab w:leader="none" w:pos="134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20"/>
          <w:szCs w:val="20"/>
          <w:color w:val="auto"/>
        </w:rPr>
        <w:t>You consent to receive this Grant Notice, the Performance-Based Stock Option Agreement, the Plan and any other Plan-related documents (including the Prospectus) by electronic delivery and to participate in the Plan through an on-line or electronic system established and maintained by the Company or another third party designated by the Company.</w:t>
      </w:r>
    </w:p>
    <w:p>
      <w:pPr>
        <w:spacing w:after="0" w:line="174" w:lineRule="exact"/>
        <w:rPr>
          <w:rFonts w:ascii="Arial" w:cs="Arial" w:eastAsia="Arial" w:hAnsi="Arial"/>
          <w:sz w:val="14"/>
          <w:szCs w:val="14"/>
          <w:color w:val="auto"/>
        </w:rPr>
      </w:pPr>
    </w:p>
    <w:p>
      <w:pPr>
        <w:jc w:val="both"/>
        <w:ind w:left="1300" w:hanging="320"/>
        <w:spacing w:after="0" w:line="263" w:lineRule="auto"/>
        <w:tabs>
          <w:tab w:leader="none" w:pos="1354" w:val="left"/>
        </w:tabs>
        <w:numPr>
          <w:ilvl w:val="0"/>
          <w:numId w:val="19"/>
        </w:numPr>
        <w:rPr>
          <w:rFonts w:ascii="Arial" w:cs="Arial" w:eastAsia="Arial" w:hAnsi="Arial"/>
          <w:sz w:val="14"/>
          <w:szCs w:val="14"/>
          <w:color w:val="auto"/>
        </w:rPr>
      </w:pPr>
      <w:r>
        <w:rPr>
          <w:rFonts w:ascii="Times New Roman" w:cs="Times New Roman" w:eastAsia="Times New Roman" w:hAnsi="Times New Roman"/>
          <w:sz w:val="20"/>
          <w:szCs w:val="20"/>
          <w:color w:val="auto"/>
        </w:rPr>
        <w:t>You have read and are familiar with the provisions of the Plan, this Grant Notice, the Performance-Based Stock Option Agreement, the Notice of Exercise and the Prospectus. In the event of any conflict between the provisions in this Grant Notice, the Performance-Based Stock Option Agreement, the Notice of Exercise, or the Prospectus and the terms of the Plan, the terms of the Plan shall control.</w:t>
      </w:r>
    </w:p>
    <w:p>
      <w:pPr>
        <w:spacing w:after="0" w:line="166" w:lineRule="exact"/>
        <w:rPr>
          <w:rFonts w:ascii="Arial" w:cs="Arial" w:eastAsia="Arial" w:hAnsi="Arial"/>
          <w:sz w:val="14"/>
          <w:szCs w:val="14"/>
          <w:color w:val="auto"/>
        </w:rPr>
      </w:pPr>
    </w:p>
    <w:p>
      <w:pPr>
        <w:jc w:val="both"/>
        <w:ind w:left="1300" w:hanging="320"/>
        <w:spacing w:after="0" w:line="260" w:lineRule="auto"/>
        <w:tabs>
          <w:tab w:leader="none" w:pos="1394" w:val="left"/>
        </w:tabs>
        <w:numPr>
          <w:ilvl w:val="0"/>
          <w:numId w:val="19"/>
        </w:numPr>
        <w:rPr>
          <w:rFonts w:ascii="Arial" w:cs="Arial" w:eastAsia="Arial" w:hAnsi="Arial"/>
          <w:sz w:val="14"/>
          <w:szCs w:val="14"/>
          <w:color w:val="auto"/>
        </w:rPr>
      </w:pPr>
      <w:r>
        <w:rPr>
          <w:rFonts w:ascii="Times New Roman" w:cs="Times New Roman" w:eastAsia="Times New Roman" w:hAnsi="Times New Roman"/>
          <w:sz w:val="20"/>
          <w:szCs w:val="20"/>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71" w:lineRule="exact"/>
        <w:rPr>
          <w:rFonts w:ascii="Arial" w:cs="Arial" w:eastAsia="Arial" w:hAnsi="Arial"/>
          <w:sz w:val="14"/>
          <w:szCs w:val="14"/>
          <w:color w:val="auto"/>
        </w:rPr>
      </w:pPr>
    </w:p>
    <w:p>
      <w:pPr>
        <w:jc w:val="both"/>
        <w:ind w:left="1300" w:hanging="320"/>
        <w:spacing w:after="0" w:line="263" w:lineRule="auto"/>
        <w:tabs>
          <w:tab w:leader="none" w:pos="1313" w:val="left"/>
        </w:tabs>
        <w:numPr>
          <w:ilvl w:val="0"/>
          <w:numId w:val="19"/>
        </w:numPr>
        <w:rPr>
          <w:rFonts w:ascii="Arial" w:cs="Arial" w:eastAsia="Arial" w:hAnsi="Arial"/>
          <w:sz w:val="14"/>
          <w:szCs w:val="14"/>
          <w:color w:val="auto"/>
        </w:rPr>
      </w:pPr>
      <w:r>
        <w:rPr>
          <w:rFonts w:ascii="Times New Roman" w:cs="Times New Roman" w:eastAsia="Times New Roman" w:hAnsi="Times New Roman"/>
          <w:sz w:val="20"/>
          <w:szCs w:val="20"/>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ERD</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6"/>
                <w:szCs w:val="16"/>
                <w:b w:val="1"/>
                <w:bCs w:val="1"/>
                <w:color w:val="auto"/>
              </w:rPr>
              <w:t>ALLET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tc>
        <w:tc>
          <w:tcPr>
            <w:tcW w:w="5980" w:type="dxa"/>
            <w:vAlign w:val="bottom"/>
            <w:gridSpan w:val="2"/>
          </w:tcPr>
          <w:p>
            <w:pPr>
              <w:ind w:left="98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PTIONHOLDER:</w:t>
            </w:r>
          </w:p>
        </w:tc>
      </w:tr>
      <w:tr>
        <w:trPr>
          <w:trHeight w:val="912"/>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w:t>
            </w:r>
          </w:p>
        </w:tc>
      </w:tr>
      <w:tr>
        <w:trPr>
          <w:trHeight w:val="216"/>
        </w:trPr>
        <w:tc>
          <w:tcPr>
            <w:tcW w:w="90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05"/>
        </w:trPr>
        <w:tc>
          <w:tcPr>
            <w:tcW w:w="900" w:type="dxa"/>
            <w:vAlign w:val="bottom"/>
          </w:tcPr>
          <w:p>
            <w:pPr>
              <w:spacing w:after="0"/>
              <w:rPr>
                <w:sz w:val="17"/>
                <w:szCs w:val="17"/>
                <w:color w:val="auto"/>
              </w:rPr>
            </w:pPr>
          </w:p>
        </w:tc>
        <w:tc>
          <w:tcPr>
            <w:tcW w:w="4340" w:type="dxa"/>
            <w:vAlign w:val="bottom"/>
          </w:tcPr>
          <w:p>
            <w:pPr>
              <w:ind w:left="136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1640" w:type="dxa"/>
            <w:vAlign w:val="bottom"/>
          </w:tcPr>
          <w:p>
            <w:pPr>
              <w:spacing w:after="0"/>
              <w:rPr>
                <w:sz w:val="17"/>
                <w:szCs w:val="17"/>
                <w:color w:val="auto"/>
              </w:rPr>
            </w:pPr>
          </w:p>
        </w:tc>
        <w:tc>
          <w:tcPr>
            <w:tcW w:w="4340" w:type="dxa"/>
            <w:vAlign w:val="bottom"/>
          </w:tcPr>
          <w:p>
            <w:pPr>
              <w:ind w:left="1460"/>
              <w:spacing w:after="0" w:line="205"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Borders>
              <w:bottom w:val="single" w:sz="8" w:color="auto"/>
            </w:tcBorders>
          </w:tcPr>
          <w:p>
            <w:pPr>
              <w:spacing w:after="0"/>
              <w:rPr>
                <w:sz w:val="20"/>
                <w:szCs w:val="20"/>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20"/>
                <w:szCs w:val="20"/>
                <w:color w:val="auto"/>
              </w:rPr>
            </w:pPr>
          </w:p>
        </w:tc>
      </w:tr>
      <w:tr>
        <w:trPr>
          <w:trHeight w:val="466"/>
        </w:trPr>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TTACHMENTS</w:t>
      </w:r>
      <w:r>
        <w:rPr>
          <w:rFonts w:ascii="Times New Roman" w:cs="Times New Roman" w:eastAsia="Times New Roman" w:hAnsi="Times New Roman"/>
          <w:sz w:val="20"/>
          <w:szCs w:val="20"/>
          <w:color w:val="auto"/>
        </w:rPr>
        <w:t>: Performance-Based Stock Option Agreement, 2021 Equity Incentive Plan, as amended, Notice of Exercise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29" w:name="page30"/>
    <w:bookmarkEnd w:id="29"/>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TTACHMENT</w:t>
      </w:r>
      <w:r>
        <w:rPr>
          <w:rFonts w:ascii="Times New Roman" w:cs="Times New Roman" w:eastAsia="Times New Roman" w:hAnsi="Times New Roman"/>
          <w:sz w:val="20"/>
          <w:szCs w:val="20"/>
          <w:b w:val="1"/>
          <w:bCs w:val="1"/>
          <w:color w:val="auto"/>
        </w:rPr>
        <w:t xml:space="preserve">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ERFORMANCE-</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ASED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GREEMENT</w:t>
      </w:r>
    </w:p>
    <w:p>
      <w:pPr>
        <w:sectPr>
          <w:pgSz w:w="11900" w:h="16838" w:orient="portrait"/>
          <w:cols w:equalWidth="0" w:num="1">
            <w:col w:w="9019"/>
          </w:cols>
          <w:pgMar w:left="1440" w:top="1440" w:right="1440" w:bottom="1440" w:gutter="0" w:footer="0" w:header="0"/>
        </w:sectPr>
      </w:pPr>
    </w:p>
    <w:bookmarkStart w:id="30" w:name="page31"/>
    <w:bookmarkEnd w:id="30"/>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ERD</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6"/>
          <w:szCs w:val="16"/>
          <w:b w:val="1"/>
          <w:bCs w:val="1"/>
          <w:color w:val="auto"/>
        </w:rPr>
        <w:t>ALLET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2021 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ERFORMANCE-</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ASED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GREEMENT</w:t>
      </w:r>
    </w:p>
    <w:p>
      <w:pPr>
        <w:spacing w:after="0" w:line="200" w:lineRule="exact"/>
        <w:rPr>
          <w:sz w:val="20"/>
          <w:szCs w:val="20"/>
          <w:color w:val="auto"/>
        </w:rPr>
      </w:pPr>
    </w:p>
    <w:p>
      <w:pPr>
        <w:spacing w:after="0" w:line="232"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20"/>
          <w:szCs w:val="20"/>
          <w:color w:val="auto"/>
        </w:rPr>
        <w:t>As reflected by your Performance-Based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NerdWallet,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2021 Equity Incentive Plan, as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the target number of shares of Common Stock (the</w:t>
      </w:r>
    </w:p>
    <w:p>
      <w:pPr>
        <w:jc w:val="center"/>
        <w:spacing w:after="0" w:line="21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at the exercise price indicated in your Grant Notice (which Option shall constitute a “Performance Award” under the Plan). The</w:t>
      </w:r>
    </w:p>
    <w:p>
      <w:pPr>
        <w:ind w:left="100" w:right="80" w:firstLine="66"/>
        <w:spacing w:after="0" w:line="215" w:lineRule="auto"/>
        <w:rPr>
          <w:sz w:val="20"/>
          <w:szCs w:val="20"/>
          <w:color w:val="auto"/>
        </w:rPr>
      </w:pPr>
      <w:r>
        <w:rPr>
          <w:rFonts w:ascii="Times New Roman" w:cs="Times New Roman" w:eastAsia="Times New Roman" w:hAnsi="Times New Roman"/>
          <w:sz w:val="19"/>
          <w:szCs w:val="19"/>
          <w:color w:val="auto"/>
        </w:rPr>
        <w:t>terms of your Option as specified in the Grant Notice and this Performance-Based Stock Option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constitute your “</w:t>
      </w:r>
      <w:r>
        <w:rPr>
          <w:rFonts w:ascii="Times New Roman" w:cs="Times New Roman" w:eastAsia="Times New Roman" w:hAnsi="Times New Roman"/>
          <w:sz w:val="19"/>
          <w:szCs w:val="19"/>
          <w:b w:val="1"/>
          <w:bCs w:val="1"/>
          <w:i w:val="1"/>
          <w:iCs w:val="1"/>
          <w:color w:val="auto"/>
        </w:rPr>
        <w:t>Option Agreement</w:t>
      </w:r>
      <w:r>
        <w:rPr>
          <w:rFonts w:ascii="Times New Roman" w:cs="Times New Roman" w:eastAsia="Times New Roman" w:hAnsi="Times New Roman"/>
          <w:sz w:val="19"/>
          <w:szCs w:val="19"/>
          <w:color w:val="auto"/>
        </w:rPr>
        <w:t>.” Capitalized terms not explicitly defined in this Agreement but defined in the Grant Notice or the Plan shall have</w:t>
      </w:r>
    </w:p>
    <w:p>
      <w:pPr>
        <w:ind w:left="3060"/>
        <w:spacing w:after="0" w:line="225" w:lineRule="auto"/>
        <w:rPr>
          <w:sz w:val="20"/>
          <w:szCs w:val="20"/>
          <w:color w:val="auto"/>
        </w:rPr>
      </w:pPr>
      <w:r>
        <w:rPr>
          <w:rFonts w:ascii="Times New Roman" w:cs="Times New Roman" w:eastAsia="Times New Roman" w:hAnsi="Times New Roman"/>
          <w:sz w:val="20"/>
          <w:szCs w:val="20"/>
          <w:color w:val="auto"/>
        </w:rPr>
        <w:t>the meanings set forth in the Grant Notice or Plan, as applicable.</w:t>
      </w:r>
    </w:p>
    <w:p>
      <w:pPr>
        <w:ind w:left="660"/>
        <w:spacing w:after="0"/>
        <w:rPr>
          <w:sz w:val="20"/>
          <w:szCs w:val="20"/>
          <w:color w:val="auto"/>
        </w:rPr>
      </w:pPr>
      <w:r>
        <w:rPr>
          <w:rFonts w:ascii="Times New Roman" w:cs="Times New Roman" w:eastAsia="Times New Roman" w:hAnsi="Times New Roman"/>
          <w:sz w:val="20"/>
          <w:szCs w:val="20"/>
          <w:color w:val="auto"/>
        </w:rPr>
        <w:t>The general terms and conditions applicable to your Option are as follows:</w:t>
      </w:r>
    </w:p>
    <w:p>
      <w:pPr>
        <w:spacing w:after="0" w:line="190" w:lineRule="exact"/>
        <w:rPr>
          <w:sz w:val="20"/>
          <w:szCs w:val="20"/>
          <w:color w:val="auto"/>
        </w:rPr>
      </w:pPr>
    </w:p>
    <w:p>
      <w:pPr>
        <w:ind w:left="1120" w:hanging="464"/>
        <w:spacing w:after="0"/>
        <w:tabs>
          <w:tab w:leader="none" w:pos="11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6"/>
          <w:szCs w:val="16"/>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OCUMENT</w:t>
      </w:r>
      <w:r>
        <w:rPr>
          <w:rFonts w:ascii="Times New Roman" w:cs="Times New Roman" w:eastAsia="Times New Roman" w:hAnsi="Times New Roman"/>
          <w:sz w:val="20"/>
          <w:szCs w:val="20"/>
          <w:color w:val="auto"/>
        </w:rPr>
        <w:t>. Your Option is subject to all the provisions of the Plan, including but not limited to the</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provisions in:</w:t>
      </w:r>
    </w:p>
    <w:p>
      <w:pPr>
        <w:spacing w:after="0" w:line="213" w:lineRule="exact"/>
        <w:rPr>
          <w:rFonts w:ascii="Times New Roman" w:cs="Times New Roman" w:eastAsia="Times New Roman" w:hAnsi="Times New Roman"/>
          <w:sz w:val="20"/>
          <w:szCs w:val="20"/>
          <w:b w:val="1"/>
          <w:bCs w:val="1"/>
          <w:color w:val="auto"/>
        </w:rPr>
      </w:pPr>
    </w:p>
    <w:p>
      <w:pPr>
        <w:ind w:left="1800" w:hanging="496"/>
        <w:spacing w:after="0"/>
        <w:tabs>
          <w:tab w:leader="none" w:pos="1800" w:val="left"/>
        </w:tabs>
        <w:numPr>
          <w:ilvl w:val="1"/>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6 regarding the impact of a Capitalization Adjustment, dissolution, liquidation, or Corporate Transaction on</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your Option;</w:t>
      </w:r>
    </w:p>
    <w:p>
      <w:pPr>
        <w:spacing w:after="0" w:line="207" w:lineRule="exact"/>
        <w:rPr>
          <w:rFonts w:ascii="Times New Roman" w:cs="Times New Roman" w:eastAsia="Times New Roman" w:hAnsi="Times New Roman"/>
          <w:sz w:val="20"/>
          <w:szCs w:val="20"/>
          <w:b w:val="1"/>
          <w:bCs w:val="1"/>
          <w:color w:val="auto"/>
        </w:rPr>
      </w:pPr>
    </w:p>
    <w:p>
      <w:pPr>
        <w:ind w:left="1780" w:hanging="476"/>
        <w:spacing w:after="0"/>
        <w:tabs>
          <w:tab w:leader="none" w:pos="1780" w:val="left"/>
        </w:tabs>
        <w:numPr>
          <w:ilvl w:val="1"/>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9(e) regarding the Company’s retained rights to terminate your Continuous Service notwithstanding the grant</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of the Option; and</w:t>
      </w:r>
    </w:p>
    <w:p>
      <w:pPr>
        <w:spacing w:after="0" w:line="207" w:lineRule="exact"/>
        <w:rPr>
          <w:rFonts w:ascii="Times New Roman" w:cs="Times New Roman" w:eastAsia="Times New Roman" w:hAnsi="Times New Roman"/>
          <w:sz w:val="20"/>
          <w:szCs w:val="20"/>
          <w:b w:val="1"/>
          <w:bCs w:val="1"/>
          <w:color w:val="auto"/>
        </w:rPr>
      </w:pPr>
    </w:p>
    <w:p>
      <w:pPr>
        <w:ind w:left="1720" w:hanging="416"/>
        <w:spacing w:after="0"/>
        <w:tabs>
          <w:tab w:leader="none" w:pos="1720" w:val="left"/>
        </w:tabs>
        <w:numPr>
          <w:ilvl w:val="1"/>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8(c) regarding the tax consequences of your Option.</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57" w:lineRule="exact"/>
        <w:rPr>
          <w:sz w:val="20"/>
          <w:szCs w:val="20"/>
          <w:color w:val="auto"/>
        </w:rPr>
      </w:pPr>
    </w:p>
    <w:p>
      <w:pPr>
        <w:ind w:left="1000" w:hanging="344"/>
        <w:spacing w:after="0"/>
        <w:tabs>
          <w:tab w:leader="none" w:pos="100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724" w:val="left"/>
        </w:tabs>
        <w:numPr>
          <w:ilvl w:val="1"/>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91"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permitted by Applicable Law, you may pay your Option exercise price as follows:</w:t>
      </w:r>
    </w:p>
    <w:p>
      <w:pPr>
        <w:spacing w:after="0" w:line="215" w:lineRule="exact"/>
        <w:rPr>
          <w:rFonts w:ascii="Times New Roman" w:cs="Times New Roman" w:eastAsia="Times New Roman" w:hAnsi="Times New Roman"/>
          <w:sz w:val="20"/>
          <w:szCs w:val="20"/>
          <w:b w:val="1"/>
          <w:bCs w:val="1"/>
          <w:color w:val="auto"/>
        </w:rPr>
      </w:pPr>
    </w:p>
    <w:p>
      <w:pPr>
        <w:ind w:left="2340" w:hanging="388"/>
        <w:spacing w:after="0"/>
        <w:tabs>
          <w:tab w:leader="none" w:pos="2340" w:val="left"/>
        </w:tabs>
        <w:numPr>
          <w:ilvl w:val="2"/>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check, bank draft or money order;</w:t>
      </w:r>
    </w:p>
    <w:p>
      <w:pPr>
        <w:spacing w:after="0" w:line="229" w:lineRule="exact"/>
        <w:rPr>
          <w:rFonts w:ascii="Times New Roman" w:cs="Times New Roman" w:eastAsia="Times New Roman" w:hAnsi="Times New Roman"/>
          <w:sz w:val="20"/>
          <w:szCs w:val="20"/>
          <w:b w:val="1"/>
          <w:bCs w:val="1"/>
          <w:color w:val="auto"/>
        </w:rPr>
      </w:pPr>
    </w:p>
    <w:p>
      <w:pPr>
        <w:ind w:firstLine="1952"/>
        <w:spacing w:after="0" w:line="283" w:lineRule="auto"/>
        <w:tabs>
          <w:tab w:leader="none" w:pos="2505" w:val="left"/>
        </w:tabs>
        <w:numPr>
          <w:ilvl w:val="2"/>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146" w:lineRule="exact"/>
        <w:rPr>
          <w:rFonts w:ascii="Times New Roman" w:cs="Times New Roman" w:eastAsia="Times New Roman" w:hAnsi="Times New Roman"/>
          <w:sz w:val="20"/>
          <w:szCs w:val="20"/>
          <w:b w:val="1"/>
          <w:bCs w:val="1"/>
          <w:color w:val="auto"/>
        </w:rPr>
      </w:pPr>
    </w:p>
    <w:p>
      <w:pPr>
        <w:ind w:firstLine="1952"/>
        <w:spacing w:after="0" w:line="283" w:lineRule="auto"/>
        <w:tabs>
          <w:tab w:leader="none" w:pos="2438" w:val="left"/>
        </w:tabs>
        <w:numPr>
          <w:ilvl w:val="2"/>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Company and/or Committee consent at the time of exercise, by delivery of previously owned shares of Common Stock as further described in Section 4(c)(iii) of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31" w:name="page32"/>
    <w:bookmarkEnd w:id="31"/>
    <w:p>
      <w:pPr>
        <w:ind w:firstLine="1952"/>
        <w:spacing w:after="0" w:line="283" w:lineRule="auto"/>
        <w:tabs>
          <w:tab w:leader="none" w:pos="2468" w:val="left"/>
        </w:tabs>
        <w:numPr>
          <w:ilvl w:val="2"/>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Company and/or Committee consent at the time of exercise, if the Option is a Nonstatutory Stock Option, by a “net exercise” arrangement as further described in Section 4(c)(iv) of the Plan.</w:t>
      </w:r>
    </w:p>
    <w:p>
      <w:pPr>
        <w:spacing w:after="0" w:line="146" w:lineRule="exact"/>
        <w:rPr>
          <w:rFonts w:ascii="Times New Roman" w:cs="Times New Roman" w:eastAsia="Times New Roman" w:hAnsi="Times New Roman"/>
          <w:sz w:val="20"/>
          <w:szCs w:val="20"/>
          <w:b w:val="1"/>
          <w:bCs w:val="1"/>
          <w:color w:val="auto"/>
        </w:rPr>
      </w:pPr>
    </w:p>
    <w:p>
      <w:pPr>
        <w:jc w:val="both"/>
        <w:ind w:firstLine="1304"/>
        <w:spacing w:after="0" w:line="251" w:lineRule="auto"/>
        <w:tabs>
          <w:tab w:leader="none" w:pos="1713"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74"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072"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ERM</w:t>
      </w:r>
      <w:r>
        <w:rPr>
          <w:rFonts w:ascii="Times New Roman" w:cs="Times New Roman" w:eastAsia="Times New Roman" w:hAnsi="Times New Roman"/>
          <w:sz w:val="20"/>
          <w:szCs w:val="20"/>
          <w:color w:val="auto"/>
        </w:rPr>
        <w:t>. You may not exercise your Option before the commencement of its term or after its term expires. The term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commences on the Date of Grant and expires upon the earliest of the following:</w:t>
      </w:r>
    </w:p>
    <w:p>
      <w:pPr>
        <w:spacing w:after="0" w:line="155"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immediately upon the termination of your Continuous Service for Cause;</w:t>
      </w:r>
    </w:p>
    <w:p>
      <w:pPr>
        <w:spacing w:after="0" w:line="215"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three months after the termination of your Continuous Service for any reason other than Cause, Disability or death;</w:t>
      </w:r>
    </w:p>
    <w:p>
      <w:pPr>
        <w:spacing w:after="0" w:line="229" w:lineRule="exact"/>
        <w:rPr>
          <w:rFonts w:ascii="Times New Roman" w:cs="Times New Roman" w:eastAsia="Times New Roman" w:hAnsi="Times New Roman"/>
          <w:sz w:val="20"/>
          <w:szCs w:val="20"/>
          <w:b w:val="1"/>
          <w:bCs w:val="1"/>
          <w:color w:val="auto"/>
        </w:rPr>
      </w:pPr>
    </w:p>
    <w:p>
      <w:pPr>
        <w:ind w:left="1720" w:hanging="416"/>
        <w:spacing w:after="0"/>
        <w:tabs>
          <w:tab w:leader="none" w:pos="1720"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after the termination of your Continuous Service due to your Disability;</w:t>
      </w:r>
    </w:p>
    <w:p>
      <w:pPr>
        <w:spacing w:after="0" w:line="215"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after your death if you die during your Continuous Service;</w:t>
      </w:r>
    </w:p>
    <w:p>
      <w:pPr>
        <w:spacing w:after="0" w:line="229" w:lineRule="exact"/>
        <w:rPr>
          <w:rFonts w:ascii="Times New Roman" w:cs="Times New Roman" w:eastAsia="Times New Roman" w:hAnsi="Times New Roman"/>
          <w:sz w:val="20"/>
          <w:szCs w:val="20"/>
          <w:b w:val="1"/>
          <w:bCs w:val="1"/>
          <w:color w:val="auto"/>
        </w:rPr>
      </w:pPr>
    </w:p>
    <w:p>
      <w:pPr>
        <w:ind w:firstLine="1304"/>
        <w:spacing w:after="0" w:line="269" w:lineRule="auto"/>
        <w:tabs>
          <w:tab w:leader="none" w:pos="1781"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immediately upon a Corporate Transaction if the Board has determined that the Option will terminate in connection with a Corporate Transaction;</w:t>
      </w:r>
    </w:p>
    <w:p>
      <w:pPr>
        <w:spacing w:after="0" w:line="172" w:lineRule="exact"/>
        <w:rPr>
          <w:rFonts w:ascii="Times New Roman" w:cs="Times New Roman" w:eastAsia="Times New Roman" w:hAnsi="Times New Roman"/>
          <w:sz w:val="20"/>
          <w:szCs w:val="20"/>
          <w:b w:val="1"/>
          <w:bCs w:val="1"/>
          <w:color w:val="auto"/>
        </w:rPr>
      </w:pPr>
    </w:p>
    <w:p>
      <w:pPr>
        <w:ind w:left="1700" w:hanging="396"/>
        <w:spacing w:after="0"/>
        <w:tabs>
          <w:tab w:leader="none" w:pos="1700"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Expiration Date indicated in your Grant Notice; or</w:t>
      </w:r>
    </w:p>
    <w:p>
      <w:pPr>
        <w:spacing w:after="0" w:line="229"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day before the 10th anniversary of the Date of Grant.</w:t>
      </w:r>
    </w:p>
    <w:p>
      <w:pPr>
        <w:spacing w:after="0" w:line="21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w:t>
      </w:r>
    </w:p>
    <w:p>
      <w:pPr>
        <w:spacing w:after="0" w:line="1" w:lineRule="exact"/>
        <w:rPr>
          <w:sz w:val="20"/>
          <w:szCs w:val="20"/>
          <w:color w:val="auto"/>
        </w:rPr>
      </w:pPr>
    </w:p>
    <w:p>
      <w:pPr>
        <w:ind w:firstLine="8"/>
        <w:spacing w:after="0" w:line="260" w:lineRule="auto"/>
        <w:tabs>
          <w:tab w:leader="none" w:pos="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indicated in your Grant Notice, or (iv) the day before the tenth anniversary of the Date of Grant. Additionally, the Post-Termination Exercise Period of your Option may be extended as provided in Section 4(i)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32" w:name="page33"/>
    <w:bookmarkEnd w:id="32"/>
    <w:p>
      <w:pPr>
        <w:jc w:val="both"/>
        <w:ind w:firstLine="656"/>
        <w:spacing w:after="0" w:line="251" w:lineRule="auto"/>
        <w:tabs>
          <w:tab w:leader="none" w:pos="1031"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6"/>
          <w:szCs w:val="16"/>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BLIGATIONS</w:t>
      </w:r>
      <w:r>
        <w:rPr>
          <w:rFonts w:ascii="Times New Roman" w:cs="Times New Roman" w:eastAsia="Times New Roman" w:hAnsi="Times New Roman"/>
          <w:sz w:val="20"/>
          <w:szCs w:val="20"/>
          <w:color w:val="auto"/>
        </w:rPr>
        <w:t>. As further provided in Section 8 of the Plan: (a) you may not exercise your Option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9"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004"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RANSFERABILITY</w:t>
      </w:r>
      <w:r>
        <w:rPr>
          <w:rFonts w:ascii="Times New Roman" w:cs="Times New Roman" w:eastAsia="Times New Roman" w:hAnsi="Times New Roman"/>
          <w:sz w:val="20"/>
          <w:szCs w:val="20"/>
          <w:color w:val="auto"/>
        </w:rPr>
        <w:t>. Except as otherwise provided in Section 4(e) of the Plan, your Option is not transferable, except by will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applicable laws of descent and distribution, and is exercisable during your life only by you.</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994"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RANSACTION</w:t>
      </w:r>
      <w:r>
        <w:rPr>
          <w:rFonts w:ascii="Times New Roman" w:cs="Times New Roman" w:eastAsia="Times New Roman" w:hAnsi="Times New Roman"/>
          <w:sz w:val="20"/>
          <w:szCs w:val="20"/>
          <w:color w:val="auto"/>
        </w:rPr>
        <w:t>. Your Option is subject to the terms of any agreement governing a Corporate Transaction involving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including, without limitation, a provision for the appointment of a stockholder representative that is authorized to act on your behalf with respect to any escrow, indemnities and any contingent consideration.</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048"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ECOVERY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OLICY</w:t>
      </w:r>
      <w:r>
        <w:rPr>
          <w:rFonts w:ascii="Times New Roman" w:cs="Times New Roman" w:eastAsia="Times New Roman" w:hAnsi="Times New Roman"/>
          <w:sz w:val="20"/>
          <w:szCs w:val="20"/>
          <w:color w:val="auto"/>
        </w:rPr>
        <w:t>. You acknowledge and agree that the terms and conditions set forth in the NerdWallet,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 Compensation Recovery Policy effective October 2, 2023 (the “</w:t>
      </w:r>
      <w:r>
        <w:rPr>
          <w:rFonts w:ascii="Times New Roman" w:cs="Times New Roman" w:eastAsia="Times New Roman" w:hAnsi="Times New Roman"/>
          <w:sz w:val="20"/>
          <w:szCs w:val="20"/>
          <w:b w:val="1"/>
          <w:bCs w:val="1"/>
          <w:i w:val="1"/>
          <w:iCs w:val="1"/>
          <w:color w:val="auto"/>
        </w:rPr>
        <w:t>Clawback Policy</w:t>
      </w:r>
      <w:r>
        <w:rPr>
          <w:rFonts w:ascii="Times New Roman" w:cs="Times New Roman" w:eastAsia="Times New Roman" w:hAnsi="Times New Roman"/>
          <w:sz w:val="20"/>
          <w:szCs w:val="20"/>
          <w:color w:val="auto"/>
        </w:rPr>
        <w:t>”) are incorporated in this Agreement by reference. To the extent the Clawback Policy is applicable to you, it creates additional rights for the Company with respect to this Option, shares of Common Stock received upon the exercise of the Option, and other applicable compensation, including, without limitation, annual cash incentive compensation awards granted to you by the Company. Notwithstanding any provisions in this Agreement to the contrary, any award granted under the Plan, shares of Common Stock received upon the exercise or settlement of any such award, and such other applicable compensation, including, without limitation, annual cash incentive compensation, will be subject to potential mandatory cancellation, forfeiture and/or repayment by you to the Company to the extent you are, or in the future become, subject to (i) any Company clawback or recoupment policy, including the Clawback Policy and any other similar policies that are adopted by the Company, or (ii) any applicable laws that impose mandatory clawback or recoupment requirements under the circumstances set forth in such laws. By accepting the Option, you consent to be bound by the terms of the Clawback Policy, if applicable, and agree and acknowledge that you are obligated to cooperate with, and provide any and all assistance necessary to, the Company in its efforts to recover or recoup the Option and any shares of Common Stock received upon the exercise of the Option, any gains or earnings related thereto, or any other applicable compensation, including, without limitation, annual cash incentive compensation, that is subject to clawback or recoupment. Such cooperation and assistance shall include, but is not limited to, executing, completing and submitting any documentation necessary to facilitate the recovery or recoupment by the Company from you of any such amounts, including from your accounts or from any other compensation, to the extent permissible under Section 409A.</w:t>
      </w:r>
    </w:p>
    <w:p>
      <w:pPr>
        <w:spacing w:after="0" w:line="196"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048"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6"/>
          <w:szCs w:val="16"/>
          <w:b w:val="1"/>
          <w:bCs w:val="1"/>
          <w:color w:val="auto"/>
        </w:rPr>
        <w:t>IABILITY</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AXES</w:t>
      </w:r>
      <w:r>
        <w:rPr>
          <w:rFonts w:ascii="Times New Roman" w:cs="Times New Roman" w:eastAsia="Times New Roman" w:hAnsi="Times New Roman"/>
          <w:sz w:val="20"/>
          <w:szCs w:val="20"/>
          <w:color w:val="auto"/>
        </w:rPr>
        <w:t>. As a condition to accepting the Option, you hereby (a) agree to not make any claim against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of its Officers, Directors, Employees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9" w:right="339" w:bottom="1440" w:gutter="0" w:footer="0" w:header="0"/>
        </w:sectPr>
      </w:pPr>
    </w:p>
    <w:bookmarkStart w:id="33" w:name="page34"/>
    <w:bookmarkEnd w:id="33"/>
    <w:p>
      <w:pPr>
        <w:jc w:val="both"/>
        <w:spacing w:after="0" w:line="251" w:lineRule="auto"/>
        <w:rPr>
          <w:sz w:val="20"/>
          <w:szCs w:val="20"/>
          <w:color w:val="auto"/>
        </w:rPr>
      </w:pPr>
      <w:r>
        <w:rPr>
          <w:rFonts w:ascii="Times New Roman" w:cs="Times New Roman" w:eastAsia="Times New Roman" w:hAnsi="Times New Roman"/>
          <w:sz w:val="20"/>
          <w:szCs w:val="20"/>
          <w:color w:val="auto"/>
        </w:rPr>
        <w:t>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91" w:lineRule="exact"/>
        <w:rPr>
          <w:sz w:val="20"/>
          <w:szCs w:val="20"/>
          <w:color w:val="auto"/>
        </w:rPr>
      </w:pPr>
    </w:p>
    <w:p>
      <w:pPr>
        <w:jc w:val="both"/>
        <w:ind w:firstLine="656"/>
        <w:spacing w:after="0" w:line="254" w:lineRule="auto"/>
        <w:tabs>
          <w:tab w:leader="none" w:pos="1089"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EVERABILITY</w:t>
      </w:r>
      <w:r>
        <w:rPr>
          <w:rFonts w:ascii="Times New Roman" w:cs="Times New Roman" w:eastAsia="Times New Roman" w:hAnsi="Times New Roman"/>
          <w:sz w:val="20"/>
          <w:szCs w:val="20"/>
          <w:color w:val="auto"/>
        </w:rPr>
        <w:t>. If any part of this Option Agreement or the Plan is declared by any court or governmental authority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28"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OCUMENTS</w:t>
      </w:r>
      <w:r>
        <w:rPr>
          <w:rFonts w:ascii="Times New Roman" w:cs="Times New Roman" w:eastAsia="Times New Roman" w:hAnsi="Times New Roman"/>
          <w:sz w:val="20"/>
          <w:szCs w:val="20"/>
          <w:color w:val="auto"/>
        </w:rPr>
        <w:t>. You hereby acknowledge receipt of or the right to receive a document providing the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by Rule 428(b)(1) promulgated under the Securities Act, which includes the Prospectus. In addition, you acknowledge and agree to be subject to the Company’s Trading Policy, which such Trading Policy has been or will be made available to you.</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1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w:t>
      </w:r>
      <w:r>
        <w:rPr>
          <w:rFonts w:ascii="Times New Roman" w:cs="Times New Roman" w:eastAsia="Times New Roman" w:hAnsi="Times New Roman"/>
          <w:sz w:val="16"/>
          <w:szCs w:val="16"/>
          <w:b w:val="1"/>
          <w:bCs w:val="1"/>
          <w:color w:val="auto"/>
        </w:rPr>
        <w:t>UESTIONS</w:t>
      </w:r>
      <w:r>
        <w:rPr>
          <w:rFonts w:ascii="Times New Roman" w:cs="Times New Roman" w:eastAsia="Times New Roman" w:hAnsi="Times New Roman"/>
          <w:sz w:val="20"/>
          <w:szCs w:val="20"/>
          <w:color w:val="auto"/>
        </w:rPr>
        <w:t>. If you have questions regarding these or any other terms and conditions applicable to your Option, including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of the applicable federal income tax consequences please see the Prospectus.</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28" w:lineRule="exact"/>
        <w:rPr>
          <w:rFonts w:ascii="Times New Roman" w:cs="Times New Roman" w:eastAsia="Times New Roman" w:hAnsi="Times New Roman"/>
          <w:sz w:val="20"/>
          <w:szCs w:val="20"/>
          <w:b w:val="1"/>
          <w:bCs w:val="1"/>
          <w:color w:val="auto"/>
        </w:rPr>
      </w:pPr>
    </w:p>
    <w:p>
      <w:pPr>
        <w:ind w:left="53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34" w:name="page35"/>
    <w:bookmarkEnd w:id="34"/>
    <w:p>
      <w:pPr>
        <w:spacing w:after="0" w:line="1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Performance-Based Stock Option Statement of Performance Goals</w:t>
      </w:r>
    </w:p>
    <w:p>
      <w:pPr>
        <w:spacing w:after="0" w:line="187" w:lineRule="exact"/>
        <w:rPr>
          <w:sz w:val="20"/>
          <w:szCs w:val="20"/>
          <w:color w:val="auto"/>
        </w:rPr>
      </w:pPr>
    </w:p>
    <w:p>
      <w:pPr>
        <w:jc w:val="both"/>
        <w:ind w:right="120" w:firstLine="405"/>
        <w:spacing w:after="0" w:line="225" w:lineRule="auto"/>
        <w:rPr>
          <w:sz w:val="20"/>
          <w:szCs w:val="20"/>
          <w:color w:val="auto"/>
        </w:rPr>
      </w:pPr>
      <w:r>
        <w:rPr>
          <w:rFonts w:ascii="Times New Roman" w:cs="Times New Roman" w:eastAsia="Times New Roman" w:hAnsi="Times New Roman"/>
          <w:sz w:val="20"/>
          <w:szCs w:val="20"/>
          <w:color w:val="auto"/>
        </w:rPr>
        <w:t>This Statement of Performance Goals applies to the performance-based stock option to purchase shares of Common Stock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granted to you on the Date of Grant and applies with respect to the Performance-Based Stock Option Award Grant Notice and related Award Agreement (collectively,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Capitalized terms used but not explicitly defined in this Exhibit A to the Agreement but defined in the Plan or the Agreement will have the meanings assigned to them in such document.</w:t>
      </w:r>
    </w:p>
    <w:p>
      <w:pPr>
        <w:spacing w:after="0" w:line="164" w:lineRule="exact"/>
        <w:rPr>
          <w:sz w:val="20"/>
          <w:szCs w:val="20"/>
          <w:color w:val="auto"/>
        </w:rPr>
      </w:pPr>
    </w:p>
    <w:p>
      <w:pPr>
        <w:ind w:left="660" w:right="120" w:hanging="328"/>
        <w:spacing w:after="0"/>
        <w:tabs>
          <w:tab w:leader="none" w:pos="75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The performance period for the Option shall be the period of time beginning on [ ] and ending on [ ] (the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right="120" w:hanging="328"/>
        <w:spacing w:after="0" w:line="225" w:lineRule="auto"/>
        <w:tabs>
          <w:tab w:leader="none" w:pos="72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Goals and Committee Certification</w:t>
      </w:r>
      <w:r>
        <w:rPr>
          <w:rFonts w:ascii="Times New Roman" w:cs="Times New Roman" w:eastAsia="Times New Roman" w:hAnsi="Times New Roman"/>
          <w:sz w:val="20"/>
          <w:szCs w:val="20"/>
          <w:color w:val="auto"/>
        </w:rPr>
        <w:t>. The Performance Criteria for the Option shall be [Performance Measure 1] and [Performance Measure 2] for the Performance Period. The Committee will determine the number of shares of Common Stock subject to the Option that may be earned pursuant to the Performance-Based Stock Option Agreement based on the following Performance Goals for each of the Performance Criteria for the Performance Period:</w:t>
      </w:r>
    </w:p>
    <w:p>
      <w:pPr>
        <w:spacing w:after="0" w:line="207" w:lineRule="exact"/>
        <w:rPr>
          <w:sz w:val="20"/>
          <w:szCs w:val="20"/>
          <w:color w:val="auto"/>
        </w:rPr>
      </w:pPr>
    </w:p>
    <w:tbl>
      <w:tblPr>
        <w:tblLayout w:type="fixed"/>
        <w:tblInd w:w="107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920" w:type="dxa"/>
            <w:vAlign w:val="bottom"/>
            <w:tcBorders>
              <w:top w:val="single" w:sz="8" w:color="auto"/>
              <w:right w:val="single" w:sz="8" w:color="auto"/>
            </w:tcBorders>
            <w:gridSpan w:val="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Performance Goals and Payout Levels (as a Percentage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60" w:type="dxa"/>
            <w:vAlign w:val="bottom"/>
            <w:tcBorders>
              <w:right w:val="single" w:sz="8" w:color="auto"/>
            </w:tcBorders>
            <w:gridSpan w:val="5"/>
          </w:tcPr>
          <w:p>
            <w:pPr>
              <w:jc w:val="center"/>
              <w:ind w:right="1"/>
              <w:spacing w:after="0" w:line="189" w:lineRule="exact"/>
              <w:rPr>
                <w:sz w:val="20"/>
                <w:szCs w:val="20"/>
                <w:color w:val="auto"/>
              </w:rPr>
            </w:pPr>
            <w:r>
              <w:rPr>
                <w:rFonts w:ascii="Times New Roman" w:cs="Times New Roman" w:eastAsia="Times New Roman" w:hAnsi="Times New Roman"/>
                <w:sz w:val="20"/>
                <w:szCs w:val="20"/>
                <w:b w:val="1"/>
                <w:bCs w:val="1"/>
                <w:color w:val="auto"/>
                <w:w w:val="98"/>
              </w:rPr>
              <w:t>the Target Number of Shares Subject to the Option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700" w:type="dxa"/>
            <w:vAlign w:val="bottom"/>
            <w:tcBorders>
              <w:bottom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860" w:type="dxa"/>
            <w:vAlign w:val="bottom"/>
            <w:tcBorders>
              <w:bottom w:val="single" w:sz="8" w:color="auto"/>
              <w:right w:val="single" w:sz="8" w:color="auto"/>
            </w:tcBorders>
            <w:gridSpan w:val="5"/>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the [Performance Measure 1] Criteria)</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70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Portion of Option</w:t>
            </w:r>
          </w:p>
        </w:tc>
        <w:tc>
          <w:tcPr>
            <w:tcW w:w="18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Performance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Borders>
              <w:right w:val="single" w:sz="8" w:color="auto"/>
            </w:tcBorders>
          </w:tcPr>
          <w:p>
            <w:pPr>
              <w:ind w:left="280"/>
              <w:spacing w:after="0" w:line="200" w:lineRule="exact"/>
              <w:rPr>
                <w:sz w:val="20"/>
                <w:szCs w:val="20"/>
                <w:color w:val="auto"/>
              </w:rPr>
            </w:pPr>
            <w:r>
              <w:rPr>
                <w:rFonts w:ascii="Times New Roman" w:cs="Times New Roman" w:eastAsia="Times New Roman" w:hAnsi="Times New Roman"/>
                <w:sz w:val="20"/>
                <w:szCs w:val="20"/>
                <w:b w:val="1"/>
                <w:bCs w:val="1"/>
                <w:color w:val="auto"/>
              </w:rPr>
              <w:t>Threshold</w:t>
            </w:r>
          </w:p>
        </w:tc>
        <w:tc>
          <w:tcPr>
            <w:tcW w:w="240" w:type="dxa"/>
            <w:vAlign w:val="bottom"/>
          </w:tcPr>
          <w:p>
            <w:pPr>
              <w:spacing w:after="0"/>
              <w:rPr>
                <w:sz w:val="17"/>
                <w:szCs w:val="17"/>
                <w:color w:val="auto"/>
              </w:rPr>
            </w:pPr>
          </w:p>
        </w:tc>
        <w:tc>
          <w:tcPr>
            <w:tcW w:w="1580" w:type="dxa"/>
            <w:vAlign w:val="bottom"/>
            <w:tcBorders>
              <w:right w:val="single" w:sz="8" w:color="auto"/>
            </w:tcBorders>
          </w:tcPr>
          <w:p>
            <w:pPr>
              <w:jc w:val="center"/>
              <w:ind w:right="161"/>
              <w:spacing w:after="0" w:line="200" w:lineRule="exact"/>
              <w:rPr>
                <w:sz w:val="20"/>
                <w:szCs w:val="20"/>
                <w:color w:val="auto"/>
              </w:rPr>
            </w:pPr>
            <w:r>
              <w:rPr>
                <w:rFonts w:ascii="Times New Roman" w:cs="Times New Roman" w:eastAsia="Times New Roman" w:hAnsi="Times New Roman"/>
                <w:sz w:val="20"/>
                <w:szCs w:val="20"/>
                <w:b w:val="1"/>
                <w:bCs w:val="1"/>
                <w:color w:val="auto"/>
                <w:w w:val="96"/>
              </w:rPr>
              <w:t>Target</w:t>
            </w:r>
          </w:p>
        </w:tc>
        <w:tc>
          <w:tcPr>
            <w:tcW w:w="100" w:type="dxa"/>
            <w:vAlign w:val="bottom"/>
          </w:tcPr>
          <w:p>
            <w:pPr>
              <w:spacing w:after="0"/>
              <w:rPr>
                <w:sz w:val="17"/>
                <w:szCs w:val="17"/>
                <w:color w:val="auto"/>
              </w:rPr>
            </w:pPr>
          </w:p>
        </w:tc>
        <w:tc>
          <w:tcPr>
            <w:tcW w:w="1380" w:type="dxa"/>
            <w:vAlign w:val="bottom"/>
            <w:tcBorders>
              <w:right w:val="single" w:sz="8" w:color="auto"/>
            </w:tcBorders>
          </w:tcPr>
          <w:p>
            <w:pPr>
              <w:ind w:left="200"/>
              <w:spacing w:after="0" w:line="200" w:lineRule="exact"/>
              <w:rPr>
                <w:sz w:val="20"/>
                <w:szCs w:val="20"/>
                <w:color w:val="auto"/>
              </w:rPr>
            </w:pPr>
            <w:r>
              <w:rPr>
                <w:rFonts w:ascii="Times New Roman" w:cs="Times New Roman" w:eastAsia="Times New Roman" w:hAnsi="Times New Roman"/>
                <w:sz w:val="20"/>
                <w:szCs w:val="20"/>
                <w:b w:val="1"/>
                <w:bCs w:val="1"/>
                <w:color w:val="auto"/>
              </w:rPr>
              <w:t>Maximum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700" w:type="dxa"/>
            <w:vAlign w:val="bottom"/>
            <w:tcBorders>
              <w:left w:val="single" w:sz="8" w:color="auto"/>
              <w:right w:val="single" w:sz="8" w:color="auto"/>
            </w:tcBorders>
          </w:tcPr>
          <w:p>
            <w:pPr>
              <w:spacing w:after="0"/>
              <w:rPr>
                <w:sz w:val="22"/>
                <w:szCs w:val="22"/>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Criteria</w:t>
            </w:r>
          </w:p>
        </w:tc>
        <w:tc>
          <w:tcPr>
            <w:tcW w:w="20" w:type="dxa"/>
            <w:vAlign w:val="bottom"/>
          </w:tcPr>
          <w:p>
            <w:pPr>
              <w:spacing w:after="0"/>
              <w:rPr>
                <w:sz w:val="22"/>
                <w:szCs w:val="22"/>
                <w:color w:val="auto"/>
              </w:rPr>
            </w:pPr>
          </w:p>
        </w:tc>
        <w:tc>
          <w:tcPr>
            <w:tcW w:w="1620" w:type="dxa"/>
            <w:vAlign w:val="bottom"/>
            <w:tcBorders>
              <w:right w:val="single" w:sz="8" w:color="auto"/>
            </w:tcBorders>
            <w:gridSpan w:val="2"/>
            <w:vMerge w:val="restart"/>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 ]</w:t>
            </w:r>
          </w:p>
        </w:tc>
        <w:tc>
          <w:tcPr>
            <w:tcW w:w="1820" w:type="dxa"/>
            <w:vAlign w:val="bottom"/>
            <w:tcBorders>
              <w:right w:val="single" w:sz="8" w:color="auto"/>
            </w:tcBorders>
            <w:gridSpan w:val="2"/>
            <w:vMerge w:val="restart"/>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 ]</w:t>
            </w:r>
          </w:p>
        </w:tc>
        <w:tc>
          <w:tcPr>
            <w:tcW w:w="1480" w:type="dxa"/>
            <w:vAlign w:val="bottom"/>
            <w:tcBorders>
              <w:right w:val="single" w:sz="8" w:color="auto"/>
            </w:tcBorders>
            <w:gridSpan w:val="2"/>
            <w:vMerge w:val="restart"/>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tcBorders>
              <w:right w:val="single" w:sz="8" w:color="auto"/>
            </w:tcBorders>
            <w:gridSpan w:val="2"/>
            <w:vMerge w:val="continue"/>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00" w:type="dxa"/>
            <w:vAlign w:val="bottom"/>
            <w:tcBorders>
              <w:left w:val="single" w:sz="8" w:color="auto"/>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700" w:type="dxa"/>
            <w:vAlign w:val="bottom"/>
            <w:tcBorders>
              <w:left w:val="single" w:sz="8" w:color="auto"/>
              <w:right w:val="single" w:sz="8" w:color="auto"/>
            </w:tcBorders>
          </w:tcPr>
          <w:p>
            <w:pPr>
              <w:jc w:val="right"/>
              <w:ind w:right="401"/>
              <w:spacing w:after="0" w:line="183" w:lineRule="exact"/>
              <w:rPr>
                <w:sz w:val="20"/>
                <w:szCs w:val="20"/>
                <w:color w:val="auto"/>
              </w:rPr>
            </w:pPr>
            <w:r>
              <w:rPr>
                <w:rFonts w:ascii="Times New Roman" w:cs="Times New Roman" w:eastAsia="Times New Roman" w:hAnsi="Times New Roman"/>
                <w:sz w:val="20"/>
                <w:szCs w:val="20"/>
                <w:color w:val="auto"/>
              </w:rPr>
              <w:t>[______]</w:t>
            </w:r>
          </w:p>
        </w:tc>
        <w:tc>
          <w:tcPr>
            <w:tcW w:w="188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color w:val="auto"/>
                <w:w w:val="98"/>
              </w:rPr>
              <w:t>[Performance Measure</w:t>
            </w:r>
          </w:p>
        </w:tc>
        <w:tc>
          <w:tcPr>
            <w:tcW w:w="20" w:type="dxa"/>
            <w:vAlign w:val="bottom"/>
          </w:tcPr>
          <w:p>
            <w:pPr>
              <w:spacing w:after="0"/>
              <w:rPr>
                <w:sz w:val="15"/>
                <w:szCs w:val="15"/>
                <w:color w:val="auto"/>
              </w:rPr>
            </w:pPr>
          </w:p>
        </w:tc>
        <w:tc>
          <w:tcPr>
            <w:tcW w:w="1620" w:type="dxa"/>
            <w:vAlign w:val="bottom"/>
            <w:tcBorders>
              <w:right w:val="single" w:sz="8" w:color="auto"/>
            </w:tcBorders>
            <w:gridSpan w:val="2"/>
          </w:tcPr>
          <w:p>
            <w:pPr>
              <w:jc w:val="right"/>
              <w:ind w:right="321"/>
              <w:spacing w:after="0" w:line="183" w:lineRule="exact"/>
              <w:rPr>
                <w:sz w:val="20"/>
                <w:szCs w:val="20"/>
                <w:color w:val="auto"/>
              </w:rPr>
            </w:pPr>
            <w:r>
              <w:rPr>
                <w:rFonts w:ascii="Times New Roman" w:cs="Times New Roman" w:eastAsia="Times New Roman" w:hAnsi="Times New Roman"/>
                <w:sz w:val="20"/>
                <w:szCs w:val="20"/>
                <w:color w:val="auto"/>
              </w:rPr>
              <w:t>[_______]</w:t>
            </w:r>
          </w:p>
        </w:tc>
        <w:tc>
          <w:tcPr>
            <w:tcW w:w="1820" w:type="dxa"/>
            <w:vAlign w:val="bottom"/>
            <w:tcBorders>
              <w:right w:val="single" w:sz="8" w:color="auto"/>
            </w:tcBorders>
            <w:gridSpan w:val="2"/>
          </w:tcPr>
          <w:p>
            <w:pPr>
              <w:jc w:val="right"/>
              <w:ind w:right="461"/>
              <w:spacing w:after="0" w:line="183" w:lineRule="exact"/>
              <w:rPr>
                <w:sz w:val="20"/>
                <w:szCs w:val="20"/>
                <w:color w:val="auto"/>
              </w:rPr>
            </w:pPr>
            <w:r>
              <w:rPr>
                <w:rFonts w:ascii="Times New Roman" w:cs="Times New Roman" w:eastAsia="Times New Roman" w:hAnsi="Times New Roman"/>
                <w:sz w:val="20"/>
                <w:szCs w:val="20"/>
                <w:color w:val="auto"/>
              </w:rPr>
              <w:t>[______]</w:t>
            </w:r>
          </w:p>
        </w:tc>
        <w:tc>
          <w:tcPr>
            <w:tcW w:w="1480" w:type="dxa"/>
            <w:vAlign w:val="bottom"/>
            <w:tcBorders>
              <w:right w:val="single" w:sz="8" w:color="auto"/>
            </w:tcBorders>
            <w:gridSpan w:val="2"/>
          </w:tcPr>
          <w:p>
            <w:pPr>
              <w:jc w:val="right"/>
              <w:ind w:right="341"/>
              <w:spacing w:after="0" w:line="183" w:lineRule="exact"/>
              <w:rPr>
                <w:sz w:val="20"/>
                <w:szCs w:val="20"/>
                <w:color w:val="auto"/>
              </w:rPr>
            </w:pPr>
            <w:r>
              <w:rPr>
                <w:rFonts w:ascii="Times New Roman" w:cs="Times New Roman" w:eastAsia="Times New Roman" w:hAnsi="Times New Roman"/>
                <w:sz w:val="20"/>
                <w:szCs w:val="20"/>
                <w:color w:val="auto"/>
              </w:rPr>
              <w:t>[_____]</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700" w:type="dxa"/>
            <w:vAlign w:val="bottom"/>
            <w:tcBorders>
              <w:left w:val="single" w:sz="8" w:color="auto"/>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1]</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Borders>
              <w:bottom w:val="single" w:sz="8" w:color="auto"/>
            </w:tcBorders>
            <w:gridSpan w:val="5"/>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4860" w:type="dxa"/>
            <w:vAlign w:val="bottom"/>
            <w:gridSpan w:val="5"/>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8"/>
              </w:rPr>
              <w:t>Performance Goals and Payout Levels (as a Percentage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860" w:type="dxa"/>
            <w:vAlign w:val="bottom"/>
            <w:gridSpan w:val="5"/>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of the Target Number of Shares Subject to the Option for</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4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the [Performance Measure 2] Criteria)</w:t>
            </w: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Portion of Option</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 Criteria</w:t>
            </w:r>
          </w:p>
        </w:tc>
        <w:tc>
          <w:tcPr>
            <w:tcW w:w="60" w:type="dxa"/>
            <w:vAlign w:val="bottom"/>
            <w:tcBorders>
              <w:right w:val="single" w:sz="8" w:color="auto"/>
            </w:tcBorders>
          </w:tcPr>
          <w:p>
            <w:pPr>
              <w:spacing w:after="0"/>
              <w:rPr>
                <w:sz w:val="20"/>
                <w:szCs w:val="20"/>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240" w:type="dxa"/>
            <w:vAlign w:val="bottom"/>
            <w:tcBorders>
              <w:right w:val="single" w:sz="8" w:color="auto"/>
            </w:tcBorders>
          </w:tcPr>
          <w:p>
            <w:pPr>
              <w:spacing w:after="0"/>
              <w:rPr>
                <w:sz w:val="20"/>
                <w:szCs w:val="20"/>
                <w:color w:val="auto"/>
              </w:rPr>
            </w:pPr>
          </w:p>
        </w:tc>
        <w:tc>
          <w:tcPr>
            <w:tcW w:w="158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100" w:type="dxa"/>
            <w:vAlign w:val="bottom"/>
            <w:tcBorders>
              <w:right w:val="single" w:sz="8" w:color="auto"/>
            </w:tcBorders>
          </w:tcPr>
          <w:p>
            <w:pPr>
              <w:spacing w:after="0"/>
              <w:rPr>
                <w:sz w:val="20"/>
                <w:szCs w:val="20"/>
                <w:color w:val="auto"/>
              </w:rPr>
            </w:pPr>
          </w:p>
        </w:tc>
        <w:tc>
          <w:tcPr>
            <w:tcW w:w="138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700" w:type="dxa"/>
            <w:vAlign w:val="bottom"/>
            <w:tcBorders>
              <w:left w:val="single" w:sz="8" w:color="auto"/>
              <w:right w:val="single" w:sz="8" w:color="auto"/>
            </w:tcBorders>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1560" w:type="dxa"/>
            <w:vAlign w:val="bottom"/>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 ]</w:t>
            </w:r>
          </w:p>
        </w:tc>
        <w:tc>
          <w:tcPr>
            <w:tcW w:w="240" w:type="dxa"/>
            <w:vAlign w:val="bottom"/>
            <w:tcBorders>
              <w:right w:val="single" w:sz="8" w:color="auto"/>
            </w:tcBorders>
          </w:tcPr>
          <w:p>
            <w:pPr>
              <w:spacing w:after="0"/>
              <w:rPr>
                <w:sz w:val="22"/>
                <w:szCs w:val="22"/>
                <w:color w:val="auto"/>
              </w:rPr>
            </w:pPr>
          </w:p>
        </w:tc>
        <w:tc>
          <w:tcPr>
            <w:tcW w:w="158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 ]</w:t>
            </w:r>
          </w:p>
        </w:tc>
        <w:tc>
          <w:tcPr>
            <w:tcW w:w="100" w:type="dxa"/>
            <w:vAlign w:val="bottom"/>
            <w:tcBorders>
              <w:right w:val="single" w:sz="8" w:color="auto"/>
            </w:tcBorders>
          </w:tcPr>
          <w:p>
            <w:pPr>
              <w:spacing w:after="0"/>
              <w:rPr>
                <w:sz w:val="22"/>
                <w:szCs w:val="22"/>
                <w:color w:val="auto"/>
              </w:rPr>
            </w:pPr>
          </w:p>
        </w:tc>
        <w:tc>
          <w:tcPr>
            <w:tcW w:w="1380" w:type="dxa"/>
            <w:vAlign w:val="bottom"/>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 ]</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00" w:type="dxa"/>
            <w:vAlign w:val="bottom"/>
            <w:tcBorders>
              <w:left w:val="single" w:sz="8" w:color="auto"/>
              <w:right w:val="single" w:sz="8" w:color="auto"/>
            </w:tcBorders>
          </w:tcPr>
          <w:p>
            <w:pPr>
              <w:jc w:val="right"/>
              <w:ind w:right="341"/>
              <w:spacing w:after="0" w:line="186" w:lineRule="exact"/>
              <w:rPr>
                <w:sz w:val="20"/>
                <w:szCs w:val="20"/>
                <w:color w:val="auto"/>
              </w:rPr>
            </w:pPr>
            <w:r>
              <w:rPr>
                <w:rFonts w:ascii="Times New Roman" w:cs="Times New Roman" w:eastAsia="Times New Roman" w:hAnsi="Times New Roman"/>
                <w:sz w:val="20"/>
                <w:szCs w:val="20"/>
                <w:color w:val="auto"/>
              </w:rPr>
              <w:t>[_______]</w:t>
            </w:r>
          </w:p>
        </w:tc>
        <w:tc>
          <w:tcPr>
            <w:tcW w:w="190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[Performance Measure</w:t>
            </w:r>
          </w:p>
        </w:tc>
        <w:tc>
          <w:tcPr>
            <w:tcW w:w="60" w:type="dxa"/>
            <w:vAlign w:val="bottom"/>
            <w:tcBorders>
              <w:right w:val="single" w:sz="8" w:color="auto"/>
            </w:tcBorders>
          </w:tcPr>
          <w:p>
            <w:pPr>
              <w:spacing w:after="0"/>
              <w:rPr>
                <w:sz w:val="16"/>
                <w:szCs w:val="16"/>
                <w:color w:val="auto"/>
              </w:rPr>
            </w:pPr>
          </w:p>
        </w:tc>
        <w:tc>
          <w:tcPr>
            <w:tcW w:w="1560" w:type="dxa"/>
            <w:vAlign w:val="bottom"/>
          </w:tcPr>
          <w:p>
            <w:pPr>
              <w:jc w:val="right"/>
              <w:ind w:right="161"/>
              <w:spacing w:after="0" w:line="186" w:lineRule="exact"/>
              <w:rPr>
                <w:sz w:val="20"/>
                <w:szCs w:val="20"/>
                <w:color w:val="auto"/>
              </w:rPr>
            </w:pPr>
            <w:r>
              <w:rPr>
                <w:rFonts w:ascii="Times New Roman" w:cs="Times New Roman" w:eastAsia="Times New Roman" w:hAnsi="Times New Roman"/>
                <w:sz w:val="20"/>
                <w:szCs w:val="20"/>
                <w:color w:val="auto"/>
              </w:rPr>
              <w:t>[_______]</w:t>
            </w:r>
          </w:p>
        </w:tc>
        <w:tc>
          <w:tcPr>
            <w:tcW w:w="240" w:type="dxa"/>
            <w:vAlign w:val="bottom"/>
            <w:tcBorders>
              <w:right w:val="single" w:sz="8" w:color="auto"/>
            </w:tcBorders>
          </w:tcPr>
          <w:p>
            <w:pPr>
              <w:spacing w:after="0"/>
              <w:rPr>
                <w:sz w:val="16"/>
                <w:szCs w:val="16"/>
                <w:color w:val="auto"/>
              </w:rPr>
            </w:pPr>
          </w:p>
        </w:tc>
        <w:tc>
          <w:tcPr>
            <w:tcW w:w="1580" w:type="dxa"/>
            <w:vAlign w:val="bottom"/>
          </w:tcPr>
          <w:p>
            <w:pPr>
              <w:jc w:val="right"/>
              <w:ind w:right="301"/>
              <w:spacing w:after="0" w:line="186" w:lineRule="exact"/>
              <w:rPr>
                <w:sz w:val="20"/>
                <w:szCs w:val="20"/>
                <w:color w:val="auto"/>
              </w:rPr>
            </w:pPr>
            <w:r>
              <w:rPr>
                <w:rFonts w:ascii="Times New Roman" w:cs="Times New Roman" w:eastAsia="Times New Roman" w:hAnsi="Times New Roman"/>
                <w:sz w:val="20"/>
                <w:szCs w:val="20"/>
                <w:color w:val="auto"/>
              </w:rPr>
              <w:t>[______]</w:t>
            </w:r>
          </w:p>
        </w:tc>
        <w:tc>
          <w:tcPr>
            <w:tcW w:w="100" w:type="dxa"/>
            <w:vAlign w:val="bottom"/>
            <w:tcBorders>
              <w:right w:val="single" w:sz="8" w:color="auto"/>
            </w:tcBorders>
          </w:tcPr>
          <w:p>
            <w:pPr>
              <w:spacing w:after="0"/>
              <w:rPr>
                <w:sz w:val="16"/>
                <w:szCs w:val="16"/>
                <w:color w:val="auto"/>
              </w:rPr>
            </w:pPr>
          </w:p>
        </w:tc>
        <w:tc>
          <w:tcPr>
            <w:tcW w:w="1380" w:type="dxa"/>
            <w:vAlign w:val="bottom"/>
          </w:tcPr>
          <w:p>
            <w:pPr>
              <w:jc w:val="right"/>
              <w:ind w:right="181"/>
              <w:spacing w:after="0" w:line="186" w:lineRule="exact"/>
              <w:rPr>
                <w:sz w:val="20"/>
                <w:szCs w:val="20"/>
                <w:color w:val="auto"/>
              </w:rPr>
            </w:pPr>
            <w:r>
              <w:rPr>
                <w:rFonts w:ascii="Times New Roman" w:cs="Times New Roman" w:eastAsia="Times New Roman" w:hAnsi="Times New Roman"/>
                <w:sz w:val="20"/>
                <w:szCs w:val="20"/>
                <w:color w:val="auto"/>
              </w:rPr>
              <w:t>[_______]</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40" w:firstLine="324"/>
        <w:spacing w:after="0" w:line="271" w:lineRule="auto"/>
        <w:rPr>
          <w:sz w:val="20"/>
          <w:szCs w:val="20"/>
          <w:color w:val="auto"/>
        </w:rPr>
      </w:pPr>
      <w:r>
        <w:rPr>
          <w:rFonts w:ascii="Times New Roman" w:cs="Times New Roman" w:eastAsia="Times New Roman" w:hAnsi="Times New Roman"/>
          <w:sz w:val="19"/>
          <w:szCs w:val="19"/>
          <w:color w:val="auto"/>
        </w:rPr>
        <w:t>Straight line interpolation will be used between each of the levels of performance shown on the table above. No portion of the Option will be earned if performance for the applicable Performance Criteria is below the “Threshold” level. No more than [________] of the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Option may be earned regardless of performance in excess of the “Maximum” level.</w:t>
      </w:r>
    </w:p>
    <w:p>
      <w:pPr>
        <w:sectPr>
          <w:pgSz w:w="11900" w:h="16838" w:orient="portrait"/>
          <w:cols w:equalWidth="0" w:num="1">
            <w:col w:w="11240"/>
          </w:cols>
          <w:pgMar w:left="320" w:top="1440" w:right="339" w:bottom="1440" w:gutter="0" w:footer="0" w:header="0"/>
        </w:sectPr>
      </w:pPr>
    </w:p>
    <w:bookmarkStart w:id="35" w:name="page36"/>
    <w:bookmarkEnd w:id="35"/>
    <w:p>
      <w:pPr>
        <w:jc w:val="both"/>
        <w:ind w:left="8" w:firstLine="324"/>
        <w:spacing w:after="0" w:line="258" w:lineRule="auto"/>
        <w:rPr>
          <w:sz w:val="20"/>
          <w:szCs w:val="20"/>
          <w:color w:val="auto"/>
        </w:rPr>
      </w:pPr>
      <w:r>
        <w:rPr>
          <w:rFonts w:ascii="Times New Roman" w:cs="Times New Roman" w:eastAsia="Times New Roman" w:hAnsi="Times New Roman"/>
          <w:sz w:val="20"/>
          <w:szCs w:val="20"/>
          <w:color w:val="auto"/>
        </w:rPr>
        <w:t>As soon as practicable following the last day of the Performance Period, the Committee shall determine and certify the Applicable Payout Percentage for each of the Performance Criteria for the Performance Period and determine the earned portion of the [Performance Measure 1] Qualified Option, [Performance Measure 2] Qualified Option and the total earned portion of the Performance Qualified Option (the date of such certification, the “</w:t>
      </w:r>
      <w:r>
        <w:rPr>
          <w:rFonts w:ascii="Times New Roman" w:cs="Times New Roman" w:eastAsia="Times New Roman" w:hAnsi="Times New Roman"/>
          <w:sz w:val="20"/>
          <w:szCs w:val="20"/>
          <w:b w:val="1"/>
          <w:bCs w:val="1"/>
          <w:i w:val="1"/>
          <w:iCs w:val="1"/>
          <w:color w:val="auto"/>
        </w:rPr>
        <w:t>Committee Certification Date</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8" w:firstLine="324"/>
        <w:spacing w:after="0" w:line="283" w:lineRule="auto"/>
        <w:rPr>
          <w:sz w:val="20"/>
          <w:szCs w:val="20"/>
          <w:color w:val="auto"/>
        </w:rPr>
      </w:pPr>
      <w:r>
        <w:rPr>
          <w:rFonts w:ascii="Times New Roman" w:cs="Times New Roman" w:eastAsia="Times New Roman" w:hAnsi="Times New Roman"/>
          <w:sz w:val="20"/>
          <w:szCs w:val="20"/>
          <w:color w:val="auto"/>
        </w:rPr>
        <w:t>The Performance Qualified Option will remain subject to the other conditions of the Agreement and this Exhibit A (including Section 3 below), which must be satisfied for any Performance Qualified Option to vest.</w:t>
      </w:r>
    </w:p>
    <w:p>
      <w:pPr>
        <w:spacing w:after="0" w:line="160" w:lineRule="exact"/>
        <w:rPr>
          <w:sz w:val="20"/>
          <w:szCs w:val="20"/>
          <w:color w:val="auto"/>
        </w:rPr>
      </w:pPr>
    </w:p>
    <w:p>
      <w:pPr>
        <w:ind w:left="328" w:right="100" w:hanging="328"/>
        <w:spacing w:after="0" w:line="269" w:lineRule="auto"/>
        <w:tabs>
          <w:tab w:leader="none" w:pos="35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Continued Service-Based Vesting Requirement</w:t>
      </w:r>
      <w:r>
        <w:rPr>
          <w:rFonts w:ascii="Times New Roman" w:cs="Times New Roman" w:eastAsia="Times New Roman" w:hAnsi="Times New Roman"/>
          <w:sz w:val="20"/>
          <w:szCs w:val="20"/>
          <w:color w:val="auto"/>
        </w:rPr>
        <w:t>. The Performance Qualified Option will vest as follows, in each case subject to your Continuous Service through the applicable vesting date:</w:t>
      </w:r>
    </w:p>
    <w:p>
      <w:pPr>
        <w:spacing w:after="0" w:line="172" w:lineRule="exact"/>
        <w:rPr>
          <w:rFonts w:ascii="Times New Roman" w:cs="Times New Roman" w:eastAsia="Times New Roman" w:hAnsi="Times New Roman"/>
          <w:sz w:val="20"/>
          <w:szCs w:val="20"/>
          <w:color w:val="auto"/>
        </w:rPr>
      </w:pPr>
    </w:p>
    <w:p>
      <w:pPr>
        <w:jc w:val="both"/>
        <w:ind w:left="648" w:right="320"/>
        <w:spacing w:after="0" w:line="261" w:lineRule="auto"/>
        <w:tabs>
          <w:tab w:leader="none" w:pos="11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[____]% of the Performance Qualified Option, rounded down to the nearest whole share, will vest on [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Committee Certification Date is after [ ], such portion of the Option shall instead vest on the date that is 10 business days after such Committee Certification Date;</w:t>
      </w:r>
    </w:p>
    <w:p>
      <w:pPr>
        <w:spacing w:after="0" w:line="181" w:lineRule="exact"/>
        <w:rPr>
          <w:rFonts w:ascii="Times New Roman" w:cs="Times New Roman" w:eastAsia="Times New Roman" w:hAnsi="Times New Roman"/>
          <w:sz w:val="20"/>
          <w:szCs w:val="20"/>
          <w:color w:val="auto"/>
        </w:rPr>
      </w:pPr>
    </w:p>
    <w:p>
      <w:pPr>
        <w:ind w:left="648" w:right="340"/>
        <w:spacing w:after="0" w:line="269" w:lineRule="auto"/>
        <w:tabs>
          <w:tab w:leader="none" w:pos="1097"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 of the Performance Qualified Option, rounded down to the nearest whole share, will vest on each of the next 7 Quarterly Installment Dates, beginning on [ ]; and</w:t>
      </w:r>
    </w:p>
    <w:p>
      <w:pPr>
        <w:spacing w:after="0" w:line="136" w:lineRule="exact"/>
        <w:rPr>
          <w:rFonts w:ascii="Times New Roman" w:cs="Times New Roman" w:eastAsia="Times New Roman" w:hAnsi="Times New Roman"/>
          <w:sz w:val="20"/>
          <w:szCs w:val="20"/>
          <w:color w:val="auto"/>
        </w:rPr>
      </w:pPr>
    </w:p>
    <w:p>
      <w:pPr>
        <w:ind w:left="1088" w:hanging="440"/>
        <w:spacing w:after="0"/>
        <w:tabs>
          <w:tab w:leader="none" w:pos="108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then earned and unvested portion of the Performance Qualified Option shall vest on the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Quarterly Installment</w:t>
      </w:r>
    </w:p>
    <w:p>
      <w:pPr>
        <w:ind w:left="64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207" w:lineRule="exact"/>
        <w:rPr>
          <w:sz w:val="20"/>
          <w:szCs w:val="20"/>
          <w:color w:val="auto"/>
        </w:rPr>
      </w:pPr>
    </w:p>
    <w:p>
      <w:pPr>
        <w:jc w:val="both"/>
        <w:ind w:left="328" w:right="20"/>
        <w:spacing w:after="0" w:line="261" w:lineRule="auto"/>
        <w:rPr>
          <w:sz w:val="20"/>
          <w:szCs w:val="20"/>
          <w:color w:val="auto"/>
        </w:rPr>
      </w:pPr>
      <w:r>
        <w:rPr>
          <w:rFonts w:ascii="Times New Roman" w:cs="Times New Roman" w:eastAsia="Times New Roman" w:hAnsi="Times New Roman"/>
          <w:sz w:val="20"/>
          <w:szCs w:val="20"/>
          <w:color w:val="auto"/>
        </w:rPr>
        <w:t>Except as set forth in Section 4 below, if your Continuous Service terminates for any reason, any portion of the Performance Qualified Option that has not become vested in accordance with this Section 3 at the time of such termination will be immediately and automatically forfeited.</w:t>
      </w:r>
    </w:p>
    <w:p>
      <w:pPr>
        <w:spacing w:after="0" w:line="181" w:lineRule="exact"/>
        <w:rPr>
          <w:sz w:val="20"/>
          <w:szCs w:val="20"/>
          <w:color w:val="auto"/>
        </w:rPr>
      </w:pPr>
    </w:p>
    <w:p>
      <w:pPr>
        <w:ind w:left="348" w:hanging="348"/>
        <w:spacing w:after="0"/>
        <w:tabs>
          <w:tab w:leader="none" w:pos="3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 Change of Control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68" w:hanging="320"/>
        <w:spacing w:after="0" w:line="253" w:lineRule="auto"/>
        <w:tabs>
          <w:tab w:leader="none" w:pos="1111"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vesting schedule in the Agreement or anything in this Exhibit A, if at any time before the vesting or forfeiture of the Option, and while you are continuously employed by the Company or a Subsidiary, (i) a Change of Control (as defined in the Company’s Amended and Restated Change of Control and Severance Policy) occurs and (ii) the surviving or acquiring corporation (or its parent company) in such Change of Control does not assume or continue the Option covered by this Agreement or substitute a similar award for such Option (a “</w:t>
      </w:r>
      <w:r>
        <w:rPr>
          <w:rFonts w:ascii="Times New Roman" w:cs="Times New Roman" w:eastAsia="Times New Roman" w:hAnsi="Times New Roman"/>
          <w:sz w:val="20"/>
          <w:szCs w:val="20"/>
          <w:b w:val="1"/>
          <w:bCs w:val="1"/>
          <w:i w:val="1"/>
          <w:iCs w:val="1"/>
          <w:color w:val="auto"/>
        </w:rPr>
        <w:t>Replacement Award</w:t>
      </w:r>
      <w:r>
        <w:rPr>
          <w:rFonts w:ascii="Times New Roman" w:cs="Times New Roman" w:eastAsia="Times New Roman" w:hAnsi="Times New Roman"/>
          <w:sz w:val="20"/>
          <w:szCs w:val="20"/>
          <w:color w:val="auto"/>
        </w:rPr>
        <w:t>”), then any portion of the Option that is then unvested will become immediately vested at the Change of Control Performance Level immediately prior to (and contingent upon) the Change of Control.</w:t>
      </w:r>
    </w:p>
    <w:p>
      <w:pPr>
        <w:spacing w:after="0" w:line="179" w:lineRule="exact"/>
        <w:rPr>
          <w:rFonts w:ascii="Times New Roman" w:cs="Times New Roman" w:eastAsia="Times New Roman" w:hAnsi="Times New Roman"/>
          <w:sz w:val="20"/>
          <w:szCs w:val="20"/>
          <w:color w:val="auto"/>
        </w:rPr>
      </w:pPr>
    </w:p>
    <w:p>
      <w:pPr>
        <w:jc w:val="both"/>
        <w:ind w:left="968" w:hanging="320"/>
        <w:spacing w:after="0" w:line="258" w:lineRule="auto"/>
        <w:tabs>
          <w:tab w:leader="none" w:pos="1237"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12 months after a Change of Control, you experience a COC Qualifying Termination (as defined in the Company’s Amended and Restated Change of Control and Severance Policy) during the remaining vesting period for the Option (or the Replacement Award), any unvested portion of the Option (or the Replacement Award) shall immediately vest in full upon such COC Qualifying Termination.</w:t>
      </w:r>
    </w:p>
    <w:p>
      <w:pPr>
        <w:spacing w:after="0" w:line="185" w:lineRule="exact"/>
        <w:rPr>
          <w:rFonts w:ascii="Times New Roman" w:cs="Times New Roman" w:eastAsia="Times New Roman" w:hAnsi="Times New Roman"/>
          <w:sz w:val="20"/>
          <w:szCs w:val="20"/>
          <w:color w:val="auto"/>
        </w:rPr>
      </w:pPr>
    </w:p>
    <w:p>
      <w:pPr>
        <w:jc w:val="both"/>
        <w:ind w:left="968" w:hanging="320"/>
        <w:spacing w:after="0" w:line="261" w:lineRule="auto"/>
        <w:tabs>
          <w:tab w:leader="none" w:pos="111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experience a Qualifying Termination (as defined in the Company’s Amended and Restated Change of Control and Severance Policy) during the remaining vesting period for the Option and then a Change of Control occurs within three months following such termination of employment, any unvested Option shall immediately vest in full upon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8"/>
          </w:cols>
          <w:pgMar w:left="652" w:top="1413" w:right="339" w:bottom="1440" w:gutter="0" w:footer="0" w:header="0"/>
        </w:sectPr>
      </w:pPr>
    </w:p>
    <w:bookmarkStart w:id="36" w:name="page37"/>
    <w:bookmarkEnd w:id="36"/>
    <w:p>
      <w:pPr>
        <w:jc w:val="both"/>
        <w:ind w:left="968"/>
        <w:spacing w:after="0" w:line="258" w:lineRule="auto"/>
        <w:rPr>
          <w:sz w:val="20"/>
          <w:szCs w:val="20"/>
          <w:color w:val="auto"/>
        </w:rPr>
      </w:pPr>
      <w:r>
        <w:rPr>
          <w:rFonts w:ascii="Times New Roman" w:cs="Times New Roman" w:eastAsia="Times New Roman" w:hAnsi="Times New Roman"/>
          <w:sz w:val="20"/>
          <w:szCs w:val="20"/>
          <w:color w:val="auto"/>
        </w:rPr>
        <w:t>COC Qualifying Termination at the Change of Control Performance Level. For the avoidance of doubt, if your employment is terminated due to a Qualifying Termination prior to a Change of Control, the unvested portion of the Option shall remain outstanding for three months such that it may have an opportunity to vest in accordance with this Section if a Change of Control occurs within such time.</w:t>
      </w:r>
    </w:p>
    <w:p>
      <w:pPr>
        <w:spacing w:after="0" w:line="172" w:lineRule="exact"/>
        <w:rPr>
          <w:sz w:val="20"/>
          <w:szCs w:val="20"/>
          <w:color w:val="auto"/>
        </w:rPr>
      </w:pPr>
    </w:p>
    <w:p>
      <w:pPr>
        <w:jc w:val="both"/>
        <w:ind w:left="968" w:hanging="320"/>
        <w:spacing w:after="0" w:line="276" w:lineRule="auto"/>
        <w:tabs>
          <w:tab w:leader="none" w:pos="1224"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the time a Change of Control occurs, any portion of the Option covered by this Agreement is still subject to performance-based vesting conditions, then any award provided in substitution for the Option in connection with the Change of Control will not be considered a “Replacement Award” for purposes of this Section 4 unless it is an award of a time-based option, with the number of such shares subject to the option determined based on the Change of Control Performance Level.</w:t>
      </w:r>
    </w:p>
    <w:p>
      <w:pPr>
        <w:spacing w:after="0" w:line="169" w:lineRule="exact"/>
        <w:rPr>
          <w:rFonts w:ascii="Times New Roman" w:cs="Times New Roman" w:eastAsia="Times New Roman" w:hAnsi="Times New Roman"/>
          <w:sz w:val="19"/>
          <w:szCs w:val="19"/>
          <w:color w:val="auto"/>
        </w:rPr>
      </w:pPr>
    </w:p>
    <w:p>
      <w:pPr>
        <w:ind w:left="348" w:hanging="348"/>
        <w:spacing w:after="0"/>
        <w:tabs>
          <w:tab w:leader="none" w:pos="3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968" w:hanging="320"/>
        <w:spacing w:after="0" w:line="287" w:lineRule="auto"/>
        <w:tabs>
          <w:tab w:leader="none" w:pos="114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Payout Percentage</w:t>
      </w:r>
      <w:r>
        <w:rPr>
          <w:rFonts w:ascii="Times New Roman" w:cs="Times New Roman" w:eastAsia="Times New Roman" w:hAnsi="Times New Roman"/>
          <w:sz w:val="20"/>
          <w:szCs w:val="20"/>
          <w:color w:val="auto"/>
        </w:rPr>
        <w:t>” means the actual level of attainment (which may equal 0% or range from [___]% , to [____]%) of the Performance Goals for the applicable Performance Criteria for the Performance Period.</w:t>
      </w:r>
    </w:p>
    <w:p>
      <w:pPr>
        <w:spacing w:after="0" w:line="151" w:lineRule="exact"/>
        <w:rPr>
          <w:rFonts w:ascii="Times New Roman" w:cs="Times New Roman" w:eastAsia="Times New Roman" w:hAnsi="Times New Roman"/>
          <w:sz w:val="20"/>
          <w:szCs w:val="20"/>
          <w:color w:val="auto"/>
        </w:rPr>
      </w:pPr>
    </w:p>
    <w:p>
      <w:pPr>
        <w:jc w:val="both"/>
        <w:ind w:left="968" w:hanging="320"/>
        <w:spacing w:after="0" w:line="254" w:lineRule="auto"/>
        <w:tabs>
          <w:tab w:leader="none" w:pos="107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 Performance Level</w:t>
      </w:r>
      <w:r>
        <w:rPr>
          <w:rFonts w:ascii="Times New Roman" w:cs="Times New Roman" w:eastAsia="Times New Roman" w:hAnsi="Times New Roman"/>
          <w:sz w:val="20"/>
          <w:szCs w:val="20"/>
          <w:color w:val="auto"/>
        </w:rPr>
        <w:t>” means: (i) if the Change of Control occurs before the last day of the Performance Period, the “target” performance level; (ii) if the Change of Control occurs on or after the last day of the Performance Period but prior to the Committee Certification Date, the actual performance level measured as of the end of the Performance Period (as determined by the Committee, as constituted immediately prior to the Change of Control, in its sole discretion); or (iii) if the Change of Control occurs on or after the Committee Certification Date, the actual performance level determined by the Committee on such date.</w:t>
      </w:r>
    </w:p>
    <w:p>
      <w:pPr>
        <w:spacing w:after="0" w:line="173" w:lineRule="exact"/>
        <w:rPr>
          <w:rFonts w:ascii="Times New Roman" w:cs="Times New Roman" w:eastAsia="Times New Roman" w:hAnsi="Times New Roman"/>
          <w:sz w:val="20"/>
          <w:szCs w:val="20"/>
          <w:color w:val="auto"/>
        </w:rPr>
      </w:pPr>
    </w:p>
    <w:p>
      <w:pPr>
        <w:ind w:left="1068" w:hanging="420"/>
        <w:spacing w:after="0"/>
        <w:tabs>
          <w:tab w:leader="none" w:pos="106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Measure/Criteria Definitions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968" w:hanging="320"/>
        <w:spacing w:after="0" w:line="255" w:lineRule="auto"/>
        <w:tabs>
          <w:tab w:leader="none" w:pos="108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Qualified Option</w:t>
      </w:r>
      <w:r>
        <w:rPr>
          <w:rFonts w:ascii="Times New Roman" w:cs="Times New Roman" w:eastAsia="Times New Roman" w:hAnsi="Times New Roman"/>
          <w:sz w:val="20"/>
          <w:szCs w:val="20"/>
          <w:color w:val="auto"/>
        </w:rPr>
        <w:t>” means a number, rounded down to the nearest whole share, equal to (i) the [Performance Measure 1] Qualified Option plus (ii) the [Performance Measure 2] Qualified Option and represents the total number of shares subject to the Option that are eligible to vest and be earned in accordance with and subject to Section 3 of this Exhibit A.</w:t>
      </w:r>
    </w:p>
    <w:p>
      <w:pPr>
        <w:spacing w:after="0" w:line="183" w:lineRule="exact"/>
        <w:rPr>
          <w:rFonts w:ascii="Times New Roman" w:cs="Times New Roman" w:eastAsia="Times New Roman" w:hAnsi="Times New Roman"/>
          <w:sz w:val="20"/>
          <w:szCs w:val="20"/>
          <w:color w:val="auto"/>
        </w:rPr>
      </w:pPr>
    </w:p>
    <w:p>
      <w:pPr>
        <w:ind w:left="968" w:hanging="320"/>
        <w:spacing w:after="0" w:line="287" w:lineRule="auto"/>
        <w:tabs>
          <w:tab w:leader="none" w:pos="114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 1] Qualified Option</w:t>
      </w:r>
      <w:r>
        <w:rPr>
          <w:rFonts w:ascii="Times New Roman" w:cs="Times New Roman" w:eastAsia="Times New Roman" w:hAnsi="Times New Roman"/>
          <w:sz w:val="20"/>
          <w:szCs w:val="20"/>
          <w:color w:val="auto"/>
        </w:rPr>
        <w:t>” means a number equal to (i) the Target Number of shares subject to the Option, multiplied by (ii) [_]%, multiplied by (iii) the Applicable Payout Percentage for [Performance Measure 1].</w:t>
      </w:r>
    </w:p>
    <w:p>
      <w:pPr>
        <w:spacing w:after="0" w:line="138" w:lineRule="exact"/>
        <w:rPr>
          <w:rFonts w:ascii="Times New Roman" w:cs="Times New Roman" w:eastAsia="Times New Roman" w:hAnsi="Times New Roman"/>
          <w:sz w:val="20"/>
          <w:szCs w:val="20"/>
          <w:color w:val="auto"/>
        </w:rPr>
      </w:pPr>
    </w:p>
    <w:p>
      <w:pPr>
        <w:ind w:left="968" w:hanging="320"/>
        <w:spacing w:after="0" w:line="287" w:lineRule="auto"/>
        <w:tabs>
          <w:tab w:leader="none" w:pos="1121"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 2] Qualified Option</w:t>
      </w:r>
      <w:r>
        <w:rPr>
          <w:rFonts w:ascii="Times New Roman" w:cs="Times New Roman" w:eastAsia="Times New Roman" w:hAnsi="Times New Roman"/>
          <w:sz w:val="20"/>
          <w:szCs w:val="20"/>
          <w:color w:val="auto"/>
        </w:rPr>
        <w:t>” means a number equal to (i) the Target Number of shares subject to the Option, multiplied by (ii) [_]%, multiplied by (iii) the Applicable Payout Percentage for[Performance Measure 2].</w:t>
      </w:r>
    </w:p>
    <w:p>
      <w:pPr>
        <w:spacing w:after="0" w:line="138" w:lineRule="exact"/>
        <w:rPr>
          <w:rFonts w:ascii="Times New Roman" w:cs="Times New Roman" w:eastAsia="Times New Roman" w:hAnsi="Times New Roman"/>
          <w:sz w:val="20"/>
          <w:szCs w:val="20"/>
          <w:color w:val="auto"/>
        </w:rPr>
      </w:pPr>
    </w:p>
    <w:p>
      <w:pPr>
        <w:ind w:left="968" w:hanging="320"/>
        <w:spacing w:after="0" w:line="287" w:lineRule="auto"/>
        <w:tabs>
          <w:tab w:leader="none" w:pos="112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Quarterly Installment Date</w:t>
      </w:r>
      <w:r>
        <w:rPr>
          <w:rFonts w:ascii="Times New Roman" w:cs="Times New Roman" w:eastAsia="Times New Roman" w:hAnsi="Times New Roman"/>
          <w:sz w:val="20"/>
          <w:szCs w:val="20"/>
          <w:color w:val="auto"/>
        </w:rPr>
        <w:t>” means March 1, June 1, September 1, and December 1 of each year, provided that if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is not a business day, the Quarterly Installment Date shall be the first business day after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8"/>
          </w:cols>
          <w:pgMar w:left="652" w:top="1413" w:right="339" w:bottom="1440" w:gutter="0" w:footer="0" w:header="0"/>
        </w:sectPr>
      </w:pPr>
    </w:p>
    <w:bookmarkStart w:id="37" w:name="page38"/>
    <w:bookmarkEnd w:id="37"/>
    <w:p>
      <w:pPr>
        <w:spacing w:after="0" w:line="18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TTACHMENT</w:t>
      </w:r>
      <w:r>
        <w:rPr>
          <w:rFonts w:ascii="Times New Roman" w:cs="Times New Roman" w:eastAsia="Times New Roman" w:hAnsi="Times New Roman"/>
          <w:sz w:val="20"/>
          <w:szCs w:val="20"/>
          <w:b w:val="1"/>
          <w:bCs w:val="1"/>
          <w:color w:val="auto"/>
        </w:rPr>
        <w:t xml:space="preserve"> II</w:t>
      </w:r>
    </w:p>
    <w:p>
      <w:pPr>
        <w:spacing w:after="0" w:line="2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2021 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1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TTACHMENT</w:t>
      </w:r>
      <w:r>
        <w:rPr>
          <w:rFonts w:ascii="Times New Roman" w:cs="Times New Roman" w:eastAsia="Times New Roman" w:hAnsi="Times New Roman"/>
          <w:sz w:val="20"/>
          <w:szCs w:val="20"/>
          <w:b w:val="1"/>
          <w:bCs w:val="1"/>
          <w:color w:val="auto"/>
        </w:rPr>
        <w:t xml:space="preserve"> III</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OTICE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ERD</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6"/>
          <w:szCs w:val="16"/>
          <w:b w:val="1"/>
          <w:bCs w:val="1"/>
          <w:color w:val="auto"/>
        </w:rPr>
        <w:t>ALLET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(2021 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6"/>
          <w:szCs w:val="16"/>
          <w:color w:val="auto"/>
        </w:rPr>
        <w:t>ERD</w:t>
      </w:r>
      <w:r>
        <w:rPr>
          <w:rFonts w:ascii="Times New Roman" w:cs="Times New Roman" w:eastAsia="Times New Roman" w:hAnsi="Times New Roman"/>
          <w:sz w:val="20"/>
          <w:szCs w:val="20"/>
          <w:color w:val="auto"/>
        </w:rPr>
        <w:t>W</w:t>
      </w:r>
      <w:r>
        <w:rPr>
          <w:rFonts w:ascii="Times New Roman" w:cs="Times New Roman" w:eastAsia="Times New Roman" w:hAnsi="Times New Roman"/>
          <w:sz w:val="16"/>
          <w:szCs w:val="16"/>
          <w:color w:val="auto"/>
        </w:rPr>
        <w:t>ALLET</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 H</w:t>
      </w:r>
      <w:r>
        <w:rPr>
          <w:rFonts w:ascii="Times New Roman" w:cs="Times New Roman" w:eastAsia="Times New Roman" w:hAnsi="Times New Roman"/>
          <w:sz w:val="16"/>
          <w:szCs w:val="16"/>
          <w:color w:val="auto"/>
        </w:rPr>
        <w:t>AWTHORNE</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6"/>
          <w:szCs w:val="16"/>
          <w:color w:val="auto"/>
        </w:rPr>
        <w:t>T</w:t>
      </w:r>
      <w:r>
        <w:rPr>
          <w:rFonts w:ascii="Times New Roman" w:cs="Times New Roman" w:eastAsia="Times New Roman" w:hAnsi="Times New Roman"/>
          <w:sz w:val="20"/>
          <w:szCs w:val="20"/>
          <w:color w:val="auto"/>
        </w:rPr>
        <w:t>.,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6"/>
          <w:szCs w:val="16"/>
          <w:color w:val="auto"/>
        </w:rPr>
        <w:t>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6"/>
          <w:szCs w:val="16"/>
          <w:color w:val="auto"/>
        </w:rPr>
        <w:t>AN</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6"/>
          <w:szCs w:val="16"/>
          <w:color w:val="auto"/>
        </w:rPr>
        <w:t>RANCISCO</w:t>
      </w:r>
      <w:r>
        <w:rPr>
          <w:rFonts w:ascii="Times New Roman" w:cs="Times New Roman" w:eastAsia="Times New Roman" w:hAnsi="Times New Roman"/>
          <w:sz w:val="20"/>
          <w:szCs w:val="20"/>
          <w:color w:val="auto"/>
        </w:rPr>
        <w:t>, CA 94105</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 of Exercise: _______________</w:t>
      </w:r>
    </w:p>
    <w:p>
      <w:pPr>
        <w:spacing w:after="0" w:line="239" w:lineRule="exact"/>
        <w:rPr>
          <w:sz w:val="20"/>
          <w:szCs w:val="20"/>
          <w:color w:val="auto"/>
        </w:rPr>
      </w:pPr>
    </w:p>
    <w:p>
      <w:pPr>
        <w:ind w:firstLine="194"/>
        <w:spacing w:after="0" w:line="258" w:lineRule="auto"/>
        <w:rPr>
          <w:sz w:val="20"/>
          <w:szCs w:val="20"/>
          <w:color w:val="auto"/>
        </w:rPr>
      </w:pPr>
      <w:r>
        <w:rPr>
          <w:rFonts w:ascii="Times New Roman" w:cs="Times New Roman" w:eastAsia="Times New Roman" w:hAnsi="Times New Roman"/>
          <w:sz w:val="20"/>
          <w:szCs w:val="20"/>
          <w:color w:val="auto"/>
        </w:rPr>
        <w:t>This constitutes notice to NerdWallet,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that I elect to purchase the below number of shares of Common Stock of the Company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by exercising my Option for the price set forth below. Capitalized terms not explicitly defined in this Notice of Exercise but defined in the Grant Notice, Option Agreement or 2021 Equity Incentive Plan, as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have the meanings set forth therein, as applicable. Use of certain payment methods is subject to Company and/or Committee consent and certain additional requirements set forth in the Option Agreement and the Plan.</w:t>
      </w:r>
    </w:p>
    <w:p>
      <w:pPr>
        <w:sectPr>
          <w:pgSz w:w="11900" w:h="16838" w:orient="portrait"/>
          <w:cols w:equalWidth="0" w:num="1">
            <w:col w:w="11220"/>
          </w:cols>
          <w:pgMar w:left="320" w:top="1440" w:right="359" w:bottom="1440" w:gutter="0" w:footer="0" w:header="0"/>
        </w:sectPr>
      </w:pPr>
    </w:p>
    <w:p>
      <w:pPr>
        <w:spacing w:after="0" w:line="2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Type of option: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Nonstatutory</w:t>
      </w:r>
    </w:p>
    <w:p>
      <w:pPr>
        <w:spacing w:after="0" w:line="213" w:lineRule="exact"/>
        <w:rPr>
          <w:sz w:val="20"/>
          <w:szCs w:val="20"/>
          <w:color w:val="auto"/>
        </w:rPr>
      </w:pPr>
    </w:p>
    <w:p>
      <w:pPr>
        <w:sectPr>
          <w:pgSz w:w="11900" w:h="16838" w:orient="portrait"/>
          <w:cols w:equalWidth="0" w:num="2">
            <w:col w:w="6100" w:space="720"/>
            <w:col w:w="4400"/>
          </w:cols>
          <w:pgMar w:left="320" w:top="1440" w:right="359" w:bottom="1440" w:gutter="0" w:footer="0" w:header="0"/>
          <w:type w:val="continuous"/>
        </w:sectPr>
      </w:pPr>
    </w:p>
    <w:p>
      <w:pPr>
        <w:spacing w:after="0" w:line="9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Date of Grant:</w:t>
      </w:r>
    </w:p>
    <w:p>
      <w:pPr>
        <w:spacing w:after="0" w:line="2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Number of Shares as to which Option</w:t>
      </w:r>
    </w:p>
    <w:p>
      <w:pPr>
        <w:spacing w:after="0" w:line="4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is exercised:</w:t>
      </w:r>
    </w:p>
    <w:p>
      <w:pPr>
        <w:spacing w:after="0" w:line="25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Certificates to be issued in name of:</w:t>
      </w:r>
    </w:p>
    <w:p>
      <w:pPr>
        <w:sectPr>
          <w:pgSz w:w="11900" w:h="16838" w:orient="portrait"/>
          <w:cols w:equalWidth="0" w:num="1">
            <w:col w:w="11220"/>
          </w:cols>
          <w:pgMar w:left="320" w:top="1440" w:right="359" w:bottom="1440" w:gutter="0" w:footer="0" w:header="0"/>
          <w:type w:val="continuous"/>
        </w:sectPr>
      </w:pPr>
    </w:p>
    <w:p>
      <w:pPr>
        <w:spacing w:after="0" w:line="2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Total exercise price: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w:t>
      </w:r>
    </w:p>
    <w:p>
      <w:pPr>
        <w:spacing w:after="0" w:line="213" w:lineRule="exact"/>
        <w:rPr>
          <w:sz w:val="20"/>
          <w:szCs w:val="20"/>
          <w:color w:val="auto"/>
        </w:rPr>
      </w:pPr>
    </w:p>
    <w:p>
      <w:pPr>
        <w:sectPr>
          <w:pgSz w:w="11900" w:h="16838" w:orient="portrait"/>
          <w:cols w:equalWidth="0" w:num="2">
            <w:col w:w="6100" w:space="720"/>
            <w:col w:w="4400"/>
          </w:cols>
          <w:pgMar w:left="320" w:top="1440" w:right="359" w:bottom="1440" w:gutter="0" w:footer="0" w:header="0"/>
          <w:type w:val="continuous"/>
        </w:sectPr>
      </w:pPr>
    </w:p>
    <w:p>
      <w:pPr>
        <w:spacing w:after="0" w:line="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Cash, check, bank draft or money order</w:t>
      </w:r>
    </w:p>
    <w:p>
      <w:pPr>
        <w:spacing w:after="0" w:line="4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delivered herewith:</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w:t>
      </w:r>
    </w:p>
    <w:p>
      <w:pPr>
        <w:spacing w:after="0" w:line="483" w:lineRule="exact"/>
        <w:rPr>
          <w:sz w:val="20"/>
          <w:szCs w:val="20"/>
          <w:color w:val="auto"/>
        </w:rPr>
      </w:pPr>
    </w:p>
    <w:p>
      <w:pPr>
        <w:sectPr>
          <w:pgSz w:w="11900" w:h="16838" w:orient="portrait"/>
          <w:cols w:equalWidth="0" w:num="2">
            <w:col w:w="6100" w:space="720"/>
            <w:col w:w="4400"/>
          </w:cols>
          <w:pgMar w:left="320" w:top="1440" w:right="359" w:bottom="1440" w:gutter="0" w:footer="0" w:header="0"/>
          <w:type w:val="continuous"/>
        </w:sectPr>
      </w:pPr>
    </w:p>
    <w:p>
      <w:pPr>
        <w:spacing w:after="0" w:line="54" w:lineRule="exact"/>
        <w:rPr>
          <w:sz w:val="20"/>
          <w:szCs w:val="20"/>
          <w:color w:val="auto"/>
        </w:rPr>
      </w:pPr>
    </w:p>
    <w:p>
      <w:pPr>
        <w:ind w:left="2240" w:right="280"/>
        <w:spacing w:after="0" w:line="283" w:lineRule="auto"/>
        <w:rPr>
          <w:sz w:val="20"/>
          <w:szCs w:val="20"/>
          <w:color w:val="auto"/>
        </w:rPr>
      </w:pPr>
      <w:r>
        <w:rPr>
          <w:rFonts w:ascii="Times New Roman" w:cs="Times New Roman" w:eastAsia="Times New Roman" w:hAnsi="Times New Roman"/>
          <w:sz w:val="20"/>
          <w:szCs w:val="20"/>
          <w:color w:val="auto"/>
        </w:rPr>
        <w:t>Value of _______________ Shares delivered herewith: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w:t>
      </w:r>
    </w:p>
    <w:p>
      <w:pPr>
        <w:spacing w:after="0" w:line="524" w:lineRule="exact"/>
        <w:rPr>
          <w:sz w:val="20"/>
          <w:szCs w:val="20"/>
          <w:color w:val="auto"/>
        </w:rPr>
      </w:pPr>
    </w:p>
    <w:p>
      <w:pPr>
        <w:sectPr>
          <w:pgSz w:w="11900" w:h="16838" w:orient="portrait"/>
          <w:cols w:equalWidth="0" w:num="2">
            <w:col w:w="6100" w:space="720"/>
            <w:col w:w="4400"/>
          </w:cols>
          <w:pgMar w:left="320" w:top="1440" w:right="359" w:bottom="1440" w:gutter="0" w:footer="0" w:header="0"/>
          <w:type w:val="continuous"/>
        </w:sectPr>
      </w:pPr>
    </w:p>
    <w:p>
      <w:pPr>
        <w:spacing w:after="0" w:line="1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Regulation T Program (cashless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w:t>
      </w:r>
    </w:p>
    <w:p>
      <w:pPr>
        <w:spacing w:after="0" w:line="213" w:lineRule="exact"/>
        <w:rPr>
          <w:sz w:val="20"/>
          <w:szCs w:val="20"/>
          <w:color w:val="auto"/>
        </w:rPr>
      </w:pPr>
    </w:p>
    <w:p>
      <w:pPr>
        <w:sectPr>
          <w:pgSz w:w="11900" w:h="16838" w:orient="portrait"/>
          <w:cols w:equalWidth="0" w:num="2">
            <w:col w:w="6100" w:space="720"/>
            <w:col w:w="4400"/>
          </w:cols>
          <w:pgMar w:left="320" w:top="1440" w:right="359" w:bottom="1440" w:gutter="0" w:footer="0" w:header="0"/>
          <w:type w:val="continuous"/>
        </w:sectPr>
      </w:pPr>
    </w:p>
    <w:p>
      <w:pPr>
        <w:spacing w:after="0" w:line="95" w:lineRule="exact"/>
        <w:rPr>
          <w:sz w:val="20"/>
          <w:szCs w:val="20"/>
          <w:color w:val="auto"/>
        </w:rPr>
      </w:pPr>
    </w:p>
    <w:p>
      <w:pPr>
        <w:ind w:left="2240" w:right="340"/>
        <w:spacing w:after="0" w:line="283" w:lineRule="auto"/>
        <w:rPr>
          <w:sz w:val="20"/>
          <w:szCs w:val="20"/>
          <w:color w:val="auto"/>
        </w:rPr>
      </w:pPr>
      <w:r>
        <w:rPr>
          <w:rFonts w:ascii="Times New Roman" w:cs="Times New Roman" w:eastAsia="Times New Roman" w:hAnsi="Times New Roman"/>
          <w:sz w:val="20"/>
          <w:szCs w:val="20"/>
          <w:color w:val="auto"/>
        </w:rPr>
        <w:t>Value of _______________ Shares pursuant to net exercise: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w:t>
      </w:r>
    </w:p>
    <w:p>
      <w:pPr>
        <w:sectPr>
          <w:pgSz w:w="11900" w:h="16838" w:orient="portrait"/>
          <w:cols w:equalWidth="0" w:num="2">
            <w:col w:w="6100" w:space="720"/>
            <w:col w:w="4400"/>
          </w:cols>
          <w:pgMar w:left="320" w:top="1440" w:right="359" w:bottom="1440" w:gutter="0" w:footer="0" w:header="0"/>
          <w:type w:val="continuous"/>
        </w:sectPr>
      </w:pPr>
    </w:p>
    <w:bookmarkStart w:id="40" w:name="page41"/>
    <w:bookmarkEnd w:id="40"/>
    <w:p>
      <w:pPr>
        <w:ind w:left="652"/>
        <w:spacing w:after="0"/>
        <w:rPr>
          <w:sz w:val="20"/>
          <w:szCs w:val="20"/>
          <w:color w:val="auto"/>
        </w:rPr>
      </w:pPr>
      <w:r>
        <w:rPr>
          <w:rFonts w:ascii="Times New Roman" w:cs="Times New Roman" w:eastAsia="Times New Roman" w:hAnsi="Times New Roman"/>
          <w:sz w:val="20"/>
          <w:szCs w:val="20"/>
          <w:color w:val="auto"/>
        </w:rPr>
        <w:t>By this exercise, I agree (i) to provide such additional documents as the Company may require pursuant to the terms of the Plan and</w:t>
      </w:r>
    </w:p>
    <w:p>
      <w:pPr>
        <w:spacing w:after="0" w:line="28" w:lineRule="exact"/>
        <w:rPr>
          <w:sz w:val="20"/>
          <w:szCs w:val="20"/>
          <w:color w:val="auto"/>
        </w:rPr>
      </w:pPr>
    </w:p>
    <w:p>
      <w:pPr>
        <w:ind w:left="292" w:hanging="292"/>
        <w:spacing w:after="0"/>
        <w:tabs>
          <w:tab w:leader="none" w:pos="29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satisfy the tax withholding obligations, if any, relating to the exercise of this Option as set forth in the Option Agreement.</w:t>
      </w:r>
    </w:p>
    <w:p>
      <w:pPr>
        <w:spacing w:after="0" w:line="200" w:lineRule="exact"/>
        <w:rPr>
          <w:rFonts w:ascii="Times New Roman" w:cs="Times New Roman" w:eastAsia="Times New Roman" w:hAnsi="Times New Roman"/>
          <w:sz w:val="20"/>
          <w:szCs w:val="20"/>
          <w:color w:val="auto"/>
        </w:rPr>
      </w:pPr>
    </w:p>
    <w:p>
      <w:pPr>
        <w:ind w:left="453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417195</wp:posOffset>
            </wp:positionV>
            <wp:extent cx="125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lvl w:ilvl="1">
      <w:lvlJc w:val="left"/>
      <w:lvlText w:val="(%2)"/>
      <w:numFmt w:val="lowerLetter"/>
      <w:start w:val="1"/>
    </w:lvl>
  </w:abstractNum>
  <w:abstractNum w:abstractNumId="20">
    <w:nsid w:val="2901D8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
    <w:nsid w:val="81386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
    <w:nsid w:val="1E7FF52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7C3DBD3D"/>
    <w:multiLevelType w:val="hybridMultilevel"/>
    <w:lvl w:ilvl="0">
      <w:lvlJc w:val="left"/>
      <w:lvlText w:val="(%1)"/>
      <w:numFmt w:val="lowerRoman"/>
      <w:start w:val="3"/>
    </w:lvl>
  </w:abstractNum>
  <w:abstractNum w:abstractNumId="25">
    <w:nsid w:val="737B8DDC"/>
    <w:multiLevelType w:val="hybridMultilevel"/>
    <w:lvl w:ilvl="0">
      <w:lvlJc w:val="left"/>
      <w:lvlText w:val="%1."/>
      <w:numFmt w:val="decimal"/>
      <w:start w:val="4"/>
    </w:lvl>
  </w:abstractNum>
  <w:abstractNum w:abstractNumId="26">
    <w:nsid w:val="6CEAF087"/>
    <w:multiLevelType w:val="hybridMultilevel"/>
    <w:lvl w:ilvl="0">
      <w:lvlJc w:val="left"/>
      <w:lvlText w:val="%1."/>
      <w:numFmt w:val="decimal"/>
      <w:start w:val="9"/>
    </w:lvl>
    <w:lvl w:ilvl="1">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3"/>
    </w:lvl>
    <w:lvl w:ilvl="1">
      <w:lvlJc w:val="left"/>
      <w:lvlText w:val="(%2)"/>
      <w:numFmt w:val="lowerLetter"/>
      <w:start w:val="1"/>
    </w:lvl>
  </w:abstractNum>
  <w:abstractNum w:abstractNumId="29">
    <w:nsid w:val="3006C83E"/>
    <w:multiLevelType w:val="hybridMultilevel"/>
    <w:lvl w:ilvl="0">
      <w:lvlJc w:val="left"/>
      <w:lvlText w:val="%1."/>
      <w:numFmt w:val="decimal"/>
      <w:start w:val="4"/>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4"/>
    </w:lvl>
  </w:abstractNum>
  <w:abstractNum w:abstractNumId="31">
    <w:nsid w:val="419AC241"/>
    <w:multiLevelType w:val="hybridMultilevel"/>
    <w:lvl w:ilvl="0">
      <w:lvlJc w:val="left"/>
      <w:lvlText w:val="%1."/>
      <w:numFmt w:val="decimal"/>
      <w:start w:val="5"/>
    </w:lvl>
    <w:lvl w:ilvl="1">
      <w:lvlJc w:val="left"/>
      <w:lvlText w:val="(%2)"/>
      <w:numFmt w:val="lowerLetter"/>
      <w:start w:val="1"/>
    </w:lvl>
  </w:abstractNum>
  <w:abstractNum w:abstractNumId="32">
    <w:nsid w:val="5577F8E1"/>
    <w:multiLevelType w:val="hybridMultilevel"/>
    <w:lvl w:ilvl="0">
      <w:lvlJc w:val="left"/>
      <w:lvlText w:val="(%1)"/>
      <w:numFmt w:val="lowerRoman"/>
      <w:start w:val="2"/>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2024-04-25T16:14:53Z</dcterms:created>
  <dcterms:modified xsi:type="dcterms:W3CDTF">2024-04-25T16:14:53Z</dcterms:modified>
</cp:coreProperties>
</file>