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7"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4" w:lineRule="exact"/>
        <w:rPr>
          <w:rFonts w:ascii="MS PGothic" w:cs="MS PGothic" w:eastAsia="MS PGothic" w:hAnsi="MS PGothic"/>
          <w:sz w:val="18"/>
          <w:szCs w:val="18"/>
          <w:color w:val="auto"/>
          <w:highlight w:val="black"/>
        </w:rPr>
      </w:pPr>
    </w:p>
    <w:p>
      <w:pPr>
        <w:ind w:left="38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March 31, 2025</w:t>
      </w:r>
    </w:p>
    <w:p>
      <w:pPr>
        <w:sectPr>
          <w:pgSz w:w="11900" w:h="16838" w:orient="portrait"/>
          <w:cols w:equalWidth="0" w:num="1">
            <w:col w:w="11240"/>
          </w:cols>
          <w:pgMar w:left="320" w:top="1380"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Commission file number 001-40994</w:t>
      </w:r>
    </w:p>
    <w:p>
      <w:pPr>
        <w:spacing w:after="0" w:line="11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5"/>
          <w:szCs w:val="25"/>
          <w:b w:val="1"/>
          <w:bCs w:val="1"/>
          <w:color w:val="auto"/>
        </w:rPr>
        <w:t>NerdWallet, Inc.</w:t>
      </w:r>
    </w:p>
    <w:p>
      <w:pPr>
        <w:spacing w:after="0" w:line="3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13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ind w:left="7460"/>
        <w:spacing w:after="0"/>
        <w:rPr>
          <w:sz w:val="20"/>
          <w:szCs w:val="20"/>
          <w:color w:val="auto"/>
        </w:rPr>
      </w:pPr>
      <w:r>
        <w:rPr>
          <w:rFonts w:ascii="Times New Roman" w:cs="Times New Roman" w:eastAsia="Times New Roman" w:hAnsi="Times New Roman"/>
          <w:sz w:val="17"/>
          <w:szCs w:val="17"/>
          <w:b w:val="1"/>
          <w:bCs w:val="1"/>
          <w:color w:val="auto"/>
        </w:rPr>
        <w:t>45-4180440</w:t>
      </w:r>
    </w:p>
    <w:p>
      <w:pPr>
        <w:spacing w:after="0" w:line="39" w:lineRule="exact"/>
        <w:rPr>
          <w:sz w:val="24"/>
          <w:szCs w:val="24"/>
          <w:color w:val="auto"/>
        </w:rPr>
      </w:pPr>
    </w:p>
    <w:p>
      <w:pPr>
        <w:ind w:left="180"/>
        <w:spacing w:after="0"/>
        <w:tabs>
          <w:tab w:leader="none" w:pos="6620" w:val="left"/>
        </w:tabs>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39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55 Hawthorne Street, 10th Floor, San Francisco, California 94105</w:t>
      </w:r>
    </w:p>
    <w:p>
      <w:pPr>
        <w:spacing w:after="0" w:line="2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(Zip code)</w:t>
      </w:r>
    </w:p>
    <w:p>
      <w:pPr>
        <w:spacing w:after="0" w:line="9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(415) 549-8913</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180" w:space="400"/>
            <w:col w:w="10660"/>
          </w:cols>
          <w:pgMar w:left="320" w:top="1380" w:right="339" w:bottom="1440" w:gutter="0" w:footer="0" w:header="0"/>
          <w:type w:val="continuous"/>
        </w:sectPr>
      </w:pP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19" w:lineRule="exact"/>
        <w:rPr>
          <w:sz w:val="24"/>
          <w:szCs w:val="24"/>
          <w:color w:val="auto"/>
        </w:rPr>
      </w:pPr>
    </w:p>
    <w:p>
      <w:pPr>
        <w:ind w:left="1340"/>
        <w:spacing w:after="0"/>
        <w:tabs>
          <w:tab w:leader="none" w:pos="4500" w:val="left"/>
          <w:tab w:leader="none" w:pos="7220" w:val="left"/>
        </w:tabs>
        <w:rPr>
          <w:sz w:val="20"/>
          <w:szCs w:val="20"/>
          <w:color w:val="auto"/>
        </w:rPr>
      </w:pPr>
      <w:r>
        <w:rPr>
          <w:rFonts w:ascii="Times New Roman" w:cs="Times New Roman" w:eastAsia="Times New Roman" w:hAnsi="Times New Roman"/>
          <w:sz w:val="17"/>
          <w:szCs w:val="17"/>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65" w:lineRule="exact"/>
        <w:rPr>
          <w:sz w:val="24"/>
          <w:szCs w:val="24"/>
          <w:color w:val="auto"/>
        </w:rPr>
      </w:pPr>
    </w:p>
    <w:p>
      <w:pPr>
        <w:ind w:left="540"/>
        <w:spacing w:after="0"/>
        <w:tabs>
          <w:tab w:leader="none" w:pos="4940" w:val="left"/>
          <w:tab w:leader="none" w:pos="7860" w:val="left"/>
        </w:tabs>
        <w:rPr>
          <w:sz w:val="20"/>
          <w:szCs w:val="20"/>
          <w:color w:val="auto"/>
        </w:rPr>
      </w:pPr>
      <w:r>
        <w:rPr>
          <w:rFonts w:ascii="Times New Roman" w:cs="Times New Roman" w:eastAsia="Times New Roman" w:hAnsi="Times New Roman"/>
          <w:sz w:val="17"/>
          <w:szCs w:val="17"/>
          <w:color w:val="auto"/>
        </w:rPr>
        <w:t>Class A common stock, $0.0001 par value</w:t>
      </w:r>
      <w:r>
        <w:rPr>
          <w:sz w:val="20"/>
          <w:szCs w:val="20"/>
          <w:color w:val="auto"/>
        </w:rPr>
        <w:tab/>
      </w:r>
      <w:r>
        <w:rPr>
          <w:rFonts w:ascii="Times New Roman" w:cs="Times New Roman" w:eastAsia="Times New Roman" w:hAnsi="Times New Roman"/>
          <w:sz w:val="17"/>
          <w:szCs w:val="17"/>
          <w:color w:val="auto"/>
        </w:rPr>
        <w:t>NRDS</w:t>
      </w:r>
      <w:r>
        <w:rPr>
          <w:sz w:val="20"/>
          <w:szCs w:val="20"/>
          <w:color w:val="auto"/>
        </w:rPr>
        <w:tab/>
      </w:r>
      <w:r>
        <w:rPr>
          <w:rFonts w:ascii="Times New Roman" w:cs="Times New Roman" w:eastAsia="Times New Roman" w:hAnsi="Times New Roman"/>
          <w:sz w:val="17"/>
          <w:szCs w:val="17"/>
          <w:color w:val="auto"/>
        </w:rPr>
        <w:t>The Nasdaq Global Market</w:t>
      </w:r>
    </w:p>
    <w:p>
      <w:pPr>
        <w:spacing w:after="0" w:line="237"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9" w:lineRule="exact"/>
        <w:rPr>
          <w:sz w:val="24"/>
          <w:szCs w:val="24"/>
          <w:color w:val="auto"/>
        </w:rPr>
      </w:pPr>
    </w:p>
    <w:p>
      <w:pPr>
        <w:jc w:val="both"/>
        <w:spacing w:after="0" w:line="27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7"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1080" w:type="dxa"/>
        <w:tblCellMar>
          <w:top w:w="0" w:type="dxa"/>
          <w:left w:w="0" w:type="dxa"/>
          <w:bottom w:w="0" w:type="dxa"/>
          <w:right w:w="0" w:type="dxa"/>
        </w:tblCellMar>
      </w:tblP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9"/>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9"/>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2"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42,826,957 shares of Class A common stock and 31,685,652 shares of Class B common stock as of April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Form 10-Q</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5"/>
        </w:trPr>
        <w:tc>
          <w:tcPr>
            <w:tcW w:w="320" w:type="dxa"/>
            <w:vAlign w:val="bottom"/>
          </w:tcPr>
          <w:p>
            <w:pPr>
              <w:spacing w:after="0"/>
              <w:rPr>
                <w:sz w:val="15"/>
                <w:szCs w:val="15"/>
                <w:color w:val="auto"/>
              </w:rPr>
            </w:pPr>
          </w:p>
        </w:tc>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540" w:type="dxa"/>
            <w:vAlign w:val="bottom"/>
            <w:gridSpan w:val="9"/>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80" w:type="dxa"/>
            <w:vAlign w:val="bottom"/>
            <w:tcBorders>
              <w:top w:val="single" w:sz="8" w:color="0000FF"/>
            </w:tcBorders>
          </w:tcPr>
          <w:p>
            <w:pPr>
              <w:spacing w:after="0"/>
              <w:rPr>
                <w:sz w:val="20"/>
                <w:szCs w:val="20"/>
                <w:color w:val="auto"/>
              </w:rPr>
            </w:pPr>
          </w:p>
        </w:tc>
        <w:tc>
          <w:tcPr>
            <w:tcW w:w="3900" w:type="dxa"/>
            <w:vAlign w:val="bottom"/>
            <w:gridSpan w:val="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760" w:type="dxa"/>
            <w:vAlign w:val="bottom"/>
            <w:gridSpan w:val="7"/>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480" w:type="dxa"/>
            <w:vAlign w:val="bottom"/>
            <w:gridSpan w:val="6"/>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20"/>
                <w:szCs w:val="20"/>
                <w:color w:val="auto"/>
              </w:rPr>
            </w:pPr>
          </w:p>
        </w:tc>
        <w:tc>
          <w:tcPr>
            <w:tcW w:w="20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00" w:type="dxa"/>
            <w:vAlign w:val="bottom"/>
            <w:gridSpan w:val="11"/>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00" w:type="dxa"/>
            <w:vAlign w:val="bottom"/>
          </w:tcPr>
          <w:p>
            <w:pPr>
              <w:spacing w:after="0"/>
              <w:rPr>
                <w:sz w:val="20"/>
                <w:szCs w:val="20"/>
                <w:color w:val="auto"/>
              </w:rPr>
            </w:pPr>
          </w:p>
        </w:tc>
      </w:tr>
      <w:tr>
        <w:trPr>
          <w:trHeight w:val="507"/>
        </w:trPr>
        <w:tc>
          <w:tcPr>
            <w:tcW w:w="3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Item</w:t>
            </w:r>
          </w:p>
        </w:tc>
        <w:tc>
          <w:tcPr>
            <w:tcW w:w="20" w:type="dxa"/>
            <w:vAlign w:val="bottom"/>
            <w:tcBorders>
              <w:bottom w:val="single" w:sz="8" w:color="0000FF"/>
            </w:tcBorders>
          </w:tcPr>
          <w:p>
            <w:pPr>
              <w:spacing w:after="0"/>
              <w:rPr>
                <w:sz w:val="20"/>
                <w:szCs w:val="20"/>
                <w:color w:val="auto"/>
              </w:rPr>
            </w:pP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Borders>
              <w:bottom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0" w:type="dxa"/>
            <w:vAlign w:val="bottom"/>
            <w:tcBorders>
              <w:top w:val="single" w:sz="8" w:color="0000FF"/>
            </w:tcBorders>
          </w:tcPr>
          <w:p>
            <w:pPr>
              <w:spacing w:after="0"/>
              <w:rPr>
                <w:sz w:val="20"/>
                <w:szCs w:val="20"/>
                <w:color w:val="auto"/>
              </w:rPr>
            </w:pPr>
          </w:p>
        </w:tc>
        <w:tc>
          <w:tcPr>
            <w:tcW w:w="6980" w:type="dxa"/>
            <w:vAlign w:val="bottom"/>
            <w:gridSpan w:val="13"/>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1A.</w:t>
            </w: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120" w:type="dxa"/>
            <w:vAlign w:val="bottom"/>
            <w:gridSpan w:val="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0"/>
                <w:szCs w:val="20"/>
                <w:color w:val="auto"/>
              </w:rPr>
            </w:pPr>
          </w:p>
        </w:tc>
        <w:tc>
          <w:tcPr>
            <w:tcW w:w="6160" w:type="dxa"/>
            <w:vAlign w:val="bottom"/>
            <w:gridSpan w:val="10"/>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160" w:type="dxa"/>
            <w:vAlign w:val="bottom"/>
            <w:gridSpan w:val="1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06"/>
        </w:trPr>
        <w:tc>
          <w:tcPr>
            <w:tcW w:w="320" w:type="dxa"/>
            <w:vAlign w:val="bottom"/>
          </w:tcPr>
          <w:p>
            <w:pPr>
              <w:spacing w:after="0"/>
              <w:rPr>
                <w:sz w:val="24"/>
                <w:szCs w:val="24"/>
                <w:color w:val="auto"/>
              </w:rPr>
            </w:pPr>
          </w:p>
        </w:tc>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00" w:type="dxa"/>
            <w:vAlign w:val="bottom"/>
          </w:tcPr>
          <w:p>
            <w:pPr>
              <w:spacing w:after="0"/>
              <w:rPr>
                <w:sz w:val="24"/>
                <w:szCs w:val="24"/>
                <w:color w:val="auto"/>
              </w:rPr>
            </w:pPr>
          </w:p>
        </w:tc>
      </w:tr>
      <w:tr>
        <w:trPr>
          <w:trHeight w:val="1432"/>
        </w:trPr>
        <w:tc>
          <w:tcPr>
            <w:tcW w:w="3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significant risks and uncertainties. Except for statements of historical facts, all statements contained in this Quarterly Report on Form 10-Q are forward-looking. These statements often contain words such as “anticipate,” “believe,” “contemplate,” “continue,” “could,” “estimate,” “expect,” “intend,” “may,” “plan,” “potential,” “predict,” “project,” “should,” “target,” “will” or “would” or similar terms, including their negatives. These forward-looking statements include, but are not limited to, statements regarding:</w:t>
      </w:r>
    </w:p>
    <w:p>
      <w:pPr>
        <w:spacing w:after="0" w:line="183" w:lineRule="exact"/>
        <w:rPr>
          <w:sz w:val="20"/>
          <w:szCs w:val="20"/>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developments, including inflation, interest rates, credit market conditions and overall economic uncertainty on our business, operating results, financial condition, and stock price;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and operational performance, including total revenue, cost of revenue, non-GAAP operating income (loss) and adjusted EBITDA;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traffic and user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returns on marketing investments and brand campaigns;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demand for the products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user registrations and improve repeat usage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consumers into matches with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within existing and new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expansion;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relationships with financial services partners and identifying new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efficient and scalable technical capabilities to provide personalized guidance and engage users;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brand awareness and consumer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high quality, engaging consumer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the evolving financial interests of consumers;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in existing and new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security and availability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enhancing our intellectual property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highly skilled, diverse talent;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laws and regulations that currently apply or may apply in the future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cash equivalents, and investments to meet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growth, scaling infrastructure and preserving our corporate culture;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executing, and integrating acquisitions successfully;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expected synergies, accretive value, and other benefits from completed acquisitions.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forward-looking statements should not be relied upon as predictions or guarantees of future events. They are based on our current expectations, estimates, and projections regarding future events and trends that may affect our business, financial condition, and operating results. However, these expectations are subject to various risks, uncertainties, and assumptions, including those described elsewhere in this Quarterly Report on Form 10-Q, in Part I, Item 1A. Risk Factors in our Annual Report on Form 10-K for the year ended December 31, 2024, and in our subsequent periodic filings with the U.S. Securities and Exchange Commission.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industry is highly competitive and rapidly evolving, and new risks and uncertainties may arise that we cannot predict. As a result, actual results, events or circumstances may differ materially from those reflected in our forward-looking statements.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in this Quarterly Report on Form 10-Q speak only as of the date hereof. We undertake no obligation to update any such statements in this Quarterly Report on Form 10-Q to reflect subsequent events, new information, or unexpected developments, except as required by law. These statements also do not account for potential impacts from future acquisitions, mergers, dispositions, joint ventures, or investments.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statements that include “we believe” or similar expressions represent our beliefs and opinions as of the date of this Quarterly Report on Form 10-Q. While we believe the information supporting these statements is reasonable, it may be incomplete or subject to change. Investors should not interpret these statements as assurances that we have conducted an exhaustive inquiry or review of all relevant information. Given their inherent uncertainty, investors should not place undue reliance on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right"/>
        <w:ind w:right="2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ind w:left="20"/>
        <w:spacing w:after="0"/>
        <w:tabs>
          <w:tab w:leader="none" w:pos="9000" w:val="left"/>
          <w:tab w:leader="none" w:pos="10420" w:val="left"/>
        </w:tabs>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 and per share amounts)</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receivable—net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tabs>
          <w:tab w:leader="none" w:pos="900" w:val="left"/>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92.2</w:t>
      </w:r>
      <w:r>
        <w:rPr>
          <w:sz w:val="20"/>
          <w:szCs w:val="20"/>
          <w:color w:val="auto"/>
        </w:rPr>
        <w:tab/>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120.3</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241.9</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39.1</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112.5</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29.9</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45.8</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4.7</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1.1</w:t>
      </w:r>
    </w:p>
    <w:p>
      <w:pPr>
        <w:spacing w:after="0" w:line="46" w:lineRule="exact"/>
        <w:rPr>
          <w:sz w:val="20"/>
          <w:szCs w:val="20"/>
          <w:color w:val="auto"/>
        </w:rPr>
      </w:pPr>
    </w:p>
    <w:p>
      <w:pPr>
        <w:spacing w:after="0"/>
        <w:tabs>
          <w:tab w:leader="none" w:pos="800" w:val="left"/>
          <w:tab w:leader="none" w:pos="14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475.0</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840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66.3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102.2</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196.7</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43.0</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112.4</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33.3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45.6</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1.3</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69850</wp:posOffset>
            </wp:positionV>
            <wp:extent cx="840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3">
            <w:col w:w="7800" w:space="720"/>
            <w:col w:w="1520" w:space="720"/>
            <w:col w:w="46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liabilities—noncurrent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stock—$0.0001 par value per share—5,000 shares authorized; zero shares issued and outstanding</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4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Common stock—$0.0001 par value per share—296,686 shares authorized; 74,492 and 74,108 shares issued and</w:t>
            </w:r>
          </w:p>
        </w:tc>
        <w:tc>
          <w:tcPr>
            <w:tcW w:w="4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March 31, 2025 and December 31, 2024</w:t>
            </w:r>
          </w:p>
        </w:tc>
        <w:tc>
          <w:tcPr>
            <w:tcW w:w="4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-1687830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8.9</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34290</wp:posOffset>
            </wp:positionV>
            <wp:extent cx="8401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60.1</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34290</wp:posOffset>
            </wp:positionV>
            <wp:extent cx="8401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530.9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34290</wp:posOffset>
            </wp:positionV>
            <wp:extent cx="840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364.2</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62865</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10020" w:space="660"/>
            <w:col w:w="540"/>
          </w:cols>
          <w:pgMar w:left="320" w:top="121" w:right="359" w:bottom="1440" w:gutter="0" w:footer="0" w:header="0"/>
          <w:type w:val="continuous"/>
        </w:sectPr>
      </w:pP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Stockholders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Per Share Attributable to Common Stockholders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ind w:right="166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760" w:type="dxa"/>
            <w:vAlign w:val="bottom"/>
            <w:vMerge w:val="restart"/>
          </w:tcPr>
          <w:p>
            <w:pPr>
              <w:jc w:val="center"/>
              <w:ind w:left="48"/>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4" w:lineRule="exact"/>
        <w:rPr>
          <w:sz w:val="20"/>
          <w:szCs w:val="20"/>
          <w:color w:val="auto"/>
        </w:rPr>
      </w:pPr>
    </w:p>
    <w:p>
      <w:pPr>
        <w:spacing w:after="0"/>
        <w:tabs>
          <w:tab w:leader="none" w:pos="1060" w:val="left"/>
          <w:tab w:leader="none" w:pos="2020" w:val="left"/>
        </w:tabs>
        <w:rPr>
          <w:sz w:val="20"/>
          <w:szCs w:val="20"/>
          <w:color w:val="auto"/>
        </w:rPr>
      </w:pPr>
      <w:r>
        <w:rPr>
          <w:rFonts w:ascii="Times New Roman" w:cs="Times New Roman" w:eastAsia="Times New Roman" w:hAnsi="Times New Roman"/>
          <w:sz w:val="14"/>
          <w:szCs w:val="14"/>
          <w:b w:val="1"/>
          <w:bCs w:val="1"/>
          <w:color w:val="auto"/>
        </w:rPr>
        <w:t>Comprehensive</w:t>
        <w:tab/>
        <w:t>Accumulated</w:t>
        <w:tab/>
        <w:t>Stockholders’</w:t>
      </w:r>
    </w:p>
    <w:p>
      <w:pPr>
        <w:spacing w:after="0" w:line="15" w:lineRule="exact"/>
        <w:rPr>
          <w:sz w:val="20"/>
          <w:szCs w:val="20"/>
          <w:color w:val="auto"/>
        </w:rPr>
      </w:pPr>
    </w:p>
    <w:p>
      <w:pPr>
        <w:ind w:left="340"/>
        <w:spacing w:after="0"/>
        <w:tabs>
          <w:tab w:leader="none" w:pos="1280" w:val="left"/>
          <w:tab w:leader="none" w:pos="2220" w:val="left"/>
        </w:tabs>
        <w:rPr>
          <w:sz w:val="20"/>
          <w:szCs w:val="20"/>
          <w:color w:val="auto"/>
        </w:rPr>
      </w:pPr>
      <w:r>
        <w:rPr>
          <w:rFonts w:ascii="Times New Roman" w:cs="Times New Roman" w:eastAsia="Times New Roman" w:hAnsi="Times New Roman"/>
          <w:sz w:val="14"/>
          <w:szCs w:val="14"/>
          <w:b w:val="1"/>
          <w:bCs w:val="1"/>
          <w:color w:val="auto"/>
        </w:rPr>
        <w:t>Loss</w:t>
      </w:r>
      <w:r>
        <w:rPr>
          <w:sz w:val="20"/>
          <w:szCs w:val="20"/>
          <w:color w:val="auto"/>
        </w:rPr>
        <w:tab/>
      </w:r>
      <w:r>
        <w:rPr>
          <w:rFonts w:ascii="Times New Roman" w:cs="Times New Roman" w:eastAsia="Times New Roman" w:hAnsi="Times New Roman"/>
          <w:sz w:val="14"/>
          <w:szCs w:val="14"/>
          <w:b w:val="1"/>
          <w:bCs w:val="1"/>
          <w:color w:val="auto"/>
        </w:rPr>
        <w:t>Deficit</w:t>
      </w:r>
      <w:r>
        <w:rPr>
          <w:sz w:val="20"/>
          <w:szCs w:val="20"/>
          <w:color w:val="auto"/>
        </w:rPr>
        <w:tab/>
      </w:r>
      <w:r>
        <w:rPr>
          <w:rFonts w:ascii="Times New Roman" w:cs="Times New Roman" w:eastAsia="Times New Roman" w:hAnsi="Times New Roman"/>
          <w:sz w:val="14"/>
          <w:szCs w:val="14"/>
          <w:b w:val="1"/>
          <w:bCs w:val="1"/>
          <w:color w:val="auto"/>
        </w:rPr>
        <w:t>Equity</w:t>
      </w:r>
    </w:p>
    <w:p>
      <w:pPr>
        <w:spacing w:after="0" w:line="66" w:lineRule="exact"/>
        <w:rPr>
          <w:sz w:val="20"/>
          <w:szCs w:val="20"/>
          <w:color w:val="auto"/>
        </w:rPr>
      </w:pPr>
    </w:p>
    <w:p>
      <w:pPr>
        <w:sectPr>
          <w:pgSz w:w="11900" w:h="16838" w:orient="portrait"/>
          <w:cols w:equalWidth="0" w:num="2">
            <w:col w:w="8200" w:space="140"/>
            <w:col w:w="2900"/>
          </w:cols>
          <w:pgMar w:left="320" w:top="333"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74,108</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530.9</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(166.5)</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364.2</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74,492</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537.9</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371.6</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7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6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76,940</w:t>
            </w:r>
          </w:p>
        </w:tc>
        <w:tc>
          <w:tcPr>
            <w:tcW w:w="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483.7</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366.9</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91"/>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9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3"/>
        </w:trPr>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77,720</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494.5</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378.7</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borrowing on warehouse line of credit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payments related to net-share settlements on restricted stock units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recorded in accounts payable and accrued expenses and other 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Class A common stock recorded in accrued expenses and other current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payments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Related to Operating Leases: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10"/>
        </w:trPr>
        <w:tc>
          <w:tcPr>
            <w:tcW w:w="850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Basis of Presentation</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NerdWallet, Inc., a Delaware corporation, was formed on December 29, 2011. NerdWallet, Inc. and its subsidiaries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provide consumer-driven advice about personal finance through its platform by connecting individuals and small and mid-sized businesses (SMBs) with providers of financial products.</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Basis of Consolidation and Presentation—</w:t>
      </w:r>
      <w:r>
        <w:rPr>
          <w:rFonts w:ascii="Times New Roman" w:cs="Times New Roman" w:eastAsia="Times New Roman" w:hAnsi="Times New Roman"/>
          <w:sz w:val="18"/>
          <w:szCs w:val="18"/>
          <w:color w:val="auto"/>
        </w:rPr>
        <w:t>The accompanying unaudited interim condensed consolidated financial statements have been prepared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accounting principles generally accepted in the United States of America (GAAP) and applicable rules and regulations of the U.S. Securities and Exchange Commission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2024.</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Certain comparative amounts for the three and three months ended March 31, 2024 have been reclassified to conform to the financial statement presentation as of and for the three months ended March 31, 2025. The results of operations for the three months ended March 31, 2025 are not necessarily indicative of the results to be expected for the full year or any other future period.</w:t>
      </w:r>
    </w:p>
    <w:p>
      <w:pPr>
        <w:spacing w:after="0" w:line="13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Segments—</w:t>
      </w:r>
      <w:r>
        <w:rPr>
          <w:rFonts w:ascii="Times New Roman" w:cs="Times New Roman" w:eastAsia="Times New Roman" w:hAnsi="Times New Roman"/>
          <w:sz w:val="18"/>
          <w:szCs w:val="18"/>
          <w:color w:val="auto"/>
        </w:rPr>
        <w:t>The Company has one operating segment. The measure of segment assets is presented as total assets in the condensed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segment costs and expenses, along with a reconciliation to income (loss) from operations,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marketing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7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0"/>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 costs and expenses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64"/>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6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of capitalized internally developed software costs.</w:t>
      </w:r>
    </w:p>
    <w:p>
      <w:pPr>
        <w:spacing w:after="0" w:line="17" w:lineRule="exact"/>
        <w:rPr>
          <w:rFonts w:ascii="Times New Roman" w:cs="Times New Roman" w:eastAsia="Times New Roman" w:hAnsi="Times New Roman"/>
          <w:sz w:val="14"/>
          <w:szCs w:val="14"/>
          <w:color w:val="auto"/>
        </w:rPr>
      </w:pPr>
    </w:p>
    <w:p>
      <w:pPr>
        <w:ind w:left="340" w:hanging="332"/>
        <w:spacing w:after="0" w:line="278" w:lineRule="auto"/>
        <w:tabs>
          <w:tab w:leader="none" w:pos="3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cost of revenue and non-personnel-related operating expenses (each excluding depreciation and amortization), restructuring charges, and acquisition-related retention and expenses.</w:t>
      </w:r>
    </w:p>
    <w:p>
      <w:pPr>
        <w:spacing w:after="0" w:line="12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segment items included in consolidated net income (loss) are presented in the condensed consolidated statements of operations, and comprised of other income (expense), net, and income tax provision (benefit).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Sales and Marketing</w:t>
      </w:r>
      <w:r>
        <w:rPr>
          <w:rFonts w:ascii="Times New Roman" w:cs="Times New Roman" w:eastAsia="Times New Roman" w:hAnsi="Times New Roman"/>
          <w:sz w:val="18"/>
          <w:szCs w:val="18"/>
          <w:color w:val="auto"/>
        </w:rPr>
        <w:t>—Components of sales and marketing expenses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marketing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Brand marketing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and other marketing</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6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sales and marketing</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
        </w:trPr>
        <w:tc>
          <w:tcPr>
            <w:tcW w:w="8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—During the three months ended March 31, 2025, there have been no material changes to the Company’s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policies as disclosed in Note 1–The Company and its Significant Accounting Policies in the notes to the consolidated financial statements in the Company’s Annual Report on Form 10-K for the year ended December 31, 2024.</w:t>
      </w:r>
    </w:p>
    <w:p>
      <w:pPr>
        <w:spacing w:after="0" w:line="11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a disaggregation of the Company’s revenue based on product category: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6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$0.2 million and $4.1 million, respectively, of revenue that was deferred as of December 31, 2024 and 2023.</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 recorded within prepaid expenses and other current assets on the condensed consolidated balance sheet related to estimated variable consideration was $7.2 million and $6.8 million as of March 31, 2025 and December 31, 2024,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assets that are measured at fair value on a recurring basis, by level, within the fair value hierarchy are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4"/>
                <w:szCs w:val="14"/>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20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6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22"/>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9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7"/>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6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Condensed Consolidated Balance Sheet Components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equipment and software, net includes capitalized software development costs, net of accumulated amortization, of $36.8 million and $40.5 million as of March 31, 2025 and December 31, 2024, respectively. The Company capitalized $5.1 million and $6.4 million of software development costs during the three months ended March 31, 2025 and 2024, respectively. The Company recorded amortization expense related to capitalized software development costs of $8.8 million and $8.0 million during the three months ended March 31, 2025 and 2024, respectively.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Accrued expenses and other current liabilities include unbilled accounts payable of $46.3 million and $33.7 million, short-term borrowings under a warehouse line of credit of $6.8 million and $2.5 million, and operating lease liabilities of $1.7 million and $2.3 million, as of March 31, 2025 and December 31, 2024, respectively.</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liabilities—noncurrent includes operating lease liabilities of $3.8 million and $4.1 million as of March 31, 2025 and December 31, 2024,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Commitments and Other Financial Arrangements</w:t>
      </w:r>
      <w:r>
        <w:rPr>
          <w:rFonts w:ascii="Times New Roman" w:cs="Times New Roman" w:eastAsia="Times New Roman" w:hAnsi="Times New Roman"/>
          <w:sz w:val="18"/>
          <w:szCs w:val="18"/>
          <w:color w:val="auto"/>
        </w:rPr>
        <w:t>—The Company has certain financial commitments and other arrangements including unused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of credit, commitments under leases, and an outstanding warehouse line of credit. As of March 31, 2025, there were no material changes to the Company’s commitments and other financial arrangements as disclosed in Note 8–Commitments and Contingencies in the notes to the consolidated financial statements in the Company’s Annual Report on Form 10-K for the year ended December 31, 2024.</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Litigation and Other Legal Matters</w:t>
      </w:r>
      <w:r>
        <w:rPr>
          <w:rFonts w:ascii="Times New Roman" w:cs="Times New Roman" w:eastAsia="Times New Roman" w:hAnsi="Times New Roman"/>
          <w:sz w:val="18"/>
          <w:szCs w:val="18"/>
          <w:color w:val="auto"/>
        </w:rPr>
        <w:t>—The Company is involved from time to time in litigation, claims, and proceedings. Periodically,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March 31, 2025 or December 31, 2024.</w:t>
      </w:r>
    </w:p>
    <w:p>
      <w:pPr>
        <w:spacing w:after="0" w:line="13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Share Repurchase Program</w:t>
      </w:r>
      <w:r>
        <w:rPr>
          <w:rFonts w:ascii="Times New Roman" w:cs="Times New Roman" w:eastAsia="Times New Roman" w:hAnsi="Times New Roman"/>
          <w:sz w:val="18"/>
          <w:szCs w:val="18"/>
          <w:color w:val="auto"/>
        </w:rPr>
        <w:t>—The Company maintains a plan, authorized by its Board of Directors in May 2023 with subsequent additional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authorizations as approved by the Board of Directors, under which the Company may repurchase shares of the Company’s Class A common stock (collectively, the Repurchase Program).</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any shares of Class A common stock during the three months ended March 31, 2025 or 2024. The remaining share repurchase authorization under the Repurchase Program is $25.0 million as of March 31, 2025.</w:t>
      </w:r>
    </w:p>
    <w:p>
      <w:pPr>
        <w:spacing w:after="0" w:line="10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Equity Incentive Plans</w:t>
      </w:r>
      <w:r>
        <w:rPr>
          <w:rFonts w:ascii="Times New Roman" w:cs="Times New Roman" w:eastAsia="Times New Roman" w:hAnsi="Times New Roman"/>
          <w:sz w:val="18"/>
          <w:szCs w:val="18"/>
          <w:color w:val="auto"/>
        </w:rPr>
        <w:t>—The 2021 Equity Incentive Plan and the predecessor 2012 Equity Incentive Plan, both as amended, along with the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Inducement Equity Incentive Plan (collectively, the Plans) comprise the equity incentive plans of the Company.</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2021 Equity Incentive Plan, the number of shares of Class A common stock reserved for issuance under the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 In accordance with these plan terms, the aggregate number of shares of Class A common stock reserved for issuance under the 2021 Equity Incentive Plan increased by 3.7 million shares effective January 1, 2025.</w:t>
      </w:r>
    </w:p>
    <w:p>
      <w:pPr>
        <w:sectPr>
          <w:pgSz w:w="11900" w:h="16838" w:orient="portrait"/>
          <w:cols w:equalWidth="0" w:num="1">
            <w:col w:w="11240"/>
          </w:cols>
          <w:pgMar w:left="320" w:top="333" w:right="339" w:bottom="1440" w:gutter="0" w:footer="0" w:header="0"/>
        </w:sectPr>
      </w:pP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—A summary of the Company’s stock option activity for its Plans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7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61"/>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7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Cancelled/forfeited</w:t>
            </w:r>
            <w:r>
              <w:rPr>
                <w:rFonts w:ascii="Times New Roman" w:cs="Times New Roman" w:eastAsia="Times New Roman" w:hAnsi="Times New Roman"/>
                <w:sz w:val="23"/>
                <w:szCs w:val="23"/>
                <w:color w:val="auto"/>
                <w:vertAlign w:val="superscript"/>
              </w:rPr>
              <w:t>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6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r>
              <w:rPr>
                <w:rFonts w:ascii="Times New Roman" w:cs="Times New Roman" w:eastAsia="Times New Roman" w:hAnsi="Times New Roman"/>
                <w:sz w:val="23"/>
                <w:szCs w:val="23"/>
                <w:color w:val="auto"/>
                <w:vertAlign w:val="superscript"/>
              </w:rPr>
              <w:t>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March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of stock options with both service-based and performance-based conditions.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0.1 million of stock options with both service-based and performance-based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5"/>
                <w:szCs w:val="15"/>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4"/>
                <w:szCs w:val="14"/>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4"/>
        </w:trPr>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8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180" w:type="dxa"/>
        <w:tblCellMar>
          <w:top w:w="0" w:type="dxa"/>
          <w:left w:w="0" w:type="dxa"/>
          <w:bottom w:w="0" w:type="dxa"/>
          <w:right w:w="0" w:type="dxa"/>
        </w:tblCellMar>
      </w:tblPr>
      <w:tr>
        <w:trPr>
          <w:trHeight w:val="261"/>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6.7</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97"/>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4.5</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782" w:lineRule="exact"/>
        <w:rPr>
          <w:sz w:val="20"/>
          <w:szCs w:val="20"/>
          <w:color w:val="auto"/>
        </w:rPr>
      </w:pPr>
    </w:p>
    <w:p>
      <w:pPr>
        <w:sectPr>
          <w:pgSz w:w="11900" w:h="16838" w:orient="portrait"/>
          <w:cols w:equalWidth="0" w:num="2">
            <w:col w:w="8200" w:space="100"/>
            <w:col w:w="2940"/>
          </w:cols>
          <w:pgMar w:left="320" w:top="333" w:right="339" w:bottom="1440" w:gutter="0" w:footer="0" w:header="0"/>
          <w:type w:val="continuous"/>
        </w:sectPr>
      </w:pPr>
    </w:p>
    <w:p>
      <w:pPr>
        <w:spacing w:after="0" w:line="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2025 was $5.85 per share. The aggregate intrinsic value of options exercised was immaterial for the three months ended March 31, 2025.</w:t>
      </w:r>
    </w:p>
    <w:p>
      <w:pPr>
        <w:sectPr>
          <w:pgSz w:w="11900" w:h="16838" w:orient="portrait"/>
          <w:cols w:equalWidth="0" w:num="1">
            <w:col w:w="11240"/>
          </w:cols>
          <w:pgMar w:left="320" w:top="333"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per-share fair value of each stock option granted was determined on the date of grant using the following weighted-average assumptions:</w:t>
      </w:r>
    </w:p>
    <w:p>
      <w:pPr>
        <w:spacing w:after="0" w:line="57"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33020</wp:posOffset>
            </wp:positionV>
            <wp:extent cx="17399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r>
      <w:tr>
        <w:trPr>
          <w:trHeight w:val="27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7"/>
        </w:trPr>
        <w:tc>
          <w:tcPr>
            <w:tcW w:w="8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—A summary of the Company’s outstanding nonvested restricted stock units (RSUs) for its Plans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204"/>
        </w:trPr>
        <w:tc>
          <w:tcPr>
            <w:tcW w:w="8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6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2024</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7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7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70"/>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88"/>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March 31, 2025</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less than 0.1 million of RSUs with both service-based and performance-based conditions.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shares that vested under RSUs was $4.4 million during the three months ended March 31, 2025.</w:t>
      </w:r>
    </w:p>
    <w:p>
      <w:pPr>
        <w:spacing w:after="0" w:line="16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Employee Stock Purchase Plan</w:t>
      </w:r>
      <w:r>
        <w:rPr>
          <w:rFonts w:ascii="Times New Roman" w:cs="Times New Roman" w:eastAsia="Times New Roman" w:hAnsi="Times New Roman"/>
          <w:sz w:val="18"/>
          <w:szCs w:val="18"/>
          <w:color w:val="auto"/>
        </w:rPr>
        <w:t>—The terms of the Employee Stock Purchase Plan (ESPP) provide for automatic increases in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reserved for issuance on January 1 of each calendar year, beginning in 2023 and through 2031, subject to terms of the ESPP. In accordance with these plan terms, the aggregate number of Class A common stock authorized for issuance under the ESPP increased by 0.7 million effective January 1, 2025. Prior to capitalizing amounts related to software development costs, the Company recognized stock-based compensation related to the ESPP of $0.3 million during the three months ended March 31, 2025. The Company did not recognize any stock-based compensation related to the ESPP during the three months ended March 31, 2024, as the previous ESPP purchase period ended on December 31, 2023, and the next ESPP purchase began on May 1, 2024.</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recognized stock-based compensation under the Plans and ESPP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6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
        </w:trPr>
        <w:tc>
          <w:tcPr>
            <w:tcW w:w="8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stock-based compensation capitalized related to software development costs was $0.8 million and $0.9 million during the three months ended March 31, 2025 and 2024,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Company’s tax provision for the three months ended March 31, 2025 was determined using an estimated annual effective tax rate (AETR) which is adjusted for discrete items occurring during the periods presented. The Company’s tax provision for the three months ended March 31, 2024 was determined using a discrete effective tax rate method, as allowed by ASC Topic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xml:space="preserve"> as the Company had determined that small changes in estimated “ordinary” income would have resulted in significant changes in the estimated annual effective tax rate.</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2025 differs from the U.S. federal statutory income tax rate of 21% primarily due to discrete items related to stock-based compensation and uncertain tax positions. The primary difference between the Company’s effective tax rate and the statutory federal income tax rate for the three months ended March 31, 2024 was the full valuation allowance previously maintained on the Company’s federal, state and foreign deferred tax attributes. During the three months ended December 31, 2024, the Company concluded that it was more likely than not that the Company will be able to fully realize its net U.S. Federal and majority state deferred tax assets, with a significant improvement in the Company’s profitability, coupled with anticipated future earnings, deemed to provide positive evidence to support sufficient taxable income in future periods, and accordingly recorded a valuation allowance release. The Company continues to maintain a valuation allowance on its California deferred tax assets, which consist primarily of tax credits, as of March 31, 2025. The Company’s judgment regarding the likelihood of realization of its deferred tax assets could change in future periods, which could result in a material impact in the Company’s income tax provision in the period of change.</w:t>
      </w:r>
    </w:p>
    <w:p>
      <w:pPr>
        <w:spacing w:after="0" w:line="13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Basic and Diluted Share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the basic and diluted per share computations for net income attributable to common stockholders: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stock—basic</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RSUs, stock options and ESPP shares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stock—diluted</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stockholders: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
        </w:trPr>
        <w:tc>
          <w:tcPr>
            <w:tcW w:w="8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computation of diluted net income per share because including them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20" w:type="dxa"/>
            <w:vAlign w:val="bottom"/>
            <w:gridSpan w:val="2"/>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720" w:type="dxa"/>
            <w:vAlign w:val="bottom"/>
            <w:vMerge w:val="continue"/>
          </w:tcPr>
          <w:p>
            <w:pPr>
              <w:spacing w:after="0"/>
              <w:rPr>
                <w:sz w:val="16"/>
                <w:szCs w:val="16"/>
                <w:color w:val="auto"/>
              </w:rPr>
            </w:pPr>
          </w:p>
        </w:tc>
        <w:tc>
          <w:tcPr>
            <w:tcW w:w="522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72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RSUs</w:t>
            </w:r>
          </w:p>
        </w:tc>
        <w:tc>
          <w:tcPr>
            <w:tcW w:w="5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904"/>
        </w:trPr>
        <w:tc>
          <w:tcPr>
            <w:tcW w:w="4720" w:type="dxa"/>
            <w:vAlign w:val="bottom"/>
          </w:tcPr>
          <w:p>
            <w:pPr>
              <w:spacing w:after="0"/>
              <w:rPr>
                <w:sz w:val="24"/>
                <w:szCs w:val="24"/>
                <w:color w:val="auto"/>
              </w:rPr>
            </w:pPr>
          </w:p>
        </w:tc>
        <w:tc>
          <w:tcPr>
            <w:tcW w:w="3920" w:type="dxa"/>
            <w:vAlign w:val="bottom"/>
          </w:tcPr>
          <w:p>
            <w:pPr>
              <w:jc w:val="right"/>
              <w:ind w:right="2836"/>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7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NerdWallet provides trustworthy financial guidance to consumers and small and mid-sized businesses (SMBs).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personal finance website and app, NerdWallet provides consumers—both individuals and SMBs—with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for consumers in the U.S., United Kingdom, Canada and Australia.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non-GAAP financial measures we use to evaluate our business.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non-GAAP operating income (loss) and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1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Non-GAAP operating income (loss): </w:t>
      </w:r>
      <w:r>
        <w:rPr>
          <w:rFonts w:ascii="Times New Roman" w:cs="Times New Roman" w:eastAsia="Times New Roman" w:hAnsi="Times New Roman"/>
          <w:sz w:val="18"/>
          <w:szCs w:val="18"/>
          <w:color w:val="auto"/>
        </w:rPr>
        <w:t>We define non-GAAP operating income (loss) as income (loss) from operations adjusted to exclude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amortization, and further exclude (1) impairment of right-of-use asset, (2) losses (gains) on disposals of assets, (3) change in fair value of contingent consideration related to earnouts, (4) deferred compensation related to earnouts, (5) acquisition-related costs, and (6) restructuring charges. We also reduce income from operations, or increase loss from operations, for capitalized internally developed software costs.</w:t>
      </w:r>
    </w:p>
    <w:p>
      <w:pPr>
        <w:spacing w:after="0" w:line="122"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(loss) from continuing operations adjusted to exclude depreciation and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(expense), net, other gains (losses), net, and provision (benefit) for income taxes, and further exclude (1) impairment of right-of-use asset,</w:t>
      </w:r>
    </w:p>
    <w:p>
      <w:pPr>
        <w:spacing w:after="0" w:line="1" w:lineRule="exact"/>
        <w:rPr>
          <w:sz w:val="20"/>
          <w:szCs w:val="20"/>
          <w:color w:val="auto"/>
        </w:rPr>
      </w:pPr>
    </w:p>
    <w:p>
      <w:pPr>
        <w:ind w:firstLine="8"/>
        <w:spacing w:after="0" w:line="260" w:lineRule="auto"/>
        <w:tabs>
          <w:tab w:leader="none" w:pos="2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(gains) on disposals of assets, (3) change in fair value of contingent consideration related to earnouts, (4) deferred compensation related to earnouts, (5) stock-based compensation, (6) acquisition-related costs, and (7) restructuring charges.</w:t>
      </w:r>
    </w:p>
    <w:p>
      <w:pPr>
        <w:spacing w:after="0" w:line="1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spacing w:after="0" w:line="135" w:lineRule="exact"/>
        <w:rPr>
          <w:sz w:val="20"/>
          <w:szCs w:val="20"/>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certain recurring, non-cash charges, such as amortization of software, depreciation of property and equipment, amortization of intangible assets, impairment of right-of-use asset,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spacing w:after="0" w:line="12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certain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restructuring charges primarily consisting of severance payments, stock-based compensation, employee benefits, and related expenses for impacted employees, as well as contract termination costs, associated with our Restructuring Plan;</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income (expense) and other gains (losses), net, which include unrealized and realized gains and losses on foreign currency exchange, as well as certain nonrecurring gains (losses).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Operations—Results of Operations—Non-GAAP Financial Measures” for reconciliations of non-GAAP operating income (loss) to income (loss) from operations, and adjusted EBITDA to net income (loss), the most directly comparable respective GAAP financial measures.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following discussion should be read in conjunction with the condensed consolidated financial statements and related notes included elsewhere in this Quarterly Report on Form 10-Q.</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80" w:type="dxa"/>
            <w:vAlign w:val="bottom"/>
            <w:gridSpan w:val="2"/>
            <w:vMerge w:val="continue"/>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5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161.9</w:t>
            </w:r>
          </w:p>
        </w:tc>
        <w:tc>
          <w:tcPr>
            <w:tcW w:w="0" w:type="dxa"/>
            <w:vAlign w:val="bottom"/>
          </w:tcPr>
          <w:p>
            <w:pPr>
              <w:spacing w:after="0"/>
              <w:rPr>
                <w:sz w:val="1"/>
                <w:szCs w:val="1"/>
                <w:color w:val="auto"/>
              </w:rPr>
            </w:pPr>
          </w:p>
        </w:tc>
      </w:tr>
      <w:tr>
        <w:trPr>
          <w:trHeight w:val="24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4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4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40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3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4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income, net</w:t>
            </w:r>
          </w:p>
        </w:tc>
        <w:tc>
          <w:tcPr>
            <w:tcW w:w="4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4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460" w:type="dxa"/>
            <w:vAlign w:val="bottom"/>
            <w:gridSpan w:val="4"/>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4280" w:type="dxa"/>
            <w:vAlign w:val="bottom"/>
            <w:gridSpan w:val="2"/>
            <w:vMerge w:val="continue"/>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Includes stock-based compensation as follows:</w:t>
            </w: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3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91"/>
              </w:rPr>
              <w:t>2.1</w:t>
            </w:r>
          </w:p>
        </w:tc>
        <w:tc>
          <w:tcPr>
            <w:tcW w:w="4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1"/>
              </w:rPr>
              <w:t>2.1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40" w:type="dxa"/>
            <w:vAlign w:val="bottom"/>
          </w:tcPr>
          <w:p>
            <w:pPr>
              <w:spacing w:after="0"/>
              <w:rPr>
                <w:sz w:val="19"/>
                <w:szCs w:val="19"/>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91"/>
              </w:rPr>
              <w:t>2.5</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416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w w:val="91"/>
              </w:rPr>
              <w:t>6.7</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60" w:type="dxa"/>
            <w:vAlign w:val="bottom"/>
            <w:vMerge w:val="restart"/>
          </w:tcPr>
          <w:p>
            <w:pPr>
              <w:jc w:val="right"/>
              <w:ind w:right="2536"/>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58"/>
        </w:trPr>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as a percentage of revenue:</w:t>
      </w:r>
    </w:p>
    <w:p>
      <w:pPr>
        <w:spacing w:after="0" w:line="11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33020</wp:posOffset>
            </wp:positionV>
            <wp:extent cx="17399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20" w:type="dxa"/>
            <w:vAlign w:val="bottom"/>
            <w:gridSpan w:val="3"/>
          </w:tcPr>
          <w:p>
            <w:pPr>
              <w:ind w:left="90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9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5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w:t>
            </w: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5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8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8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6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$3.0 million, or 81%, for the three months ended March 31, 2025 compared to the three months ended March 31, 2024, as a $47.3 million increase in revenue was more than offset by a $50.3 million increase in operating expenses, primarily attributable to a $51.8 million increase in sales and marketing expenses.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decreased $0.9 million, or 86%, for the three months ended March 31, 2025 compared to the three months ended March 31, 2024, primarily attributable to the $3.0 million decrease in income from operations and a $0.7 million decrease in interest income, partially offset by a $2.6 million decrease in income tax provision.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6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6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increased $47.3 million, or 29%, for the three months ended March 31, 2025 compared to the three months ended March 31, 2024, primarily reflecting growth in Insurance products and Emerging verticals revenues, partially offset by lower Credit cards revenue.</w:t>
      </w:r>
    </w:p>
    <w:p>
      <w:pPr>
        <w:spacing w:after="0" w:line="10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Insurance revenue includes revenue from consumer insurance products, including auto, life and pet insurance. Insurance revenue increased $52.6 million, or 246%, for the three months ended March 31, 2025, driven by strong growth in auto insurance products revenue as carriers expanded budgets.</w:t>
      </w:r>
    </w:p>
    <w:p>
      <w:pPr>
        <w:spacing w:after="0" w:line="33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Credit cards revenue consists of revenue from consumer credit cards. Credit cards revenue decreased $12.0 million, or 24%, for the three months ended March 31, 2025, primarily due to continued pressures in organic search traffic.</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SMB products revenue includes revenue from loans, credit cards and other financial products and services intended for small and mid-sized businesses. SMB products revenue decreased $1.5 million, or 5%, for the three months ended March 31, 2025, primarily due to a decrease in business loan originations.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Loans revenue includes revenue from personal loans, mortgages, student loans and auto loans. Loans revenue increased $2.6 million, or 12%, for the three months ended March 31, 2025, primarily due to increases of 23% in mortgage loans revenue as we incorporate our acquisition of Next Door Lending LLC (NDL) in October 2024, and 8% in personal loans revenue.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Emerging verticals revenue includes revenue from other product sources, including banking, investing and international. Emerging verticals revenue increased $5.6 million, or 15%, for the three months ended March 31, 2025, primarily driven by a 22% increase in banking revenue due to higher demand for banking products.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6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increased $4.0 million, or 28%, for the three months ended March 31, 2025 compared to the three months ended March 31, 2024, primarily due to increases of $3.0 million primarily related to third-party service charges and $0.8 million in amortization expense related to capitalized software development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$3.9 million, or 19%, for the three months ended March 31, 2025 compared to the three months ended March 31, 2024, primarily attributable to a $4.1 million decrease in personnel-related costs for our engineering, data and product management personnel and contractors.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sales and marketing expense, including as a percentage of total sales and marketing expense, are as follows:</w:t>
      </w:r>
    </w:p>
    <w:p>
      <w:pPr>
        <w:spacing w:after="0" w:line="219"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39370</wp:posOffset>
            </wp:positionV>
            <wp:extent cx="27000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6"/>
                <w:szCs w:val="16"/>
                <w:color w:val="auto"/>
              </w:rPr>
            </w:pPr>
          </w:p>
        </w:tc>
      </w:tr>
      <w:tr>
        <w:trPr>
          <w:trHeight w:val="37"/>
        </w:trPr>
        <w:tc>
          <w:tcPr>
            <w:tcW w:w="6980" w:type="dxa"/>
            <w:vAlign w:val="bottom"/>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marketing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43"/>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Brand marketing</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
        </w:trPr>
        <w:tc>
          <w:tcPr>
            <w:tcW w:w="6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and other marketing</w:t>
            </w: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63"/>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sales and marketing</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able to adjust our marketing spend to reflect changes in external factors and consumer behavior.</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$51.8 million, or 48%, for the three months ended March 31, 2025 compared to the three months ended March 31, 2024, primarily due to increases of $43.0 million in performance marketing expenses and $10.4 million in brand marketing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$1.6 million, or 10%, for the three months ended March 31, 2025, as compared to the three months ended March 31, 2024, primarily attributable to a $2.3 million decrease in personnel-related costs, partially offset by a $0.6 million increase in professional services fees.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6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4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center"/>
              <w:ind w:left="15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6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center"/>
              <w:ind w:left="136"/>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net decreased $0.5 million, or 55%, for the three months ended March 31, 2025 compared to the three months ended March 31, 2024, primarily attributable to lower interest income reflecting lower average cash balances and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Company’s tax provision for the three months ended March 31, 2025 was determined using an estimated annual effective tax rate which was adjusted for discrete items occurring during the period. The Company’s tax provision for the three months ended March 31, 2024 was determined using a discrete effective tax rate method, as allowed by ASC Topic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xml:space="preserve"> as the Company had determined that small changes in estimated “ordinary” income would have resulted in significant changes in the estimated annual effective tax rate.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had income tax provisions of $1.1 million and $3.7 million for the three months ended March 31, 2025 and 2024, respectively. Our effective tax rate was 87.2% and 76.2% for the three months ended March 31, 2025 and 2024, respectively. Our effective tax rate for the three months ended March 31, 2025 differs from the U.S. federal statutory income tax rate of 21% primarily due to discrete items related to stock-based compensation and uncertain tax positions. Our effective tax rate for the three months ended March 31, 2024 differed from the U.S. federal statutory income tax rate of 21% primarily due to the valuation allowance previously maintained against our net U.S. deferred tax assets and state taxes, partially offset by research and development credits.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Based on our ongoing assessment of all available evidence, both positive and negative, including consideration of our historical profitability and the estimated impact of our operating model on future profitability, we concluded that it was more likely than not that our U.S. federal and majority state deferred tax assets are realizable, resulting in a valuation allowance release for federal and states, other than California, during the three months ended December 31, 2024. We continue to maintain a valuation allowance on our California deferred tax assets, which consist primarily of tax credits, as of March 31, 2025. Our judgment regarding the likelihood of realization of these deferred tax assets could change in future periods, which could result in a material impact to our income tax provision in the period of change.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reconciling non-GAAP operating income (loss) to income (loss) from operations, and adjusted EBITDA to net income (loss), the most comparable GAAP financial measures,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10.6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 margin</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56"/>
        </w:trPr>
        <w:tc>
          <w:tcPr>
            <w:tcW w:w="8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25.5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10.6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non-GAAP operating income (loss) as a percentage of revenue.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adjusted EBITDA as a percentage of revenue.</w:t>
      </w:r>
    </w:p>
    <w:p>
      <w:pPr>
        <w:spacing w:after="0" w:line="2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Operations—Results of Operations” for a discussion of the changes in income (loss) from operations and net income (loss) for the three months ended March 31, 2025 compared to the three months ended March 31, 2024.</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operating income decreased $1.3 million, or 12%, for the three months ended March 31, 2025, as compared to the three months ended March 31, 2024, primarily due to a $3.0 million decrease in income from operations, partially offset by the impacts of a $1.1 million decrease in capitalized internally developed software costs and a $0.7 million increase in depreciation and amortization.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decreased $4.4 million, or 17%, for the three months ended March 31, 2025 compared to the three months ended March 31, 2024, primarily attributable to decreases in adjustments to reconcile adjusted EBITDA to net income, including decreases of $2.6 million in income tax provision and $2.0 million in stock-based compensation.</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to meet our business requirements and plans, both in the short-term (i.e., the next twelve months from March 31, 2025) and long-term (i.e., beyond the next twelve months), have historically been cash generated from operations. Our primary liquidity needs are related to the funding of general business requirements, including working capital requirements, research and development, and capital expenditures, as well as other liquidity requirements including, but not limited to, business combinations.</w:t>
      </w:r>
    </w:p>
    <w:p>
      <w:pPr>
        <w:spacing w:after="0" w:line="126" w:lineRule="exact"/>
        <w:rPr>
          <w:sz w:val="20"/>
          <w:szCs w:val="20"/>
          <w:color w:val="auto"/>
        </w:rPr>
      </w:pPr>
    </w:p>
    <w:p>
      <w:pPr>
        <w:ind w:right="15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As of March 31, 2025 and December 31, 2024, we had cash and cash equivalents of $92.2 million and $66.3 million, respectively. </w:t>
      </w:r>
      <w:r>
        <w:rPr>
          <w:rFonts w:ascii="Times New Roman" w:cs="Times New Roman" w:eastAsia="Times New Roman" w:hAnsi="Times New Roman"/>
          <w:sz w:val="18"/>
          <w:szCs w:val="18"/>
          <w:b w:val="1"/>
          <w:bCs w:val="1"/>
          <w:i w:val="1"/>
          <w:iCs w:val="1"/>
          <w:color w:val="auto"/>
        </w:rPr>
        <w:t>Known Contractual and Other Obligations</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description of contractual commitments as of March 31, 2025 is included in Note 5–Commitments and Contingencies in the notes to our condensed consolidated financial statements.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 broadly, we also have purchase obligations under contractual arrangements with vendors and service providers, including for certain web-hosting and cloud computing services and advertising, which do not qualify for recognition on our condensed consolidated balance sheets but which we consider non-cancellable. During the three months ended March 31, 2025, there have been no material changes in our purchase obligations as disclosed in “Management’s Discussion and Analysis of Financial Condition and Results of Operations–Liquidity and Capital Resources” in our Annual Report on Form 10-K for the year ended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Uncertainties and Anticipated Sources of Funds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grow our business, we intend to make significant investments in our business, which may result in increases in our personnel and related expenses.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We maintain a plan, authorized by our Board of Directors in May 2023 with subsequent additional share repurchase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authorizations as approved by our Board of Directors, under which we may repurchase shares of our Class A common stock (collectively, the Repurchase Program). Subject to market conditions and other factors, the Repurchase Program is intended to make opportunistic repurchases of our Class A common stock to reduce our outstanding share count. Under the Repurchase Program, shares of Class A common stock may be repurchased in the open market through privately negotiated transactions or otherwise, in accordance with applicable securities laws and other restrictions. The Repurchase Program does not have fixed expiration dates and does not obligate us to acquire any specific number of shares. The timing and terms of any repurchases are at management’s discretion and depend on a variety of factors, including business, economic and market conditions, regulatory requirements, prevailing stock prices and other considerations. Additionally, we may, from time to time, enter into Rule 10b-5 trading plans to facilitate repurchases. Shares repurchased under the Repurchase Programs are retired. We expect to fund repurchases with existing cash and cash equivalents. We did not repurchase any shares of Class A common stock during the three months ended March 31, 2025.</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Facility: </w:t>
      </w:r>
      <w:r>
        <w:rPr>
          <w:rFonts w:ascii="Times New Roman" w:cs="Times New Roman" w:eastAsia="Times New Roman" w:hAnsi="Times New Roman"/>
          <w:sz w:val="18"/>
          <w:szCs w:val="18"/>
          <w:color w:val="auto"/>
        </w:rPr>
        <w:t>We, including three of our wholly-owned subsidiaries, maintain a credit agreement (the Credit Agreement) with JPMorgan 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The Credit Facility matures on September 26, 2028. We had no outstanding balance on our Credit Agreement as of March 31, 2025 or December 31, 2024. The available amount to borrow under our Credit Agreement was $123.9 million at both March 31, 2025 and December 31, 2024, which was equal to the available amount under the credit agreement of $125.0 million, net of letters of credit of $1.1 million. Our Credit Agreement contains certain customary financial and non-financial covenants. We were in compliance with all covenants as of March 31, 2025 and December 31,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Warehouse Line of Credit: </w:t>
      </w:r>
      <w:r>
        <w:rPr>
          <w:rFonts w:ascii="Times New Roman" w:cs="Times New Roman" w:eastAsia="Times New Roman" w:hAnsi="Times New Roman"/>
          <w:sz w:val="18"/>
          <w:szCs w:val="18"/>
          <w:color w:val="auto"/>
        </w:rPr>
        <w:t>NDL, a wholly-owned subsidiary, maintains a $15.0 million warehouse line of credit to provide NDL short-term funding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mortgage loans originated for sale. Borrowings under the warehouse line of credit bear interest at the greater of the interest rate of the underlying mortgage loans held for sale or a minimum rate of 6%, and are secured by the underlying promissory notes of the mortgage loans held for sale as well as NDL’s other assets. The warehouse line of credit matures on February 1, 2026. NDL had $6.8 million outstanding under the warehouse line of credit as of March 31, 2025, which is included in accrued expenses and other current liabilities on our condensed consolidated balance sheet. The warehouse line of credit requires NDL to comply with certain minimum tangible net worth, liquidity, and insurance requirements. NDL was in compliance with all covenants as of March 31, 2025 and December 31, 2024.</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our current cash and cash equivalents and future cash flow from operations, as well as access to our Credit Agreement, will be sufficient to meet our ongoing working capital, capital expenditure and other liquidity requirements for the next twelve months and beyond.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ectPr>
          <w:pgSz w:w="11900" w:h="16838" w:orient="portrait"/>
          <w:cols w:equalWidth="0" w:num="1">
            <w:col w:w="11240"/>
          </w:cols>
          <w:pgMar w:left="320" w:top="135" w:right="33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Capital Resources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cash flows: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15862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8020" w:space="720"/>
            <w:col w:w="2500"/>
          </w:cols>
          <w:pgMar w:left="320" w:top="135" w:right="339" w:bottom="1440" w:gutter="0" w:footer="0" w:header="0"/>
          <w:type w:val="continuous"/>
        </w:sect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$4.0 million in the three months ended March 31, 2025 compared to the three months ended March 31, 2024, as a $5.8 million increase in net cash inflow from changes in operating assets and liabilities was partially offset by decreases of $0.9 million in both net income and non-cash charges. The increase in net cash inflow from changes in operating assets and liabilities was primarily due to increases of $8.3 million in accrued expenses and other current liabilities and $1.9 million in accounts payable, partially offset by a $4.4 million increase in mortgage loans held-for-sale. The decrease in non-cash charges was primarily due to a $2.0 million decrease in stock-based compensation, partially offset by increases of $0.7 million in depreciation and amortization and $0.5 million in other, net.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$8.9 million in the three months ended March 31, 2025 compared to the three months ended March 31, 2024, primarily due to an $8.1 million purchase of an investment in the three months ended March 31, 2024, as well as a $1.0 million decrease in capitalized software development costs.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increased $2.5 million in the three months ended March 31, 2025 compared to the three months ended March 31, 2024, primarily due to a $4.3 million increase in short-term borrowings under a warehouse line of credit, partially offset by a $1.7 million decrease from exercises of stock options.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2025, there have been no material changes in our critical accounting policies as disclosed in “Management’s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Operations–Critical Accounting Policies and Estimates” in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were no material changes from the market risk disclosures in our Annual Report on Form 10-K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March 31, 2025. Based on that evaluation, the Chief Executive Officer and the Chief Financial Officer concluded that these disclosure controls and procedures were effective as of March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Rules 13a-15(d) and 15d-15(d) of the Exchange Act that occurred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5–Commitments and Contingencies in the notes to condensed consolidated financial statements in Item 1 of Part I of this Quarterly Report on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2024 and in our subsequent periodic filings with the Securities and Exchange Commission.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or Executive Officers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officers (as defined in Rule 16a-1 of the Exchange Act) adopted, modified or terminated a Rule 10b5-1 trading arrangement or a non-Rule 10b5-1 trading arrangement (as such terms are defined under Item 408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99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jc w:val="right"/>
        <w:ind w:right="10020"/>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Pr>
          <w:p>
            <w:pPr>
              <w:spacing w:after="0"/>
              <w:rPr>
                <w:sz w:val="15"/>
                <w:szCs w:val="15"/>
                <w:color w:val="auto"/>
              </w:rPr>
            </w:pPr>
          </w:p>
        </w:tc>
      </w:tr>
      <w:tr>
        <w:trPr>
          <w:trHeight w:val="19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0" w:type="dxa"/>
            <w:vAlign w:val="bottom"/>
            <w:gridSpan w:val="9"/>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Form of 2025 Executive Bonus Program</w:t>
            </w:r>
          </w:p>
        </w:tc>
        <w:tc>
          <w:tcPr>
            <w:tcW w:w="3180" w:type="dxa"/>
            <w:vAlign w:val="bottom"/>
            <w:gridSpan w:val="8"/>
          </w:tcPr>
          <w:p>
            <w:pPr>
              <w:spacing w:after="0"/>
              <w:rPr>
                <w:sz w:val="17"/>
                <w:szCs w:val="17"/>
                <w:color w:val="auto"/>
              </w:rPr>
            </w:pPr>
          </w:p>
        </w:tc>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25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3"/>
          </w:tcPr>
          <w:p>
            <w:pPr>
              <w:spacing w:after="0"/>
              <w:rPr>
                <w:sz w:val="17"/>
                <w:szCs w:val="17"/>
                <w:color w:val="auto"/>
              </w:rPr>
            </w:pPr>
          </w:p>
        </w:tc>
        <w:tc>
          <w:tcPr>
            <w:tcW w:w="420" w:type="dxa"/>
            <w:vAlign w:val="bottom"/>
            <w:gridSpan w:val="6"/>
          </w:tcPr>
          <w:p>
            <w:pPr>
              <w:spacing w:after="0"/>
              <w:rPr>
                <w:sz w:val="17"/>
                <w:szCs w:val="17"/>
                <w:color w:val="auto"/>
              </w:rPr>
            </w:pPr>
          </w:p>
        </w:tc>
        <w:tc>
          <w:tcPr>
            <w:tcW w:w="4080" w:type="dxa"/>
            <w:vAlign w:val="bottom"/>
          </w:tcPr>
          <w:p>
            <w:pPr>
              <w:spacing w:after="0"/>
              <w:rPr>
                <w:sz w:val="17"/>
                <w:szCs w:val="17"/>
                <w:color w:val="auto"/>
              </w:rPr>
            </w:pPr>
          </w:p>
        </w:tc>
      </w:tr>
      <w:tr>
        <w:trPr>
          <w:trHeight w:val="23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3"/>
          </w:tcPr>
          <w:p>
            <w:pPr>
              <w:spacing w:after="0"/>
              <w:rPr>
                <w:sz w:val="17"/>
                <w:szCs w:val="17"/>
                <w:color w:val="auto"/>
              </w:rPr>
            </w:pPr>
          </w:p>
        </w:tc>
        <w:tc>
          <w:tcPr>
            <w:tcW w:w="420" w:type="dxa"/>
            <w:vAlign w:val="bottom"/>
            <w:gridSpan w:val="6"/>
          </w:tcPr>
          <w:p>
            <w:pPr>
              <w:spacing w:after="0"/>
              <w:rPr>
                <w:sz w:val="17"/>
                <w:szCs w:val="17"/>
                <w:color w:val="auto"/>
              </w:rPr>
            </w:pPr>
          </w:p>
        </w:tc>
        <w:tc>
          <w:tcPr>
            <w:tcW w:w="4080" w:type="dxa"/>
            <w:vAlign w:val="bottom"/>
          </w:tcPr>
          <w:p>
            <w:pPr>
              <w:spacing w:after="0"/>
              <w:rPr>
                <w:sz w:val="17"/>
                <w:szCs w:val="17"/>
                <w:color w:val="auto"/>
              </w:rPr>
            </w:pPr>
          </w:p>
        </w:tc>
      </w:tr>
      <w:tr>
        <w:trPr>
          <w:trHeight w:val="23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020" w:type="dxa"/>
            <w:vAlign w:val="bottom"/>
            <w:tcBorders>
              <w:top w:val="single" w:sz="8" w:color="0000FF"/>
            </w:tcBorders>
            <w:gridSpan w:val="5"/>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25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80" w:type="dxa"/>
            <w:vAlign w:val="bottom"/>
            <w:tcBorders>
              <w:top w:val="single" w:sz="8" w:color="0000FF"/>
            </w:tcBorders>
            <w:gridSpan w:val="4"/>
          </w:tcPr>
          <w:p>
            <w:pPr>
              <w:spacing w:after="0"/>
              <w:rPr>
                <w:sz w:val="15"/>
                <w:szCs w:val="15"/>
                <w:color w:val="auto"/>
              </w:rPr>
            </w:pPr>
          </w:p>
        </w:tc>
        <w:tc>
          <w:tcPr>
            <w:tcW w:w="200" w:type="dxa"/>
            <w:vAlign w:val="bottom"/>
            <w:gridSpan w:val="3"/>
          </w:tcPr>
          <w:p>
            <w:pPr>
              <w:spacing w:after="0"/>
              <w:rPr>
                <w:sz w:val="15"/>
                <w:szCs w:val="15"/>
                <w:color w:val="auto"/>
              </w:rPr>
            </w:pPr>
          </w:p>
        </w:tc>
        <w:tc>
          <w:tcPr>
            <w:tcW w:w="4080" w:type="dxa"/>
            <w:vAlign w:val="bottom"/>
          </w:tcPr>
          <w:p>
            <w:pPr>
              <w:spacing w:after="0"/>
              <w:rPr>
                <w:sz w:val="15"/>
                <w:szCs w:val="15"/>
                <w:color w:val="auto"/>
              </w:rPr>
            </w:pPr>
          </w:p>
        </w:tc>
      </w:tr>
      <w:tr>
        <w:trPr>
          <w:trHeight w:val="259"/>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2"/>
                <w:szCs w:val="22"/>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408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4080" w:type="dxa"/>
            <w:vAlign w:val="bottom"/>
          </w:tcPr>
          <w:p>
            <w:pPr>
              <w:spacing w:after="0"/>
              <w:rPr>
                <w:sz w:val="20"/>
                <w:szCs w:val="20"/>
                <w:color w:val="auto"/>
              </w:rPr>
            </w:pPr>
          </w:p>
        </w:tc>
      </w:tr>
      <w:tr>
        <w:trPr>
          <w:trHeight w:val="257"/>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2"/>
                <w:szCs w:val="22"/>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3"/>
                <w:szCs w:val="23"/>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4080" w:type="dxa"/>
            <w:vAlign w:val="bottom"/>
          </w:tcPr>
          <w:p>
            <w:pPr>
              <w:spacing w:after="0"/>
              <w:rPr>
                <w:sz w:val="20"/>
                <w:szCs w:val="20"/>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59"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w:t>
      </w:r>
    </w:p>
    <w:p>
      <w:pPr>
        <w:spacing w:after="0" w:line="55" w:lineRule="exact"/>
        <w:rPr>
          <w:sz w:val="20"/>
          <w:szCs w:val="20"/>
          <w:color w:val="auto"/>
        </w:rPr>
      </w:pPr>
    </w:p>
    <w:p>
      <w:pPr>
        <w:ind w:left="340" w:hanging="332"/>
        <w:spacing w:after="0" w:line="281" w:lineRule="auto"/>
        <w:tabs>
          <w:tab w:leader="none" w:pos="2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5" w:lineRule="exact"/>
        <w:rPr>
          <w:sz w:val="20"/>
          <w:szCs w:val="20"/>
          <w:color w:val="auto"/>
        </w:rPr>
      </w:pPr>
    </w:p>
    <w:p>
      <w:pPr>
        <w:jc w:val="both"/>
        <w:ind w:left="340" w:hanging="332"/>
        <w:spacing w:after="0" w:line="271" w:lineRule="auto"/>
        <w:tabs>
          <w:tab w:leader="none" w:pos="353"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NERDWALLET, INC.</w:t>
      </w:r>
    </w:p>
    <w:p>
      <w:pPr>
        <w:spacing w:after="0" w:line="297" w:lineRule="exact"/>
        <w:rPr>
          <w:sz w:val="20"/>
          <w:szCs w:val="20"/>
          <w:color w:val="auto"/>
        </w:rPr>
      </w:pPr>
    </w:p>
    <w:p>
      <w:pPr>
        <w:ind w:left="20"/>
        <w:spacing w:after="0"/>
        <w:tabs>
          <w:tab w:leader="none" w:pos="600" w:val="left"/>
          <w:tab w:leader="none" w:pos="5100" w:val="left"/>
        </w:tabs>
        <w:rPr>
          <w:sz w:val="20"/>
          <w:szCs w:val="20"/>
          <w:color w:val="auto"/>
        </w:rPr>
      </w:pPr>
      <w:r>
        <w:rPr>
          <w:rFonts w:ascii="Times New Roman" w:cs="Times New Roman" w:eastAsia="Times New Roman" w:hAnsi="Times New Roman"/>
          <w:sz w:val="18"/>
          <w:szCs w:val="18"/>
          <w:color w:val="auto"/>
        </w:rPr>
        <w:t>Date:</w:t>
        <w:tab/>
        <w:t>May 6, 2025</w:t>
      </w:r>
      <w:r>
        <w:rPr>
          <w:sz w:val="20"/>
          <w:szCs w:val="20"/>
          <w:color w:val="auto"/>
        </w:rPr>
        <w:tab/>
      </w:r>
      <w:r>
        <w:rPr>
          <w:rFonts w:ascii="Times New Roman" w:cs="Times New Roman" w:eastAsia="Times New Roman" w:hAnsi="Times New Roman"/>
          <w:sz w:val="17"/>
          <w:szCs w:val="17"/>
          <w:color w:val="auto"/>
        </w:rPr>
        <w:t>/s/ Jun Hyung Lee</w:t>
      </w:r>
    </w:p>
    <w:p>
      <w:pPr>
        <w:ind w:left="4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21590</wp:posOffset>
            </wp:positionV>
            <wp:extent cx="26314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Jun Hyung Lee</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35"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NERDWALLET,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Bonus Program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NerdWallet,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______ Executive Bonus Program (this “</w:t>
      </w:r>
      <w:r>
        <w:rPr>
          <w:rFonts w:ascii="Times New Roman" w:cs="Times New Roman" w:eastAsia="Times New Roman" w:hAnsi="Times New Roman"/>
          <w:sz w:val="20"/>
          <w:szCs w:val="20"/>
          <w:b w:val="1"/>
          <w:bCs w:val="1"/>
          <w:i w:val="1"/>
          <w:iCs w:val="1"/>
          <w:color w:val="auto"/>
        </w:rPr>
        <w:t>Program</w:t>
      </w:r>
      <w:r>
        <w:rPr>
          <w:rFonts w:ascii="Times New Roman" w:cs="Times New Roman" w:eastAsia="Times New Roman" w:hAnsi="Times New Roman"/>
          <w:sz w:val="20"/>
          <w:szCs w:val="20"/>
          <w:color w:val="auto"/>
        </w:rPr>
        <w:t>”) is intended to link the interests of</w:t>
      </w:r>
    </w:p>
    <w:p>
      <w:pPr>
        <w:spacing w:after="0" w:line="2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certain C-Suite Executives of the Company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xml:space="preserve"> with those of the Company by creating a direct relationship between certain Company performance goals and a potential individual cash bonus payout to the Executive as further set forth herein. This Program will be effective for the _____ calendar year (the “</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xml:space="preserve">”) and shall apply to the Executive participants (each a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 xml:space="preserve">identified by the Compensation Committee of the Board of Directors of NerdWallet, Inc.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This Program shall be administered by the Committee. Capitalized terms used and not defined herein shall have the meaning assigned to such terms in the Company’s 2021 Equity Incentive Plan, as amended (the “</w:t>
      </w:r>
      <w:r>
        <w:rPr>
          <w:rFonts w:ascii="Times New Roman" w:cs="Times New Roman" w:eastAsia="Times New Roman" w:hAnsi="Times New Roman"/>
          <w:sz w:val="20"/>
          <w:szCs w:val="20"/>
          <w:b w:val="1"/>
          <w:bCs w:val="1"/>
          <w:i w:val="1"/>
          <w:iCs w:val="1"/>
          <w:color w:val="auto"/>
        </w:rPr>
        <w:t>2021 EIP</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left="660" w:right="20" w:hanging="328"/>
        <w:spacing w:after="0" w:line="259" w:lineRule="auto"/>
        <w:tabs>
          <w:tab w:leader="none" w:pos="823"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Criteria</w:t>
      </w:r>
      <w:r>
        <w:rPr>
          <w:rFonts w:ascii="Times New Roman" w:cs="Times New Roman" w:eastAsia="Times New Roman" w:hAnsi="Times New Roman"/>
          <w:sz w:val="20"/>
          <w:szCs w:val="20"/>
          <w:color w:val="auto"/>
        </w:rPr>
        <w:t>. The performance criteria for this Program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[Performance Measure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(weighted [__]%)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 xml:space="preserve">[Performance Measure 2] </w:t>
      </w:r>
      <w:r>
        <w:rPr>
          <w:rFonts w:ascii="Times New Roman" w:cs="Times New Roman" w:eastAsia="Times New Roman" w:hAnsi="Times New Roman"/>
          <w:sz w:val="20"/>
          <w:szCs w:val="20"/>
          <w:color w:val="auto"/>
        </w:rPr>
        <w:t>(weighted [__]%), each measured for the Performance Period and as defined below.</w:t>
      </w:r>
    </w:p>
    <w:p>
      <w:pPr>
        <w:spacing w:after="0" w:line="165" w:lineRule="exact"/>
        <w:rPr>
          <w:rFonts w:ascii="Times New Roman" w:cs="Times New Roman" w:eastAsia="Times New Roman" w:hAnsi="Times New Roman"/>
          <w:sz w:val="20"/>
          <w:szCs w:val="20"/>
          <w:b w:val="1"/>
          <w:bCs w:val="1"/>
          <w:color w:val="auto"/>
        </w:rPr>
      </w:pPr>
    </w:p>
    <w:p>
      <w:pPr>
        <w:ind w:left="840" w:hanging="184"/>
        <w:spacing w:after="0"/>
        <w:tabs>
          <w:tab w:leader="none" w:pos="84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Measure 1]</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b w:val="1"/>
          <w:bCs w:val="1"/>
          <w:i w:val="1"/>
          <w:iCs w:val="1"/>
          <w:color w:val="auto"/>
        </w:rPr>
        <w:t>[Performance Measure 1/Criteria Definition]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Measure 2]</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b w:val="1"/>
          <w:bCs w:val="1"/>
          <w:i w:val="1"/>
          <w:iCs w:val="1"/>
          <w:color w:val="auto"/>
        </w:rPr>
        <w:t>[Performance Measure 2/Criteria Definition]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80" w:hanging="348"/>
        <w:spacing w:after="0"/>
        <w:tabs>
          <w:tab w:leader="none" w:pos="68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The following terms shall have the definitions set forth below:</w:t>
      </w:r>
    </w:p>
    <w:p>
      <w:pPr>
        <w:spacing w:after="0" w:line="215" w:lineRule="exact"/>
        <w:rPr>
          <w:rFonts w:ascii="Times New Roman" w:cs="Times New Roman" w:eastAsia="Times New Roman" w:hAnsi="Times New Roman"/>
          <w:sz w:val="20"/>
          <w:szCs w:val="20"/>
          <w:b w:val="1"/>
          <w:bCs w:val="1"/>
          <w:color w:val="auto"/>
        </w:rPr>
      </w:pPr>
    </w:p>
    <w:p>
      <w:pPr>
        <w:jc w:val="both"/>
        <w:ind w:left="660" w:hanging="4"/>
        <w:spacing w:after="0" w:line="242" w:lineRule="auto"/>
        <w:tabs>
          <w:tab w:leader="none" w:pos="86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Payout Percentage</w:t>
      </w:r>
      <w:r>
        <w:rPr>
          <w:rFonts w:ascii="Times New Roman" w:cs="Times New Roman" w:eastAsia="Times New Roman" w:hAnsi="Times New Roman"/>
          <w:sz w:val="20"/>
          <w:szCs w:val="20"/>
          <w:color w:val="auto"/>
        </w:rPr>
        <w:t xml:space="preserve">” means the actual level of attainment (which may equal 0% or range from 0% in the case of </w:t>
      </w:r>
      <w:r>
        <w:rPr>
          <w:rFonts w:ascii="Times New Roman" w:cs="Times New Roman" w:eastAsia="Times New Roman" w:hAnsi="Times New Roman"/>
          <w:sz w:val="20"/>
          <w:szCs w:val="20"/>
          <w:b w:val="1"/>
          <w:bCs w:val="1"/>
          <w:i w:val="1"/>
          <w:iCs w:val="1"/>
          <w:color w:val="auto"/>
        </w:rPr>
        <w:t xml:space="preserve">[Performance Measure 1]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[Performance Measure 2]</w:t>
      </w:r>
      <w:r>
        <w:rPr>
          <w:rFonts w:ascii="Times New Roman" w:cs="Times New Roman" w:eastAsia="Times New Roman" w:hAnsi="Times New Roman"/>
          <w:sz w:val="20"/>
          <w:szCs w:val="20"/>
          <w:color w:val="auto"/>
        </w:rPr>
        <w:t>, to [__]%) of the Performance Goals for the applicable Performance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Criteria for the Performance Period.</w:t>
      </w:r>
    </w:p>
    <w:p>
      <w:pPr>
        <w:spacing w:after="0" w:line="195" w:lineRule="exact"/>
        <w:rPr>
          <w:rFonts w:ascii="Times New Roman" w:cs="Times New Roman" w:eastAsia="Times New Roman" w:hAnsi="Times New Roman"/>
          <w:sz w:val="20"/>
          <w:szCs w:val="20"/>
          <w:color w:val="auto"/>
        </w:rPr>
      </w:pPr>
    </w:p>
    <w:p>
      <w:pPr>
        <w:ind w:left="660" w:right="40" w:hanging="4"/>
        <w:spacing w:after="0" w:line="259" w:lineRule="auto"/>
        <w:tabs>
          <w:tab w:leader="none" w:pos="885"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has the meaning set forth in the Company’s Amended and Restated Change of Control and Severance Policy.</w:t>
      </w:r>
    </w:p>
    <w:p>
      <w:pPr>
        <w:spacing w:after="0" w:line="165" w:lineRule="exact"/>
        <w:rPr>
          <w:rFonts w:ascii="Times New Roman" w:cs="Times New Roman" w:eastAsia="Times New Roman" w:hAnsi="Times New Roman"/>
          <w:sz w:val="20"/>
          <w:szCs w:val="20"/>
          <w:color w:val="auto"/>
        </w:rPr>
      </w:pPr>
    </w:p>
    <w:p>
      <w:pPr>
        <w:jc w:val="both"/>
        <w:ind w:left="660" w:right="60" w:hanging="4"/>
        <w:spacing w:after="0" w:line="238" w:lineRule="auto"/>
        <w:tabs>
          <w:tab w:leader="none" w:pos="87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of Control Performance Level</w:t>
      </w:r>
      <w:r>
        <w:rPr>
          <w:rFonts w:ascii="Times New Roman" w:cs="Times New Roman" w:eastAsia="Times New Roman" w:hAnsi="Times New Roman"/>
          <w:sz w:val="20"/>
          <w:szCs w:val="20"/>
          <w:color w:val="auto"/>
        </w:rPr>
        <w:t>” means: (i) if the Change of Control occurs before the last day of the Performance Period, the “target” performance level; (ii) if the Change of Control occurs on or after the last day of the Performance Period but prior to the Committee Certification Date, the actual performance level measured as of the end of the Performance Period (as determined by the Committee, as constituted immediately prior to the Change of Control, in its sole discretion); or (iii) if the Change of Control occurs on or after the Committee Certification Date, the actual performance level determined by the Committee on such date.</w:t>
      </w:r>
    </w:p>
    <w:p>
      <w:pPr>
        <w:spacing w:after="0" w:line="170"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Measure 1]</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b w:val="1"/>
          <w:bCs w:val="1"/>
          <w:i w:val="1"/>
          <w:iCs w:val="1"/>
          <w:color w:val="auto"/>
        </w:rPr>
        <w:t>[Performance Measure 1/Criteria Definition]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hanging="4"/>
        <w:spacing w:after="0" w:line="249" w:lineRule="auto"/>
        <w:tabs>
          <w:tab w:leader="none" w:pos="86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[Performance Measure 1] Growth Bonus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 number equal to (i) the Participant’s eligible earnings for the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Period, multiplied by (ii) the Target Bonus Percentage, multiplied by (iii) [__]%, multiplied by (iv) the Applicable Payout Percentage for </w:t>
      </w:r>
      <w:r>
        <w:rPr>
          <w:rFonts w:ascii="Times New Roman" w:cs="Times New Roman" w:eastAsia="Times New Roman" w:hAnsi="Times New Roman"/>
          <w:sz w:val="20"/>
          <w:szCs w:val="20"/>
          <w:b w:val="1"/>
          <w:bCs w:val="1"/>
          <w:i w:val="1"/>
          <w:iCs w:val="1"/>
          <w:color w:val="auto"/>
        </w:rPr>
        <w:t>[Performance Measure 1]</w:t>
      </w:r>
      <w:r>
        <w:rPr>
          <w:rFonts w:ascii="Times New Roman" w:cs="Times New Roman" w:eastAsia="Times New Roman" w:hAnsi="Times New Roman"/>
          <w:sz w:val="20"/>
          <w:szCs w:val="20"/>
          <w:color w:val="auto"/>
        </w:rPr>
        <w:t xml:space="preserve"> Growth.</w:t>
      </w:r>
    </w:p>
    <w:p>
      <w:pPr>
        <w:spacing w:after="0" w:line="161" w:lineRule="exact"/>
        <w:rPr>
          <w:rFonts w:ascii="Times New Roman" w:cs="Times New Roman" w:eastAsia="Times New Roman" w:hAnsi="Times New Roman"/>
          <w:sz w:val="20"/>
          <w:szCs w:val="20"/>
          <w:color w:val="auto"/>
        </w:rPr>
      </w:pPr>
    </w:p>
    <w:p>
      <w:pPr>
        <w:ind w:left="820" w:hanging="164"/>
        <w:spacing w:after="0"/>
        <w:tabs>
          <w:tab w:leader="none" w:pos="82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Involuntary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 termination of employment without Cause.</w:t>
      </w:r>
    </w:p>
    <w:p>
      <w:pPr>
        <w:spacing w:after="0" w:line="215" w:lineRule="exact"/>
        <w:rPr>
          <w:rFonts w:ascii="Times New Roman" w:cs="Times New Roman" w:eastAsia="Times New Roman" w:hAnsi="Times New Roman"/>
          <w:sz w:val="20"/>
          <w:szCs w:val="20"/>
          <w:color w:val="auto"/>
        </w:rPr>
      </w:pPr>
    </w:p>
    <w:p>
      <w:pPr>
        <w:jc w:val="both"/>
        <w:ind w:left="660" w:right="20" w:hanging="4"/>
        <w:spacing w:after="0" w:line="242" w:lineRule="auto"/>
        <w:tabs>
          <w:tab w:leader="none" w:pos="87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[Performance Measure 2] Bonus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 number equal to (i) the Participant’s eligible earnings for the Performance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multiplied by (ii) Target Bonus Percentage, multiplied by (iii) [__]%, multiplied by (iv) the Applicable Payout Percentage for </w:t>
      </w:r>
      <w:r>
        <w:rPr>
          <w:rFonts w:ascii="Times New Roman" w:cs="Times New Roman" w:eastAsia="Times New Roman" w:hAnsi="Times New Roman"/>
          <w:sz w:val="20"/>
          <w:szCs w:val="20"/>
          <w:b w:val="1"/>
          <w:bCs w:val="1"/>
          <w:i w:val="1"/>
          <w:iCs w:val="1"/>
          <w:color w:val="auto"/>
        </w:rPr>
        <w:t>[Performance Measure 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369" w:right="339" w:bottom="1440" w:gutter="0" w:footer="0" w:header="0"/>
        </w:sectPr>
      </w:pPr>
    </w:p>
    <w:bookmarkStart w:id="29" w:name="page30"/>
    <w:bookmarkEnd w:id="29"/>
    <w:p>
      <w:pPr>
        <w:spacing w:after="0" w:line="158" w:lineRule="exact"/>
        <w:rPr>
          <w:sz w:val="20"/>
          <w:szCs w:val="20"/>
          <w:color w:val="auto"/>
        </w:rPr>
      </w:pPr>
    </w:p>
    <w:p>
      <w:pPr>
        <w:jc w:val="both"/>
        <w:ind w:left="328"/>
        <w:spacing w:after="0" w:line="249" w:lineRule="auto"/>
        <w:rPr>
          <w:sz w:val="20"/>
          <w:szCs w:val="20"/>
          <w:color w:val="auto"/>
        </w:rPr>
      </w:pPr>
      <w:r>
        <w:rPr>
          <w:rFonts w:ascii="Times New Roman" w:cs="Times New Roman" w:eastAsia="Times New Roman" w:hAnsi="Times New Roman"/>
          <w:sz w:val="20"/>
          <w:szCs w:val="20"/>
          <w:color w:val="auto"/>
        </w:rPr>
        <w:t xml:space="preserve">h.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Target Bonus Percentage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the target bonus percentage of eligible earnings approved for the Participant by the Compensation Committee. For purposes of the target bonus calculation, eligible earnings include base pay only for all periods of active employment or paid leave of absence. All other earnings are excluded from the target cash bonus calculation.</w:t>
      </w:r>
    </w:p>
    <w:p>
      <w:pPr>
        <w:spacing w:after="0" w:line="189" w:lineRule="exact"/>
        <w:rPr>
          <w:sz w:val="20"/>
          <w:szCs w:val="20"/>
          <w:color w:val="auto"/>
        </w:rPr>
      </w:pPr>
    </w:p>
    <w:p>
      <w:pPr>
        <w:ind w:left="328" w:hanging="328"/>
        <w:spacing w:after="0" w:line="259" w:lineRule="auto"/>
        <w:tabs>
          <w:tab w:leader="none" w:pos="519"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Goals and Committee Certification</w:t>
      </w:r>
      <w:r>
        <w:rPr>
          <w:rFonts w:ascii="Times New Roman" w:cs="Times New Roman" w:eastAsia="Times New Roman" w:hAnsi="Times New Roman"/>
          <w:sz w:val="20"/>
          <w:szCs w:val="20"/>
          <w:color w:val="auto"/>
        </w:rPr>
        <w:t>. The Committee will determine the performance achieved based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Performance Goals for each of the Performance Criteria for the Performance Period:</w:t>
      </w:r>
    </w:p>
    <w:p>
      <w:pPr>
        <w:spacing w:after="0" w:line="131" w:lineRule="exact"/>
        <w:rPr>
          <w:sz w:val="20"/>
          <w:szCs w:val="20"/>
          <w:color w:val="auto"/>
        </w:rPr>
      </w:pPr>
    </w:p>
    <w:tbl>
      <w:tblPr>
        <w:tblLayout w:type="fixed"/>
        <w:tblInd w:w="338" w:type="dxa"/>
        <w:tblCellMar>
          <w:top w:w="0" w:type="dxa"/>
          <w:left w:w="0" w:type="dxa"/>
          <w:bottom w:w="0" w:type="dxa"/>
          <w:right w:w="0" w:type="dxa"/>
        </w:tblCellMar>
      </w:tblPr>
      <w:tr>
        <w:trPr>
          <w:trHeight w:val="230"/>
        </w:trPr>
        <w:tc>
          <w:tcPr>
            <w:tcW w:w="2000" w:type="dxa"/>
            <w:vAlign w:val="bottom"/>
            <w:tcBorders>
              <w:top w:val="single" w:sz="8" w:color="auto"/>
              <w:left w:val="single" w:sz="8" w:color="auto"/>
              <w:right w:val="single" w:sz="8" w:color="auto"/>
            </w:tcBorders>
          </w:tcPr>
          <w:p>
            <w:pPr>
              <w:spacing w:after="0"/>
              <w:rPr>
                <w:sz w:val="19"/>
                <w:szCs w:val="19"/>
                <w:color w:val="auto"/>
              </w:rPr>
            </w:pPr>
          </w:p>
        </w:tc>
        <w:tc>
          <w:tcPr>
            <w:tcW w:w="2020" w:type="dxa"/>
            <w:vAlign w:val="bottom"/>
            <w:tcBorders>
              <w:top w:val="single" w:sz="8" w:color="auto"/>
              <w:right w:val="single" w:sz="8" w:color="auto"/>
            </w:tcBorders>
          </w:tcPr>
          <w:p>
            <w:pPr>
              <w:spacing w:after="0"/>
              <w:rPr>
                <w:sz w:val="19"/>
                <w:szCs w:val="19"/>
                <w:color w:val="auto"/>
              </w:rPr>
            </w:pPr>
          </w:p>
        </w:tc>
        <w:tc>
          <w:tcPr>
            <w:tcW w:w="576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 Goals and Payout Levels for the Performance</w:t>
            </w:r>
          </w:p>
        </w:tc>
      </w:tr>
      <w:tr>
        <w:trPr>
          <w:trHeight w:val="262"/>
        </w:trPr>
        <w:tc>
          <w:tcPr>
            <w:tcW w:w="2000" w:type="dxa"/>
            <w:vAlign w:val="bottom"/>
            <w:tcBorders>
              <w:left w:val="single" w:sz="8" w:color="auto"/>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820" w:type="dxa"/>
            <w:vAlign w:val="bottom"/>
          </w:tcPr>
          <w:p>
            <w:pPr>
              <w:spacing w:after="0"/>
              <w:rPr>
                <w:sz w:val="22"/>
                <w:szCs w:val="22"/>
                <w:color w:val="auto"/>
              </w:rPr>
            </w:pPr>
          </w:p>
        </w:tc>
        <w:tc>
          <w:tcPr>
            <w:tcW w:w="1860" w:type="dxa"/>
            <w:vAlign w:val="bottom"/>
          </w:tcPr>
          <w:p>
            <w:pPr>
              <w:jc w:val="center"/>
              <w:ind w:left="121"/>
              <w:spacing w:after="0"/>
              <w:rPr>
                <w:sz w:val="20"/>
                <w:szCs w:val="20"/>
                <w:color w:val="auto"/>
              </w:rPr>
            </w:pPr>
            <w:r>
              <w:rPr>
                <w:rFonts w:ascii="Times New Roman" w:cs="Times New Roman" w:eastAsia="Times New Roman" w:hAnsi="Times New Roman"/>
                <w:sz w:val="20"/>
                <w:szCs w:val="20"/>
                <w:b w:val="1"/>
                <w:bCs w:val="1"/>
                <w:color w:val="auto"/>
                <w:w w:val="98"/>
              </w:rPr>
              <w:t>Criteria</w:t>
            </w:r>
          </w:p>
        </w:tc>
        <w:tc>
          <w:tcPr>
            <w:tcW w:w="2080" w:type="dxa"/>
            <w:vAlign w:val="bottom"/>
            <w:tcBorders>
              <w:right w:val="single" w:sz="8" w:color="auto"/>
            </w:tcBorders>
          </w:tcPr>
          <w:p>
            <w:pPr>
              <w:spacing w:after="0"/>
              <w:rPr>
                <w:sz w:val="22"/>
                <w:szCs w:val="22"/>
                <w:color w:val="auto"/>
              </w:rPr>
            </w:pPr>
          </w:p>
        </w:tc>
      </w:tr>
      <w:tr>
        <w:trPr>
          <w:trHeight w:val="21"/>
        </w:trPr>
        <w:tc>
          <w:tcPr>
            <w:tcW w:w="2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2000" w:type="dxa"/>
            <w:vAlign w:val="bottom"/>
            <w:tcBorders>
              <w:left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8"/>
              </w:rPr>
              <w:t>Portion of Bonus</w:t>
            </w:r>
          </w:p>
        </w:tc>
        <w:tc>
          <w:tcPr>
            <w:tcW w:w="2020" w:type="dxa"/>
            <w:vAlign w:val="bottom"/>
            <w:tcBorders>
              <w:right w:val="single" w:sz="8" w:color="auto"/>
            </w:tcBorders>
          </w:tcPr>
          <w:p>
            <w:pPr>
              <w:ind w:left="160"/>
              <w:spacing w:after="0" w:line="223" w:lineRule="exact"/>
              <w:rPr>
                <w:sz w:val="20"/>
                <w:szCs w:val="20"/>
                <w:color w:val="auto"/>
              </w:rPr>
            </w:pPr>
            <w:r>
              <w:rPr>
                <w:rFonts w:ascii="Times New Roman" w:cs="Times New Roman" w:eastAsia="Times New Roman" w:hAnsi="Times New Roman"/>
                <w:sz w:val="20"/>
                <w:szCs w:val="20"/>
                <w:b w:val="1"/>
                <w:bCs w:val="1"/>
                <w:color w:val="auto"/>
              </w:rPr>
              <w:t>Performance</w:t>
            </w:r>
          </w:p>
        </w:tc>
        <w:tc>
          <w:tcPr>
            <w:tcW w:w="182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7"/>
              </w:rPr>
              <w:t>Threshold</w:t>
            </w:r>
          </w:p>
        </w:tc>
        <w:tc>
          <w:tcPr>
            <w:tcW w:w="186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3"/>
              </w:rPr>
              <w:t>Target</w:t>
            </w:r>
          </w:p>
        </w:tc>
        <w:tc>
          <w:tcPr>
            <w:tcW w:w="20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8"/>
              </w:rPr>
              <w:t>Maximum</w:t>
            </w:r>
          </w:p>
        </w:tc>
      </w:tr>
      <w:tr>
        <w:trPr>
          <w:trHeight w:val="276"/>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20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Criteria</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(0% payout)</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([__]% payout)</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(200% payout)</w:t>
            </w:r>
          </w:p>
        </w:tc>
      </w:tr>
      <w:tr>
        <w:trPr>
          <w:trHeight w:val="21"/>
        </w:trPr>
        <w:tc>
          <w:tcPr>
            <w:tcW w:w="2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000" w:type="dxa"/>
            <w:vAlign w:val="bottom"/>
            <w:tcBorders>
              <w:left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[__]%</w:t>
            </w:r>
          </w:p>
        </w:tc>
        <w:tc>
          <w:tcPr>
            <w:tcW w:w="2020" w:type="dxa"/>
            <w:vAlign w:val="bottom"/>
            <w:tcBorders>
              <w:right w:val="single" w:sz="8" w:color="auto"/>
            </w:tcBorders>
          </w:tcPr>
          <w:p>
            <w:pPr>
              <w:ind w:left="140"/>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rPr>
              <w:t>[Performance</w:t>
            </w:r>
          </w:p>
        </w:tc>
        <w:tc>
          <w:tcPr>
            <w:tcW w:w="1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5"/>
              </w:rPr>
              <w:t>[__]</w:t>
            </w:r>
          </w:p>
        </w:tc>
        <w:tc>
          <w:tcPr>
            <w:tcW w:w="186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[__]</w:t>
            </w:r>
          </w:p>
        </w:tc>
        <w:tc>
          <w:tcPr>
            <w:tcW w:w="20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5"/>
              </w:rPr>
              <w:t>[__]</w:t>
            </w:r>
          </w:p>
        </w:tc>
      </w:tr>
      <w:tr>
        <w:trPr>
          <w:trHeight w:val="266"/>
        </w:trPr>
        <w:tc>
          <w:tcPr>
            <w:tcW w:w="2000" w:type="dxa"/>
            <w:vAlign w:val="bottom"/>
            <w:tcBorders>
              <w:left w:val="single" w:sz="8" w:color="auto"/>
              <w:bottom w:val="single" w:sz="8" w:color="auto"/>
              <w:right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Measure 1]</w:t>
            </w:r>
          </w:p>
        </w:tc>
        <w:tc>
          <w:tcPr>
            <w:tcW w:w="182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2080" w:type="dxa"/>
            <w:vAlign w:val="bottom"/>
            <w:tcBorders>
              <w:bottom w:val="single" w:sz="8" w:color="auto"/>
              <w:right w:val="single" w:sz="8" w:color="auto"/>
            </w:tcBorders>
          </w:tcPr>
          <w:p>
            <w:pPr>
              <w:spacing w:after="0"/>
              <w:rPr>
                <w:sz w:val="23"/>
                <w:szCs w:val="23"/>
                <w:color w:val="auto"/>
              </w:rPr>
            </w:pPr>
          </w:p>
        </w:tc>
      </w:tr>
      <w:tr>
        <w:trPr>
          <w:trHeight w:val="213"/>
        </w:trPr>
        <w:tc>
          <w:tcPr>
            <w:tcW w:w="2000" w:type="dxa"/>
            <w:vAlign w:val="bottom"/>
            <w:tcBorders>
              <w:left w:val="single" w:sz="8" w:color="auto"/>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[__]%</w:t>
            </w:r>
          </w:p>
        </w:tc>
        <w:tc>
          <w:tcPr>
            <w:tcW w:w="2020" w:type="dxa"/>
            <w:vAlign w:val="bottom"/>
            <w:tcBorders>
              <w:right w:val="single" w:sz="8" w:color="auto"/>
            </w:tcBorders>
          </w:tcPr>
          <w:p>
            <w:pPr>
              <w:ind w:left="140"/>
              <w:spacing w:after="0" w:line="213" w:lineRule="exact"/>
              <w:rPr>
                <w:sz w:val="20"/>
                <w:szCs w:val="20"/>
                <w:color w:val="auto"/>
              </w:rPr>
            </w:pPr>
            <w:r>
              <w:rPr>
                <w:rFonts w:ascii="Times New Roman" w:cs="Times New Roman" w:eastAsia="Times New Roman" w:hAnsi="Times New Roman"/>
                <w:sz w:val="20"/>
                <w:szCs w:val="20"/>
                <w:b w:val="1"/>
                <w:bCs w:val="1"/>
                <w:i w:val="1"/>
                <w:iCs w:val="1"/>
                <w:color w:val="auto"/>
              </w:rPr>
              <w:t>[Performance</w:t>
            </w:r>
          </w:p>
        </w:tc>
        <w:tc>
          <w:tcPr>
            <w:tcW w:w="182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5"/>
              </w:rPr>
              <w:t>[__]</w:t>
            </w:r>
          </w:p>
        </w:tc>
        <w:tc>
          <w:tcPr>
            <w:tcW w:w="186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rPr>
              <w:t>[__]</w:t>
            </w:r>
          </w:p>
        </w:tc>
        <w:tc>
          <w:tcPr>
            <w:tcW w:w="2080" w:type="dxa"/>
            <w:vAlign w:val="bottom"/>
            <w:tcBorders>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5"/>
              </w:rPr>
              <w:t>[__]</w:t>
            </w:r>
          </w:p>
        </w:tc>
      </w:tr>
      <w:tr>
        <w:trPr>
          <w:trHeight w:val="266"/>
        </w:trPr>
        <w:tc>
          <w:tcPr>
            <w:tcW w:w="2000" w:type="dxa"/>
            <w:vAlign w:val="bottom"/>
            <w:tcBorders>
              <w:left w:val="single" w:sz="8" w:color="auto"/>
              <w:bottom w:val="single" w:sz="8" w:color="auto"/>
              <w:right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Measure 2]</w:t>
            </w:r>
          </w:p>
        </w:tc>
        <w:tc>
          <w:tcPr>
            <w:tcW w:w="182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2080" w:type="dxa"/>
            <w:vAlign w:val="bottom"/>
            <w:tcBorders>
              <w:bottom w:val="single" w:sz="8" w:color="auto"/>
              <w:right w:val="single" w:sz="8" w:color="auto"/>
            </w:tcBorders>
          </w:tcPr>
          <w:p>
            <w:pPr>
              <w:spacing w:after="0"/>
              <w:rPr>
                <w:sz w:val="23"/>
                <w:szCs w:val="23"/>
                <w:color w:val="auto"/>
              </w:rPr>
            </w:pPr>
          </w:p>
        </w:tc>
      </w:tr>
    </w:tbl>
    <w:p>
      <w:pPr>
        <w:spacing w:after="0" w:line="234" w:lineRule="exact"/>
        <w:rPr>
          <w:sz w:val="20"/>
          <w:szCs w:val="20"/>
          <w:color w:val="auto"/>
        </w:rPr>
      </w:pPr>
    </w:p>
    <w:p>
      <w:pPr>
        <w:jc w:val="both"/>
        <w:ind w:left="328"/>
        <w:spacing w:after="0" w:line="232" w:lineRule="auto"/>
        <w:rPr>
          <w:sz w:val="20"/>
          <w:szCs w:val="20"/>
          <w:color w:val="auto"/>
        </w:rPr>
      </w:pPr>
      <w:r>
        <w:rPr>
          <w:rFonts w:ascii="Times New Roman" w:cs="Times New Roman" w:eastAsia="Times New Roman" w:hAnsi="Times New Roman"/>
          <w:sz w:val="20"/>
          <w:szCs w:val="20"/>
          <w:color w:val="auto"/>
        </w:rPr>
        <w:t>Straight line interpolation will be used between each of the levels of performance shown on the table above. No portion of the cash bonus will be earned if performance for the applicable Performance Criteria is below the “Threshold” level. No more than 200% of the Target Cash Bonus Amount may be earned regardless of performance in excess of the “Maximum” level. As soon as practicable following the last day of the Performance Period, the Committee shall determine and certify the Applicable Payout Percentage for each of the Performance Criteria for the Performance Period and determine the earned portion of the cash bonus (the date of such certification, the “</w:t>
      </w:r>
      <w:r>
        <w:rPr>
          <w:rFonts w:ascii="Times New Roman" w:cs="Times New Roman" w:eastAsia="Times New Roman" w:hAnsi="Times New Roman"/>
          <w:sz w:val="20"/>
          <w:szCs w:val="20"/>
          <w:b w:val="1"/>
          <w:bCs w:val="1"/>
          <w:i w:val="1"/>
          <w:iCs w:val="1"/>
          <w:color w:val="auto"/>
        </w:rPr>
        <w:t>Committee Certification Date</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left="328" w:hanging="328"/>
        <w:spacing w:after="0" w:line="235" w:lineRule="auto"/>
        <w:tabs>
          <w:tab w:leader="none" w:pos="458"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 Withholding</w:t>
      </w:r>
      <w:r>
        <w:rPr>
          <w:rFonts w:ascii="Times New Roman" w:cs="Times New Roman" w:eastAsia="Times New Roman" w:hAnsi="Times New Roman"/>
          <w:sz w:val="20"/>
          <w:szCs w:val="20"/>
          <w:color w:val="auto"/>
        </w:rPr>
        <w:t>. Any bonus payment earned pursuant to this Program will be paid in a lump sum in cash as soon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practicable following the Committee Certification Date (but in any event within the within the “short term deferral” period determined under Treasury Regulation Section 1.409A-1(b)(4)). Such bonus payment will be subject to the deduction of any federal, state, or other taxes that are required to be withheld from such bonuses, as determined by the Company. The Participant is solely responsible for any taxes under this Program, and the Company makes no assurances or guarantees regarding the tax treatment of bonuses awarded hereunder.</w:t>
      </w:r>
    </w:p>
    <w:p>
      <w:pPr>
        <w:spacing w:after="0" w:line="201" w:lineRule="exact"/>
        <w:rPr>
          <w:rFonts w:ascii="Times New Roman" w:cs="Times New Roman" w:eastAsia="Times New Roman" w:hAnsi="Times New Roman"/>
          <w:sz w:val="20"/>
          <w:szCs w:val="20"/>
          <w:b w:val="1"/>
          <w:bCs w:val="1"/>
          <w:color w:val="auto"/>
        </w:rPr>
      </w:pPr>
    </w:p>
    <w:p>
      <w:pPr>
        <w:jc w:val="both"/>
        <w:ind w:left="328" w:hanging="328"/>
        <w:spacing w:after="0" w:line="242" w:lineRule="auto"/>
        <w:tabs>
          <w:tab w:leader="none" w:pos="499"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of Control and Termination Provisions</w:t>
      </w:r>
      <w:r>
        <w:rPr>
          <w:rFonts w:ascii="Times New Roman" w:cs="Times New Roman" w:eastAsia="Times New Roman" w:hAnsi="Times New Roman"/>
          <w:sz w:val="20"/>
          <w:szCs w:val="20"/>
          <w:color w:val="auto"/>
        </w:rPr>
        <w:t>. In order to receive payout of any bonus amount under this Program,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must remain continuously employed by the Company or its affiliate through the date on which the bonus is paid, except as set forth below (or as otherwise determined by the Company):</w:t>
      </w:r>
    </w:p>
    <w:p>
      <w:pPr>
        <w:spacing w:after="0" w:line="185" w:lineRule="exact"/>
        <w:rPr>
          <w:rFonts w:ascii="Times New Roman" w:cs="Times New Roman" w:eastAsia="Times New Roman" w:hAnsi="Times New Roman"/>
          <w:sz w:val="20"/>
          <w:szCs w:val="20"/>
          <w:b w:val="1"/>
          <w:bCs w:val="1"/>
          <w:color w:val="auto"/>
        </w:rPr>
      </w:pPr>
    </w:p>
    <w:p>
      <w:pPr>
        <w:jc w:val="both"/>
        <w:ind w:left="328"/>
        <w:spacing w:after="0" w:line="23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If at any time before the bonus is paid, and while the Participant is continuously employed by the Company or an affiliate, (i) a Change of Control occurs and (ii) the surviving or acquiring corporation (or its parent company) in such Change of Control does not assume or continue this Program or substitute a similar bonus opportunity for this Program (a “</w:t>
      </w:r>
      <w:r>
        <w:rPr>
          <w:rFonts w:ascii="Times New Roman" w:cs="Times New Roman" w:eastAsia="Times New Roman" w:hAnsi="Times New Roman"/>
          <w:sz w:val="20"/>
          <w:szCs w:val="20"/>
          <w:b w:val="1"/>
          <w:bCs w:val="1"/>
          <w:i w:val="1"/>
          <w:iCs w:val="1"/>
          <w:color w:val="auto"/>
        </w:rPr>
        <w:t>Replacement Award</w:t>
      </w:r>
      <w:r>
        <w:rPr>
          <w:rFonts w:ascii="Times New Roman" w:cs="Times New Roman" w:eastAsia="Times New Roman" w:hAnsi="Times New Roman"/>
          <w:sz w:val="20"/>
          <w:szCs w:val="20"/>
          <w:color w:val="auto"/>
        </w:rPr>
        <w:t>”), then the Participant will become immediately entitled to receive a bonus payout at the Change of Control Performance Level upon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08"/>
          </w:cols>
          <w:pgMar w:left="652" w:top="1440" w:right="339" w:bottom="1440" w:gutter="0" w:footer="0" w:header="0"/>
        </w:sectPr>
      </w:pPr>
    </w:p>
    <w:bookmarkStart w:id="30" w:name="page31"/>
    <w:bookmarkEnd w:id="30"/>
    <w:p>
      <w:pPr>
        <w:spacing w:after="0" w:line="176" w:lineRule="exact"/>
        <w:rPr>
          <w:sz w:val="20"/>
          <w:szCs w:val="20"/>
          <w:color w:val="auto"/>
        </w:rPr>
      </w:pPr>
    </w:p>
    <w:p>
      <w:pPr>
        <w:jc w:val="both"/>
        <w:ind w:left="328"/>
        <w:spacing w:after="0" w:line="239" w:lineRule="auto"/>
        <w:rPr>
          <w:sz w:val="20"/>
          <w:szCs w:val="20"/>
          <w:color w:val="auto"/>
        </w:rPr>
      </w:pPr>
      <w:r>
        <w:rPr>
          <w:rFonts w:ascii="Times New Roman" w:cs="Times New Roman" w:eastAsia="Times New Roman" w:hAnsi="Times New Roman"/>
          <w:sz w:val="20"/>
          <w:szCs w:val="20"/>
          <w:color w:val="auto"/>
        </w:rPr>
        <w:t>b. If, within 12 months after a Change of Control, the Participant experiences a COC Qualifying Termination (as defined in the Company’s Amended and Restated Change of Control and Severance Policy) before the bonus under this Program (or the Replacement Award) has been paid, the Participant will become immediately entitled to receive such bonus (or Replacement Award) upon such COC Qualifying Termination.</w:t>
      </w:r>
    </w:p>
    <w:p>
      <w:pPr>
        <w:spacing w:after="0" w:line="191" w:lineRule="exact"/>
        <w:rPr>
          <w:sz w:val="20"/>
          <w:szCs w:val="20"/>
          <w:color w:val="auto"/>
        </w:rPr>
      </w:pPr>
    </w:p>
    <w:p>
      <w:pPr>
        <w:jc w:val="both"/>
        <w:ind w:left="328"/>
        <w:spacing w:after="0" w:line="233" w:lineRule="auto"/>
        <w:rPr>
          <w:sz w:val="20"/>
          <w:szCs w:val="20"/>
          <w:color w:val="auto"/>
        </w:rPr>
      </w:pPr>
      <w:r>
        <w:rPr>
          <w:rFonts w:ascii="Times New Roman" w:cs="Times New Roman" w:eastAsia="Times New Roman" w:hAnsi="Times New Roman"/>
          <w:sz w:val="20"/>
          <w:szCs w:val="20"/>
          <w:color w:val="auto"/>
        </w:rPr>
        <w:t>c. If the Participant experiences a Qualifying Termination (as defined in the Company’s Amended and Restated Change of Control and Severance Policy) before the bonus under this Program has been paid and then a Change of Control occurs within three months following such termination of employment, the Participant will become immediately entitled to receive such bonus at the Change of Control Performance Level. For the avoidance of doubt, if the Participant’s employment is terminated due to a Qualifying Termination prior to a Change of Control, the bonus opportunity under this Program shall remain outstanding for three months such that the Participant may become entitled to receive payment in respect thereof in accordance with this Section if a Change of Control occurs within such time.</w:t>
      </w:r>
    </w:p>
    <w:p>
      <w:pPr>
        <w:spacing w:after="0" w:line="192" w:lineRule="exact"/>
        <w:rPr>
          <w:sz w:val="20"/>
          <w:szCs w:val="20"/>
          <w:color w:val="auto"/>
        </w:rPr>
      </w:pPr>
    </w:p>
    <w:p>
      <w:pPr>
        <w:jc w:val="both"/>
        <w:ind w:left="328" w:right="40"/>
        <w:spacing w:after="0" w:line="235" w:lineRule="auto"/>
        <w:rPr>
          <w:sz w:val="20"/>
          <w:szCs w:val="20"/>
          <w:color w:val="auto"/>
        </w:rPr>
      </w:pPr>
      <w:r>
        <w:rPr>
          <w:rFonts w:ascii="Times New Roman" w:cs="Times New Roman" w:eastAsia="Times New Roman" w:hAnsi="Times New Roman"/>
          <w:sz w:val="20"/>
          <w:szCs w:val="20"/>
          <w:color w:val="auto"/>
        </w:rPr>
        <w:t>d. If at the time a Change of Control occurs, the bonus under this Program has not yet been earned based on the performance goals, then any award provided in substitution for the bonus opportunity under this Program in connection with the Change of Control will not be considered a “Replacement Award” for purposes of this Section 5 unless it is a service-based bonus opportunity, with the amount of such bonus determined based on the Change of Control Performance Level. For the avoidance of doubt, if the Participant’s employment with the Company terminates for any reason other than as a result of death, Disability or an Involuntary Termination, then, unless otherwise determined by the Committee, the Participant’s bonus opportunity shall be immediately and automatically forfeited.</w:t>
      </w:r>
    </w:p>
    <w:p>
      <w:pPr>
        <w:spacing w:after="0" w:line="202" w:lineRule="exact"/>
        <w:rPr>
          <w:sz w:val="20"/>
          <w:szCs w:val="20"/>
          <w:color w:val="auto"/>
        </w:rPr>
      </w:pPr>
    </w:p>
    <w:p>
      <w:pPr>
        <w:ind w:left="348" w:hanging="348"/>
        <w:spacing w:after="0"/>
        <w:tabs>
          <w:tab w:leader="none" w:pos="348"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Terms and Conditions</w:t>
      </w:r>
    </w:p>
    <w:p>
      <w:pPr>
        <w:spacing w:after="0" w:line="152" w:lineRule="exact"/>
        <w:rPr>
          <w:rFonts w:ascii="Times New Roman" w:cs="Times New Roman" w:eastAsia="Times New Roman" w:hAnsi="Times New Roman"/>
          <w:sz w:val="20"/>
          <w:szCs w:val="20"/>
          <w:b w:val="1"/>
          <w:bCs w:val="1"/>
          <w:color w:val="auto"/>
        </w:rPr>
      </w:pPr>
    </w:p>
    <w:p>
      <w:pPr>
        <w:jc w:val="both"/>
        <w:ind w:left="328" w:hanging="4"/>
        <w:spacing w:after="0" w:line="256" w:lineRule="auto"/>
        <w:tabs>
          <w:tab w:leader="none" w:pos="518"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Program may be amended or terminated by the Committee from time to time, provided that the bonus opportunity will not be Materially Impaired (as defined in the 2021 EIP) by any amendment unless (i) the Company requests the consent of the Participant, and (ii) the Participant consents in writing. The provisions of this Program shall not limit the ability of the Committee to adopt such other programs on matters of compensation, bonus or incentive, which in the Committee’s own judgment is proper, at any time.</w:t>
      </w:r>
    </w:p>
    <w:p>
      <w:pPr>
        <w:spacing w:after="0" w:line="174" w:lineRule="exact"/>
        <w:rPr>
          <w:rFonts w:ascii="Times New Roman" w:cs="Times New Roman" w:eastAsia="Times New Roman" w:hAnsi="Times New Roman"/>
          <w:sz w:val="19"/>
          <w:szCs w:val="19"/>
          <w:color w:val="auto"/>
        </w:rPr>
      </w:pPr>
    </w:p>
    <w:p>
      <w:pPr>
        <w:ind w:left="528" w:hanging="204"/>
        <w:spacing w:after="0"/>
        <w:tabs>
          <w:tab w:leader="none" w:pos="52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right or interest in this Program is transferable or assignable except by will or laws of descent and distribution.</w:t>
      </w:r>
    </w:p>
    <w:p>
      <w:pPr>
        <w:spacing w:after="0" w:line="229" w:lineRule="exact"/>
        <w:rPr>
          <w:rFonts w:ascii="Times New Roman" w:cs="Times New Roman" w:eastAsia="Times New Roman" w:hAnsi="Times New Roman"/>
          <w:sz w:val="20"/>
          <w:szCs w:val="20"/>
          <w:color w:val="auto"/>
        </w:rPr>
      </w:pPr>
    </w:p>
    <w:p>
      <w:pPr>
        <w:ind w:left="328" w:right="20" w:hanging="4"/>
        <w:spacing w:after="0" w:line="255" w:lineRule="auto"/>
        <w:tabs>
          <w:tab w:leader="none" w:pos="53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 in this Program in a particular Performance Period is not a guarantee of participation in a subsequent Performance Period. Similarly, payment in one year does not constitute a promise to make any payment or continue this Program in future years.</w:t>
      </w:r>
    </w:p>
    <w:p>
      <w:pPr>
        <w:spacing w:after="0" w:line="172" w:lineRule="exact"/>
        <w:rPr>
          <w:rFonts w:ascii="Times New Roman" w:cs="Times New Roman" w:eastAsia="Times New Roman" w:hAnsi="Times New Roman"/>
          <w:sz w:val="20"/>
          <w:szCs w:val="20"/>
          <w:color w:val="auto"/>
        </w:rPr>
      </w:pPr>
    </w:p>
    <w:p>
      <w:pPr>
        <w:jc w:val="both"/>
        <w:ind w:left="328" w:right="20" w:hanging="4"/>
        <w:spacing w:after="0" w:line="236" w:lineRule="auto"/>
        <w:tabs>
          <w:tab w:leader="none" w:pos="53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reserves the right to adjust the bonus in the event of any Capitalization Adjustment (as defined in the 2021 EIP) consistent with the terms of the 2021 EIP. The Committee reserves the right to modify the performance goals under this Program to take additional factors into account in its discretion, and the Committee reserves the right to increase or decrease the amount of any cash bonus payable under the Program, in its discretion, to reflect additional factors it deems relevant.</w:t>
      </w:r>
    </w:p>
    <w:p>
      <w:pPr>
        <w:spacing w:after="0" w:line="202" w:lineRule="exact"/>
        <w:rPr>
          <w:rFonts w:ascii="Times New Roman" w:cs="Times New Roman" w:eastAsia="Times New Roman" w:hAnsi="Times New Roman"/>
          <w:sz w:val="20"/>
          <w:szCs w:val="20"/>
          <w:color w:val="auto"/>
        </w:rPr>
      </w:pPr>
    </w:p>
    <w:p>
      <w:pPr>
        <w:ind w:left="328" w:hanging="4"/>
        <w:spacing w:after="0" w:line="255" w:lineRule="auto"/>
        <w:tabs>
          <w:tab w:leader="none" w:pos="531"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intended that all amounts payable pursuant to this Program are exempt from, or comply with, Section 409A of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08"/>
          </w:cols>
          <w:pgMar w:left="652" w:top="1440" w:right="339" w:bottom="1440" w:gutter="0" w:footer="0" w:header="0"/>
        </w:sectPr>
      </w:pPr>
    </w:p>
    <w:bookmarkStart w:id="31" w:name="page32"/>
    <w:bookmarkEnd w:id="31"/>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 Participation in this Program does not guarantee any right to continued employment with the Company. Wherever permitted by local law, employment with the Company is “at will”, which means that either the Participant or the Company may terminate the employment relationship at any time and for any or no reason, with or without notice and with or without cause. Neither this document nor anything contained in it shall affect the Participant’s status as an employee-at-will of the Company.</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g. This Program is unfunded, and the Company does not intend to set up a sinking fund. Consequently, payments arising out of any bonus earned under this Program shall be paid out of the Company’s general assets. Accounts recognized by the Company for book purposes are not an indication of funds set aside for payment. The Participant is considered a general creditor of the Company and the obligation of the Company is not secured by any particular Company asset.</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h. Any bonuses earned under this Program shall be subject to any clawback or compensation recoupment policy of the Company,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80"/>
          </w:cols>
          <w:pgMar w:left="980" w:top="144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Jun Hyung Lee, certify that:</w:t>
      </w:r>
    </w:p>
    <w:p>
      <w:pPr>
        <w:spacing w:after="0" w:line="11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8"/>
          <w:szCs w:val="18"/>
          <w:color w:val="auto"/>
        </w:rPr>
        <w:t>/s/ Jun Hyung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Jun Hyung Lee</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5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68" w:lineRule="exact"/>
        <w:rPr>
          <w:sz w:val="20"/>
          <w:szCs w:val="20"/>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2025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Jun Hyung Lee, Chief Financial Officer of NerdWallet,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2025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8"/>
          <w:szCs w:val="18"/>
          <w:color w:val="auto"/>
        </w:rPr>
        <w:t>/s/ Jun Hyung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Jun Hyung Lee</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7"/>
    </w:lvl>
  </w:abstractNum>
  <w:abstractNum w:abstractNumId="12">
    <w:nsid w:val="62BBD95A"/>
    <w:multiLevelType w:val="hybridMultilevel"/>
    <w:lvl w:ilvl="0">
      <w:lvlJc w:val="left"/>
      <w:lvlText w:val="%1."/>
      <w:numFmt w:val="decimal"/>
      <w:start w:val="8"/>
    </w:lvl>
  </w:abstractNum>
  <w:abstractNum w:abstractNumId="13">
    <w:nsid w:val="436C6125"/>
    <w:multiLevelType w:val="hybridMultilevel"/>
    <w:lvl w:ilvl="0">
      <w:lvlJc w:val="left"/>
      <w:lvlText w:val="(%1)"/>
      <w:numFmt w:val="decimal"/>
      <w:start w:val="2"/>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lvl w:ilvl="1">
      <w:lvlJc w:val="left"/>
      <w:lvlText w:val="%2."/>
      <w:numFmt w:val="lowerLetter"/>
      <w:start w:val="1"/>
    </w:lvl>
  </w:abstractNum>
  <w:abstractNum w:abstractNumId="20">
    <w:nsid w:val="75A2A8D4"/>
    <w:multiLevelType w:val="hybridMultilevel"/>
    <w:lvl w:ilvl="0">
      <w:lvlJc w:val="left"/>
      <w:lvlText w:val="%1."/>
      <w:numFmt w:val="decimal"/>
      <w:start w:val="3"/>
    </w:lvl>
  </w:abstractNum>
  <w:abstractNum w:abstractNumId="21">
    <w:nsid w:val="8EDBDAB"/>
    <w:multiLevelType w:val="hybridMultilevel"/>
    <w:lvl w:ilvl="0">
      <w:lvlJc w:val="left"/>
      <w:lvlText w:val="%1."/>
      <w:numFmt w:val="decimal"/>
      <w:start w:val="4"/>
    </w:lvl>
  </w:abstractNum>
  <w:abstractNum w:abstractNumId="22">
    <w:nsid w:val="79838CB2"/>
    <w:multiLevelType w:val="hybridMultilevel"/>
    <w:lvl w:ilvl="0">
      <w:lvlJc w:val="left"/>
      <w:lvlText w:val="%1."/>
      <w:numFmt w:val="decimal"/>
      <w:start w:val="6"/>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2025-05-06T15:58:17Z</dcterms:created>
  <dcterms:modified xsi:type="dcterms:W3CDTF">2025-05-06T15:58:17Z</dcterms:modified>
</cp:coreProperties>
</file>