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7"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7"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4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45-4180440</w:t>
      </w:r>
    </w:p>
    <w:p>
      <w:pPr>
        <w:spacing w:after="0" w:line="211" w:lineRule="exact"/>
        <w:rPr>
          <w:sz w:val="24"/>
          <w:szCs w:val="24"/>
          <w:color w:val="auto"/>
        </w:rPr>
      </w:pPr>
    </w:p>
    <w:p>
      <w:pPr>
        <w:sectPr>
          <w:pgSz w:w="11900" w:h="16838" w:orient="portrait"/>
          <w:cols w:equalWidth="0" w:num="2">
            <w:col w:w="7320" w:space="720"/>
            <w:col w:w="3200"/>
          </w:cols>
          <w:pgMar w:left="320" w:top="1440" w:right="339" w:bottom="1440" w:gutter="0" w:footer="0" w:header="0"/>
          <w:type w:val="continuous"/>
        </w:sectPr>
      </w:pPr>
    </w:p>
    <w:p>
      <w:pPr>
        <w:spacing w:after="0" w:line="23"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00" w:lineRule="exact"/>
        <w:rPr>
          <w:sz w:val="24"/>
          <w:szCs w:val="24"/>
          <w:color w:val="auto"/>
        </w:rPr>
      </w:pPr>
    </w:p>
    <w:p>
      <w:pPr>
        <w:sectPr>
          <w:pgSz w:w="11900" w:h="16838" w:orient="portrait"/>
          <w:cols w:equalWidth="0" w:num="2">
            <w:col w:w="6500" w:space="720"/>
            <w:col w:w="4020"/>
          </w:cols>
          <w:pgMar w:left="320" w:top="1440" w:right="339" w:bottom="1440" w:gutter="0" w:footer="0" w:header="0"/>
          <w:type w:val="continuous"/>
        </w:sectPr>
      </w:pP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19 S. B Street, Suite 9, San Mateo, California 94401</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21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00" w:lineRule="exact"/>
        <w:rPr>
          <w:sz w:val="24"/>
          <w:szCs w:val="24"/>
          <w:color w:val="auto"/>
        </w:rPr>
      </w:pPr>
    </w:p>
    <w:p>
      <w:pPr>
        <w:sectPr>
          <w:pgSz w:w="11900" w:h="16838" w:orient="portrait"/>
          <w:cols w:equalWidth="0" w:num="3">
            <w:col w:w="3800" w:space="720"/>
            <w:col w:w="2000" w:space="720"/>
            <w:col w:w="4000"/>
          </w:cols>
          <w:pgMar w:left="320" w:top="1440" w:right="339" w:bottom="1440" w:gutter="0" w:footer="0" w:header="0"/>
          <w:type w:val="continuous"/>
        </w:sectPr>
      </w:pPr>
    </w:p>
    <w:p>
      <w:pPr>
        <w:spacing w:after="0" w:line="3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auto"/>
        </w:rPr>
        <w:t>Class A common stock, $0.0001 par value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NRDS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Nasdaq Global Market</w:t>
      </w:r>
    </w:p>
    <w:p>
      <w:pPr>
        <w:spacing w:after="0" w:line="200" w:lineRule="exact"/>
        <w:rPr>
          <w:sz w:val="24"/>
          <w:szCs w:val="24"/>
          <w:color w:val="auto"/>
        </w:rPr>
      </w:pPr>
    </w:p>
    <w:p>
      <w:pPr>
        <w:sectPr>
          <w:pgSz w:w="11900" w:h="16838" w:orient="portrait"/>
          <w:cols w:equalWidth="0" w:num="3">
            <w:col w:w="4240" w:space="720"/>
            <w:col w:w="2200" w:space="720"/>
            <w:col w:w="3360"/>
          </w:cols>
          <w:pgMar w:left="320" w:top="1440" w:right="339" w:bottom="1440" w:gutter="0" w:footer="0" w:header="0"/>
          <w:type w:val="continuous"/>
        </w:sectPr>
      </w:pPr>
    </w:p>
    <w:p>
      <w:pPr>
        <w:spacing w:after="0" w:line="199"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jc w:val="both"/>
        <w:spacing w:after="0" w:line="27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2"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34,113,131 shares of Class A common stock and 31,685,652 shares of Class B common stock as of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Form 10-Q</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5"/>
        </w:trPr>
        <w:tc>
          <w:tcPr>
            <w:tcW w:w="320" w:type="dxa"/>
            <w:vAlign w:val="bottom"/>
          </w:tcPr>
          <w:p>
            <w:pPr>
              <w:spacing w:after="0"/>
              <w:rPr>
                <w:sz w:val="15"/>
                <w:szCs w:val="15"/>
                <w:color w:val="auto"/>
              </w:rPr>
            </w:pPr>
          </w:p>
        </w:tc>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540" w:type="dxa"/>
            <w:vAlign w:val="bottom"/>
            <w:gridSpan w:val="9"/>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80" w:type="dxa"/>
            <w:vAlign w:val="bottom"/>
            <w:tcBorders>
              <w:top w:val="single" w:sz="8" w:color="0000FF"/>
            </w:tcBorders>
          </w:tcPr>
          <w:p>
            <w:pPr>
              <w:spacing w:after="0"/>
              <w:rPr>
                <w:sz w:val="20"/>
                <w:szCs w:val="20"/>
                <w:color w:val="auto"/>
              </w:rPr>
            </w:pPr>
          </w:p>
        </w:tc>
        <w:tc>
          <w:tcPr>
            <w:tcW w:w="390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760" w:type="dxa"/>
            <w:vAlign w:val="bottom"/>
            <w:gridSpan w:val="7"/>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80" w:type="dxa"/>
            <w:vAlign w:val="bottom"/>
            <w:gridSpan w:val="6"/>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00" w:type="dxa"/>
            <w:vAlign w:val="bottom"/>
            <w:gridSpan w:val="11"/>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507"/>
        </w:trPr>
        <w:tc>
          <w:tcPr>
            <w:tcW w:w="3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Borders>
              <w:bottom w:val="single" w:sz="8" w:color="0000FF"/>
            </w:tcBorders>
          </w:tcPr>
          <w:p>
            <w:pPr>
              <w:spacing w:after="0"/>
              <w:rPr>
                <w:sz w:val="20"/>
                <w:szCs w:val="20"/>
                <w:color w:val="auto"/>
              </w:rPr>
            </w:pP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Borders>
              <w:bottom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20"/>
                <w:szCs w:val="20"/>
                <w:color w:val="auto"/>
              </w:rPr>
            </w:pPr>
          </w:p>
        </w:tc>
        <w:tc>
          <w:tcPr>
            <w:tcW w:w="6980" w:type="dxa"/>
            <w:vAlign w:val="bottom"/>
            <w:gridSpan w:val="13"/>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20" w:type="dxa"/>
            <w:vAlign w:val="bottom"/>
            <w:gridSpan w:val="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0"/>
                <w:szCs w:val="20"/>
                <w:color w:val="auto"/>
              </w:rPr>
            </w:pPr>
          </w:p>
        </w:tc>
        <w:tc>
          <w:tcPr>
            <w:tcW w:w="6160" w:type="dxa"/>
            <w:vAlign w:val="bottom"/>
            <w:gridSpan w:val="10"/>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60" w:type="dxa"/>
            <w:vAlign w:val="bottom"/>
            <w:gridSpan w:val="1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06"/>
        </w:trPr>
        <w:tc>
          <w:tcPr>
            <w:tcW w:w="320" w:type="dxa"/>
            <w:vAlign w:val="bottom"/>
          </w:tcPr>
          <w:p>
            <w:pPr>
              <w:spacing w:after="0"/>
              <w:rPr>
                <w:sz w:val="24"/>
                <w:szCs w:val="24"/>
                <w:color w:val="auto"/>
              </w:rPr>
            </w:pPr>
          </w:p>
        </w:tc>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tcPr>
          <w:p>
            <w:pPr>
              <w:spacing w:after="0"/>
              <w:rPr>
                <w:sz w:val="24"/>
                <w:szCs w:val="24"/>
                <w:color w:val="auto"/>
              </w:rPr>
            </w:pPr>
          </w:p>
        </w:tc>
      </w:tr>
      <w:tr>
        <w:trPr>
          <w:trHeight w:val="1432"/>
        </w:trPr>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significant risks and uncertainties. Except for statements of historical facts, all statements contained in this Quarterly Report on Form 10-Q are forward-looking. These statements often contain words such as “anticipate,” “believe,” “contemplate,” “continue,” “could,” “estimate,” “expect,” “intend,” “may,” “plan,” “potential,” “predict,” “project,” “should,” “target,” “will” or “would” or similar terms, including their negatives. These forward-looking statements include, but are not limited to, statements regarding:</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developments, including inflation, interest rates, credit market conditions and general economic uncertainty, on our business, operating results, financial condition, and stock price;</w:t>
      </w:r>
    </w:p>
    <w:p>
      <w:pPr>
        <w:spacing w:after="0" w:line="63" w:lineRule="exact"/>
        <w:rPr>
          <w:rFonts w:ascii="Times New Roman" w:cs="Times New Roman" w:eastAsia="Times New Roman" w:hAnsi="Times New Roman"/>
          <w:sz w:val="18"/>
          <w:szCs w:val="18"/>
          <w:color w:val="auto"/>
        </w:rPr>
      </w:pPr>
    </w:p>
    <w:p>
      <w:pPr>
        <w:ind w:left="660" w:right="20" w:hanging="328"/>
        <w:spacing w:after="0" w:line="268" w:lineRule="exact"/>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financial and operational performance, including total revenue, cost of revenue, non</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GAAP operating income (loss) and adjusted EBITDA;</w:t>
      </w:r>
    </w:p>
    <w:p>
      <w:pPr>
        <w:spacing w:after="0" w:line="14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engagement, and monetization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and SMB demand for products and services offered through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user registrations, improve repeat usage rates, and convert users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within existing and new verticals, including new products, services, and features that are competitive, compliant with applicable regulations, and responsive to market needs;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geographic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relationships with existing financial services partners and identifying new ones;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scalable technology and data capabilities to provide personalized guidance and enhance user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brand awareness, credibility, and consumer and SMB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high quality, engaging consumer and SMB content and tools;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evolving consumer and SMB financial interests and behaviors;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in existing and new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security, reliability,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enhancing our intellectual property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developing, and retaining highly skilled and diverse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evolving laws, regulations, and supervisory expectations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cash equivalents, and investments to meet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growth, scaling infrastructure, and preserving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executing, and successfully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financial services markets, and meeting associated regulatory complexities;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expected synergies, accretion, and other benefits from completed acquisitions.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and should not be relied upon as predictions of future events. They are based on our current expectations, estimates, and projections regarding future events and trends that may affect our business, financial condition, and operating results. These expectations are subject to various risks, uncertainties, and assumptions, including those described elsewhere in this Quarterly Report on Form 10-Q, in Part I, Item 1A. Risk Factors in our Annual Report on Form 10-K for the year ended December 31, 2025, as well as in our subsequent periodic filings with the U.S. Securities and Exchange Commission.</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industry is highly competitive and rapidly evolving, and new risks and uncertainties may arise that we cannot predict. As a result, actual results, events, or circumstances may differ materially from those reflected in our forward-looking statements.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 this Quarterly Report on Form 10-Q speak only as of the date hereof. We undertake no obligation to update any such statements in this Quarterly Report on Form 10-Q to reflect subsequent events, new information, or unexpected developments, except as required by law. These statements also do not reflect potential impacts from future acquisitions, mergers, dispositions, joint ventures, or investments.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statements that include “we believe” or similar expressions represent our beliefs and opinions as of the date of this Quarterly Report on Form 10-Q. While we believe the information supporting these statements is reasonable, it may be incomplete or subject to change. Investors should not interpret these statements as assurances that we have conducted an exhaustive inquiry or review of all relevant information. Given their inherent uncertainty, investors should not place undue reliance on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right"/>
        <w:ind w:right="2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20"/>
        <w:spacing w:after="0"/>
        <w:tabs>
          <w:tab w:leader="none" w:pos="9000" w:val="left"/>
          <w:tab w:leader="none" w:pos="10420" w:val="left"/>
        </w:tabs>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r>
        <w:rPr>
          <w:sz w:val="20"/>
          <w:szCs w:val="20"/>
          <w:color w:val="auto"/>
        </w:rPr>
        <w:tab/>
      </w: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tabs>
          <w:tab w:leader="none" w:pos="900" w:val="left"/>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56.3</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113.1</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206.4</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30.7</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136.3</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22.8</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24.0</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6.7</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5.1</w:t>
      </w:r>
    </w:p>
    <w:p>
      <w:pPr>
        <w:spacing w:after="0" w:line="46"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432.0</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840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98.3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111.0</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244.7</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31.8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123.5</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21.5</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29.4</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3.1</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69850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3">
            <w:col w:w="7800" w:space="720"/>
            <w:col w:w="1520" w:space="720"/>
            <w:col w:w="46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liabilities—noncurrent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stock—$0.0001 par value per share—5,000 shares authorized; zero shares issued and outstanding</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Common stock—$0.0001 par value per share—296,686 shares authorized; 65,791 and 71,289 shares issued and</w:t>
            </w:r>
          </w:p>
        </w:tc>
        <w:tc>
          <w:tcPr>
            <w:tcW w:w="4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4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70.9</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86.6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562.5</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374.5</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62865</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10020" w:space="660"/>
            <w:col w:w="540"/>
          </w:cols>
          <w:pgMar w:left="320" w:top="121" w:right="359" w:bottom="1440" w:gutter="0" w:footer="0" w:header="0"/>
          <w:type w:val="continuous"/>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gains,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6"/>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 Attributable to Common Stockholders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Repurchases of Class A common stock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71,289</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562.5</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(188.1)</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374.5</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65,791</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570.2</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336.2</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8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74,108</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530.9</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364.2</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74,492</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537.9</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371.6</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combination: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Liquidation of certificate of deposit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borrowing on warehouse line of credit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 other 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Class A common stock recorded in accrued expenses and other current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refunds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38"/>
        </w:trPr>
        <w:tc>
          <w:tcPr>
            <w:tcW w:w="874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655"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65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NerdWallet, Inc., a Delaware corporation, was formed on December 29, 2011. NerdWallet, Inc. and its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 trusted guidance about finance through its platform, which connects consumers and small and mid-sized businesses (SMBs) with providers of financial products.</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Basis of Consolidation and Presentation—</w:t>
      </w:r>
      <w:r>
        <w:rPr>
          <w:rFonts w:ascii="Times New Roman" w:cs="Times New Roman" w:eastAsia="Times New Roman" w:hAnsi="Times New Roman"/>
          <w:sz w:val="18"/>
          <w:szCs w:val="18"/>
          <w:color w:val="auto"/>
        </w:rPr>
        <w:t>The accompanying unaudited interim condensed consolidated financial statements have been prepared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accounting principles generally accepted in the United States of America (GAAP) and applicable rules and regulations of the U.S. Securities and Exchange Commission (SEC)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2025.</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Certain comparative amounts for the three months ended March 31, 2025 have been reclassified to conform to the presentation as of and for the three months ended March 31, 2026. The results of operations for the three months ended March 31, 2026 are not necessarily indicative of the results to be expected for the full year or any other future period.</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Segments—</w:t>
      </w:r>
      <w:r>
        <w:rPr>
          <w:rFonts w:ascii="Times New Roman" w:cs="Times New Roman" w:eastAsia="Times New Roman" w:hAnsi="Times New Roman"/>
          <w:sz w:val="18"/>
          <w:szCs w:val="18"/>
          <w:color w:val="auto"/>
        </w:rPr>
        <w:t>The Company has one operating segment. The measure of segment assets is presented as total assets in the condensed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segment costs and expenses, along with a reconciliation to income from operations,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costs and expenses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of capitalized internally developed software costs.</w:t>
      </w:r>
    </w:p>
    <w:p>
      <w:pPr>
        <w:spacing w:after="0" w:line="11" w:lineRule="exact"/>
        <w:rPr>
          <w:rFonts w:ascii="Times New Roman" w:cs="Times New Roman" w:eastAsia="Times New Roman" w:hAnsi="Times New Roman"/>
          <w:sz w:val="14"/>
          <w:szCs w:val="14"/>
          <w:color w:val="auto"/>
        </w:rPr>
      </w:pPr>
    </w:p>
    <w:p>
      <w:pPr>
        <w:ind w:left="340" w:hanging="332"/>
        <w:spacing w:after="0" w:line="283" w:lineRule="auto"/>
        <w:tabs>
          <w:tab w:leader="none" w:pos="39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cost of revenue and non-personnel-related operating expenses (each excluding depreciation and amortization), acquisition-related expenses and retention, and brand marketing.</w:t>
      </w:r>
    </w:p>
    <w:p>
      <w:pPr>
        <w:spacing w:after="0" w:line="1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segment items included in consolidated net income (loss) are presented in the condensed consolidated statements of operations, and comprised of other income (expense), net, and income tax provision (benefit).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Sales and Marketing</w:t>
      </w:r>
      <w:r>
        <w:rPr>
          <w:rFonts w:ascii="Times New Roman" w:cs="Times New Roman" w:eastAsia="Times New Roman" w:hAnsi="Times New Roman"/>
          <w:sz w:val="18"/>
          <w:szCs w:val="18"/>
          <w:color w:val="auto"/>
        </w:rPr>
        <w:t>—Components of sales and marketing expenses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 and Marketing</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—During the three months ended March 31, 2026, there have been no material changes to the Company’s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policies as disclosed in Note 1–The Company and its Significant Accounting Policies in the notes to the consolidated financial statements in the Company’s Annual Report on Form 10-K for the year ended December 31, 2025.</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Recently Adopted Accounting Pronouncement</w:t>
      </w:r>
      <w:r>
        <w:rPr>
          <w:rFonts w:ascii="Times New Roman" w:cs="Times New Roman" w:eastAsia="Times New Roman" w:hAnsi="Times New Roman"/>
          <w:sz w:val="18"/>
          <w:szCs w:val="18"/>
          <w:color w:val="auto"/>
        </w:rPr>
        <w:t>—In July 2025, the Financial Accounting Standards Board issued Accounting Standards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(ASU) No.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 and Contract Assets</w:t>
      </w:r>
      <w:r>
        <w:rPr>
          <w:rFonts w:ascii="Times New Roman" w:cs="Times New Roman" w:eastAsia="Times New Roman" w:hAnsi="Times New Roman"/>
          <w:sz w:val="18"/>
          <w:szCs w:val="18"/>
          <w:color w:val="auto"/>
        </w:rPr>
        <w:t xml:space="preserve"> (ASU 2025-05), which provides a practical expedient related to the estimation of expected credit losses for current accounts receivable and current contract assets that arise from transactions accounted for under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practical expedient allows an entity to assume that current conditions as of the balance sheet date do not change for the remaining life of the asset. The Company adopted the provisions of ASU 2025-05 as of January 1, 2026, and such adoption did not have an impact on the Company’s financial condition and results of operations within its condensed consolidated financial statements.</w:t>
      </w:r>
    </w:p>
    <w:p>
      <w:pPr>
        <w:spacing w:after="0" w:line="12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with the three months ended March 31, 2026, the Company presents revenue disaggregated by user groups: Consumer and SMB. This presentation is consistent with recent changes in how management evaluates the Company’s financial and business performance, including the information currently reviewed by the Company’s chief operating decision maker. Consumer revenue includes revenue from financial products and services intended for individual consumers, including insurance, credit cards, loans, bank accounts and other products and services. Consumer revenue includes the previously reported Insurance, Credit cards, Loans and Emerging verticals product categories. SMB revenue includes revenue from financial products and services intended for SMBs, including loans, credit cards and other products and services. Prior period disaggregation of revenue has been recast to conform to this new presentation. The following presents a disaggregation of the Company’s revenue based on user group:</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expenses and other current assets on the condensed consolidated balance sheet related to estimated variable consideration was $5.4 million and $3.5 million as of March 31, 2026 and December 31, 2025,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that are measured at fair value on a recurring basis, by level, within the fair value hierarchy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0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22"/>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r>
      <w:tr>
        <w:trPr>
          <w:trHeight w:val="21"/>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the Company made a strategic investment of $2.0 million in equity securities of a privately-held company over which the Company does not exercise significant influence. These equity securities do not have a readily determinable fair value and are accounted for under the measurement alternative. Under the measurement alternative, the carrying value of the security is measured at cost less any impairment, and adjusted for changes resulting from observable price changes in orderly transactions for identical or similar securities of the same issuer. An equity security without a readily determinable fair value is considered impaired when the fair value of the Company’s interest is less than the carrying value. Equity investments without readily determinable fair values are included in other assets on the Company’s condensed consolidated balance sheet, and any related gains or losses would be included in other gains (losses), net on the Company’s condensed consolidated statements of operations. Equity investments without readily determinable fair values were $2.0 million as of March 31, 2026, and there were no related changes in carrying amount or impairment during three months ended March 31, 2026.</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equipment and software, net includes capitalized software development costs, net of accumulated amortization, of $28.5 million and $29.7 million as of March 31, 2026 and December 31, 2025, respectively. The Company capitalized $4.5 million and $5.1 million of software development costs during the three months ended March 31, 2026 and 2025, respectively. The Company recorded amortization expense related to capitalized software development costs of $5.7 million and $8.8 million during the three months ended March 31, 2026 and 2025, respectively.</w:t>
      </w:r>
    </w:p>
    <w:p>
      <w:pPr>
        <w:spacing w:after="0" w:line="82" w:lineRule="exact"/>
        <w:rPr>
          <w:sz w:val="20"/>
          <w:szCs w:val="20"/>
          <w:color w:val="auto"/>
        </w:rPr>
      </w:pPr>
    </w:p>
    <w:p>
      <w:pPr>
        <w:jc w:val="both"/>
        <w:ind w:firstLine="324"/>
        <w:spacing w:after="0" w:line="254" w:lineRule="exact"/>
        <w:rPr>
          <w:sz w:val="20"/>
          <w:szCs w:val="20"/>
          <w:color w:val="auto"/>
        </w:rPr>
      </w:pPr>
      <w:r>
        <w:rPr>
          <w:rFonts w:ascii="Times New Roman" w:cs="Times New Roman" w:eastAsia="Times New Roman" w:hAnsi="Times New Roman"/>
          <w:sz w:val="18"/>
          <w:szCs w:val="18"/>
          <w:color w:val="auto"/>
        </w:rPr>
        <w:t>Accrued expenses and other current liabilities includes unbilled accounts payable of $45.1 million and $46.9 million, short</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term borrowings under a warehouse line of credit of $14.9 million and $6.9 million, and operating lease liabilities of $2.0 million and $1.9 million, as of March 31, 2026 and December 31, 2025, respectively.</w:t>
      </w:r>
    </w:p>
    <w:p>
      <w:pPr>
        <w:spacing w:after="0" w:line="14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liabilities—noncurrent includes operating lease liabilities of $5.6 million and $6.1 million as of March 31, 2026 and December 31, 2025,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Acquisition of College Finance Company, LLC.—</w:t>
      </w:r>
      <w:r>
        <w:rPr>
          <w:rFonts w:ascii="Times New Roman" w:cs="Times New Roman" w:eastAsia="Times New Roman" w:hAnsi="Times New Roman"/>
          <w:sz w:val="18"/>
          <w:szCs w:val="18"/>
          <w:color w:val="auto"/>
        </w:rPr>
        <w:t>On February 20, 2026, the Company entered into a Membership Interest Purchase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inspHIRE IO Corp., d/b/a Candidly, pursuant to which the Company agreed to acquire 100% of the outstanding membership interests of College Finance Company, LLC (College Finance), which operates a student loan marketplace to connect borrowers with lenders. The preliminary purchase consideration for this acquisition was $17.2 million, of which $16.9 million in cash was paid during the three months ended March 31, 2026 including $1.5 million which was placed into escrow to secure potential post-closing indemnification rights.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values of assets acquired totaled $7.7 million, and was primarily comprised of $1.1 million of cash and cash equivalents, and $5.0 million in intangible assets. The intangible assets acquired were comprised of $3.6 million for developed technology and $1.4 million for a trade name, each with a three-year estimated useful life. The fair value of liabilities assumed totaled $3.4 million, and was primarily comprised of $3.2 million in accounts payable. Additionally, the Company recorded $12.9 million of goodwill, which is primarily attributable to synergies from combining the operations of the Company and College Finance, as well as the value ascribed to the knowledge and experience of the continuing key employees. For income tax purposes, the acquisition is an asset purchase and goodwill is tax deductible.</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this acquisition, the Company’s Board of Directors granted restricted stock units (RSUs) with an aggregate grant-date fair value of $3.1 million to the certain continuing key employees of College Finance. The RSUs generally vest over four years subject to a one-year cliff and quarterly vesting thereafter, with vesting generally subject to the grantees’ continued employment with the Company. The fair value of these RSUs is recognized as stock-based compensation expense ratably over the respective vesting terms of the RSUs. The fair value of these RSUs is excluded from the purchase consideration and accounted for separately from the business combination.</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Acquisition-related costs of $1.2 million were incurred during the three months ended March 31, 2026, and are included in general and administrative expense on the condensed consolidated statements of operations.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contributions from this acquisition following the closing date through March 31, 2026 were not material to the Company’s revenue and operating income for the three months ended March 31, 2026. Pro forma results of operations have not been provided to reflect this acquisition as such results would not have been materially different from the Company’s reported results.</w:t>
      </w:r>
    </w:p>
    <w:p>
      <w:pPr>
        <w:spacing w:after="0" w:line="11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Commitments and Other Financial Arrangements</w:t>
      </w:r>
      <w:r>
        <w:rPr>
          <w:rFonts w:ascii="Times New Roman" w:cs="Times New Roman" w:eastAsia="Times New Roman" w:hAnsi="Times New Roman"/>
          <w:sz w:val="18"/>
          <w:szCs w:val="18"/>
          <w:color w:val="auto"/>
        </w:rPr>
        <w:t>—The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commitments under leases, and an outstanding warehouse line of credit. As of March 31, 2026, there were no material changes to the Company’s commitments and other financial arrangements as disclosed in Note 8–Commitments and Contingencies in the notes to the consolidated financial statements in the Company’s Annual Report on Form 10-K for the year ended December 31, 2025.</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Litigation and Other Legal Matters</w:t>
      </w:r>
      <w:r>
        <w:rPr>
          <w:rFonts w:ascii="Times New Roman" w:cs="Times New Roman" w:eastAsia="Times New Roman" w:hAnsi="Times New Roman"/>
          <w:sz w:val="18"/>
          <w:szCs w:val="18"/>
          <w:color w:val="auto"/>
        </w:rPr>
        <w:t>—The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March 31, 2026 or December 31,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Share Repurchase Program</w:t>
      </w:r>
      <w:r>
        <w:rPr>
          <w:rFonts w:ascii="Times New Roman" w:cs="Times New Roman" w:eastAsia="Times New Roman" w:hAnsi="Times New Roman"/>
          <w:sz w:val="18"/>
          <w:szCs w:val="18"/>
          <w:color w:val="auto"/>
        </w:rPr>
        <w:t>—The Company maintains a plan, authorized by its Board of Directors in May 2023 with subsequent additional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authorizations as approved by the Board of Directors, including a $100.0 million additional share repurchase authorization announced on February 25, 2026, under which the Company may repurchase shares of the Company’s Class A common stock (collectively, the Repurchase Program).</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repurchased 6.0 million shares of Class A common stock for $66.2 million during the three months ended March 31, 2026, and did not repurchase any shares during the three months ended March 31, 2025. Additionally, the Company paid $0.4 million of excise taxes during the three months ended March 31, 2026 which related to previous share repurchases. The remaining share repurchase authorization under the Repurchase Program is $89.7 million as of March 31, 2026.</w:t>
      </w:r>
    </w:p>
    <w:p>
      <w:pPr>
        <w:spacing w:after="0" w:line="12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—The 2021 Equity Incentive Plan and the predecessor 2012 Equity Incentive Plan, both as amended, along with the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Equity Incentive Plan (collectively, the Plans) comprise the equity incentive plans of the Company.</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3.6 million shares effective January 1, 2026.</w:t>
      </w:r>
    </w:p>
    <w:p>
      <w:pPr>
        <w:sectPr>
          <w:pgSz w:w="11900" w:h="16838" w:orient="portrait"/>
          <w:cols w:equalWidth="0" w:num="1">
            <w:col w:w="11240"/>
          </w:cols>
          <w:pgMar w:left="320" w:top="333" w:right="339" w:bottom="1440" w:gutter="0" w:footer="0" w:header="0"/>
        </w:sectPr>
      </w:pP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—A summary of the Company’s stock option activity for its Plans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6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7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6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March 31, 2026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stock options with both service-based and performance-based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4"/>
                <w:szCs w:val="14"/>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8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180" w:type="dxa"/>
        <w:tblCellMar>
          <w:top w:w="0" w:type="dxa"/>
          <w:left w:w="0" w:type="dxa"/>
          <w:bottom w:w="0" w:type="dxa"/>
          <w:right w:w="0" w:type="dxa"/>
        </w:tblCellMar>
      </w:tblPr>
      <w:tr>
        <w:trPr>
          <w:trHeight w:val="261"/>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7.3</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97"/>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575" w:lineRule="exact"/>
        <w:rPr>
          <w:sz w:val="20"/>
          <w:szCs w:val="20"/>
          <w:color w:val="auto"/>
        </w:rPr>
      </w:pPr>
    </w:p>
    <w:p>
      <w:pPr>
        <w:sectPr>
          <w:pgSz w:w="11900" w:h="16838" w:orient="portrait"/>
          <w:cols w:equalWidth="0" w:num="2">
            <w:col w:w="8200" w:space="100"/>
            <w:col w:w="2940"/>
          </w:cols>
          <w:pgMar w:left="320" w:top="333" w:right="33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2026 was $5.99 per share. The aggregate intrinsic value of options exercised was $0.5 million for the three months ended March 31, 2026.</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per-share fair value of each stock option granted was determined on the date of grant using the following weighted-average assumptions:</w:t>
      </w:r>
    </w:p>
    <w:p>
      <w:pPr>
        <w:spacing w:after="0" w:line="5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33020</wp:posOffset>
            </wp:positionV>
            <wp:extent cx="17399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70"/>
        </w:trPr>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864"/>
        </w:trPr>
        <w:tc>
          <w:tcPr>
            <w:tcW w:w="8400" w:type="dxa"/>
            <w:vAlign w:val="bottom"/>
          </w:tcPr>
          <w:p>
            <w:pPr>
              <w:jc w:val="right"/>
              <w:ind w:right="259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8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—A summary of the Company’s outstanding nonvested RSUs for its Plans is as follows:</w:t>
      </w:r>
    </w:p>
    <w:p>
      <w:pPr>
        <w:spacing w:after="0" w:line="223"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Number of Units</w:t>
      </w:r>
    </w:p>
    <w:p>
      <w:pPr>
        <w:spacing w:after="0" w:line="29"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line="280" w:lineRule="auto"/>
        <w:rPr>
          <w:sz w:val="20"/>
          <w:szCs w:val="20"/>
          <w:color w:val="auto"/>
        </w:rPr>
      </w:pPr>
      <w:r>
        <w:rPr>
          <w:rFonts w:ascii="Times New Roman" w:cs="Times New Roman" w:eastAsia="Times New Roman" w:hAnsi="Times New Roman"/>
          <w:sz w:val="14"/>
          <w:szCs w:val="14"/>
          <w:b w:val="1"/>
          <w:bCs w:val="1"/>
          <w:color w:val="auto"/>
        </w:rPr>
        <w:t>Weighted-Average Grant-Date Fair Value</w:t>
      </w:r>
    </w:p>
    <w:p>
      <w:pPr>
        <w:spacing w:after="0" w:line="1" w:lineRule="exact"/>
        <w:rPr>
          <w:sz w:val="20"/>
          <w:szCs w:val="20"/>
          <w:color w:val="auto"/>
        </w:rPr>
      </w:pPr>
    </w:p>
    <w:p>
      <w:pPr>
        <w:sectPr>
          <w:pgSz w:w="11900" w:h="16838" w:orient="portrait"/>
          <w:cols w:equalWidth="0" w:num="2">
            <w:col w:w="9860" w:space="220"/>
            <w:col w:w="116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265"/>
        </w:trPr>
        <w:tc>
          <w:tcPr>
            <w:tcW w:w="8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2025</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7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70"/>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520" w:type="dxa"/>
            <w:vAlign w:val="bottom"/>
            <w:tcBorders>
              <w:bottom w:val="single" w:sz="8" w:color="CCEEFF"/>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March 31, 2026</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less than 0.1 million of RSUs with both service-based and performance-based conditions.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that vested under RSUs was $4.6 million during the three months ended March 31, 2026.</w:t>
      </w:r>
    </w:p>
    <w:p>
      <w:pPr>
        <w:spacing w:after="0" w:line="16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—The terms of the Employee Stock Purchase Plan (ESPP) provide for automatic increases in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for issuance on January 1 of each calendar year, beginning in 2023 and through 2031, subject to terms of the ESPP. In accordance with these plan terms, the aggregate number of Class A common stock authorized for issuance under the ESPP increased by 0.7 million effective January 1, 2026. Prior to capitalizing amounts related to software development costs, the Company recognized stock-based compensation related to the ESPP of $0.2 million and $0.3 million during the three months ended March 31, 2026 and 2025, respectively.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recognized stock-based compensation under the Plans and ESPP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stock-based compensation capitalized related to software development costs was $0.6 million and $0.8 million during the three months ended March 31, 2026 and 2025, respectively.</w:t>
      </w:r>
    </w:p>
    <w:p>
      <w:pPr>
        <w:spacing w:after="0" w:line="104"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tax provisions for interim reporting periods during 2026 and 2025 were determined using an estimated annual effective tax rate which is adjusted for discrete items occurring during the periods presented. The Company’s effective tax rates for the three months ended March 31, 2026 and 2025 differ from the U.S. federal statutory income tax rate of 21% primarily due to state taxes and interest on uncertain tax positions. The primary difference between the Company’s effective tax rate and the statutory federal income tax rate for the three months ended March 31, 2025 was due to discrete items related to stock-based compensation and uncertain tax positions. The Company maintains a valuation allowance on its California deferred tax assets, which consist primarily of tax credits, as of March 31, 2026. The Company’s judgment regarding the likelihood of realization of these deferred tax assets could change in future periods, which could result in a material impact to the Company’s income tax provision in the period of change.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Basic and Diluted Share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the basic and diluted per share computations for net income attributable to common stockholders: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333"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dilutive RSUs, stock options and ESPP shares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Times New Roman" w:cs="Times New Roman" w:eastAsia="Times New Roman" w:hAnsi="Times New Roman"/>
          <w:sz w:val="18"/>
          <w:szCs w:val="18"/>
          <w:color w:val="auto"/>
        </w:rPr>
        <w:t>68.2</w:t>
      </w:r>
    </w:p>
    <w:p>
      <w:pPr>
        <w:spacing w:after="0" w:line="63"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34290</wp:posOffset>
            </wp:positionV>
            <wp:extent cx="763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5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34290</wp:posOffset>
            </wp:positionV>
            <wp:extent cx="763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Times New Roman" w:cs="Times New Roman" w:eastAsia="Times New Roman" w:hAnsi="Times New Roman"/>
          <w:sz w:val="17"/>
          <w:szCs w:val="17"/>
          <w:color w:val="auto"/>
        </w:rPr>
        <w:t>74.2</w:t>
      </w:r>
    </w:p>
    <w:p>
      <w:pPr>
        <w:spacing w:after="0" w:line="7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34290</wp:posOffset>
            </wp:positionV>
            <wp:extent cx="763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5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41910</wp:posOffset>
            </wp:positionV>
            <wp:extent cx="763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3">
            <w:col w:w="8840" w:space="720"/>
            <w:col w:w="580" w:space="720"/>
            <w:col w:w="380"/>
          </w:cols>
          <w:pgMar w:left="320" w:top="33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4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46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income per share because including them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960" w:type="dxa"/>
            <w:vAlign w:val="bottom"/>
            <w:gridSpan w:val="2"/>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720" w:type="dxa"/>
            <w:vAlign w:val="bottom"/>
            <w:vMerge w:val="continue"/>
          </w:tcPr>
          <w:p>
            <w:pPr>
              <w:spacing w:after="0"/>
              <w:rPr>
                <w:sz w:val="16"/>
                <w:szCs w:val="16"/>
                <w:color w:val="auto"/>
              </w:rPr>
            </w:pPr>
          </w:p>
        </w:tc>
        <w:tc>
          <w:tcPr>
            <w:tcW w:w="516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2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5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4720" w:type="dxa"/>
            <w:vAlign w:val="bottom"/>
          </w:tcPr>
          <w:p>
            <w:pPr>
              <w:spacing w:after="0"/>
              <w:rPr>
                <w:sz w:val="24"/>
                <w:szCs w:val="24"/>
                <w:color w:val="auto"/>
              </w:rPr>
            </w:pPr>
          </w:p>
        </w:tc>
        <w:tc>
          <w:tcPr>
            <w:tcW w:w="3880" w:type="dxa"/>
            <w:vAlign w:val="bottom"/>
          </w:tcPr>
          <w:p>
            <w:pPr>
              <w:jc w:val="right"/>
              <w:ind w:right="2796"/>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7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NerdWallet, Inc. (NerdWallet, we, our, or us) provides consumers and small and mid-sized businesses (SMBs) with trusted guidance across a broad range of finance topics through a digital platform that integrates independent editorial content, comparison tools, data-driven product marketplaces, and access to regulated financial services offered through our subsidiaries. Our mission is to provide clarity for all of life’s financial decisions. Our vision is a world where everyone makes financial decisions with confidence.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enables users to compare financial products, access educational resources, receive personalized insights, and connect with third-party providers across credit cards, banking, insurance, lending, investing, wealth management, and other financial categories. We generate revenue primarily through referral fees, lead generation, and partner-based monetization, as well as through revenue derived from brokering and advisory services.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 model is designed to be partner-neutral and to support transparent consumer and SMB choice by offering side-by-side comparisons and unbiased information supported by editorial standards.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20, 2026, we entered into a Membership Interest Purchase Agreement with inspHIRE IO Corp., d/b/a Candidly, pursuant to which we agreed to acquire 100% of the outstanding membership interests of College Finance Company, LLC, which operates a student loan marketplace to connect borrowers with lenders. The preliminary purchase consideration for this acquisition was $17.2 million, of which $16.9 million in cash was paid during the three months ended March 31, 2026 including $1.5 million which was placed into escrow to secure potential post-closing indemnification rights.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our ongoing efforts to align our operations with our strategic priorities, we have ceased revenue-generating operations outside of North America. We do not expect this action to have a material impact on our financial condition, results of operations or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non-GAAP financial measures we use to evaluate our business.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1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operating income (loss): </w:t>
      </w:r>
      <w:r>
        <w:rPr>
          <w:rFonts w:ascii="Times New Roman" w:cs="Times New Roman" w:eastAsia="Times New Roman" w:hAnsi="Times New Roman"/>
          <w:sz w:val="18"/>
          <w:szCs w:val="18"/>
          <w:color w:val="auto"/>
        </w:rPr>
        <w:t>We define non-GAAP operating income (loss) as income (loss) from operations adjusted to exclude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amortization, and further exclude (1) impairment of right-of-use asset, (2) losses (gains) on disposals of assets, (3) acquisition-related costs, and (4) restructuring charges. We also reduce income from operations, or increase loss from operations, for capitalized internally developed software costs.</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from continuing operations adjusted to exclude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(expense), net, other gains (losses), net, and provision (benefit) for income taxes, and further exclude (1) impairment of right-of-use asset, (2) losses (gains) on disposals of assets, (3) stock-based compensation, (4) acquisition-related costs, and (5) restructuring charges.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spacing w:after="0" w:line="1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acquisition-related costs, including acquisition-related retention compensation under compensatory retention agreements with certain key employees, and acquisition-related transaction expenses;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as well as certain nonrecurring gains (losses).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Operations—Non-GAAP Financial Measures” for reconciliations of non-GAAP operating income (loss) to income (loss) from operations, and adjusted EBITDA to net income (loss), the most directly comparable financial measures calculated in accordance with GAAP.</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80" w:type="dxa"/>
            <w:vAlign w:val="bottom"/>
            <w:gridSpan w:val="2"/>
            <w:vMerge w:val="continue"/>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5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0" w:type="dxa"/>
            <w:vAlign w:val="bottom"/>
          </w:tcPr>
          <w:p>
            <w:pPr>
              <w:spacing w:after="0"/>
              <w:rPr>
                <w:sz w:val="1"/>
                <w:szCs w:val="1"/>
                <w:color w:val="auto"/>
              </w:rPr>
            </w:pPr>
          </w:p>
        </w:tc>
      </w:tr>
      <w:tr>
        <w:trPr>
          <w:trHeight w:val="24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4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4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40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gains, net</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4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460" w:type="dxa"/>
            <w:vAlign w:val="bottom"/>
            <w:gridSpan w:val="4"/>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4280" w:type="dxa"/>
            <w:vAlign w:val="bottom"/>
            <w:gridSpan w:val="2"/>
            <w:vMerge w:val="continue"/>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 stock-based compensation as follows:</w:t>
            </w: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3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1"/>
              </w:rPr>
              <w:t>1.9</w:t>
            </w:r>
          </w:p>
        </w:tc>
        <w:tc>
          <w:tcPr>
            <w:tcW w:w="4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1"/>
              </w:rPr>
              <w:t>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1"/>
              </w:rPr>
              <w:t>2.9</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416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w w:val="91"/>
              </w:rPr>
              <w:t>7.0</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vMerge w:val="restart"/>
          </w:tcPr>
          <w:p>
            <w:pPr>
              <w:jc w:val="right"/>
              <w:ind w:right="25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8"/>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as a percentage of revenue:</w:t>
      </w:r>
    </w:p>
    <w:p>
      <w:pPr>
        <w:spacing w:after="0" w:line="11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33020</wp:posOffset>
            </wp:positionV>
            <wp:extent cx="17399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gridSpan w:val="3"/>
          </w:tcPr>
          <w:p>
            <w:pPr>
              <w:ind w:left="90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9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9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9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9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5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9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gains, net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5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from operations increased $26.5 million for the three months ended March 31, 2026 compared to the three months ended March 31, 2025, as revenue increased $13.0 million while operating expenses decreased $13.5 million, primarily attributable to a $10.6 million decrease in sales and marketing expenses.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income increased $20.2 million for the three months ended March 31, 2026 compared to the three months ended March 31, 2025, primarily driven by a $26.5 million increase in income from operations, partially offset by a $6.5 million increase in income tax provision.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with the three months ended March 31, 2026, we present revenue disaggregated by our user groups: Consumer and SMB. This presentation is consistent with recent changes in how management evaluates our financial and business performance, including the information currently reviewed by our chief operating decision maker. Consumer revenue includes revenue from financial products and services intended for individual consumers, including insurance, credit cards, loans, banking and other products and services. Consumer revenue includes our previously reported Insurance, Credit cards, Loans and Emerging verticals product categories. SMB revenue includes revenue from financial products and services intended for SMBs, including loans, credit cards and other products and services. Prior period disaggregation of revenue has been recast to conform to this new presentation. The following presents a disaggregation of our revenue based on user group: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increased $13.0 million, or 6%, for the three months ended March 31, 2026 compared to the three months ended March 31, 2025, as growth in Consumer revenue was partially offset by lower SMB revenue.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Consumer revenue increased $17.3 million, or 10%, for the three months ended March 31, 2026, primarily driven by increases of $20.9 million from deposit accounts and $12.7 million from personal loans as partners expanded budgets, partially offset by a $12.5 million decrease from consumer credit cards primarily due to continued pressures in organic search traffic that have persisted for multiple quarters.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SMB revenue decreased $4.3 million, or 15%, for the three months ended March 31, 2026, primarily due to continued pressures in organic search traffic, partially offset by an increase in business loan originations.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revenue decreased $4.6 million, or 26%, for the three months ended March 31, 2026, primarily due to decreases of $3.0 million in amortization expense related to capitalized software development costs and $1.8 million related to third-party service and data charges.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sales and marketing expense, including as a percentage of total sales and marketing expense, are as follows:</w:t>
      </w:r>
    </w:p>
    <w:p>
      <w:pPr>
        <w:spacing w:after="0" w:line="219"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39370</wp:posOffset>
            </wp:positionV>
            <wp:extent cx="27171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6"/>
                <w:szCs w:val="16"/>
                <w:color w:val="auto"/>
              </w:rPr>
            </w:pPr>
          </w:p>
        </w:tc>
      </w:tr>
      <w:tr>
        <w:trPr>
          <w:trHeight w:val="37"/>
        </w:trPr>
        <w:tc>
          <w:tcPr>
            <w:tcW w:w="6960" w:type="dxa"/>
            <w:vAlign w:val="bottom"/>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3"/>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4"/>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7"/>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marketing</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92"/>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 and Marketing</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able to adjust our marketing spend to reflect changes in external factors and consumer behavior.</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$10.6 million, or 7%, for the three months ended March 31, 2026 compared to the three months ended March 31, 2025, as a $34.7 million decrease in other marketing expenses, primarily due to lower brand marketing expenses, was partially offset by a $24.1 million increase in performance marketing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$1.7 million, or 13%, for the three months ended March 31, 2026, as compared to the three months ended March 31, 2025, primarily attributable to a $1.7 million increase in personnel-related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7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740" w:type="dxa"/>
            <w:vAlign w:val="bottom"/>
          </w:tcPr>
          <w:p>
            <w:pPr>
              <w:jc w:val="center"/>
              <w:ind w:left="258"/>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net</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6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center"/>
              <w:ind w:left="278"/>
              <w:spacing w:after="0"/>
              <w:rPr>
                <w:sz w:val="20"/>
                <w:szCs w:val="20"/>
                <w:color w:val="auto"/>
              </w:rPr>
            </w:pPr>
            <w:r>
              <w:rPr>
                <w:rFonts w:ascii="Times New Roman" w:cs="Times New Roman" w:eastAsia="Times New Roman" w:hAnsi="Times New Roman"/>
                <w:sz w:val="18"/>
                <w:szCs w:val="18"/>
                <w:b w:val="1"/>
                <w:bCs w:val="1"/>
                <w:color w:val="auto"/>
                <w:w w:val="97"/>
              </w:rPr>
              <w:t>0.8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center"/>
              <w:ind w:left="156"/>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net increased $0.2 million, or 52%, for the three months ended March 31, 2026 compared to the three months ended March 31, 2025, primarily attributable to higher interest income reflecting higher average cash balances in interest-earning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estimated annual effective tax rate which is adjusted for discrete items occurring during the period. We had income tax provisions of $7.6 million and $1.1 million for the three months ended March 31, 2026 and 2025, respectively. Our effective tax rate was 27.0% and 87.2% for the three months ended March 31, 2026 and 2025, respectively. Our effective tax rate for the three months ended March 31, 2026 differs from the U.S. federal statutory income tax rate of 21% primarily due to state taxes and interest on uncertain tax positions. Our effective tax rate for the three months ended March 31, 2025 differed from the U.S. federal statutory income tax rate of 21% primarily due to discrete items related to stock-based compensation and uncertain tax positions.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a valuation allowance on our California deferred tax assets, which consist primarily of tax credits, as of March 31, 2026. Our judgment regarding the likelihood of realization of these deferred tax assets could change in future periods, which could result in a material impact to our income tax provision in the period of change.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reconciling non-GAAP operating income to income from operations, and adjusted EBITDA to net income, the most comparable GAAP financial measures,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operating income margin</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6"/>
        </w:trPr>
        <w:tc>
          <w:tcPr>
            <w:tcW w:w="8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21.1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non-GAAP operating income as a percentage of revenue.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adjusted EBITDA as a percentage of revenue.</w:t>
      </w:r>
    </w:p>
    <w:p>
      <w:pPr>
        <w:spacing w:after="0" w:line="2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 for a discussion of the changes in income from operations and net income for the three months ended March 31, 2026 compared to the three months ended March 31, 2025.</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increased $24.4 million, or 262%, for the three months ended March 31, 2026 compared to the three months ended March 31, 2025, primarily driven by a $26.5 million increase in income from operations, partially offset by a $2.9 million decrease in depreciation and amortization.</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increased $24.1 million, or 114%, for the three months ended March 31, 2026 compared to the three months ended March 31, 2025, primarily driven by a $20.2 million increase in net income. Additionally, adjustments to reconcile adjusted EBITDA to net income increased $3.9 million for the three months ended March 31, 2026, primarily reflecting a $6.5 million increase in income tax provision, partially offset by a $2.9 million decrease in depreciation and amortization.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March 31, 2026) and long-term (i.e., beyond the next twelve months), have historically been cash generated from operations.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126" w:lineRule="exact"/>
        <w:rPr>
          <w:sz w:val="20"/>
          <w:szCs w:val="20"/>
          <w:color w:val="auto"/>
        </w:rPr>
      </w:pPr>
    </w:p>
    <w:p>
      <w:pPr>
        <w:ind w:right="15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As of March 31, 2026 and December 31, 2025, we had cash and cash equivalents of $56.3 million and $98.3 million, respectively. </w:t>
      </w:r>
      <w:r>
        <w:rPr>
          <w:rFonts w:ascii="Times New Roman" w:cs="Times New Roman" w:eastAsia="Times New Roman" w:hAnsi="Times New Roman"/>
          <w:sz w:val="18"/>
          <w:szCs w:val="18"/>
          <w:b w:val="1"/>
          <w:bCs w:val="1"/>
          <w:i w:val="1"/>
          <w:iCs w:val="1"/>
          <w:color w:val="auto"/>
        </w:rPr>
        <w:t>Known Contractual and Other Obligations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March 31, 2026 is included in Note 6–Commitments and Contingencies in the notes to our condensed consolidated financial statements.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and advertising, which do not qualify for recognition on our condensed consolidated balance sheets but which we consider non-cancellable. During the three months ended March 31, 2026, there have been no material changes in our purchase obligations as disclosed in “Management’s Discussion and Analysis of Financial Condition and Results of Operations–Liquidity and Capital Resources” in our Annual Report on Form 10-K for the year ended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We maintain a plan, authorized by our Board of Directors in May 2023 with subsequent additional share repurchase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authorizations as approved by our Board of Directors, including a $100.0 million additional share repurchase authorization announced on February 25, 2026, under which we may repurchase shares of our Class A common stock (collectively, the Repurchase Program). Subject to market conditions and other factors, the Repurchase Program is intended to make opportunistic repurchases of our Class A common stock to reduce our outstanding share count.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us to acquire any specific number of shares. The timing and terms of any repurchases are at management’s discretion and depend on a variety of factors, including business, economic and market conditions, regulatory requirements, prevailing stock prices and other considerations. Additionally, we may, from</w:t>
      </w:r>
    </w:p>
    <w:p>
      <w:pPr>
        <w:spacing w:after="0" w:line="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time to time, enter into Rule 10b5</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1 trading plans to facilitate repurchases. Shares repurchased under the Repurchase Programs are retired. We expect to fund repurchases with existing cash and cash equivalents. We repurchased 6.0 million shares of Class A common stock for $66.2 million, including costs associated with the repurchases, during the three months ended March 31, 2026. Additionally, we paid $0.4 million of excise taxes during the three months ended March 31, 2026 which related to previous share repurchases.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t>
      </w:r>
      <w:r>
        <w:rPr>
          <w:rFonts w:ascii="Times New Roman" w:cs="Times New Roman" w:eastAsia="Times New Roman" w:hAnsi="Times New Roman"/>
          <w:sz w:val="18"/>
          <w:szCs w:val="18"/>
          <w:color w:val="auto"/>
        </w:rPr>
        <w:t>We, including three of our wholly-owned subsidiaries, maintain a credit agreement (the Credit Agreement) with JPMorgan 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We had no outstanding balance on our Credit Agreement as of March 31, 2026 or December 31, 2025. The available amount to borrow under our Credit Agreement was $124.5 million at both March 31, 2026 and December 31, 2025, which was equal to the available amount under the credit agreement of $125.0 million, net of letters of credit of $0.5 million. Our Credit Agreement contains certain customary financial and non-financial covenants. We were in compliance with all covenants as of March 31, 2026 and December 31, 2025.</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Warehouse Line of Credit: </w:t>
      </w:r>
      <w:r>
        <w:rPr>
          <w:rFonts w:ascii="Times New Roman" w:cs="Times New Roman" w:eastAsia="Times New Roman" w:hAnsi="Times New Roman"/>
          <w:sz w:val="18"/>
          <w:szCs w:val="18"/>
          <w:color w:val="auto"/>
        </w:rPr>
        <w:t>Next Door Lending LLC (NDL), a wholly-owned subsidiary, maintains a $15.0 million warehouse line of credit,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increased to $18.75 million for up to 90 days subject to certain requirements, to provide NDL short-term funding for mortgage loans originated for sale. Borrowings under the warehouse line of credit bear interest at the greater of the interest rate of the underlying mortgage loans held for sale, subject to a 5.25% minimum rate, and are secured by the underlying promissory notes of the mortgage loans held for sale, as well as NDL’s other assets. The warehouse line of credit matures on February 1, 2027. NDL had $14.9 million outstanding under the warehouse line of credit as of March 31, 2026, which is included in accrued expenses and other current liabilities on our condensed consolidated balance sheet. The warehouse line of credit requires NDL to comply with certain minimum tangible net worth, liquidity, and insurance requirements. NDL was in compliance with all covenants as of March 31, 2026 and December 31, 2025.</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future cash flow from operations, as well as access to our Credit Agreement, will be sufficient to meet our ongoing working capital, capital expenditure and other liquidity requirements for the next twelve months and beyond.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ectPr>
          <w:pgSz w:w="11900" w:h="16838" w:orient="portrait"/>
          <w:cols w:equalWidth="0" w:num="1">
            <w:col w:w="11240"/>
          </w:cols>
          <w:pgMar w:left="320" w:top="135"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15862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8020" w:space="720"/>
            <w:col w:w="2500"/>
          </w:cols>
          <w:pgMar w:left="320" w:top="135" w:right="339" w:bottom="1440" w:gutter="0" w:footer="0" w:header="0"/>
          <w:type w:val="continuous"/>
        </w:sect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$9.0 million for the three months ended March 31, 2026 compared to the three months ended March 31, 2025, driven by a $20.2 million increase in net income, as well as a $2.4 million increase in non-cash charges, partially offset by a $13.6 million increase in net cash outflow from changes in operating assets and liabilities. The increase in non-cash charges was primarily due to a $5.7 million increase in deferred taxes, partially offset by a $2.9 million decrease in depreciation and amortization. The increase in net cash outflow from changes in operating assets and liabilities was primarily due to increases of $17.4 million for accounts payable and $12.0 million for accrued expenses and other current liabilities, partially offset by a $17.1 million decrease for accounts receivable.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$15.1 million for the three months ended March 31, 2026 compared to the three months ended March 31, 2025, primarily due to $15.8 million of cash paid for an acquisition in the three months ended March 31,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net cash used in financing activities of $57.9 million for the three months ended March 31, 2026, as compared to net cash provided by financing activities of $3.8 million for the three months ended March 31, 2025, with the change primarily due to $66.0 million of repurchases of Class A common stock in the three months ended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there have been no material changes in our critical accounting policies as disclosed in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Operations–Critical Accounting Policies and Estimates” in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from the market risk disclosures in our Annual Report on Form 10-K for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March 31, 2026. Based on that evaluation, the Chief Executive Officer and the Chief Financial Officer concluded that these disclosure controls and procedures were effective as of March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6–Commitments and Contingencies in the notes to condensed consolidated financial statements in Item 1 of Part I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2025 and in our subsequent periodic filings with the Securities and Exchange Commission.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 activity for the three months ended March 31, 2026: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8"/>
                <w:szCs w:val="18"/>
                <w:b w:val="1"/>
                <w:bCs w:val="1"/>
                <w:i w:val="1"/>
                <w:i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6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3"/>
                <w:szCs w:val="23"/>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3,357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6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jc w:val="both"/>
        <w:ind w:left="340" w:hanging="332"/>
        <w:spacing w:after="0" w:line="256" w:lineRule="auto"/>
        <w:tabs>
          <w:tab w:leader="none" w:pos="33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 2023, we announced that our Board of Directors authorized a plan under which we may repurchase up to $20 million of our Class A common stock and, following our utilization of that share repurchase authorization, we announced on October 26, 2023, September 9, 2024, October 29, 2024, September 13, 2025, December 16, 2025, and February 25, 2026 that our Board of Directors approved additional share repurchase authorizations under which we may repurchase up to an additional $30 million, $50 million, $25 million, $50 million, $50 million, and $100 million respectively, of our Class A common stock (collectively, the Repurchase Program). Under the Repurchase Program, shares of Class A common stock may be repurchased from time to time in the open market through privately negotiated transactions or otherwise, in accordance with applicable securities laws and other restrictions. The Repurchase Program does not have fixed expiration dates, does not obligate us to acquire any specific dollar amount or number of shares, and may be amended, suspended or discontinued at any time. The amount and timing of any repurchases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spacing w:after="0" w:line="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or Executive Officers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following directors or officers (as defined in Rule 16a-1 of the Exchange Act) adopted, modified or terminated a Rule 10b5-1 trading arrangement or a non-Rule 10b5-1 trading arrangement (as such terms are defined under Item 408 of Regulation S-K):</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4, 2026, Nicholas Tatum terminated a Rule 10b5-1 trading arrangement.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0" w:type="dxa"/>
            <w:vAlign w:val="bottom"/>
            <w:gridSpan w:val="8"/>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2"/>
          </w:tcPr>
          <w:p>
            <w:pPr>
              <w:spacing w:after="0"/>
              <w:rPr>
                <w:sz w:val="17"/>
                <w:szCs w:val="17"/>
                <w:color w:val="auto"/>
              </w:rPr>
            </w:pPr>
          </w:p>
        </w:tc>
        <w:tc>
          <w:tcPr>
            <w:tcW w:w="420" w:type="dxa"/>
            <w:vAlign w:val="bottom"/>
            <w:gridSpan w:val="6"/>
          </w:tcPr>
          <w:p>
            <w:pPr>
              <w:spacing w:after="0"/>
              <w:rPr>
                <w:sz w:val="17"/>
                <w:szCs w:val="17"/>
                <w:color w:val="auto"/>
              </w:rPr>
            </w:pPr>
          </w:p>
        </w:tc>
        <w:tc>
          <w:tcPr>
            <w:tcW w:w="4080" w:type="dxa"/>
            <w:vAlign w:val="bottom"/>
          </w:tcPr>
          <w:p>
            <w:pPr>
              <w:spacing w:after="0"/>
              <w:rPr>
                <w:sz w:val="17"/>
                <w:szCs w:val="17"/>
                <w:color w:val="auto"/>
              </w:rPr>
            </w:pPr>
          </w:p>
        </w:tc>
      </w:tr>
      <w:tr>
        <w:trPr>
          <w:trHeight w:val="23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2"/>
          </w:tcPr>
          <w:p>
            <w:pPr>
              <w:spacing w:after="0"/>
              <w:rPr>
                <w:sz w:val="17"/>
                <w:szCs w:val="17"/>
                <w:color w:val="auto"/>
              </w:rPr>
            </w:pPr>
          </w:p>
        </w:tc>
        <w:tc>
          <w:tcPr>
            <w:tcW w:w="420" w:type="dxa"/>
            <w:vAlign w:val="bottom"/>
            <w:gridSpan w:val="6"/>
          </w:tcPr>
          <w:p>
            <w:pPr>
              <w:spacing w:after="0"/>
              <w:rPr>
                <w:sz w:val="17"/>
                <w:szCs w:val="17"/>
                <w:color w:val="auto"/>
              </w:rPr>
            </w:pPr>
          </w:p>
        </w:tc>
        <w:tc>
          <w:tcPr>
            <w:tcW w:w="4080" w:type="dxa"/>
            <w:vAlign w:val="bottom"/>
          </w:tcPr>
          <w:p>
            <w:pPr>
              <w:spacing w:after="0"/>
              <w:rPr>
                <w:sz w:val="17"/>
                <w:szCs w:val="17"/>
                <w:color w:val="auto"/>
              </w:rPr>
            </w:pPr>
          </w:p>
        </w:tc>
      </w:tr>
      <w:tr>
        <w:trPr>
          <w:trHeight w:val="23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20" w:type="dxa"/>
            <w:vAlign w:val="bottom"/>
            <w:tcBorders>
              <w:top w:val="single" w:sz="8" w:color="0000FF"/>
            </w:tcBorders>
            <w:gridSpan w:val="5"/>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4"/>
          </w:tcPr>
          <w:p>
            <w:pPr>
              <w:spacing w:after="0"/>
              <w:rPr>
                <w:sz w:val="15"/>
                <w:szCs w:val="15"/>
                <w:color w:val="auto"/>
              </w:rPr>
            </w:pPr>
          </w:p>
        </w:tc>
        <w:tc>
          <w:tcPr>
            <w:tcW w:w="200" w:type="dxa"/>
            <w:vAlign w:val="bottom"/>
            <w:gridSpan w:val="3"/>
          </w:tcPr>
          <w:p>
            <w:pPr>
              <w:spacing w:after="0"/>
              <w:rPr>
                <w:sz w:val="15"/>
                <w:szCs w:val="15"/>
                <w:color w:val="auto"/>
              </w:rPr>
            </w:pPr>
          </w:p>
        </w:tc>
        <w:tc>
          <w:tcPr>
            <w:tcW w:w="4080" w:type="dxa"/>
            <w:vAlign w:val="bottom"/>
          </w:tcPr>
          <w:p>
            <w:pPr>
              <w:spacing w:after="0"/>
              <w:rPr>
                <w:sz w:val="15"/>
                <w:szCs w:val="15"/>
                <w:color w:val="auto"/>
              </w:rPr>
            </w:pPr>
          </w:p>
        </w:tc>
      </w:tr>
      <w:tr>
        <w:trPr>
          <w:trHeight w:val="259"/>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4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4080" w:type="dxa"/>
            <w:vAlign w:val="bottom"/>
          </w:tcPr>
          <w:p>
            <w:pPr>
              <w:spacing w:after="0"/>
              <w:rPr>
                <w:sz w:val="20"/>
                <w:szCs w:val="20"/>
                <w:color w:val="auto"/>
              </w:rPr>
            </w:pPr>
          </w:p>
        </w:tc>
      </w:tr>
      <w:tr>
        <w:trPr>
          <w:trHeight w:val="25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2"/>
                <w:szCs w:val="22"/>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3"/>
                <w:szCs w:val="23"/>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40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59" w:lineRule="exact"/>
        <w:rPr>
          <w:sz w:val="20"/>
          <w:szCs w:val="20"/>
          <w:color w:val="auto"/>
        </w:rPr>
      </w:pPr>
    </w:p>
    <w:p>
      <w:pPr>
        <w:ind w:left="340" w:hanging="332"/>
        <w:spacing w:after="0" w:line="271" w:lineRule="auto"/>
        <w:tabs>
          <w:tab w:leader="none" w:pos="2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2" w:lineRule="exact"/>
        <w:rPr>
          <w:sz w:val="20"/>
          <w:szCs w:val="20"/>
          <w:color w:val="auto"/>
        </w:rPr>
      </w:pPr>
    </w:p>
    <w:p>
      <w:pPr>
        <w:jc w:val="both"/>
        <w:ind w:left="340" w:hanging="332"/>
        <w:spacing w:after="0" w:line="281" w:lineRule="auto"/>
        <w:tabs>
          <w:tab w:leader="none" w:pos="35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616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NERDWALLET, INC.</w:t>
            </w:r>
          </w:p>
        </w:tc>
      </w:tr>
      <w:tr>
        <w:trPr>
          <w:trHeight w:val="68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61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Jun Hyung Lee</w:t>
            </w:r>
          </w:p>
        </w:tc>
      </w:tr>
      <w:tr>
        <w:trPr>
          <w:trHeight w:val="189"/>
        </w:trPr>
        <w:tc>
          <w:tcPr>
            <w:tcW w:w="30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140" w:type="dxa"/>
            <w:vAlign w:val="bottom"/>
            <w:tcBorders>
              <w:bottom w:val="single" w:sz="8" w:color="auto"/>
            </w:tcBorders>
          </w:tcPr>
          <w:p>
            <w:pPr>
              <w:spacing w:after="0"/>
              <w:rPr>
                <w:sz w:val="16"/>
                <w:szCs w:val="16"/>
                <w:color w:val="auto"/>
              </w:rPr>
            </w:pPr>
          </w:p>
        </w:tc>
      </w:tr>
      <w:tr>
        <w:trPr>
          <w:trHeight w:val="237"/>
        </w:trPr>
        <w:tc>
          <w:tcPr>
            <w:tcW w:w="3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 Hyung Lee</w:t>
            </w:r>
          </w:p>
        </w:tc>
      </w:tr>
      <w:tr>
        <w:trPr>
          <w:trHeight w:val="432"/>
        </w:trPr>
        <w:tc>
          <w:tcPr>
            <w:tcW w:w="3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 Hyung Lee, certify that:</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8"/>
          <w:szCs w:val="18"/>
          <w:color w:val="auto"/>
        </w:rPr>
        <w:t>/s/ Jun Hyung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Jun Hyung Lee</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Jun Hyung Lee,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8"/>
          <w:szCs w:val="18"/>
          <w:color w:val="auto"/>
        </w:rPr>
        <w:t>/s/ Jun Hyung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Jun Hyung Lee</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8"/>
    </w:lvl>
  </w:abstractNum>
  <w:abstractNum w:abstractNumId="14">
    <w:nsid w:val="257130A3"/>
    <w:multiLevelType w:val="hybridMultilevel"/>
    <w:lvl w:ilvl="0">
      <w:lvlJc w:val="left"/>
      <w:lvlText w:val="%1."/>
      <w:numFmt w:val="decimal"/>
      <w:start w:val="9"/>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2026-05-06T15:49:40Z</dcterms:created>
  <dcterms:modified xsi:type="dcterms:W3CDTF">2026-05-06T15:49:40Z</dcterms:modified>
</cp:coreProperties>
</file>