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5"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2022</w:t>
      </w:r>
    </w:p>
    <w:p>
      <w:pPr>
        <w:sectPr>
          <w:pgSz w:w="11900" w:h="16838" w:orient="portrait"/>
          <w:cols w:equalWidth="0" w:num="1">
            <w:col w:w="11240"/>
          </w:cols>
          <w:pgMar w:left="320" w:top="1386" w:right="339" w:bottom="1440" w:gutter="0" w:footer="0" w:header="0"/>
        </w:sectPr>
      </w:pPr>
    </w:p>
    <w:p>
      <w:pPr>
        <w:spacing w:after="0" w:line="38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OR</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70" w:lineRule="exact"/>
        <w:rPr>
          <w:sz w:val="24"/>
          <w:szCs w:val="24"/>
          <w:color w:val="auto"/>
        </w:rPr>
      </w:pPr>
    </w:p>
    <w:p>
      <w:pPr>
        <w:sectPr>
          <w:pgSz w:w="11900" w:h="16838" w:orient="portrait"/>
          <w:cols w:equalWidth="0" w:num="2">
            <w:col w:w="180" w:space="400"/>
            <w:col w:w="10660"/>
          </w:cols>
          <w:pgMar w:left="320" w:top="1386"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001-40994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NerdWallet,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9" w:lineRule="exact"/>
        <w:rPr>
          <w:sz w:val="24"/>
          <w:szCs w:val="24"/>
          <w:color w:val="auto"/>
        </w:rPr>
      </w:pPr>
    </w:p>
    <w:p>
      <w:pPr>
        <w:ind w:left="2480"/>
        <w:spacing w:after="0"/>
        <w:rPr>
          <w:sz w:val="20"/>
          <w:szCs w:val="20"/>
          <w:color w:val="auto"/>
        </w:rPr>
      </w:pPr>
      <w:r>
        <w:rPr>
          <w:rFonts w:ascii="Arial" w:cs="Arial" w:eastAsia="Arial" w:hAnsi="Arial"/>
          <w:sz w:val="17"/>
          <w:szCs w:val="17"/>
          <w:b w:val="1"/>
          <w:bCs w:val="1"/>
          <w:color w:val="auto"/>
        </w:rPr>
        <w:t>Delaware</w:t>
      </w:r>
    </w:p>
    <w:p>
      <w:pPr>
        <w:ind w:left="8040"/>
        <w:spacing w:after="0"/>
        <w:rPr>
          <w:sz w:val="20"/>
          <w:szCs w:val="20"/>
          <w:color w:val="auto"/>
        </w:rPr>
      </w:pPr>
      <w:r>
        <w:rPr>
          <w:rFonts w:ascii="Arial" w:cs="Arial" w:eastAsia="Arial" w:hAnsi="Arial"/>
          <w:sz w:val="17"/>
          <w:szCs w:val="17"/>
          <w:b w:val="1"/>
          <w:bCs w:val="1"/>
          <w:color w:val="auto"/>
        </w:rPr>
        <w:t>45-4180440</w:t>
      </w:r>
    </w:p>
    <w:p>
      <w:pPr>
        <w:spacing w:after="0" w:line="47" w:lineRule="exact"/>
        <w:rPr>
          <w:sz w:val="24"/>
          <w:szCs w:val="24"/>
          <w:color w:val="auto"/>
        </w:rPr>
      </w:pPr>
    </w:p>
    <w:p>
      <w:pPr>
        <w:ind w:left="760"/>
        <w:spacing w:after="0"/>
        <w:tabs>
          <w:tab w:leader="none" w:pos="7200" w:val="left"/>
        </w:tabs>
        <w:rPr>
          <w:sz w:val="20"/>
          <w:szCs w:val="20"/>
          <w:color w:val="auto"/>
        </w:rPr>
      </w:pPr>
      <w:r>
        <w:rPr>
          <w:rFonts w:ascii="Arial" w:cs="Arial" w:eastAsia="Arial" w:hAnsi="Arial"/>
          <w:sz w:val="17"/>
          <w:szCs w:val="17"/>
          <w:i w:val="1"/>
          <w:iCs w:val="1"/>
          <w:color w:val="auto"/>
        </w:rPr>
        <w:t>(State or other jurisdiction of incorporation or organization)</w:t>
      </w:r>
      <w:r>
        <w:rPr>
          <w:sz w:val="20"/>
          <w:szCs w:val="20"/>
          <w:color w:val="auto"/>
        </w:rPr>
        <w:tab/>
      </w:r>
      <w:r>
        <w:rPr>
          <w:rFonts w:ascii="Arial" w:cs="Arial" w:eastAsia="Arial" w:hAnsi="Arial"/>
          <w:sz w:val="15"/>
          <w:szCs w:val="15"/>
          <w:i w:val="1"/>
          <w:iCs w:val="1"/>
          <w:color w:val="auto"/>
        </w:rPr>
        <w:t>(I.R.S. Employer Identification No.)</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55 Hawthorne St., 11th Floor, San Francisco, CA 94105</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(Address of principal executive offices) (Zip code)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(415) 549-8913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71" w:lineRule="exact"/>
        <w:rPr>
          <w:sz w:val="24"/>
          <w:szCs w:val="24"/>
          <w:color w:val="auto"/>
        </w:rPr>
      </w:pPr>
    </w:p>
    <w:p>
      <w:pPr>
        <w:ind w:left="1340"/>
        <w:spacing w:after="0"/>
        <w:tabs>
          <w:tab w:leader="none" w:pos="4500" w:val="left"/>
          <w:tab w:leader="none" w:pos="7220" w:val="left"/>
        </w:tabs>
        <w:rPr>
          <w:sz w:val="20"/>
          <w:szCs w:val="20"/>
          <w:color w:val="auto"/>
        </w:rPr>
      </w:pPr>
      <w:r>
        <w:rPr>
          <w:rFonts w:ascii="Arial" w:cs="Arial" w:eastAsia="Arial" w:hAnsi="Arial"/>
          <w:sz w:val="17"/>
          <w:szCs w:val="17"/>
          <w:b w:val="1"/>
          <w:bCs w:val="1"/>
          <w:color w:val="auto"/>
        </w:rPr>
        <w:t>Title of each class</w:t>
      </w:r>
      <w:r>
        <w:rPr>
          <w:sz w:val="20"/>
          <w:szCs w:val="20"/>
          <w:color w:val="auto"/>
        </w:rPr>
        <w:tab/>
      </w:r>
      <w:r>
        <w:rPr>
          <w:rFonts w:ascii="Arial" w:cs="Arial" w:eastAsia="Arial" w:hAnsi="Arial"/>
          <w:sz w:val="17"/>
          <w:szCs w:val="17"/>
          <w:b w:val="1"/>
          <w:bCs w:val="1"/>
          <w:color w:val="auto"/>
        </w:rPr>
        <w:t>Trading symbol(s)</w:t>
      </w:r>
      <w:r>
        <w:rPr>
          <w:sz w:val="20"/>
          <w:szCs w:val="20"/>
          <w:color w:val="auto"/>
        </w:rPr>
        <w:tab/>
      </w:r>
      <w:r>
        <w:rPr>
          <w:rFonts w:ascii="Arial" w:cs="Arial" w:eastAsia="Arial" w:hAnsi="Arial"/>
          <w:sz w:val="14"/>
          <w:szCs w:val="14"/>
          <w:b w:val="1"/>
          <w:bCs w:val="1"/>
          <w:color w:val="auto"/>
        </w:rPr>
        <w:t>Name of each exchange on which registered</w:t>
      </w:r>
    </w:p>
    <w:p>
      <w:pPr>
        <w:spacing w:after="0" w:line="65" w:lineRule="exact"/>
        <w:rPr>
          <w:sz w:val="24"/>
          <w:szCs w:val="24"/>
          <w:color w:val="auto"/>
        </w:rPr>
      </w:pPr>
    </w:p>
    <w:p>
      <w:pPr>
        <w:ind w:left="580"/>
        <w:spacing w:after="0"/>
        <w:tabs>
          <w:tab w:leader="none" w:pos="4940" w:val="left"/>
          <w:tab w:leader="none" w:pos="7860" w:val="left"/>
        </w:tabs>
        <w:rPr>
          <w:sz w:val="20"/>
          <w:szCs w:val="20"/>
          <w:color w:val="auto"/>
        </w:rPr>
      </w:pPr>
      <w:r>
        <w:rPr>
          <w:rFonts w:ascii="Arial" w:cs="Arial" w:eastAsia="Arial" w:hAnsi="Arial"/>
          <w:sz w:val="17"/>
          <w:szCs w:val="17"/>
          <w:color w:val="auto"/>
        </w:rPr>
        <w:t>Class A common stock, $.0001 par value</w:t>
      </w:r>
      <w:r>
        <w:rPr>
          <w:sz w:val="20"/>
          <w:szCs w:val="20"/>
          <w:color w:val="auto"/>
        </w:rPr>
        <w:tab/>
      </w:r>
      <w:r>
        <w:rPr>
          <w:rFonts w:ascii="Arial" w:cs="Arial" w:eastAsia="Arial" w:hAnsi="Arial"/>
          <w:sz w:val="17"/>
          <w:szCs w:val="17"/>
          <w:color w:val="auto"/>
        </w:rPr>
        <w:t>NRDS</w:t>
      </w:r>
      <w:r>
        <w:rPr>
          <w:sz w:val="20"/>
          <w:szCs w:val="20"/>
          <w:color w:val="auto"/>
        </w:rPr>
        <w:tab/>
      </w:r>
      <w:r>
        <w:rPr>
          <w:rFonts w:ascii="Arial" w:cs="Arial" w:eastAsia="Arial" w:hAnsi="Arial"/>
          <w:sz w:val="15"/>
          <w:szCs w:val="15"/>
          <w:color w:val="auto"/>
        </w:rPr>
        <w:t>The Nasdaq Global Market</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32" w:lineRule="exact"/>
        <w:rPr>
          <w:sz w:val="24"/>
          <w:szCs w:val="24"/>
          <w:color w:val="auto"/>
        </w:rPr>
      </w:pPr>
    </w:p>
    <w:p>
      <w:pPr>
        <w:ind w:right="2320"/>
        <w:spacing w:after="0" w:line="284"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No </w:t>
      </w:r>
      <w:r>
        <w:rPr>
          <w:rFonts w:ascii="MS PGothic" w:cs="MS PGothic" w:eastAsia="MS PGothic" w:hAnsi="MS PGothic"/>
          <w:sz w:val="15"/>
          <w:szCs w:val="15"/>
          <w:color w:val="auto"/>
        </w:rPr>
        <w:t>☒</w:t>
      </w:r>
    </w:p>
    <w:p>
      <w:pPr>
        <w:spacing w:after="0" w:line="16"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41"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1080" w:type="dxa"/>
        <w:tblCellMar>
          <w:top w:w="0" w:type="dxa"/>
          <w:left w:w="0" w:type="dxa"/>
          <w:bottom w:w="0" w:type="dxa"/>
          <w:right w:w="0" w:type="dxa"/>
        </w:tblCellMar>
      </w:tblPr>
      <w:tr>
        <w:trPr>
          <w:trHeight w:val="209"/>
        </w:trPr>
        <w:tc>
          <w:tcPr>
            <w:tcW w:w="228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4840" w:type="dxa"/>
            <w:vAlign w:val="bottom"/>
          </w:tcPr>
          <w:p>
            <w:pPr>
              <w:ind w:left="2120"/>
              <w:spacing w:after="0"/>
              <w:rPr>
                <w:sz w:val="20"/>
                <w:szCs w:val="20"/>
                <w:color w:val="auto"/>
              </w:rPr>
            </w:pPr>
            <w:r>
              <w:rPr>
                <w:rFonts w:ascii="Arial" w:cs="Arial" w:eastAsia="Arial" w:hAnsi="Arial"/>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2"/>
        </w:trPr>
        <w:tc>
          <w:tcPr>
            <w:tcW w:w="2280" w:type="dxa"/>
            <w:vAlign w:val="bottom"/>
            <w:vMerge w:val="continue"/>
          </w:tcPr>
          <w:p>
            <w:pPr>
              <w:spacing w:after="0"/>
              <w:rPr>
                <w:sz w:val="21"/>
                <w:szCs w:val="21"/>
                <w:color w:val="auto"/>
              </w:rPr>
            </w:pPr>
          </w:p>
        </w:tc>
        <w:tc>
          <w:tcPr>
            <w:tcW w:w="484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280" w:type="dxa"/>
            <w:vAlign w:val="bottom"/>
          </w:tcPr>
          <w:p>
            <w:pPr>
              <w:spacing w:after="0" w:line="167" w:lineRule="exact"/>
              <w:rPr>
                <w:sz w:val="20"/>
                <w:szCs w:val="20"/>
                <w:color w:val="auto"/>
              </w:rPr>
            </w:pPr>
            <w:r>
              <w:rPr>
                <w:rFonts w:ascii="Arial" w:cs="Arial" w:eastAsia="Arial" w:hAnsi="Arial"/>
                <w:sz w:val="17"/>
                <w:szCs w:val="17"/>
                <w:color w:val="auto"/>
              </w:rPr>
              <w:t>Non-accelerated filer</w:t>
            </w:r>
          </w:p>
        </w:tc>
        <w:tc>
          <w:tcPr>
            <w:tcW w:w="4840" w:type="dxa"/>
            <w:vAlign w:val="bottom"/>
          </w:tcPr>
          <w:p>
            <w:pPr>
              <w:ind w:left="2120"/>
              <w:spacing w:after="0" w:line="167" w:lineRule="exact"/>
              <w:rPr>
                <w:sz w:val="20"/>
                <w:szCs w:val="20"/>
                <w:color w:val="auto"/>
              </w:rPr>
            </w:pPr>
            <w:r>
              <w:rPr>
                <w:rFonts w:ascii="Arial" w:cs="Arial" w:eastAsia="Arial" w:hAnsi="Arial"/>
                <w:sz w:val="17"/>
                <w:szCs w:val="17"/>
                <w:color w:val="auto"/>
              </w:rPr>
              <w:t>Smaller reporting company</w:t>
            </w:r>
          </w:p>
        </w:tc>
        <w:tc>
          <w:tcPr>
            <w:tcW w:w="100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484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4840" w:type="dxa"/>
            <w:vAlign w:val="bottom"/>
          </w:tcPr>
          <w:p>
            <w:pPr>
              <w:ind w:left="2120"/>
              <w:spacing w:after="0"/>
              <w:rPr>
                <w:sz w:val="20"/>
                <w:szCs w:val="20"/>
                <w:color w:val="auto"/>
              </w:rPr>
            </w:pPr>
            <w:r>
              <w:rPr>
                <w:rFonts w:ascii="Arial" w:cs="Arial" w:eastAsia="Arial" w:hAnsi="Arial"/>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46"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 w:lineRule="exact"/>
        <w:rPr>
          <w:sz w:val="24"/>
          <w:szCs w:val="24"/>
          <w:color w:val="auto"/>
        </w:rPr>
      </w:pPr>
    </w:p>
    <w:p>
      <w:pPr>
        <w:jc w:val="both"/>
        <w:spacing w:after="0" w:line="269" w:lineRule="auto"/>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8" w:lineRule="exact"/>
        <w:rPr>
          <w:sz w:val="24"/>
          <w:szCs w:val="24"/>
          <w:color w:val="auto"/>
        </w:rPr>
      </w:pPr>
    </w:p>
    <w:p>
      <w:pPr>
        <w:jc w:val="both"/>
        <w:ind w:right="20"/>
        <w:spacing w:after="0" w:line="274" w:lineRule="auto"/>
        <w:rPr>
          <w:sz w:val="20"/>
          <w:szCs w:val="20"/>
          <w:color w:val="auto"/>
        </w:rPr>
      </w:pPr>
      <w:r>
        <w:rPr>
          <w:rFonts w:ascii="Arial" w:cs="Arial" w:eastAsia="Arial" w:hAnsi="Arial"/>
          <w:sz w:val="17"/>
          <w:szCs w:val="17"/>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3" w:lineRule="exact"/>
        <w:rPr>
          <w:sz w:val="24"/>
          <w:szCs w:val="24"/>
          <w:color w:val="auto"/>
        </w:rPr>
      </w:pPr>
    </w:p>
    <w:p>
      <w:pPr>
        <w:jc w:val="both"/>
        <w:ind w:right="20"/>
        <w:spacing w:after="0" w:line="272" w:lineRule="auto"/>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4" w:lineRule="exact"/>
        <w:rPr>
          <w:sz w:val="24"/>
          <w:szCs w:val="24"/>
          <w:color w:val="auto"/>
        </w:rPr>
      </w:pPr>
    </w:p>
    <w:p>
      <w:pPr>
        <w:jc w:val="both"/>
        <w:spacing w:after="0" w:line="299" w:lineRule="auto"/>
        <w:rPr>
          <w:sz w:val="20"/>
          <w:szCs w:val="20"/>
          <w:color w:val="auto"/>
        </w:rPr>
      </w:pPr>
      <w:r>
        <w:rPr>
          <w:rFonts w:ascii="Arial" w:cs="Arial" w:eastAsia="Arial" w:hAnsi="Arial"/>
          <w:sz w:val="16"/>
          <w:szCs w:val="16"/>
          <w:color w:val="auto"/>
        </w:rPr>
        <w:t>As of June 30, 2022 (the last business day of the registrant’s most recently completed second fiscal quarter), the aggregate market value of the common stock held by non-affiliates of the registrant was approximately $213 million based upon the closing price of such shares on the Nasdaq Global Market on such date.</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outstanding 44,156,145 shares of Class A common stock and 31,685,652 shares of Class B common stock as of 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Portions of the registrant’s definitive proxy statement for its 2023 Annual Meeting of Stockholders (the “Proxy Statement”), to be filed within 120 days of the registrant’s fiscal year ended December 31, 2022,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jc w:val="center"/>
              <w:ind w:left="890"/>
              <w:spacing w:after="0"/>
              <w:rPr>
                <w:sz w:val="20"/>
                <w:szCs w:val="20"/>
                <w:color w:val="auto"/>
              </w:rPr>
            </w:pPr>
            <w:r>
              <w:rPr>
                <w:rFonts w:ascii="Arial" w:cs="Arial" w:eastAsia="Arial" w:hAnsi="Arial"/>
                <w:sz w:val="18"/>
                <w:szCs w:val="18"/>
                <w:b w:val="1"/>
                <w:bCs w:val="1"/>
                <w:color w:val="auto"/>
                <w:w w:val="97"/>
              </w:rPr>
              <w:t>Part I</w:t>
            </w:r>
          </w:p>
        </w:tc>
        <w:tc>
          <w:tcPr>
            <w:tcW w:w="1460" w:type="dxa"/>
            <w:vAlign w:val="bottom"/>
          </w:tcPr>
          <w:p>
            <w:pPr>
              <w:jc w:val="center"/>
              <w:ind w:right="930"/>
              <w:spacing w:after="0"/>
              <w:rPr>
                <w:sz w:val="20"/>
                <w:szCs w:val="20"/>
                <w:color w:val="auto"/>
              </w:rPr>
            </w:pPr>
            <w:r>
              <w:rPr>
                <w:rFonts w:ascii="Arial" w:cs="Arial" w:eastAsia="Arial" w:hAnsi="Arial"/>
                <w:sz w:val="18"/>
                <w:szCs w:val="18"/>
                <w:color w:val="auto"/>
                <w:w w:val="79"/>
              </w:rPr>
              <w:t>3</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 Business</w:t>
            </w:r>
          </w:p>
        </w:tc>
        <w:tc>
          <w:tcPr>
            <w:tcW w:w="1460" w:type="dxa"/>
            <w:vAlign w:val="bottom"/>
          </w:tcPr>
          <w:p>
            <w:pPr>
              <w:jc w:val="center"/>
              <w:ind w:right="930"/>
              <w:spacing w:after="0"/>
              <w:rPr>
                <w:sz w:val="20"/>
                <w:szCs w:val="20"/>
                <w:color w:val="auto"/>
              </w:rPr>
            </w:pPr>
            <w:r>
              <w:rPr>
                <w:rFonts w:ascii="Arial" w:cs="Arial" w:eastAsia="Arial" w:hAnsi="Arial"/>
                <w:sz w:val="18"/>
                <w:szCs w:val="18"/>
                <w:color w:val="auto"/>
                <w:w w:val="79"/>
              </w:rPr>
              <w:t>3</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1A. Risk Factors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14</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1B. Unresolved Staff Comments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38</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2. Properties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38</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3. Legal Proceedings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38</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4. Mine Safety Disclosures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38</w:t>
            </w:r>
          </w:p>
        </w:tc>
      </w:tr>
      <w:tr>
        <w:trPr>
          <w:trHeight w:val="432"/>
        </w:trPr>
        <w:tc>
          <w:tcPr>
            <w:tcW w:w="9780" w:type="dxa"/>
            <w:vAlign w:val="bottom"/>
          </w:tcPr>
          <w:p>
            <w:pPr>
              <w:jc w:val="center"/>
              <w:ind w:left="890"/>
              <w:spacing w:after="0"/>
              <w:rPr>
                <w:sz w:val="20"/>
                <w:szCs w:val="20"/>
                <w:color w:val="auto"/>
              </w:rPr>
            </w:pPr>
            <w:r>
              <w:rPr>
                <w:rFonts w:ascii="Arial" w:cs="Arial" w:eastAsia="Arial" w:hAnsi="Arial"/>
                <w:sz w:val="18"/>
                <w:szCs w:val="18"/>
                <w:b w:val="1"/>
                <w:bCs w:val="1"/>
                <w:color w:val="auto"/>
              </w:rPr>
              <w:t>Part II</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39</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w w:val="92"/>
              </w:rPr>
              <w:t>Item 5. Market for Registrant's Common Equity, Related Stockholder Matters and Issuer Purchases of Equity Securities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39</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6. [Reserved]</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40</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40</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7A. Quantitative and Qualitative Disclosures About Market Risk</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54</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8. Financial Statements and Supplementary Data</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55</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9. Changes in and Disagreements With Accountants on Accounting and Financial Disclosure</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89</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9A. Controls and Procedures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89</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9B. Other Information</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90</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9C. Disclosure Regarding Foreign Jurisdictions that Prevent Inspections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90</w:t>
            </w:r>
          </w:p>
        </w:tc>
      </w:tr>
      <w:tr>
        <w:trPr>
          <w:trHeight w:val="432"/>
        </w:trPr>
        <w:tc>
          <w:tcPr>
            <w:tcW w:w="9780" w:type="dxa"/>
            <w:vAlign w:val="bottom"/>
          </w:tcPr>
          <w:p>
            <w:pPr>
              <w:jc w:val="center"/>
              <w:ind w:left="890"/>
              <w:spacing w:after="0"/>
              <w:rPr>
                <w:sz w:val="20"/>
                <w:szCs w:val="20"/>
                <w:color w:val="auto"/>
              </w:rPr>
            </w:pPr>
            <w:r>
              <w:rPr>
                <w:rFonts w:ascii="Arial" w:cs="Arial" w:eastAsia="Arial" w:hAnsi="Arial"/>
                <w:sz w:val="18"/>
                <w:szCs w:val="18"/>
                <w:b w:val="1"/>
                <w:bCs w:val="1"/>
                <w:color w:val="auto"/>
              </w:rPr>
              <w:t>Part III</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90</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10. Directors, Executive Officers and Corporate Governance</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90</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11. Executive Compensation</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90</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90</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13. Certain Relationships and Related Transactions, and Director Independence</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90</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14. Principal Accountant Fees and Services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90</w:t>
            </w:r>
          </w:p>
        </w:tc>
      </w:tr>
      <w:tr>
        <w:trPr>
          <w:trHeight w:val="432"/>
        </w:trPr>
        <w:tc>
          <w:tcPr>
            <w:tcW w:w="9780" w:type="dxa"/>
            <w:vAlign w:val="bottom"/>
          </w:tcPr>
          <w:p>
            <w:pPr>
              <w:jc w:val="center"/>
              <w:ind w:left="890"/>
              <w:spacing w:after="0"/>
              <w:rPr>
                <w:sz w:val="20"/>
                <w:szCs w:val="20"/>
                <w:color w:val="auto"/>
              </w:rPr>
            </w:pPr>
            <w:r>
              <w:rPr>
                <w:rFonts w:ascii="Arial" w:cs="Arial" w:eastAsia="Arial" w:hAnsi="Arial"/>
                <w:sz w:val="18"/>
                <w:szCs w:val="18"/>
                <w:b w:val="1"/>
                <w:bCs w:val="1"/>
                <w:color w:val="auto"/>
              </w:rPr>
              <w:t>Part IV</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91</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15. Exhibits and Financial Statement Schedules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91</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Item 16. Form 10-K Summary</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93</w:t>
            </w:r>
          </w:p>
        </w:tc>
      </w:tr>
      <w:tr>
        <w:trPr>
          <w:trHeight w:val="432"/>
        </w:trPr>
        <w:tc>
          <w:tcPr>
            <w:tcW w:w="9780" w:type="dxa"/>
            <w:vAlign w:val="bottom"/>
          </w:tcPr>
          <w:p>
            <w:pPr>
              <w:ind w:left="1020"/>
              <w:spacing w:after="0"/>
              <w:rPr>
                <w:sz w:val="20"/>
                <w:szCs w:val="20"/>
                <w:color w:val="auto"/>
              </w:rPr>
            </w:pPr>
            <w:r>
              <w:rPr>
                <w:rFonts w:ascii="Arial" w:cs="Arial" w:eastAsia="Arial" w:hAnsi="Arial"/>
                <w:sz w:val="18"/>
                <w:szCs w:val="18"/>
                <w:color w:val="auto"/>
              </w:rPr>
              <w:t>Signatures</w:t>
            </w:r>
          </w:p>
        </w:tc>
        <w:tc>
          <w:tcPr>
            <w:tcW w:w="1460" w:type="dxa"/>
            <w:vAlign w:val="bottom"/>
          </w:tcPr>
          <w:p>
            <w:pPr>
              <w:jc w:val="center"/>
              <w:ind w:right="950"/>
              <w:spacing w:after="0"/>
              <w:rPr>
                <w:sz w:val="20"/>
                <w:szCs w:val="20"/>
                <w:color w:val="auto"/>
              </w:rPr>
            </w:pPr>
            <w:r>
              <w:rPr>
                <w:rFonts w:ascii="Arial" w:cs="Arial" w:eastAsia="Arial" w:hAnsi="Arial"/>
                <w:sz w:val="18"/>
                <w:szCs w:val="18"/>
                <w:color w:val="auto"/>
                <w:w w:val="89"/>
              </w:rPr>
              <w:t>94</w:t>
            </w:r>
          </w:p>
        </w:tc>
      </w:tr>
      <w:tr>
        <w:trPr>
          <w:trHeight w:val="1330"/>
        </w:trPr>
        <w:tc>
          <w:tcPr>
            <w:tcW w:w="9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76" w:lineRule="exact"/>
        <w:rPr>
          <w:sz w:val="20"/>
          <w:szCs w:val="20"/>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macroeconomic developments, including but not limited to, inflation, rising interest rates, tightening credit markets and general macroeconomic uncertainty on our business results of operations, financial condition and stock price;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future financial and operating performance, including total revenue, cost of revenue, Adjusted EBITDA and Monthly Unique Users;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traffic and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returns on marketing investments and brand campaigns;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about consumer demand for the products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convert users into Registered Users and improve repeat user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convert consumers into matches with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within existing and new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geographically;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and expand our relationships with our existing financial services partners and to identify new financial services partners;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build efficient and scalable technical capabilities to deliver personalized guidance and nudge users;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enhance our brand awareness and consumer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high quality, engaging consumer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adapt to the evolving financial interests of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attract and retain highly skilled, diverse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expected synergies, accretive value and other benefits from completed acquisitions.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You should not rely on forward-looking statements as predictions or guarantees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possible for us to predict all risks and uncertainties that could have an impact on our business or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forward-looking statements made in this Annual Report on Form 10-K speak only as of the date hereof.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Our forward-looking statements do not reflect the potential impact of any future acquisitions, mergers, dispositions, joint ventures or investments.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NerdWallet provides trustworthy financial guidance to consumers and small and mid-sized businesses (SMBs).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At NerdWallet, we empower consumers—both individual consumers and SMBs—to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guidance—ultimately helping to improve the financial well-being of consumers and the financial services industry as a whole. As the financial services industry becomes more fragmented and complex, we believe the need for trustworthy and knowledgeable financial guidance increases. Our objective remains the same: serve as a trusted financial ecosystem that consumers and SMBs can rely on to learn about various financial topics, shop for products, connect their data and receive data-driven nudges..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United Kingdom (UK), Canadian and, more recently, Australian markets, with further international expansion as an opportunity for future growth. Across every touchpoint, the cornerstone of our platform is our consumers’ trust in the independent, objective and relevant guidance we provide, free of charge.</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access to high-value consumers—consumers who might not otherwise trust these financial services providers’ recommendations because their guidance is inherently biased toward their own products.</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By operating at the intersection of consumers and financial services providers, NerdWallet drives value for both. Through our platform, our financial services partners can reach a substantial audience—we had 20 million Monthly Unique Users (MUUs) per month on average in 2022. After doing research on our platform, these consumers are better informed about the financial decision they’re about to make and often primed and ready to transact. When consumers are more informed about their financial options, they make the appropriate decisions for their needs with confidence, increasing their lifetime value to financial services providers as customers. We have also received feedback from our financial services partners that our users’ approval rates can be significantly higher than those applying through other channels. Plus, as consumers’ smart money moves expand their options, they are eager to explore additional opportunities and products they are now eligible for, driving further demand for NerdWallet’s financial services partners. To meet the standards of more informed consumers, financial services providers in turn must engage in healthy competition for consumer mindshare and develop better financial products, further improving the outcomes for consumers.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13 years, NerdWallet has strived to provide consumers with clarity for all of their financial decisions: cutting through jargon, parsing terms and conditions, and simplifying complex ideas so consumers can make informed decisions about their money and pursue lives well-spent. As a mission-driven, consumer-first company, we have long had a company culture oriented towards being responsible and socially conscious. In 2022, we published our first-ever Environmental, Social and Governance (ESG) report to formalize our commitments and highlight how we achieve our goals with integrity. Our commitments are a natural extension of our mission and while ESG considerations have been part of the NerdWallet story since our inception, our 2022 ESG report has allowed us to articulate our vision and priorities clearly, and it will ensure we hold ourselves accountable for progress on critical ESG initiatives.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 was $538.9 million and $379.6 million for 2022 and 2021, respectively, representing year-over-year growth of 42%. We generated a net loss of $10.2 million for 2022, which decreased 76% from a net loss of $42.5 million for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in Our Favor</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Many trends are transforming the way consumers and SMBs manage their finances and several of these trends accelerated during the COVID-19 pandemic, creating tailwinds in our industry.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Consumers Manage Their Lives Digitally, and Financial Wellness is at the Forefront of This Change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Increasingly, consumers use a digital-first approach to managing their lives: they manage appointments, book vacations, plan events and shop using apps and this has been especially true in the wake of the COVID-19 pandemic. During the past several years, this digital-first approach has also permeated personal finance with consumers expecting to have the ability to manage all aspects of their financial wellness online. To meet this consumer demand, traditional financial services providers have established digital interfaces and are continually adding new functionality. At the same time, successful fintech companies are proliferating and setting new standards for digital experiences. These new players are responding to changing consumer expectations by disrupting nearly every aspect of personal finance and offering a wide range of faster, better and cheaper digital services, continually altering the competitive landscape. By focusing on distinct personal financial products, fintech companies have unbundled personal finance and have provided value that conventional financial services providers cannot, often improving and expanding consumers’ choices and therefore, overall financial wellness.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Consumers Are Inundated With Choice and Complexity, but Unbiased Financial Guidance is Difficult to Find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digital access and an increasing number of fintech companies are making it easier to invest, make payments and even take out a loan, the explosion of market participants also makes it increasingly difficult and time consuming for consumers to sift through all of the options to determine which product is best suited to their personal financial needs.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products and services are complex and consumers are seeking ways to compare and better understand their options. Many consumers do not have a trusted financial advisor to help them navigate this complexity and instead seek advice online. Unfortunately, finding trustworthy financial guidance online can be challenging. Fees are not always transparent, there is not a standard route to achieve financial literacy and creative marketing can leave consumers feeling overwhelmed.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Consumers Want to Know They’ve Made the Right Choice in Their Financial Lives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Consumers want to take control of their financial well-being, ensure they’re getting the right deal, understand exactly what they’re signing up for and have confidence in their decisions. This desire to understand and feel well-informed about finances is prevalent across all generations. Even among the newest Gen Z consumers, many of whom may not have much experience with personal finance or even own a credit card, 89% surveyed in a 2021 Tallo study said that it’s a priority for them to learn about personal finance and 75% are interested in taking personal finance classes.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Platform</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developed a consumer-first platform that empowers consumers and SMBs to make well-informed financial decisions at the right time and with confidence. The cornerstone of our platform is consumer trust in the independent, objective, and relevant guidance we provide, free of charge. Given it is incredibly difficult for any one person to be deeply knowledgeable across all areas of personal finance, we have a 100+ person editorial team that functions as the “brains” behind our guidance. Our writers and editors, many of whom have joined us from notable publications, cover specific verticals day in and day out, and, as a result, are deeply knowledgeable about the financial areas they cover, producing high-quality and award-winning guidance. The work of our editorial team as a whole is not only a key reason consumers trust our brand and turn to us for many of their financial questions, it is also the foundation of our personalized guidance and our “nudges.” The guidance developed by our editorial team is codified by our product team to create the insights surfaced across our platform. It’s through this unique combination of human-powered guidance and machine learning capabilities, that we can provide consumers with high-quality and personalized insights, which help us advance toward being a trusted financial ecosystem, a single platform consumers and SMBs rely on to learn about various financial topics, shop for products, connect their data and receive data-driven nudges.</w:t>
      </w:r>
    </w:p>
    <w:p>
      <w:pPr>
        <w:spacing w:after="0" w:line="1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trusted guidance has enabled us to build a large, well-informed audience, many of whom are ready to transact. Accordingly, we have become an attractive partner for financial services providers wanting to reach these high value consumers. Today, our platform stretches across many financial products, including credit cards, mortgages, insurance, SMB products, personal loans, banking, investing and student loans.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platform aligns the interests of consumers and SMBs seeking financial guidance and products with the financial services providers that offer these products. A successful initial experience often leads to follow-up activity on our platform and we believe it also leads to higher customer lifetime value for the financial services providers. This alignment of interests, enabled by our unbiased and trusted guidance, benefits consumers, the financial services partners and NerdWallet.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built NerdWallet with the following key assumptions:</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Everything starts with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Consumers have an unmet need for unbiased guidance to inform their financial decisions;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a compelling opportunity to use data to personalize and automate guidance at scale.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Starting with these assumptions, we offer the following benefits to consumers and to our financial services partners.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of Our Platform for Consumers and SMBs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platform is designed to empower consumers and SMBs to gain clarity about their financial decisions, help them make optimal decisions and instill them with a sense of confidence in their choices. We accomplish this by:</w:t>
      </w:r>
    </w:p>
    <w:p>
      <w:pPr>
        <w:spacing w:after="0" w:line="62" w:lineRule="exact"/>
        <w:rPr>
          <w:sz w:val="20"/>
          <w:szCs w:val="20"/>
          <w:color w:val="auto"/>
        </w:rPr>
      </w:pPr>
    </w:p>
    <w:p>
      <w:pPr>
        <w:jc w:val="both"/>
        <w:ind w:left="66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Comprehensive Guidance with an Independent, Unbiased Editorial Team. </w:t>
      </w:r>
      <w:r>
        <w:rPr>
          <w:rFonts w:ascii="Arial" w:cs="Arial" w:eastAsia="Arial" w:hAnsi="Arial"/>
          <w:sz w:val="18"/>
          <w:szCs w:val="18"/>
          <w:color w:val="auto"/>
        </w:rPr>
        <w:t>We build trust by offering guidance that is credible,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and grounded in our consumer-first values. We establish credibility with financial product reviews and content that cover a myriad of topics, developed by our editorial team which is not influenced by monetization. One of our core values is “Consumer, Company, Team, Self.” Consistent with that value, we uphold rigorous editorial standards, and all of our articles, reviews and recommendations are written by our independent editorial team. The value of our brand and long-term relationships with consumers are more important to us than any short-term benefit we may derive from any transaction conducted on our platform. We believe that the result of this approach is the direct, ongoing, trusted relationship we have with our users.</w:t>
      </w:r>
    </w:p>
    <w:p>
      <w:pPr>
        <w:spacing w:after="0" w:line="140"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Using Simplicity and Transparency to Enable Well-Informed Decisions. </w:t>
      </w:r>
      <w:r>
        <w:rPr>
          <w:rFonts w:ascii="Arial" w:cs="Arial" w:eastAsia="Arial" w:hAnsi="Arial"/>
          <w:sz w:val="17"/>
          <w:szCs w:val="17"/>
          <w:color w:val="auto"/>
        </w:rPr>
        <w:t>We write our articles to appeal to everyone, ranging from the casual reader</w:t>
      </w:r>
      <w:r>
        <w:rPr>
          <w:rFonts w:ascii="Arial" w:cs="Arial" w:eastAsia="Arial" w:hAnsi="Arial"/>
          <w:sz w:val="17"/>
          <w:szCs w:val="17"/>
          <w:i w:val="1"/>
          <w:iCs w:val="1"/>
          <w:color w:val="auto"/>
        </w:rPr>
        <w:t xml:space="preserve"> </w:t>
      </w:r>
      <w:r>
        <w:rPr>
          <w:rFonts w:ascii="Arial" w:cs="Arial" w:eastAsia="Arial" w:hAnsi="Arial"/>
          <w:sz w:val="17"/>
          <w:szCs w:val="17"/>
          <w:color w:val="auto"/>
        </w:rPr>
        <w:t>to someone looking to understand more complex details on a topic. Regardless of the consumer need, we bring a level of clarity to help consumers make sense of even the most complex financial topics. Our content is delivered in a variety of digestible formats, and our comparisons provide transparency on both price and features, given that a particular financial product may appeal to different consumers for different reasons. For example, while some consumers may be looking for the lowest interest rate on a credit card, others may never plan to carry a balance and instead may be looking for the best cash back or rewards offering.</w:t>
      </w:r>
    </w:p>
    <w:p>
      <w:pPr>
        <w:spacing w:after="0" w:line="123" w:lineRule="exact"/>
        <w:rPr>
          <w:rFonts w:ascii="Arial" w:cs="Arial" w:eastAsia="Arial" w:hAnsi="Arial"/>
          <w:sz w:val="17"/>
          <w:szCs w:val="17"/>
          <w:color w:val="auto"/>
        </w:rPr>
      </w:pPr>
    </w:p>
    <w:p>
      <w:pPr>
        <w:jc w:val="both"/>
        <w:ind w:left="66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Acting as a Trusted Guide and Navigator, Providing Personalized Guidance. </w:t>
      </w:r>
      <w:r>
        <w:rPr>
          <w:rFonts w:ascii="Arial" w:cs="Arial" w:eastAsia="Arial" w:hAnsi="Arial"/>
          <w:sz w:val="18"/>
          <w:szCs w:val="18"/>
          <w:color w:val="auto"/>
        </w:rPr>
        <w:t>Democratizing access to financial guidance is only half of our vision;</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half is to make it frictionless for consumers to make financial decisions. We built our platform to appeal to both consumers looking to “do it themselves,” as well as those looking for more support managing their financial well-being. We make it easy for our Registered Users to stay on top of their money by centralizing many of their product decisions in one place. A Registered User is defined as an individual who has created an account on the NerdWallet platform, and is a standalone metric calculated independently from whether an individual accesses our platform in a given period. Consumers can get a holistic view of their finances, and hone in on specific details about their spending and saving patterns across accounts. By combining insights from our award-winning editorial team with our machine learning capabilities, we are able to recommend smart money moves via contextual “nudges.” As a result, we have become a one-stop-shop for consumers to track, manage and plan their financial futures.</w:t>
      </w:r>
    </w:p>
    <w:p>
      <w:pPr>
        <w:spacing w:after="0" w:line="142"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Providing Comprehensive Coverage Across Major Financial Verticals. </w:t>
      </w:r>
      <w:r>
        <w:rPr>
          <w:rFonts w:ascii="Arial" w:cs="Arial" w:eastAsia="Arial" w:hAnsi="Arial"/>
          <w:sz w:val="17"/>
          <w:szCs w:val="17"/>
          <w:color w:val="auto"/>
        </w:rPr>
        <w:t>Today, we have financial services partners in eight financial verticals:</w:t>
      </w:r>
      <w:r>
        <w:rPr>
          <w:rFonts w:ascii="Arial" w:cs="Arial" w:eastAsia="Arial" w:hAnsi="Arial"/>
          <w:sz w:val="17"/>
          <w:szCs w:val="17"/>
          <w:i w:val="1"/>
          <w:iCs w:val="1"/>
          <w:color w:val="auto"/>
        </w:rPr>
        <w:t xml:space="preserve"> </w:t>
      </w:r>
      <w:r>
        <w:rPr>
          <w:rFonts w:ascii="Arial" w:cs="Arial" w:eastAsia="Arial" w:hAnsi="Arial"/>
          <w:sz w:val="17"/>
          <w:szCs w:val="17"/>
          <w:color w:val="auto"/>
        </w:rPr>
        <w:t>credit cards, mortgages, insurance, SMB products, personal loans, banking, investing and student loans. We partner with over 400 organizations, ranging from the largest financial services providers to the most disruptive startups. This comprehensive coverage shows consumers who may be seeking guidance in one area, such as credit cards, the expertise that we provide in other relevant verticals like renters insurance and deposit accounts. Our guidance, however, is not limited to areas with existing partner relationships or those that we monetize. We quickly adapt to the evolving financial interests of consumers and can easily add coverage in new areas. Throughout 2022, our Content Nerds reinforced trust during another period of macroeconomic volatility, providing guidance across a variety of pressing topics, including the impact of interest rate hikes on credit cards, mortgages, bank accounts and personal loans; how to save at the gas pump; the return to travel and student loan forbearance and repaying student debt.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of Our Platform for Our Partners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bring our financial services partners well-matched and well-informed consumers. These consumers also frequently have desirable characteristics— they have higher credit scores and maintain higher levels of investable assets—making them highly attractive for our financial services partners. We have received feedback from financial services partners that our users’ approval rates can be significantly higher than those applying through other channels. Benefits that we provide to our financial services partners include:</w:t>
      </w:r>
    </w:p>
    <w:p>
      <w:pPr>
        <w:spacing w:after="0" w:line="133" w:lineRule="exact"/>
        <w:rPr>
          <w:sz w:val="20"/>
          <w:szCs w:val="20"/>
          <w:color w:val="auto"/>
        </w:rPr>
      </w:pPr>
    </w:p>
    <w:p>
      <w:pPr>
        <w:jc w:val="both"/>
        <w:ind w:left="660" w:hanging="328"/>
        <w:spacing w:after="0" w:line="271" w:lineRule="auto"/>
        <w:tabs>
          <w:tab w:leader="none" w:pos="655"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Huge Audience and Reach, with an Average of 20 million Consumers Turning to the Nerds This Year. </w:t>
      </w:r>
      <w:r>
        <w:rPr>
          <w:rFonts w:ascii="Arial" w:cs="Arial" w:eastAsia="Arial" w:hAnsi="Arial"/>
          <w:sz w:val="17"/>
          <w:szCs w:val="17"/>
          <w:color w:val="auto"/>
        </w:rPr>
        <w:t>During 2022, we averaged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MUUs, up 4% from 2021. We also over-index on attracting consumers with high credit scores who are inundated with choices and seek an independent third party to help them find the right product for their distinct needs. These individuals receive many offers for financial products because they are often the most attractive customers for financial services providers as they tend to drive long-term value. We believe we drive strong conversion both on and off our platform. For example, tracking tests with our financial partners in our credit cards vertical have shown that on average, for every transaction that happens through NerdWallet, one or more additional transactions with a user occur with the partner as a result of the user previously engaging with our platform. This encourages our financial services partners to continue promoting their products through NerdWallet, as we are a channel for them to acquire attractive customers.</w:t>
      </w:r>
    </w:p>
    <w:p>
      <w:pPr>
        <w:spacing w:after="0" w:line="124" w:lineRule="exact"/>
        <w:rPr>
          <w:rFonts w:ascii="Arial" w:cs="Arial" w:eastAsia="Arial" w:hAnsi="Arial"/>
          <w:sz w:val="17"/>
          <w:szCs w:val="17"/>
          <w:b w:val="1"/>
          <w:bCs w:val="1"/>
          <w:color w:val="auto"/>
        </w:rPr>
      </w:pPr>
    </w:p>
    <w:p>
      <w:pPr>
        <w:jc w:val="both"/>
        <w:ind w:left="660" w:hanging="328"/>
        <w:spacing w:after="0" w:line="293"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Access to Consumers Who Are Ready to Transact. </w:t>
      </w:r>
      <w:r>
        <w:rPr>
          <w:rFonts w:ascii="Arial" w:cs="Arial" w:eastAsia="Arial" w:hAnsi="Arial"/>
          <w:sz w:val="16"/>
          <w:szCs w:val="16"/>
          <w:color w:val="auto"/>
        </w:rPr>
        <w:t>While our expertise and personalized guidance is helpful for consumers at all stages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decision-making process, many of the consumers that use NerdWallet are already poised to make a transaction, using NerdWallet as the final check. For our financial services partners, this leads to more engaged potential customers, who have a better understanding of our partners’ products than the average customer. We believe that these high-quality matches can result in higher customer lifetime values for our partners. In addition to providing our financial services partners with attractive potential customers, we do so just as consumers’ purchase intent is the highest. Because of this, some financial services partners choose to market special or unique offers first or only through NerdWallet.</w:t>
      </w:r>
    </w:p>
    <w:p>
      <w:pPr>
        <w:spacing w:after="0" w:line="110"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Positive Brand Association. </w:t>
      </w:r>
      <w:r>
        <w:rPr>
          <w:rFonts w:ascii="Arial" w:cs="Arial" w:eastAsia="Arial" w:hAnsi="Arial"/>
          <w:sz w:val="16"/>
          <w:szCs w:val="16"/>
          <w:color w:val="auto"/>
        </w:rPr>
        <w:t>All of our articles, reviews and recommendations are written by our independent editorial team, and because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consumers trust our assessment of the financial services and products offered on our platform. As a result, we believe that our financial services partners greatly benefit from placement on our Best-of Awards lists, in our reviews and within other NerdWallet content. In fact, nearly 60% of the financial services providers who won a 2022 Best-of Award promoted their designation in their own marketing efforts.</w:t>
      </w:r>
    </w:p>
    <w:p>
      <w:pPr>
        <w:spacing w:after="0" w:line="103"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Exposure to Consumers Seeking a Broader Range of Financial Products. </w:t>
      </w:r>
      <w:r>
        <w:rPr>
          <w:rFonts w:ascii="Arial" w:cs="Arial" w:eastAsia="Arial" w:hAnsi="Arial"/>
          <w:sz w:val="18"/>
          <w:szCs w:val="18"/>
          <w:color w:val="auto"/>
        </w:rPr>
        <w:t>Given the breadth of our expertise, consumers are able to use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multiple facets of their financial well-being beyond their initial transactions. Through the wide range of guidance that we offer, consumers are exposed to relevant products outside of the one they are researching at a given time. For example, a consumer researching credit cards may see a relevant article regarding mortgages, then remember that article when they are in the market for a mortgage at a later date. As a result, consumers are exposed to our financial services partners’ products at various points in their financial journey, increasing the value of our platform both to consumers and financial services partners.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Growth Pillars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our ability to execute against our strategy and invest in our three pillars of growth- “Land and Expand,” “Vertical Integration,” and “Registrations and Data-Driven Engagement''- helps us advance toward becoming a trusted financial ecosystem. With our trusted financial ecosystem, we will provide a single platform that consumers and SMBs can rely on to learn about various financial topics, shop for products, connect their data and receive data-driven nudges. This will provide our users with more clarity and confidence around their finances and help grow and diversify our business through reoccurring engagement and revenue.</w:t>
      </w:r>
    </w:p>
    <w:p>
      <w:pPr>
        <w:spacing w:after="0" w:line="130" w:lineRule="exact"/>
        <w:rPr>
          <w:sz w:val="20"/>
          <w:szCs w:val="20"/>
          <w:color w:val="auto"/>
        </w:rPr>
      </w:pPr>
    </w:p>
    <w:p>
      <w:pPr>
        <w:jc w:val="both"/>
        <w:ind w:left="660" w:hanging="328"/>
        <w:spacing w:after="0" w:line="271" w:lineRule="auto"/>
        <w:tabs>
          <w:tab w:leader="none" w:pos="65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Land and Expand. </w:t>
      </w:r>
      <w:r>
        <w:rPr>
          <w:rFonts w:ascii="Arial" w:cs="Arial" w:eastAsia="Arial" w:hAnsi="Arial"/>
          <w:sz w:val="17"/>
          <w:szCs w:val="17"/>
          <w:color w:val="auto"/>
        </w:rPr>
        <w:t>Our trusted brand and organic reach keep us well-positioned to land and expand in new financial areas and geographies. As</w:t>
      </w:r>
      <w:r>
        <w:rPr>
          <w:rFonts w:ascii="Arial" w:cs="Arial" w:eastAsia="Arial" w:hAnsi="Arial"/>
          <w:sz w:val="17"/>
          <w:szCs w:val="17"/>
          <w:b w:val="1"/>
          <w:bCs w:val="1"/>
          <w:color w:val="auto"/>
        </w:rPr>
        <w:t xml:space="preserve"> </w:t>
      </w:r>
      <w:r>
        <w:rPr>
          <w:rFonts w:ascii="Arial" w:cs="Arial" w:eastAsia="Arial" w:hAnsi="Arial"/>
          <w:sz w:val="17"/>
          <w:szCs w:val="17"/>
          <w:color w:val="auto"/>
        </w:rPr>
        <w:t>we look to add capabilities within our existing verticals and enter new verticals like Medicare and cryptocurrency, our brand paves the way for us to meet consumer demand. By improving the quality of our guidance within existing verticals, we believe we can enhance the experience for our users and continue to build recurring revenue streams. Our approach for new vertical expansion is well-defined—provide trusted content and tools to attract organic traffic, then leverage our brand and marketing expertise to accelerate growth. Expansion to new verticals allows us to address more of our consumers’ needs and increases our potential for cross-selling, thereby making existing verticals and marketing channels more efficient. We also believe there is significant potential for us to grow the global reach of our platform. Our success in the United States and our strong brand give us a solid foundation to expand our international footprint in markets like the United Kingdom in 2020, Canada in 2021 and most recently, Australia.</w:t>
      </w:r>
    </w:p>
    <w:p>
      <w:pPr>
        <w:spacing w:after="0" w:line="119" w:lineRule="exact"/>
        <w:rPr>
          <w:rFonts w:ascii="Arial" w:cs="Arial" w:eastAsia="Arial" w:hAnsi="Arial"/>
          <w:sz w:val="17"/>
          <w:szCs w:val="17"/>
          <w:b w:val="1"/>
          <w:bCs w:val="1"/>
          <w:color w:val="auto"/>
        </w:rPr>
      </w:pPr>
    </w:p>
    <w:p>
      <w:pPr>
        <w:jc w:val="both"/>
        <w:ind w:left="660" w:hanging="328"/>
        <w:spacing w:after="0" w:line="29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Vertical Integration. </w:t>
      </w:r>
      <w:r>
        <w:rPr>
          <w:rFonts w:ascii="Arial" w:cs="Arial" w:eastAsia="Arial" w:hAnsi="Arial"/>
          <w:sz w:val="16"/>
          <w:szCs w:val="16"/>
          <w:color w:val="auto"/>
        </w:rPr>
        <w:t>Our distinct ability to combine our trusted brand and massive top-of-funnel reach with best-in-class user experiences helps</w:t>
      </w:r>
      <w:r>
        <w:rPr>
          <w:rFonts w:ascii="Arial" w:cs="Arial" w:eastAsia="Arial" w:hAnsi="Arial"/>
          <w:sz w:val="16"/>
          <w:szCs w:val="16"/>
          <w:b w:val="1"/>
          <w:bCs w:val="1"/>
          <w:color w:val="auto"/>
        </w:rPr>
        <w:t xml:space="preserve"> </w:t>
      </w:r>
      <w:r>
        <w:rPr>
          <w:rFonts w:ascii="Arial" w:cs="Arial" w:eastAsia="Arial" w:hAnsi="Arial"/>
          <w:sz w:val="16"/>
          <w:szCs w:val="16"/>
          <w:color w:val="auto"/>
        </w:rPr>
        <w:t>us vertically integrate in areas and topics that capture re-occurring revenue. For example, in 2020, we acquired Fundera to improve our offering for SMBs. Upon integration, we combined NerdWallet’s top-of-funnel strength with Fundera’s monetization strategy, which added a recurring revenue tail. In 2022, our SMB vertical achieved triple digit year-over-year growth as they successfully directed organic traffic through an efficient funnel. Given this success, we furthered our vertical integration efforts in 2022 through our acquisition of On the Barrelhead, a loan matching platform that provides consumers and SMBs with product recommendations. Similar to the vertical integration approach utilized with Fundera, we expect that by pairing On the Barrelhead’s loan matching platform with NerdWallet’s trusted brand and massive reach, we can offer our users more personalized and compelling recommendations, leading to better customer experiences and improved monetization.</w:t>
      </w:r>
    </w:p>
    <w:p>
      <w:pPr>
        <w:spacing w:after="0" w:line="105" w:lineRule="exact"/>
        <w:rPr>
          <w:rFonts w:ascii="Arial" w:cs="Arial" w:eastAsia="Arial" w:hAnsi="Arial"/>
          <w:sz w:val="16"/>
          <w:szCs w:val="16"/>
          <w:color w:val="auto"/>
        </w:rPr>
      </w:pPr>
    </w:p>
    <w:p>
      <w:pPr>
        <w:jc w:val="both"/>
        <w:ind w:left="660" w:hanging="328"/>
        <w:spacing w:after="0" w:line="26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Registration and Data-Driven Engagement. </w:t>
      </w:r>
      <w:r>
        <w:rPr>
          <w:rFonts w:ascii="Arial" w:cs="Arial" w:eastAsia="Arial" w:hAnsi="Arial"/>
          <w:sz w:val="17"/>
          <w:szCs w:val="17"/>
          <w:color w:val="auto"/>
        </w:rPr>
        <w:t>Critical to our aspiration of delivering consumers and SMBs with a trusted financial ecosystem is</w:t>
      </w:r>
      <w:r>
        <w:rPr>
          <w:rFonts w:ascii="Arial" w:cs="Arial" w:eastAsia="Arial" w:hAnsi="Arial"/>
          <w:sz w:val="17"/>
          <w:szCs w:val="17"/>
          <w:b w:val="1"/>
          <w:bCs w:val="1"/>
          <w:color w:val="auto"/>
        </w:rPr>
        <w:t xml:space="preserve"> </w:t>
      </w:r>
      <w:r>
        <w:rPr>
          <w:rFonts w:ascii="Arial" w:cs="Arial" w:eastAsia="Arial" w:hAnsi="Arial"/>
          <w:sz w:val="17"/>
          <w:szCs w:val="17"/>
          <w:color w:val="auto"/>
        </w:rPr>
        <w:t>our ability to register and engage users - in turn allowing us to drive repeat visits, collect data and provide users with unique insights via nudges. We are focused on growing the traffic and engagement on our platform, as well as increasing our number of Registered Users, who have a lifetime revenue value five times greater than our non-registered users and more than twice the transactions and sessions, on average. We have made significant progress in our efforts, and since 2016, we have started converting unique users into Registered Users that utilize our consumer decisioning tools and increased machine learning functionality. We had Registered Users of 8 million as of December 31, 2020, over 10 million as of December 31, 2021 and 14 million as of December 31, 2022. Full-year Registered User revenue increased over 80% from 2021 to 2022. We will continue to invest in building efficient and scalable technical capabilities to deliver personalized guidance and nudge consumers, at the right time, to take action based on our advice. With better machine learning, we believe our recommendations and contextual nudges will encourage repeat engagement and user registration on our platform. As more consumers use our platform and engage with our extensive financial guidance and tools, our consumer and transaction database grows and our product recommendations yield higher success rates. This increases user satisfaction, converting more users into Registered Users and improving repeat user rates. As we apply machine learning to match more high-quality consumers with products and services, our platform becomes increasingly valuable to financial services partners, too. This, in turn, attracts new partners and new financial products to the platform. More partners and more products serve to further increase the success rates of consumers using our platform, all of which drives our growth. This creates a unique value proposition for all constituents in our ecosystem, making our platform more valuable.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Market Opportunity</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a substantial market opportunity in the growing global market for financial services. Our comprehensive platform serves a broad set of financial verticals, including credit cards, mortgages, insurance, SMB products, personal loans, banking, investing and student loans.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current and primary addressable market opportunity is U.S. financial services digital advertising spend, which is expected to be more than $32 billion in 2022 and has been growing at double digit rates annually, according to eMarketer. As digital advertising spend continues to increase as a percentage of overall advertising spend, we expect our addressable market opportunity to grow along with it.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the services provided by financial advisors, insurance agencies, loan brokers and others will increasingly transition online in the coming years, which will expand our addressable market. As a result of this offline-to-online shift, offline sales commission dollars will be reallocated to better align with the growth and importance of digital channels. As financial services providers modernize their approach to sales commissions and related compensation, we expect that our addressable market opportunity will continue to grow.</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Product Offerings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NerdWallet platform is designed to empower consumers at every stage of their financial journey through our personalized offerings. Whether consumers have a specific money question, are shopping for the “best” financial product or want to proactively stay on top of their finances, we provide financial guidance to meet their varied needs. We offer guidance across eight verticals: credit cards, mortgages, insurance, SMB products, personal loans, banking, investing and student loans.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our unbiased and comprehensive approach to financial guidance and personalized insights provides a competitive advantage for NerdWallet. This advantage will compound as we further expand our product offerings and as we continue to apply the power of machine learning to further refine our personalized insights. To ensure we are able to meet distinct consumer needs and preferences, our financial guidance is delivered in a variety of ways, organized in the following core categories: Learn, Shop and Manage.</w:t>
      </w:r>
    </w:p>
    <w:p>
      <w:pPr>
        <w:spacing w:after="0" w:line="129" w:lineRule="exact"/>
        <w:rPr>
          <w:sz w:val="20"/>
          <w:szCs w:val="20"/>
          <w:color w:val="auto"/>
        </w:rPr>
      </w:pPr>
    </w:p>
    <w:p>
      <w:pPr>
        <w:jc w:val="both"/>
        <w:ind w:left="660" w:hanging="328"/>
        <w:spacing w:after="0" w:line="270"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Learn. </w:t>
      </w:r>
      <w:r>
        <w:rPr>
          <w:rFonts w:ascii="Arial" w:cs="Arial" w:eastAsia="Arial" w:hAnsi="Arial"/>
          <w:sz w:val="17"/>
          <w:szCs w:val="17"/>
          <w:color w:val="auto"/>
        </w:rPr>
        <w:t>Our mission is to provide clarity for all of life’s financial decisions, and we provide resources that make even the most complicated</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questions and topics simple to understand. The resources consumers can access on our platform include articles, calculators, videos and podcasts. We do this with our award-winning editorial team of Nerds who create and curate NerdWallet’s house views on a wide variety of personal finance topics. Our writers and editors, many of whom have joined us from notable publications, cover specific verticals day in and day out, and, as a result, are deeply knowledgeable about the financial areas they cover, producing high-quality and award-winning guidance. This trusted guidance has enabled us to build a large, well-informed audience, many of whom are ready to transact. Accordingly, we have become an attractive partner for financial services providers wanting to reach these high value consumers. Today, our platform stretches across many verticals, including credit cards, mortgages, insurance, SMB products, personal loans, banking, investing and student loans. These capabilities help consumers make educated decisions about financial products, while allowing us to provide our financial services partners with informed consumers ready to transact.</w:t>
      </w:r>
    </w:p>
    <w:p>
      <w:pPr>
        <w:spacing w:after="0" w:line="122" w:lineRule="exact"/>
        <w:rPr>
          <w:rFonts w:ascii="Arial" w:cs="Arial" w:eastAsia="Arial" w:hAnsi="Arial"/>
          <w:sz w:val="17"/>
          <w:szCs w:val="17"/>
          <w:color w:val="auto"/>
        </w:rPr>
      </w:pPr>
    </w:p>
    <w:p>
      <w:pPr>
        <w:jc w:val="both"/>
        <w:ind w:left="6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Shop. </w:t>
      </w:r>
      <w:r>
        <w:rPr>
          <w:rFonts w:ascii="Arial" w:cs="Arial" w:eastAsia="Arial" w:hAnsi="Arial"/>
          <w:sz w:val="18"/>
          <w:szCs w:val="18"/>
          <w:color w:val="auto"/>
        </w:rPr>
        <w:t>NerdWallet’s platform and intuitive user interface help consumers find the products that best match their searches, instilling confidence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financial decisions. Consumers can easily explore available products, filter results according to their specific needs, sort by NerdWallet rating and narrow down their options with the help of various tools, including side-by-side comparisons, “Best-of” lists and financial product reviews. In our credit card and loans verticals, we also offer the ability to personalize our recommendations by matching consumers to the appropriate lender for their unique needs.</w:t>
      </w:r>
    </w:p>
    <w:p>
      <w:pPr>
        <w:spacing w:after="0" w:line="129" w:lineRule="exact"/>
        <w:rPr>
          <w:rFonts w:ascii="Arial" w:cs="Arial" w:eastAsia="Arial" w:hAnsi="Arial"/>
          <w:sz w:val="18"/>
          <w:szCs w:val="18"/>
          <w:color w:val="auto"/>
        </w:rPr>
      </w:pPr>
    </w:p>
    <w:p>
      <w:pPr>
        <w:jc w:val="both"/>
        <w:ind w:left="660" w:hanging="328"/>
        <w:spacing w:after="0" w:line="277"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Manage. </w:t>
      </w:r>
      <w:r>
        <w:rPr>
          <w:rFonts w:ascii="Arial" w:cs="Arial" w:eastAsia="Arial" w:hAnsi="Arial"/>
          <w:sz w:val="17"/>
          <w:szCs w:val="17"/>
          <w:color w:val="auto"/>
        </w:rPr>
        <w:t>NerdWallet makes it easy for our Registered Users to stay on top of their money by centralizing many of their financial decisions in one</w:t>
      </w:r>
      <w:r>
        <w:rPr>
          <w:rFonts w:ascii="Arial" w:cs="Arial" w:eastAsia="Arial" w:hAnsi="Arial"/>
          <w:sz w:val="17"/>
          <w:szCs w:val="17"/>
          <w:b w:val="1"/>
          <w:bCs w:val="1"/>
          <w:color w:val="auto"/>
        </w:rPr>
        <w:t xml:space="preserve"> </w:t>
      </w:r>
      <w:r>
        <w:rPr>
          <w:rFonts w:ascii="Arial" w:cs="Arial" w:eastAsia="Arial" w:hAnsi="Arial"/>
          <w:sz w:val="17"/>
          <w:szCs w:val="17"/>
          <w:color w:val="auto"/>
        </w:rPr>
        <w:t>place. Consumers can get a holistic view of their finances, and hone in on specific details about their spending and saving patterns across accounts. By codifying insights from our award-winning editorial team, we are able to recommend smart money moves via contextual “nudges” for example, letting consumers know that the improvement in their credit score means that they could qualify for lower auto insurance rates. As a result, NerdWallet has become a one-stop-shop for consumers to track, manage and plan their financial futures.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Technology</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built our scalable technology platform to serve both the growing number of consumers searching for financial products digitally and the increasing number of financial service providers looking to reach consumers with the right characteristics for any given product. Additionally, beyond enabling all elements of our consumer “Learn, Shop, Manage” product experience, our technology is key to keeping our platform secure and compliant. The key capabilities and features of our platform include Content Management, Partner Access, Recommendation Engine and Personal Financial Management.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Content Management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content management platform leverages structured data components to showcase our financial guidance to consumers at scale. By codifying our editorial team’s house views, we are able to dynamically recommend relevant content using machine learning for consumers seeking guidance and thus increase product matches. Our personalized article recommendations lead to higher click-through rates, ultimately increasing transactions on our platform.</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Partner Access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platform manages over 400 financial services partners across eight verticals. We have a team focused on ingesting and aggregating data from our financial services partners across our verticals and financial products to surface and apply product details and attributes for matching with consumers. Our partner data ingestion, quality and compliance processes ensures accuracy and scalability across our platform. We are able to onboard new partners quickly with significantly lower partner marketing compliance risk—for example, inaccurate displays of rewards, fees, or interest rates. Our partner platform also includes the ability to integrate prequalification experiences and targeting engines.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Recommendation Engine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proprietary recommendation engine uses machine learning to match consumers to financial products and partners that meet their unique needs.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Examples include, but are not limited to:</w:t>
      </w:r>
    </w:p>
    <w:p>
      <w:pPr>
        <w:spacing w:after="0" w:line="103" w:lineRule="exact"/>
        <w:rPr>
          <w:sz w:val="20"/>
          <w:szCs w:val="20"/>
          <w:color w:val="auto"/>
        </w:rPr>
      </w:pPr>
    </w:p>
    <w:p>
      <w:pPr>
        <w:ind w:left="66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credit card products, our approval odds model determines a consumer's likelihood of getting approved, which ultimately saves them time, enables users to avoid unnecessary hard credit checks, and drives stronger conversion rates for our financial services partners.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some loans products, we operate a prequalification system that assists consumers through the underwriting process. Additionally, On the Barrelhead’s loan-matching platform unlocks more personalized and compelling recommendations, leading to better customer experiences and improved monetization.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technology is flexible enough to engage with financial services partners in ways that align with each industry’s unique requirements and business practices.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Personal Financial Management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logged-in experience for Registered Users serves as a one-stop shop for consumers to track, manage and maximize their finances, all in one place. We analyze first-party data, third-party data from financial account aggregators and credit reports to understand our users’ unique financial situations. Our recommendation engine surfaces insights and actions that users can take to make smart money moves, such as improving their credit scores, maximizing their credit card rewards or earning a higher savings interest rate. Additionally, our credit score predictive modeling can estimate the impact of financial decisions on consumers’ credit scores, thus enhancing the insights and recommendations that we can provide to them.</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Security and Privacy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consumer-first company that is building a trusted brand, we are both committed and mandated to adhere to the strictest privacy standards. We believe our commitment to data protection and privacy, as well as our superior insights and guidance, are the primary reasons why consumers provide us with personal data on our platform.</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practice a security-first approach to product development, with our security team involved in building our products, features, platforms and infrastructure from the beginning. This approach allows us to build with security as a core requirement rather than treating it as an afterthought. Our security team has a wide range of expertise, from corporate security to network security to application security, giving us the ability to design security into everything that we do, from product development to vendor selection to the tools that we use in our day-to-day work as Nerds.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marketing function is a critical way we reach and build trust with consumers and is an important growth lever for our business. Our marketing strategy is diversified across brand marketing, organic and performance marketing, customer relationship management and communications. Importantly, these strategies build on and reinforce one another, optimizing for building consumer trust and managing spend efficiently. Brand marketing campaigns, which encourage consumers to turn to NerdWallet with all of their money questions, increase awareness and drive top-of-funnel interest, while amplifying the effectiveness of our organic and performance marketing channels. All of our marketing programs and channels are measured by a data-driven media mix model to determine results and effectively allocate marketing investments to drive maximum business impact.</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substantial organic and performance marketing presence that drives high-intent traffic. Our organic marketing program leverages our substantial, proprietary body of trusted guidance coupled with expertise in SEO and public relations, to reinforce NerdWallet as a trusted authority in personal finance. Our performance marketing is also highly optimized for profitable revenue growth.</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NerdWallet’s editorial team is made up of writers and editors who are deeply knowledgeable about personal finance. Our editorial team provides well-researched guidance across all areas of personal finance and for various stages of consumers’ financial journeys, from basic information about saving for retirement to timely guidance about applying for unemployment to in-depth product reviews. Our high quality content is distributed by news sites such as The Associated Press, and our writers are frequently featured providing guidance in print, online and broadcast media such as The New York Times and Good Morning America, among others.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communications team oversees the execution of consumer, product and corporate communications to both reinforce NerdWallet as a trusted brand and support our organic growth strategies by generating considerable media and syndication coverage, particularly for NerdWallet’s consumer finance spokespeople.</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believe our marketing strategy will position NerdWallet as the trusted brand of choice in personal finance, improve traffic acquisition at all levels of the funnel, drive engagement with users, and enable us to scale quickly across new consumer finance verticals and geographies.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Our mission, to provide clarity for all of life’s financial decisions, is rooted in our belief that both individual consumers and SMBs should be empowered to make financial decisions with confidence. As a mission-driven, consumer-first company, we have long had a company culture oriented towards being responsible and socially conscious. In 2022, we published our first-ever Environmental, Social and Governance (ESG) report to formalize our commitments and highlight how we achieve our goals with integrity. You can find the report at </w:t>
      </w:r>
      <w:r>
        <w:rPr>
          <w:rFonts w:ascii="Arial" w:cs="Arial" w:eastAsia="Arial" w:hAnsi="Arial"/>
          <w:sz w:val="18"/>
          <w:szCs w:val="18"/>
          <w:i w:val="1"/>
          <w:iCs w:val="1"/>
          <w:color w:val="auto"/>
        </w:rPr>
        <w:t>https://www.nerdwallet.com/environmental-social-governance</w:t>
      </w:r>
      <w:r>
        <w:rPr>
          <w:rFonts w:ascii="Arial" w:cs="Arial" w:eastAsia="Arial" w:hAnsi="Arial"/>
          <w:sz w:val="18"/>
          <w:szCs w:val="18"/>
          <w:color w:val="auto"/>
        </w:rPr>
        <w:t>. Our commitments are a natural extension of our mission and while ESG considerations have been part of the NerdWallet story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our 2022 ESG report has allowed us to articulate our vision and priorities clearly, and it will ensure we hold ourselves accountable for progress on critical ESG initiatives.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ESG strategy is founded on three pillars:</w:t>
      </w:r>
    </w:p>
    <w:p>
      <w:pPr>
        <w:spacing w:after="0" w:line="171" w:lineRule="exact"/>
        <w:rPr>
          <w:sz w:val="20"/>
          <w:szCs w:val="20"/>
          <w:color w:val="auto"/>
        </w:rPr>
      </w:pPr>
    </w:p>
    <w:p>
      <w:pPr>
        <w:jc w:val="both"/>
        <w:ind w:left="660" w:right="2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Achieving Our Vision, or the work we do to create a world in which everyone makes financial decisions with confidence. We know that not everyone has access to the information they need to make confident decisions, that not everyone is adequately served by financial incumbents, and addressing these inequities is endemic to our DNA.</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Investing in Our Nerds, or the work we do to provide our talented Nerds with an equitable and inclusive workplace in which they can thrive professionally and personally. Our Nerds are eager to make an impact, and we want to empower them in pursuit of our shared and individual goals.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a Socially Responsible Business, or the work we do to ensure that our business practices protect and improve the lives of our consumers, our Nerds, and our wider world.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NerdWallet is defined by its vision, a world where everyone makes financial decisions with confidence. We attract people who are passionate about bringing our mission to life and inspired by the possibility of making real change—to brighten futures, ask hard questions, usher in solutions and provide our consumers with clarity and confidence. As of December 31, 2022, we had over 770 full</w:t>
      </w:r>
      <w:r>
        <w:rPr>
          <w:rFonts w:ascii="MS PGothic" w:cs="MS PGothic" w:eastAsia="MS PGothic" w:hAnsi="MS PGothic"/>
          <w:sz w:val="17"/>
          <w:szCs w:val="17"/>
          <w:color w:val="auto"/>
        </w:rPr>
        <w:t>‑</w:t>
      </w:r>
      <w:r>
        <w:rPr>
          <w:rFonts w:ascii="Arial" w:cs="Arial" w:eastAsia="Arial" w:hAnsi="Arial"/>
          <w:sz w:val="17"/>
          <w:szCs w:val="17"/>
          <w:color w:val="auto"/>
        </w:rPr>
        <w:t>time employees, of which approximately 92% are located throughout the United States and 8% are located internationally. None of our employees are represented by a labor union or covered by collective bargaining agreements. We consider our relationship with our employees to be good and have not experienced any work stoppages.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Culture and Engagement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Nerds are the key to our success and the reason we believe we will achieve our mission; they are also one of our most crucial areas of investment. At the core of our Nerdy culture are our values. They’re not just words written on a wall or printed on t-shirts, but lived and breathed every day by every Nerd: (1) Consumer, Company, Team, Self; (2) Relentless Self-Improvement; (3) Ownership; (4) Informed Risk-Taking; and (5) Open, Candid and Constructive. We measure employee performance against these company values and measure employee engagement through surveys, and participation at all-hands and town hall style meetings with leadership. We’re consistently recognized as a Fortune “Best Place to Work” due to our competitive employee benefits, commitment to employee growth and empowerment, and our flexible workplace environment.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NerdWallet, we aspire to provide people with the confidence they need to live their best lives—however they identify. For our consumers, this means building their financial confidence. For our Nerds, this means fostering an inclusive culture that allows all Nerds to be their authentic selves, grow their skills, contribute, and thrive with the confidence of belonging. Our three-year DEI goal involves continually increasing representation among women in leadership and women in tech, and in the U.S. across underrepresented races and ethnicities. Our key initiatives include:</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Offering learning sessions and resources for Nerds and managers to help build an inclusive workplace.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strike w:val="1"/>
        </w:rPr>
      </w:pPr>
      <w:r>
        <w:rPr>
          <w:rFonts w:ascii="Arial" w:cs="Arial" w:eastAsia="Arial" w:hAnsi="Arial"/>
          <w:sz w:val="18"/>
          <w:szCs w:val="18"/>
          <w:color w:val="auto"/>
        </w:rPr>
        <w:t>Supporting 5 employee-led employee resource groups, which provide supportive communities for various employee populations and their allies: NerdOut!, NerdParents, NerdWomen, Nerds of Color and NerdWallet Women in Data &amp; Engineering.</w:t>
      </w:r>
    </w:p>
    <w:p>
      <w:pPr>
        <w:spacing w:after="0" w:line="116" w:lineRule="exact"/>
        <w:rPr>
          <w:rFonts w:ascii="Arial" w:cs="Arial" w:eastAsia="Arial" w:hAnsi="Arial"/>
          <w:sz w:val="18"/>
          <w:szCs w:val="18"/>
          <w:color w:val="auto"/>
          <w:strike w:val="1"/>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received Plan Approved status by Black Equity at Work from Management Leadership for Tomorrow (MLT). This rigorous three-year route to certification features a data-driven and comprehensive plan to drive and support racial equity at NerdWallet.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use a third-party platform to analyze our employee salaries for gaps based on race or gender twice a year.</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Offering Learning and Activism Days to inspire and encourage Nerds to grow and give back to their communities. In 2022, we launched our First Annual Nerds Pay It Forward Day, a dedicated volunteer day to encourage all NerdWallet employees to give back to their communities.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Talent Attraction, Recruitment and Retention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remote-first culture allows us to reach, attract and retain more diverse talent across all levels of our organization. Attracting and retaining highly skilled, diverse talent is a key component of our burgeoning diversity, equity and inclusion efforts, and is absolutely critical to our success as a business and to fully realizing NerdWallet’s mission. Once employees are at NerdWallet we invest in their well-being and development offering competitive compensation and benefits and opportunities for career growth.</w:t>
      </w:r>
    </w:p>
    <w:p>
      <w:pPr>
        <w:spacing w:after="0" w:line="133" w:lineRule="exact"/>
        <w:rPr>
          <w:sz w:val="20"/>
          <w:szCs w:val="20"/>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Training, Learning and Development </w:t>
      </w:r>
      <w:r>
        <w:rPr>
          <w:rFonts w:ascii="Arial" w:cs="Arial" w:eastAsia="Arial" w:hAnsi="Arial"/>
          <w:sz w:val="18"/>
          <w:szCs w:val="18"/>
          <w:color w:val="auto"/>
        </w:rPr>
        <w:t>- In line with our Relentless Self-Improvement value, we encourage our employees to seek out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opportunities and we provide them with a yearly education stipend. In addition, we provide in-house opportunities for career development, including in-depth training as part of our New Manager Lab and our Career Accelerator Program (CAP) and Leadership Empowerment Accelerator Program (LEAP) aimed to increase representation of underrepresented races and ethnicities, women in leadership and women in tech and propel underrepresented women into leadership positions.</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 NerdWallet offers market-competitive compensation to attract employees and a pay-for-performance philosophy to engage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retain our employees. We want our employees to feel invested in the future of NerdWallet by offering all full-time employees equity-based compensation upon hire and through annual performance equity grants.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Healthcare and Other Benefits </w:t>
      </w:r>
      <w:r>
        <w:rPr>
          <w:rFonts w:ascii="Arial" w:cs="Arial" w:eastAsia="Arial" w:hAnsi="Arial"/>
          <w:sz w:val="18"/>
          <w:szCs w:val="18"/>
          <w:color w:val="auto"/>
        </w:rPr>
        <w:t>- In order to attract, engage and retain our employees, we offer a wide array of benefits to help</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life balance:</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Comprehensive healthcare including medical, dental, vision, life and disability insurance plans;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Flexible paid time off and flexible work schedules;</w:t>
      </w:r>
    </w:p>
    <w:p>
      <w:pPr>
        <w:spacing w:after="0" w:line="171"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Mental health benefits and Company mental health days off in addition to an annual week-long Company shutdown at the end of the calendar year;</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Remote-first work environment;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Generous parental leave;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Country-specific retirement or pension plans, with a match for U.S. 401(k) plan contributions;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Employee Stock Purchase Plan (ESPP);</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Access to certified financial planners;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Referral bonus program for recruiting new Nerds;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Charitable matching program, matching of up to $1,000 of employee donations per calendar year;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Access to online and automated legal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built a scaled and highly differentiated online platform. We face competition from both online and offline financial guidance providers in four primary categories:</w:t>
      </w:r>
    </w:p>
    <w:p>
      <w:pPr>
        <w:spacing w:after="0" w:line="16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Financial advisors, agents, and brokers </w:t>
      </w:r>
      <w:r>
        <w:rPr>
          <w:rFonts w:ascii="Arial" w:cs="Arial" w:eastAsia="Arial" w:hAnsi="Arial"/>
          <w:sz w:val="18"/>
          <w:szCs w:val="18"/>
          <w:color w:val="auto"/>
        </w:rPr>
        <w:t>who provide guidance and expertise as part of their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Traditional media </w:t>
      </w:r>
      <w:r>
        <w:rPr>
          <w:rFonts w:ascii="Arial" w:cs="Arial" w:eastAsia="Arial" w:hAnsi="Arial"/>
          <w:sz w:val="18"/>
          <w:szCs w:val="18"/>
          <w:color w:val="auto"/>
        </w:rPr>
        <w:t>such as the New York Times, U.S. News &amp; World Report and other print and broadcast media;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Friends and family</w:t>
      </w:r>
      <w:r>
        <w:rPr>
          <w:rFonts w:ascii="Arial" w:cs="Arial" w:eastAsia="Arial" w:hAnsi="Arial"/>
          <w:sz w:val="18"/>
          <w:szCs w:val="18"/>
          <w:color w:val="auto"/>
        </w:rPr>
        <w:t>, as many consumers consult friends and family for financial guidance;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Influencers on social media platforms.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compete with the following for advertising budgets designated for financial products:</w:t>
      </w:r>
    </w:p>
    <w:p>
      <w:pPr>
        <w:spacing w:after="0" w:line="167" w:lineRule="exact"/>
        <w:rPr>
          <w:sz w:val="20"/>
          <w:szCs w:val="20"/>
          <w:color w:val="auto"/>
        </w:rPr>
      </w:pPr>
    </w:p>
    <w:p>
      <w:pPr>
        <w:ind w:left="660" w:hanging="328"/>
        <w:spacing w:after="0" w:line="28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Financial services providers’ own marketing</w:t>
      </w:r>
      <w:r>
        <w:rPr>
          <w:rFonts w:ascii="Arial" w:cs="Arial" w:eastAsia="Arial" w:hAnsi="Arial"/>
          <w:sz w:val="18"/>
          <w:szCs w:val="18"/>
          <w:color w:val="auto"/>
        </w:rPr>
        <w:t>: Financial services providers connect directly through many different channels, digitally (in-app,</w:t>
      </w:r>
      <w:r>
        <w:rPr>
          <w:rFonts w:ascii="Arial" w:cs="Arial" w:eastAsia="Arial" w:hAnsi="Arial"/>
          <w:sz w:val="18"/>
          <w:szCs w:val="18"/>
          <w:b w:val="1"/>
          <w:bCs w:val="1"/>
          <w:color w:val="auto"/>
        </w:rPr>
        <w:t xml:space="preserve"> </w:t>
      </w:r>
      <w:r>
        <w:rPr>
          <w:rFonts w:ascii="Arial" w:cs="Arial" w:eastAsia="Arial" w:hAnsi="Arial"/>
          <w:sz w:val="18"/>
          <w:szCs w:val="18"/>
          <w:color w:val="auto"/>
        </w:rPr>
        <w:t>email, etc.) and offline channels (direct mail, printed media, etc.);</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Online search engines</w:t>
      </w:r>
      <w:r>
        <w:rPr>
          <w:rFonts w:ascii="Arial" w:cs="Arial" w:eastAsia="Arial" w:hAnsi="Arial"/>
          <w:sz w:val="18"/>
          <w:szCs w:val="18"/>
          <w:color w:val="auto"/>
        </w:rPr>
        <w:t>: Financial services providers spend advertising budgets with online search engines, primarily Google AdWords, as many</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turn to Google to answer their personal finance questions; and</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Online marketplaces</w:t>
      </w:r>
      <w:r>
        <w:rPr>
          <w:rFonts w:ascii="Arial" w:cs="Arial" w:eastAsia="Arial" w:hAnsi="Arial"/>
          <w:sz w:val="18"/>
          <w:szCs w:val="18"/>
          <w:color w:val="auto"/>
        </w:rPr>
        <w:t>: including Bankrate, Credit Karma, LendingTree and Zillow.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we compete favorably due to the breadth and depth of our financial guidance, the trust we’ve built with our consumers, and our brand, organic traffic, convenience and simplicity.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intellectual property rights are valuable and important to our business. We rely on trademarks, copyrights, trade secrets, license agreements, intellectual property assignment agreements, confidentiality procedures, non-disclosure agreements, and employee and contractor non-disclosure and invention assignment agreements to establish and protect our proprietary rights. Though we rely in part upon these legal and contractual protections, we believe that factors such as our skills and the ingenuity of our employees, the quality of our guidance to consumers and the functionality and frequent enhancements to our platform are larger contributors to our success in the marketplace.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U.S. and many other jurisdictions around the world. We also have registered domain names for websites that we use in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 titled “Risk Factors—Risks Related to Our Technology, Security and Intellectual Property—Failure to protect or enforce our intellectual property rights could harm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market and provide our products and services in heavily regulated industries through a number of different channels across the U.S.,the UK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 As a result, aspects of our business are potentially subject to a variety of U.S., UK and Canadian laws and regulations, including:</w:t>
      </w:r>
    </w:p>
    <w:p>
      <w:pPr>
        <w:spacing w:after="0" w:line="211" w:lineRule="exact"/>
        <w:rPr>
          <w:sz w:val="20"/>
          <w:szCs w:val="20"/>
          <w:color w:val="auto"/>
        </w:rPr>
      </w:pPr>
    </w:p>
    <w:p>
      <w:pPr>
        <w:jc w:val="both"/>
        <w:ind w:left="660" w:hanging="328"/>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Truth-in-Lending Act, the Equal Credit Opportunity Act, the Fair Credit Reporting Act (FCRA), Fair and Accurate Credit Transactions Act of 2003, the Fair Housing Act, the Real Estate Settlement Procedures Act, and similar state laws, all of which place certain restrictions on the manner in which mortgages and other consumer loans are marketed and originated, and some of which impose restrictions on the amount and nature of fees that may be charged to lenders and real estate professionals for providing or obtaining consumer loan requests;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which imposes, among other things, a broad prohibition on Unfair, Deceptive and Abusive Acts and Practices (UDAAPs) in connection with consumer financial products and services, limitations on fees charged by mortgage lenders, and requirements related to mortgage disclosures and is enforced by the Consumer Financial Protection Bureau and state regulatory authorities;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Trade Commission Act (FTC Act), which, among other things, imposes a broad prohibition on Unfair and Deceptive Acts and Practices in or affecting commerce, and is enforced by the Federal Trade Commission and Canada’s Competition Act;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laws that impose prohibitions on Unfair, Deceptive and Abusive Acts and Practices similar to the Dodd-Frank Act and FTC Act’s prohibitions;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state and provincial licensing laws;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laws, which impose restrictions on activities conducted through telephone, mail, email, mobile device or the Internet, including the Telemarketing Sales Rule, the Telephone Consumer Protection Act, the Controlling the Assault of Non-Solicited Pornography and Marketing Act of 2003, and Canada’s Anti-Spam Legislation (CASL);</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laws relating to offering of credit repair services to consumers, including such laws that impose restrictions on the usage and storage of consumer credit information such as the Credit Repair Organizations Act and the FCRA;</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laws and regulations relating to data privacy and security, such as the Gramm-Leach-Bliley Act and the California Consumer Privacy Act (CCPA), which impact how we collect, use, store, share and otherwise process personal information of consumers and other individuals;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Recent state laws regulating data privacy and security such as the CCPA;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laws and regulations relating to data privacy and security, such as the UK General Data Protection Regulation, the UK Data Protection Act 2018 and the General Data Protection Regulation 2016/679, each of which regulates our collection, processing, disclosure and other use of data relating to identifiable living individuals (personal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maintain an investor relations website at the following address: </w:t>
      </w:r>
      <w:r>
        <w:rPr>
          <w:rFonts w:ascii="Arial" w:cs="Arial" w:eastAsia="Arial" w:hAnsi="Arial"/>
          <w:sz w:val="18"/>
          <w:szCs w:val="18"/>
          <w:i w:val="1"/>
          <w:iCs w:val="1"/>
          <w:color w:val="auto"/>
        </w:rPr>
        <w:t>https://investors.nerdwallet.com</w:t>
      </w:r>
      <w:r>
        <w:rPr>
          <w:rFonts w:ascii="Arial" w:cs="Arial" w:eastAsia="Arial" w:hAnsi="Arial"/>
          <w:sz w:val="18"/>
          <w:szCs w:val="18"/>
          <w:color w:val="auto"/>
        </w:rPr>
        <w:t xml:space="preserve">. The information on our investor relations website is not incorporated by reference in this report. We make available on or through our investor relations website certain reports and amendments to those reports that we file with or furnish to the SEC in accordance with the Exchange Act. These include our Annual Reports on Form 10-K, our Quarterly Reports on Form 10-Q and our Current Reports on Form 8-K. We make this information available on our investor relations website free of charge as soon as reasonably practicable after we electronically file the information with, or furnish it to, the SEC. The SEC maintains a website that contains reports, proxy and information statements, and other information regarding issuers that file electronically with the SEC at the following address: </w:t>
      </w:r>
      <w:r>
        <w:rPr>
          <w:rFonts w:ascii="Arial" w:cs="Arial" w:eastAsia="Arial" w:hAnsi="Arial"/>
          <w:sz w:val="18"/>
          <w:szCs w:val="18"/>
          <w:i w:val="1"/>
          <w:iCs w:val="1"/>
          <w:color w:val="auto"/>
        </w:rPr>
        <w:t>https://www.sec.gov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addition, we routinely post on our investor relations website news releases, announcements and other statements about our business and results of operations, some of which may contain information that may be deemed material to investors. Therefore, we encourage investors to monitor the </w:t>
      </w:r>
      <w:r>
        <w:rPr>
          <w:rFonts w:ascii="Arial" w:cs="Arial" w:eastAsia="Arial" w:hAnsi="Arial"/>
          <w:sz w:val="18"/>
          <w:szCs w:val="18"/>
          <w:i w:val="1"/>
          <w:iCs w:val="1"/>
          <w:color w:val="auto"/>
        </w:rPr>
        <w:t xml:space="preserve">https://investors.nerdwallet.com </w:t>
      </w:r>
      <w:r>
        <w:rPr>
          <w:rFonts w:ascii="Arial" w:cs="Arial" w:eastAsia="Arial" w:hAnsi="Arial"/>
          <w:sz w:val="18"/>
          <w:szCs w:val="18"/>
          <w:color w:val="auto"/>
        </w:rPr>
        <w:t>website and review the information we post on that page.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risks described below and in our subsequent periodic filings with the SEC. The following risk factors should be read in conjunction with “Item 7. Management’s Discussion and Analysis of Financial Condition and Results of Operations” and the consolidated financial statements and related notes in this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the principal risks that could materially adversely affect us and should be read in conjunction with the full disclosure in this “Risk Factors” section:</w:t>
      </w:r>
    </w:p>
    <w:p>
      <w:pPr>
        <w:spacing w:after="0" w:line="130" w:lineRule="exact"/>
        <w:rPr>
          <w:sz w:val="20"/>
          <w:szCs w:val="20"/>
          <w:color w:val="auto"/>
        </w:rPr>
      </w:pPr>
    </w:p>
    <w:p>
      <w:pPr>
        <w:jc w:val="both"/>
        <w:ind w:left="660" w:hanging="328"/>
        <w:spacing w:after="0" w:line="25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147"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If consumers do not find value in our platform or do not like the consumer experience on our platform, the number of matches on our platform may decline, which would harm our business, financial condition and results of operations.</w:t>
      </w:r>
    </w:p>
    <w:p>
      <w:pPr>
        <w:spacing w:after="0" w:line="138" w:lineRule="exact"/>
        <w:rPr>
          <w:rFonts w:ascii="Arial" w:cs="Arial" w:eastAsia="Arial" w:hAnsi="Arial"/>
          <w:sz w:val="20"/>
          <w:szCs w:val="20"/>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maintain our reputation and brand recognition and attract and engage users in a cost-effective manner would harm our business, financial condition and results of operations.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social media, influencers, affiliate marketing, email and text messages may adversely impact our brand and reputation or subject us to fines or other penalties.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make decisions based on the best interests of our users in order to build long-term trust that may result in us forgoing short-term gains.</w:t>
      </w:r>
    </w:p>
    <w:p>
      <w:pPr>
        <w:spacing w:after="0" w:line="207" w:lineRule="exact"/>
        <w:rPr>
          <w:rFonts w:ascii="Arial" w:cs="Arial" w:eastAsia="Arial" w:hAnsi="Arial"/>
          <w:sz w:val="16"/>
          <w:szCs w:val="16"/>
          <w:color w:val="auto"/>
        </w:rPr>
      </w:pPr>
    </w:p>
    <w:p>
      <w:pPr>
        <w:ind w:left="660" w:hanging="328"/>
        <w:spacing w:after="0" w:line="266"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We compete in a highly competitive and rapidly evolving market with a number of other companies and we face the possibility of new entrants disrupting our market over time.</w:t>
      </w:r>
    </w:p>
    <w:p>
      <w:pPr>
        <w:spacing w:after="0" w:line="123" w:lineRule="exact"/>
        <w:rPr>
          <w:rFonts w:ascii="Arial" w:cs="Arial" w:eastAsia="Arial" w:hAnsi="Arial"/>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recent international expansion subjects us to additional costs and risks which could harm our business, revenue and financial results, and our continued international expansion may be unsuccessful.</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making substantial investments in new product offerings and technologies, and expect to increase such investments in the future. These new efforts are inherently risky, and we may never realize any expected benefits from them.</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performance is dependent on our ability to successfully refer users to financial services partners, and these partners are not precluded from offering products and services outside of our platform.</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Macroeconomic developments such as inflationary conditions in the U.S. have caused macroeconomic uncertainty and may have an adverse impact on our business, results of operations l and our vertical diversification strategy.</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conditions in the consumer finance markets, or poor or uncertain macroeconomic conditions, could harm our business, financial condition and results of operations if our financial services partners reduce their marketing budgets and decrease spending on our platform.</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loans markets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is subject to a variety of financial regulations in the U.S., UK, Canada and Australia, many of which are overlapping, ambiguous and still developing, which could subject us to claims or otherwise harm our business.</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Co-founder, CEO and Chairman of our Board of Directors, Tim Chen, which will limit or preclude your ability to influence corporate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success depends on the financial strength and underwriting standards of credit card issuers, lenders, insurers and other participants on our platform. If our financial services partners experience financial difficulties, they may cease participating on our platform or tighten underwriting standards, which would result in fewer opportunities for us to earn fees from matching consumers with them. In times of financial difficulty, financial services providers may also fail to pay fees when due or drop the quality of their services to consumers. Our partners could also change their online marketing strategies or implement cost-reduction initiatives that decrease spending through our platform. The occurrence of one or more of these events, alone or in combination, with a significant number of financial services partners could harm our business, financial condition and results of operations.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consumers do not find value in our platform or do not like the consumer experience on our platform, the number of matches on our platform may decline, which would harm our business, financial condition and results of operations.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that the growth of our business and revenue depends upon our ability to engage our existing users and to add new users in our current as well as new markets. If we lose users or user engagement diminishes, our business and financial condition will be negatively impacted. If we fail to remain competitive on customer experience, editorial articles and product offerings, our ability to grow our business may also be adversely affected.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a key part of our business strategy is to engage users in our existing markets, we also intend to expand our operations into new markets. In doing so, we may incur losses or otherwise fail to enter new markets successfully. Our expansion into new markets may place us in unfamiliar competitive environments and involve various risks, including competition, government regulation, the need to invest significant resources and the possibility that returns on such investments will not be achieved for several years or at all. There are many factors that could negatively affect our ability to grow our user base and engagement, including if:</w:t>
      </w:r>
    </w:p>
    <w:p>
      <w:pPr>
        <w:spacing w:after="0" w:line="13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lose users to new market entrants and/or existing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do not obtain regulatory approvals necessary for expansion into new verticals, geographies or to launch new products, product features or tools;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effectively use search engines, social media platforms, digital app stores, content-based online advertising, and other online sources for generating traffic to our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platform experiences disruptions or outages;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suffer reputational harm to our brand including from negative publicity, whether accurate or inaccurate;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expand geographically;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offer new and competitive products, to provide effective updates to our existing products or to keep pace with technological improvements in our industry;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technical or other problems frustrate the user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unable to address user concerns regarding the content, privacy, and security of our digital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unable to continue to innovate and improve our platform by generating compelling content and tools;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existing or new financial services providers use incentives to directly cross-sell their products, reducing consumer benefits of using multiple providers;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unable to successfully launch new verticals.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inability to overcome these challenges could impair our ability to engage users, and could harm our business, operating results and financial condition.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dependent on internet search engines, primarily Google, to direct traffic to our platform, including our website. Search engines, such as Google, may modify their search algorithms and policies or enforce those policies in ways that are detrimental to us, and without prior notice to us. If that occurs, we may experience significant declines in the organic search ranking of our search results, leading to a decrease in traffic to our platform. We have experienced declines in traffic and user growth as a result of these changes in the past, and anticipate fluctuations as a result of such actions in the future. The introduction of AI-assisted technologies may impact the relevance of search engines and also result in declines in our search engine ranking, leading to decreased traffic to our platform, which may impact our financial results if we are not able to adapt our content strategy to a changing web search landscape.</w:t>
      </w:r>
    </w:p>
    <w:p>
      <w:pPr>
        <w:spacing w:after="0" w:line="14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Google may take action against websites for behavior that it believes unfairly influences search results. Google does not publish guidelines explaining the types of behavior that may trigger an action. For example, in 2017, Google took action against us which temporarily resulted in lower search rankings and decreased traffic to our website. Our ability to appeal these actions is limited, and we may not be able to revise our content strategies to recover the loss in domain authority, page rankings, traffic or user growth resulting from such actions. Any significant reduction in the number of users directed to our website or mobile application from search engines would harm our business, revenue and financial results.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our reputation and brand recognition and attract and engage users in a cost-effective manner would harm our business, financial condition and results of operations.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order to attract consumers to our platform, convert these consumers into matches with financial services partners and generate repeat visits, we must market our platform and maintain consumer trust. Promoting and maintaining our brand requires the expenditure of considerable money and resources for online and offline marketing and advertising, the continued provision of high-quality products and services that meet user needs, the ability to maintain consumers’ trust, and the ability to successfully differentiate our brand, products and services from those of our competitors.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Brand recognition is a key differentiating factor between us and our competitors. We believe that continuing to build and maintain the recognition of our brand is important to achieving increased demand for the products we provide.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strength of our brand may be harmed by adverse publicity from many sources. Adverse publicity and the potential corresponding impact on our reputation may be accelerated and amplified by the widespread use of social media platforms. Furthermore, adverse publicity, from legal proceedings against us or our business, including governmental proceedings and consumer class action or other litigation, or the disclosure of information from security breaches or other incidents, could negatively impact our reputation and our brand, which could materially and adversely affect our business and financial condition and results of operations.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failure of our business to maintain or enhance its reputation and brand recognition and attract and retain consumers in a cost-effective manner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Use of social media, influencers, affiliate marketing, email, and text messages may adversely impact our brand and reputation or subject us to fines or other penalties.</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use social media, including Facebook, Instagram and TikTok, as well as affiliate marketing, email, and SMS as part of our multi-channel approach to marketing. Laws and regulations governing the use of these platforms and other digital marketing channels are rapidly evolving.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 It may also become more difficult for us or our affiliate marketing partners to comply with such laws, and future data privacy laws and regulations or industry standards may restrict or limit our ability to use some or all of the marketing strategies on which we currently rely. The failure by us, our employees, third parties acting at our direction or affiliate marketing partners who engage in advertising on our behalf to abide by applicable laws and regulations in the use of these platforms could adversely impact our reputation or subject us to fines or other penalties. In addition, our employees or third parties, including our affiliate marketing partners, may knowingly or inadvertently make use of social media in ways that could lead to violations of marketing regulations issued by the FTC, SEC or CFPB. Any such inappropriate use of social media tools could also cause business interruptions and reputational damage.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make decisions based on the best interests of our users in order to build long-term trust that may result in us forgoing short-term gains.</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One of our fundamental values is to build our business by making decisions based upon the best interests of our users, which we believe has been essential to our success in building user trust in our platform and increasing our user growth rate and engagement. We believe this best serves the long-term interests of our company and our stockholders. In the past, we have forgone, and we may in the future continue to forgo, certain expansion or short-term revenue opportunities that we do not believe are in the best interests of our platform and our users, even if such decisions adversely affect our results of operations in the short term. For example, we do not use impression-based advertising on our platform (i.e., where payment is based on digital views or engagement); we publish editorial content on topics that do not generate revenue for us, and our editorial team maintains editorial independence from our business teams. Reviews and ratings of financial services products are neither influenced by whether a product is offered on our platform nor by the pricing we may have with a financial services partner. However, this strategy of focusing on building long-term trust instead of short-term revenue opportunities may not result in the long-term benefits that we expect, in which case our user traffic and engagement, business, financial condition and results of operations could be harmed.</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in a highly competitive and rapidly evolving market with a number of other companies and we face the possibility of new entrants disrupting our market over time.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currently compete with a number of companies that market financial services online, as well as with more traditional sources of financial information, and with financial institutions offering their products directly, and we expect that competition will intensify. Our online competitors include marketplaces such as Bankrate, Credit Karma, LendingTree, and Zillow, and we also face direct or indirect competition from providers of consumer personal finance guidance and online search engines.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we also face the possibility of new competitors. New competitors may enter the market and may be able to innovate and bring products and services to market faster, or anticipate and meet consumer or financial services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engaging users or financial services partners,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recent international expansion subjects us to additional costs and risks which could harm our business, revenue and financial results, and our continued international expansion may be unsuccessful.</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Historically, all of our business has been generated in the U.S. and we have little experience operating internationally. In 2020, we entered the UK market with our acquisition of Notice Media Ltd. (doing business as Know Your Money), an online provider of financial guidance and tools based in the UK. We entered the Canadian and Australian markets organically in the third quarter of 2021 and the fourth quarter of 2022, respectively. We believe our growth strategy depends, in part, on our continued international expansion. We continue to adapt to and develop strategies to address international markets, but there is no guarantee that such efforts will be successful. Our existing international operations and further international expansion are subject to a number of difficulties and risks, including:</w:t>
      </w:r>
    </w:p>
    <w:p>
      <w:pPr>
        <w:spacing w:after="0" w:line="138" w:lineRule="exact"/>
        <w:rPr>
          <w:sz w:val="20"/>
          <w:szCs w:val="20"/>
          <w:color w:val="auto"/>
        </w:rPr>
      </w:pPr>
    </w:p>
    <w:p>
      <w:pPr>
        <w:ind w:left="66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challenges inherent to efficiently recruiting and retaining talented and capable employees in foreign countries and maintaining our company culture and employee programs across all of our offices, including those resulting from cultural differences and geographic dispersion;</w:t>
      </w:r>
    </w:p>
    <w:p>
      <w:pPr>
        <w:spacing w:after="0" w:line="92"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regulatory laws and requirements for licenses and authorizations; and the UK Bribery Act of 2010 and other anti-corruption laws;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 and other governmental entities;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identifying, obtaining, and maintaining the government approvals, authorizations, or licensures required to conduct our business in foreign markets;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and the impact of local and regional financial crises on demand and payment for our products;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obtaining intellectual property protection, enforcing our intellectual property rights, and defending against third-party intellectual property infringement claims;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successfully addressing novel sources of competition, including in the context of foreign laws and business practices that may favor local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managing fluctuations in currency exchange rates and foreign exchange controls;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adverse tax consequences, including multiple and possibly overlapping tax regimes, the complexities of foreign value-added tax systems, and changes in tax rates.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we continue to expand our international operations, our success will depend in large part on our ability to anticipate and effectively manage these risks, which in turn will require significant management attention and financial resources. In addition, certain international markets where we do business, such as the UK are subject to significant economic uncertainty. Significant economic developments in the UK, or the perception that any of them could occur, creates further challenges for operating in this market. If we are unable to successfully manage any of these risks, our existing international operations and any future international expansion could be compromised, which could harm our business, financial condition and results of operations.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making substantial investments in new product offerings and technologies, and expect to increase such investments in the future. These efforts are inherently risky, and we may never realize any expected benefits from them.</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made substantial investments to develop new product offerings and technologies, including our mobile application, personal finance management tools, our data infrastructure and our recommendation engine, and we intend to continue investing significant resources in developing new technologies, tools, features, services, products and product offerings. We expect to increase our investments in these new initiatives in the near term which may result in lower margins. Additionally, following our acquisition of On the Barrelhead (OTB) in the third quarter of 2022, we plan to invest significant resources to integrate, develop and expand new offerings using our newly acquired technology. We also expect to spend substantial amounts as we seek to grow the verticals in which we operate our platform and increase our scale, and to expand our offerings to additional geographic markets. If we do not spend our development budget efficiently or effectively on commercially successful and innovative technologies, we may not realize the expected benefits of our strategy. Our new initiatives also have a high degree of risk, as each involves strategies, technologies and regulatory requirements with which we have limited or no prior development or operating experience. There can be no assurance that consumer demand for such initiatives will exist or be sustained at the levels that we anticipate, or that any of these initiatives will gain sufficient traction 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market acceptance to generate sufficient revenue to offset any new expenses or liabilities associated with these new investments. It is also possible that product offerings developed by others will render our product offerings noncompetitive or obsolete. Further, our development efforts with respect to new product offerings and technologies could distract management from current operations, and will divert capital and other resources from our more established product offerings and technologies. Even if we are successful in developing new product offerings or technologies, regulatory authorities may subject us to new rules or restrictions in response to our innovations that could increase our expenses or prevent us from successfully commercializing new product offerings or technologies. If we do not realize the expected benefits of our investments, our business, financial condition and operating results may be harmed.</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performance is dependent on our ability to successfully refer users to financial services partners, and these partners are not precluded from offering products and services outside of our platform.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earn revenue is dependent on referring users of our site to our financial services partners and our users seeking to transact with such partners. However, having obtained the information they were looking for in our editorial articles, tools and other product offerings, users may leave our platform and transact directly with a financial services partner or with another party. When users transact directly with financial services partners or another party, we are not able to earn revenue on these users’ transactions, limiting our ability to realize a return on our investments in product features and editorial articles which could harm our business, revenue and financial results.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we do not have exclusive relationships with our financial services partners, users may obtain financial products without having to use our platform. Our financial services partners may offer and market their products to prospective customers online directly through their own marketing campaigns or via other methods of distribution, including through our competitors. If a significant number of users seek financial products and services directly from our financial services partners or from our online competitors, as opposed to through our platform, our business, financial condition and results of operations could be adversely affected.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the quality of our products, expand our product offerings or continue technological innovation and improvements, our prospects for future growth may be harmed.</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our success depends on users finding our product offerings to be of value to them. Our ability to attract and engage users depends, in part, on our ability to successfully expand our product offerings and editorial articles. For example, we initially built our content and began matching consumers with financial services providers in the credit card market, we later expanded into loan products and have continued to add other verticals since then. To penetrate new verticals,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government regulation could limit our ability to introduce new product offerings. If we fail to penetrate new verticals successfully, our revenue may grow at a slower rate than we anticipate, and our business, financial condition and results of operations could be materially adversely affected. We must also continue to innovate and improve on our technology and product offerings in order to continue future growth and successfully compete with other companies in our markets, or our brand and future growth could be materially adversely affected.</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market for financial services products is rapidly evolving, fragmented and highly competitive. Competition in this market has intensified, and we expect this trend to continue as the list of financial services providers grows. There are many established and emerging technology centric financial services providers offering a multitude of products to consumers across all financial verticals. If we fail to successfully anticipate and identify new trends, products and emerging financial services providers, and provide up-to-date educational content, tools and other relevant resources timely, our ability to engage consumers and financial services providers may suffer, which would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lack of geographic diversity exposes us to risk.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operations are geographically limited and primarily dependent upon consumers and economic conditions in the U.S. As a result of this geographical concentration, we are more vulnerable to downturns or other conditions that affect the U.S. economy. Any downturn or other adverse conditions in the U.S. economy could harm our business and financial results.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entered the UK, Canadian and Australian markets, and we believe our growth strategy depends, in part, on our continued international expansion. As we expand internationally, we will be vulnerable to economic downturns or other conditions that affect the domestic markets in the countries where we expand. However, until our international operations grow significantly, we will continue to be primarily dependent on U.S. consumers and U.S. economic conditions.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less experience operating in some of the newer market verticals to which we have expanded.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expanded to new verticals over the last several years, including SMB products and insurance products. We do not have as much experience with these newer verticals as we do with the other more established verticals on our platform. Accordingly, newer verticals may be subject to greater risks than the more established verticals on our platform.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our entry into new verticals will depend on a number of factors, including:</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in a cost effective manner product features expected by consumers and financial services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an intermediary by consumers and financial services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innovate and disrupt markets by offering or creating new and compelling products for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collect amounts owed to us from our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financial services partners in these newer verticals.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results of operations may suffer if we fail to successfully anticipate and manage these issues associated with expansion into new verticals.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the data provided to us by users and third parties to operate and improve our product offerings, and if we are unable to maintain and grow the use of such data, we may be unable to provide users with a platform experience that is relevant and effective, which would harm our business, financial condition and results of operations.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analyze first-party data from users, third-party data from financial account aggregators and credit reports to understand our users’ unique financial situations. The large amount of information we use in operating and improving our platform is critical to the experience we provide for our users. If we are unable to maintain, grow and efficiently handle the data provided to us, the value that we provide to consumers and the quality of matches with financial services partners may be limited. In addition, if we do not maintain the quality, accuracy and timeliness of this information, user experience may suffer, which would harm our business, financial condition and results of operations.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track certain operational metrics, which are subject to inherent challenges in measurement, and real or perceived inaccuracies in such metrics may harm our reputation and adversely affect our stock price, business, results of operations, and financial condition.</w:t>
      </w:r>
    </w:p>
    <w:p>
      <w:pPr>
        <w:spacing w:after="0" w:line="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track certain operational metrics, including metrics such as Monthly Unique Users (MUUs), which may differ from estimates or similar metrics published by third parties due to differences in sources, methodologies, or the assumptions on which we rely. Our internal systems and tools are subject to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For example, the number of MUUs on our platform is based on activity associated with a unique device identifier during a certain time period. Certain individuals may have more than one device and therefore may be counted more than once in our count of Monthly Unique Users. 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results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the Consumer Finance Economy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Macroeconomic developments such as inflationary conditions and a rising interest rate environment in the U.S. have caused macroeconomic uncertainty and may have an adverse impact on our business, results of operations and our vertical diversification strategy.</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began our business with our credit card vertical and have since grown our business to include seven additional verticals: mortgages, insurance, SMB products, personal loans, banking, investing and student loans. We believe that our vertical diversification strategy has allowed us to navigate different kinds of macroeconomic conditions; in the recent past underperformance in one vertical has been offset by overperformance in another. For example, during the COVID-19 pandemic in 2020 when our credit card vertical was under pressure, other verticals such as the investing vertical and mortgage vertical were strong. Similarly in 2022, as interest rates began to increase and the mortgage and investing verticals were impacted, the credit card and SMB verticals were strong. We cannot, however, guarantee that this offsetting between our verticals will continue or that our business model will be able to withstand the various macroeconomic developments we may see in the future. Continued inflationary conditions, higher interest rates, and a tightening of credit markets would pose challenges to our business and may impact many of our verticals and may not be offset by performance in other verticals. Further, an unexpected or prolonged economic downturn, or rapidly rising or sustained high unemployment, would adversely affect our financial condition and results of operations.</w:t>
      </w:r>
    </w:p>
    <w:p>
      <w:pPr>
        <w:spacing w:after="0" w:line="1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Adverse conditions in the consumer finance markets, or poor or uncertain macroeconomic conditions, could harm our business, financial condition and results of operations if our financial services partners reduce their marketing budgets and decrease spending on our platform.</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earn fees from our financial services partners by matching users with their products. Thus, our business is dependent on the consumer finance markets and the demand for the products offered by our financial services partners. We have not experienced a prolonged economic downturn since our founding following the Great Recession, but we would expect a market downturn to lead our financial services partners to tighten underwriting standards making it more difficult for users to be matched with their products and to implement cost-reduction initiatives that reduce or eliminate marketing budgets. Both of these actions would lead to decreased monetization on our platform and could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loan markets could harm our business, financial condition and results of operations.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loan market, including student loans, mortgages and personal loans, is an important part of our business. Fluctuations and constraints in the loan markets in the past have harmed, and may in the future, harm our business, financial condition and results of operations. Economic factors such as increased interest rates, slow economic growth or recessionary conditions, the pace of home price appreciation or the lack of it, changes in household debt levels, and increased unemployment or stagnant or declining wages can affect the loan markets by impacting the number of loan applications and loan approval rates which can adversely affect our business. In 2022 the U.S. Federal Reserve increased the benchmark federal funds rate multiple times in an attempt to rein in inflation. This policy change led to a softening of the housing market and reduced demand for mortgage refinancings and originations on our platform. At the same time inflationary conditions in the U.S. have led consumers to seek increased credit both in the form of credit cards and personal loans, but there may be changes to the risk appetite of our financial services partners as economic conditions become more uncertain or as they see higher rates of default from consumers. A tightening of underwriting standards by our financial services partners could negatively impact our loans vertical by making it more difficult for us to find matches for their products. In the student loan markets, a prolonged loan deferral program has negatively impacted our student loans vertical and a proposed loan forgiveness program by the Biden administration, if implemented, would continue to negatively impact our student loans vertical.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financial regulations in the U.S., Canada, Australia, and the UK, many of which are overlapping, ambiguous and still developing, which could subject us to claims or otherwise harm our business.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Aspects of our business are subject to a variety of federal, state and provincial financial and other laws in the U.S., Canada, Australia and UK, including laws, authorizations, and state or provincial licensing requirements relating to matching consumers with financial services providers; the marketing of mortgages, credit cards, personal loans, insurance, and other financial products and services; privacy and data security; investment advisory services; and other laws that are frequently evolving and developing. The scope and interpretation of such laws are often uncertain and may be conflicting or ambiguous. It is difficult to predict how existing laws, some of which were enacted prior to the widespread adoption of the internet and mobile devices, will be applied to our business and the new laws to which we may become subject. In addition, as our business grows into new markets or expands and we collect, use and share more user data internally and with financial services partners, we may become subject to additional laws and regulations. We also anticipate that U.S. federal regulators relevant to our business, such as the Federal Trade Commission and the Consumer Financial Protection Bureau, may pursue more enforcement actions under a Democratic administration. In addition, the government and regulatory authorities in the UK, Canada, Australia and U.S. including the respective federal agencies, state and provincial legislatures and regulators may from time to time enact new laws, regulations or guidance that may harm our business.</w:t>
      </w:r>
    </w:p>
    <w:p>
      <w:pPr>
        <w:spacing w:after="0" w:line="12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we are not able to comply with applicable financial and other laws or regulations or if we become liable under these laws or regulations, we could be directly harmed, and we may be forced to implement new measures to reduce our exposure to this liability. This may require us to expend substantial resources or to discontinue certain products or features, which would negatively affect our business. In addition, negative publicity resulting from regulatory actions against us or others in our industry could harm our reputation or otherwise impact the growth of our business. Any costs incurred to prevent or mitigate this potential liability could also harm our business, financial condition and operating results.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obtain proper business licenses or other documentation, or to otherwise comply with local laws and requirements regarding marketing or matching consumers with financial services providers, may result in civil or criminal penalties and restrictions on our ability to conduct business in that jurisdiction.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states require companies to hold licenses in order to solicit or broker loans secured by residential mortgages, and in many cases require the licensure or registration of individual employees or contractors engaged in aspects of these businesses. States also require licenses to undertake certain insurance brokerage activities and in many cases require the licensure or registration of individual employees or contractors engaged in aspects of these activities. In addition, some states may require licenses to conduct similar activity with respect to commercial loans, credit cards and unsecured personal loans to residents of those states, although the applicability of these requirements to our business varies depending on our products as well as the loan products, terms, and the types of institutions that we partner with. The UK, Canada, and Australia also have licensure requirements in order to solicit or offer qualitative assessments and comparison of certain financial products, such as loans secured by residential mortgages, consumer loans, credit cards, and insurance.</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Compliance with these requirements may render it more difficult for us and our financial services partners to operate or may raise our internal costs or the costs of our financial services partners, which may be passed on to us through less favorable commercial arrangements. While we have endeavored to comply with applicable requirements, the application of these requirements to persons operating online is not always clear and the failure to comply with any such applicable requirements may require us to expend significant capital and resources to investigate and remedy the noncompliance and subject us to litigation, regulatory enforcement action, fines, penalties, and other liability, which could adversely affect our business, financial condition and results of operations. Moreover, any of the licenses or rights currently held by us or our employees may be revoked prior to, or may not be renewed upon, their expiration. In addition, we or our employees may not be granted new licenses or rights for which they may be required to apply from time to time in the future.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Regulations promulgated by some states or jurisdictions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regulators. If any such person refuses or fails to comply with these requirements, we may be unable to obtain certain licenses and existing licensing arrangements may be jeopardized. The inability to obtain, or the loss of, required licenses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collect, store use and otherwise process personal information, including financial information and other sensitive data, which subjects us to governmental regulation and other legal obligations related to data privacy and security. Our actual or perceived failure to comply with such obligations could harm our reputation and our business.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collect, store, use and process personal information and other user data, including financial information, credit report information and other sensitive information for our users. We rely on this data provided to us by users and third parties to offer, improve and innovate our products. If we are unable to maintain and grow such data we may be unable to provide consumers with a platform experience that is relevant, efficient and effective, which could adversely affect our business, financial condition and results of operations.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are numerous federal, state and local laws and regulations regarding data privacy and the storing, sharing, use, processing, disclosure and protection of personal information and other user data, the scope of which are changing and subject to differing interpretations. In addition, as we continue to expand internationally, we are subject to foreign data privacy and security laws and regulations. These data privacy laws and regulations are complex, continue to evolve, and on occasion may be inconsistent between jurisdictions leading to uncertainty in interpreting such laws. We are also subject to the terms of our privacy policies and privacy-related obligations to third parties, and, given the evolving regulatory environment, we expect a heightened level of scrutiny on the data we handle. It is possible that these laws, regulations, and other obligations may be interpreted and applied in a manner that is inconsistent from one regulatory body to another and may conflict with other rules or our practices.</w:t>
      </w:r>
    </w:p>
    <w:p>
      <w:pPr>
        <w:spacing w:after="0" w:line="12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Most of the jurisdictions in which we operate have established their own data privacy and security legal frameworks. For example, in the U.S., we are subject to the Gramm–Leach–Bliley Act (GLBA) which governs non-public personal information of individuals who obtain financial products or services from financial institutions primarily for personal, family or household purposes, as well as the Fair Credit Reporting Act (FCRA) which generally governs the collection of credit information and access to credit reports. These laws restrict the collection, use, storage and disposal of information about individuals that we may collect during the provision of our products and impose certain disclosure obligations on us. Failure to comply with these laws can result in regulatory fines or penalties. Certain of our products that are not otherwise subject to the GLBA or FCRA may be subject to additional laws and regulations. For example, the California Consumer Privacy Act (CCPA) created new data privacy rights for California-resident users that will be expanded when the California Privacy Rights Act (CPRA), which was approved in November 2020, goes into effect on January 1, 2023. In addition, Virginia and Colorado recently passed their own respective privacy laws, which will go into effect around the same time as CPRA. Many other states are also either considering or in various stages of enacting privacy laws. These laws, as well as any associated regulations, may increase our operating costs and potential liability (particularly in the event of a data breach), delay or impede the development of new products, and have a material adverse effect on our business, including how we use information about individuals, our financial condition and the results of our operations or prospects.</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we expand internationally, we will also be subject to international laws regarding privacy and the storing, sharing, use, processing, disclosure and protection of personal information and other user data. For example, following our expansion into the UK market, we became subject to the privacy, data security, and data protection requirements of the UK’s data protection regime, consisting primarily of the Data Protection Act 2018 and the Data Protection, Privacy and Electronic Communications Regulations 2019 as amended by the Data Protection, Privacy and Electronic Communications Regulations 2020, or the UK GDPR, and other data protection regulations. Among other stringent requirements, the UK GDPR (like its EU counterpart) restricts transfers of data from the UK to third countries deemed to lack adequate privacy protections (such as the U.S.), unless an appropriate safeguard is implemented.</w:t>
      </w:r>
    </w:p>
    <w:p>
      <w:pPr>
        <w:spacing w:after="0" w:line="1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Following the result of a referendum in 2016, the UK left the EU on January 31, 2020, in a withdrawal commonly referred to as Brexit. Brexit has created uncertainty with regard to the regulation of data protection in the UK. Although UK privacy, data protection and data security laws are designed to be consistent with the EU’s GDPR, uncertainty remains regarding how privacy, data protection, information security and data transfers to and from the UK will be regulated notwithstanding Brexit. With substantial uncertainty over the interpretation and application of data transfer, privacy, data protection, and information security in the UK, we may face challenges in addressing their requirements and making necessary changes to our policies and practices, and may incur significant costs and expenses in an effort to do so. Any failure or perceived failure by us to comply with applicable laws and regulations or any of our other legal obligations relating to privacy, data protection, or information security may result in governmental investigations or enforcement actions, litigation, claims, or public statements against us. Any of the foregoing could result in significant liability or cause our users to lose trust in us, any of which could have an adverse effect on our reputation, operations, financial performance and business. Furthermore, the costs of compliance with, and other burdens imposed by, the laws, regulations, and policies that are applicable to the businesses of our customers may limit the adoption and use of, and reduce the overall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also subject to and actively taking steps to comply with evolving UK privacy laws on cookies and e-marketing. In the UK, informed consent is required for the placement of certain cookies or similar technologies on a user’s device and for direct electronic marketing and valid consent is tightly defined, including, a prohibition on pre-checked consents and, in the context of cookies, a requirement to obtain separate consents for each type of cookie or similar technology. Strict enforcement of these requirements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negatively impact our efforts to understand users and match them with products.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users or other third parties, or our privacy-related legal obligations, or any compromise of security that results in the unauthorized release or transfer of personally identifiable information or other user data, may result in governmental enforcement actions, litigation or negative publicity and could cause our users and financial partners to lose trust in us, which would have a material and adverse effect on our business. We may also be subject to remedies that may harm our business, including fines, demands or orders that we modify or cease existing or planned business practices.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economic and trade sanctions laws and regulations of the United States could materially adversely affect our reputation, business, financial condition and results of operations.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Human Capital</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executive team and other key employees to manage the business and the loss of one or more of these employees or an inability to attract and retain highly skilled employees could materially harm our business.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largely upon the continued high performance of our executive team and other key employees. We rely on our executive team for leadership in critical areas of our business, including product development, engineering, marketing, security, business development, and general and administrative functions. The loss of one or more of our executives or key employees would have an adverse effect on our business. From time to time, there may be changes in executives due to hiring or departures, which could disrupt our business. We do not have employment agreements with executives or other key personnel that require them to continue to work for us for any specified period and, therefore, they could terminate their employment at any time.</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depend on our senior management, including Tim Chen, our Co-founder, Chief Executive Officer and Chairman of our Board of Directors, and Lauren StClair, our Chief Financial Officer, as well as other key personnel. We may not be able to retain the services of any of our senior management or other key personnel, as their employment is at-will and they could leave at any time. If we lose the services of one or more of our senior management and other key personnel, we may not be able to successfully manage our business, meet 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stiff competition for qualified personnel and if we fail to attract new personnel or fail to retain and motivate our current personnel, our business, financial condition and results of operations could be materially and adversely affected.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personnel is intense, especially for engineers experienced in designing and developing online and mobile products. We have experienced and we expect to continue to experience difficulty in hiring and retaining employees with appropriate qualifications. To attract and retain top talent, we have had to offer, and we believe we will need to continue to offer competitive compensation and benefits packages. Many of the companies with which we compete for experienced personnel have greater operating histories and resources than we have, which may make them more attractive to candidates.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attrition creates challenges as we must expend significant time and resources to identify, recruit, train and integrate new employees. If we are unable to retain qualified personnel or to effectively manage our hiring needs and successfully integrate new hires, then our efficiency, ability to meet forecasts, employee morale, productivity and retention could suffer, which could adversely affect our business.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transitioned to being a remote-first company, which could result in reduced morale and cohesiveness and increased cybersecurity risk, which could negatively affect our business.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onset of the COVID-19 pandemic we transitioned all of our employees to a remote work environment in order to mitigate the spread of COVID-19 and comply with local shelter in place policies. Subsequently we transitioned to being a remote-first company, allowing for almost all roles to be open to remote employees on an ongoing basis. The transition to being a remote-first company may lead to reduced employee morale or cohesiveness among our employees. In addition, our new remote-first employment policy may exacerbate certain risks to our business, including an increased demand for information technology resources, increased risk of phishing and other cybersecurity attacks, increased risk of unauthorized dissemination of sensitive information and increased complexity in coordinating the actions of the organization across various time zones, any of which could adversely affect our business. As a result, our culture, information technology requirements, cybersecurity risk, and business operations could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Security and Intellectual Property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continued success depends on our systems, applications, and software continuing to operate and to meet the changing needs of our customers and users and financial services partners. We rely on our technology and engineering staff and vendors to successfully implement changes to and maintain our systems and services in an efficient and secure manner. Like all information systems and technology, our platform may contain or develop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shutdown of our platform.</w:t>
      </w:r>
    </w:p>
    <w:p>
      <w:pPr>
        <w:spacing w:after="0" w:line="14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Operating our business and products involves the collection, storage, use and transmission of large volumes of sensitive, proprietary and confidential information, including financial and personal information, pertaining to our current, prospective and past users, as well as our staff, contractors, and business partners. The security measures we take to protect this information may be breached as a result of computer malware, viruses, social engineering, ransomware attacks, account takeover attacks, hacking and cyberattacks, including by state-sponsored and other sophisticated organizations. Such incidents have become more prevalent in recent years. Our security measures could also be compromised by our personnel, theft or errors, or be insufficient to prevent exploitation of security vulnerabilities in software or systems on which we rely. Such incidents may in the future result in unauthorized, unlawful or inappropriate use, destruction or disclosure of, access to, or inability to access the sensitive, proprietary and confidential information that we handle. These incidents may remain undetected for extended periods of time allowing malfeasors to use time to their advantage.</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Because there are many different cybercrime and hacking techniques and such techniques continue to evolve, we may be unable to anticipate attempted security breaches, react in a timely manner or implement adequate preventative measures. While we have developed systems and processes designed to protect the integrity, confidentiality and security of our and our users’ confidential and personal information under our control, we cannot assure you that any security measures that we or our third party service providers have implemented will be effective against current or future security threats.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security breach or other security incident, or the perception that one has occurred, could result in a loss of confidence by both our users and financial services partners and damage our reputation and brand; reduce demand for our products; disrupt normal business operations; require us to expend significant capital and resources to investigate and remedy the incident and prevent recurrence; and subject us to litigation, regulatory enforcement action, fines, penalties, and other liability, which could adversely affect our business, financial condition and results of operations. Even if we take steps that we believe are adequate to protect us from cyber threats, hacking against our competitors or other companies in our industry could create the perception among our users and financial services partners that our digital platform is not safe to use. Security incidents could also damage our IT systems and our ability to make the financial reports and other public disclosures required of public companies. These risks are likely to continue to increase as we continue to grow and process, store and transmit increasingly larger volumes of data.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party service providers to support our platform and information technology systems.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rely on third-party service providers to provide critical services that help us deliver our products and operate our business, including hosting our platform. These providers may support or operate critical business systems for us or store or process the same sensitive, proprietary and confidential information that we handle. We do not have redundant network or rapid disaster recovery capabilities in most cases for the services provided by third-party service providers. These service providers may not have adequate security measures and could experience a security incident that compromises the confidentiality, integrity or availability of the systems they operate for us or the information they process on our behalf. Such occurrences could adversely affect our business to the same degree as if we had experienced these occurrences directly and we may not have recourse to the responsible third-party service providers for the resulting liability we incur.</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significant disruption to the infrastructure of our third-party service providers and/or any changes in our third-party service providers’ service levels may significantly impact our business operations, including making our platform unavailable to our users. A lengthy interruption in the availability of our platform would result in a loss of matches with our financial partners and corresponding revenue, which would impact our operating results and cash flow. In addition, it would negatively impact search engine ranking, user experience and our reputation with our financial partners. Furthermore, in the event that any of our agreements with our third-party service providers are terminated, we may experience significant costs or downtime in connection with the transfer to, or the addition of, new hosting providers. Although alternative providers could host our platform on a substantially similar basis, such transition could potentially be disruptive and we could incur significant costs in connection therewith.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infringed their proprietary technology or other intellectual property rights could harm our business.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Companies in the internet and technology industries are frequently subject to litigation based on allegations of infringement, misappropriation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Third parties have in the past and may in the future assert claims of infringement of intellectual property rights against us. Although we may have meritorious defenses, there can be no assurance that we will be successful in defending against these allegations or in reaching a business resolution that is satisfactory to us. Our competitors and others may now and in the future have patent portfolios that are used against us.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or enforce our intellectual property rights could harm our business, financial condition and results of operations.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strive to protect our intellectual property rights by relying on a combination of federal, state and common law trademark, copyright, and trade secret protection laws, as well as contractual restrictions and business practices. In particular, we must maintain and protect the “NerdWallet” name and related marks and intellectual property and also police copying of our editorial articles. In addition, we typically enter into confidentiality and invention assignment agreements with employees and contractors, and confidentiality agreements with parties with whom we conduct business in order to limit access to, and disclosure and use of, our confidential or proprietary information. However, these contractual arrangements and the other steps we have taken to protect our intellectual property may not prevent the misappropriation or disclosure of our proprietary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nor deter independent development of similar technologies by others. Failure to protect or maintain our intellectual property could harm our business, financial condition and results of operations.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our content, software and other works may be protected under copyright law, we have chosen not to register any copyrights in these works. In order to bring a copyright infringement lawsuit in the United States, the copyright must be registered. Accordingly, the remedies and damages available to us for unauthorized use of our software may be limited.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license third-party software and other intellectual property for use in connection with our platform, including for various third party product integrations with our platform. Our third-party licenses typically limit our use of intellectual property to specific uses and include other contractual obligations with which we must comply. These licenses may need to be renegotiated or renewed from time to time, or we may need to obtain new licenses in the future. Third parties may stop adequately supporting or maintaining their offerings or they or their technology may be acquired by our competitors. If we are unable to obtain licenses to these third-party software and intellectual property on reasonable terms or at all, the functionalities available through our platform may be adversely impacted, which could in turn harm our business. Further, if we or our third-party licensors were to breach any material term of a license, such a breach could, among other things, prompt costly litigation, result in the license being invalidated and/or result in fines and other damages. If any of the following were to occur, it could harm our business, financial results and our reputation.</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infringement claims brought by third parties against our licensors or against us, our ability to provide functionalities through our platform using such intellectual property could be severely limited and our business could be harmed. Furthermore, regardless of outcome, infringement claims may require us to use significant resources and may divert management’s attention.</w:t>
      </w:r>
    </w:p>
    <w:p>
      <w:pPr>
        <w:spacing w:after="0" w:line="13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rely on operating system providers and app stores to support our platform, and any disruption, deterioration or change in their services, policies, practices, guidelines and/or terms of service could have a material adverse effect on our business, financial condition and results of operations.</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success of our platform depends upon the effective operation of certain mobile operating systems, networks and standards that are run by operating system providers and app stores, or Providers. We do not control these Providers and, as a result, we are subject to risks and uncertainties related to the actions taken, or not taken, by these Providers. We largely utilize Android-based and iOS-based technology for our digital application platform. If any Providers, including either Google (for Android) or Apple (for iOS) stop providing us with access to their platform or infrastructure, fail to provide reliable access, cease operations, modify or introduce new systems, change their terms of service, guidelines or policies, or their interpretation of these, or otherwise terminate services, the delay caused by qualifying and switching to other operating systems could be time consuming and costly and could materially and adversely affect our business, financial condition and results of operations. In addition, Providers may limit the use of personal information and other data for advertising purposes or restrict how users can share information on their platform or across other platforms, which could materially and adversely affect our business, financial condition and results of operations or otherwise require us to change the way we conduct our business. Any limitation on or discontinuation of our or our users’ access to any Provider’s platform or app store could materially and adversely affect our business, financial condition, results of operations or otherwise require us to change the way we conduct our business.</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use open source software in our platform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cannot be sure that all of our use of open source software is in a manner that is consistent with our current policies and procedures, or will not subject us to liability. Any of these risks could be difficult to eliminate or manage, and, if not addressed, would have a negative effect on our business, financial condition and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Operations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certain restrictions that may limit our ability to operate our business.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terms of our existing credit agreement, as amended, and the related collateral documents with Silicon Valley Bank (SVB) as administrative agent contain, and any future indebtedness may contain, a number of restrictive covenants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repurchasing stock, making investments and agreeing to do any of the foregoing, in each case subject to certain exceptions. Our credit agreement also contains financial covenants which require us to maintain a minimum adjusted quick ratio and a minimum consolidated adjusted EBITDA if the adjusted quick ratio falls below a specified level, measured in each case at the end of each fiscal quarter. Our ability to meet those financial covenants can be affected by events beyond our control, and we may not be able to continue to meet those covenants. A breach of any of these covenants or the occurrence of other events (including an event or condition that has had a material adverse effect (as defined in the credit agreement)) specified in the credit agreement and/or the related collateral documents could result in an event of default under the credit agreement. Upon the occurrence of an event of default, SVB and/or our lenders under the credit agreement could elect to declare all amounts outstanding under the credit agreement, if any, to be immediately due and payable and terminate all commitments to extend further credit. If we were unable to repay those amounts, SVB and our lenders could proceed against the collateral granted to them to secure such indebtedness, which consists of all of our assets other than our intellectual property. We have, and certain of our subsidiaries have, pledged substantially all of our respective assets as collateral under the loan documents. If SVB and our lenders accelerate the repayment of borrowings, if any, we may not have sufficient funds to repay our debt.</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debt agreement may not be sufficient for our capital needs and we may require additional capital to support business growth, which might not be available on acceptable terms, if at all.</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we may require additional funds to continue to do so. Depending on availability of capital under our existing debt facility, profitability and cash flow,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satisfactory terms when required, our ability to continue to support our business growth and respond to business challenges could be significantly impaired, delayed or abandoned, and our business may be harmed.</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unable to make acquisitions and investments, successfully integrate acquired companies into our business, or our acquisitions and investments may not meet our expectations, any of which could adversely affect our business, financial condition, and results of operations.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have extensive experience acquiring and integrating other businesses and technologies and there are inherent risks in integrating the acquired personnel, operations and technologies and managing the combined business effectively following the acquisition.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and investments may divert the attention of management and cause us to incur significant expenses related to identifying, investigating, and pursuing suitable acquisitions and investments, whether or not they are consummated. Furthermore, even if we successfully acquire or invest in additional businesses or technologies, we may not achieve the anticipated benefits or synergies due to a number of factors, including, without limitation:</w:t>
      </w:r>
    </w:p>
    <w:p>
      <w:pPr>
        <w:spacing w:after="0" w:line="122" w:lineRule="exact"/>
        <w:rPr>
          <w:sz w:val="20"/>
          <w:szCs w:val="20"/>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 including claims related to the acquired company, its product offerings, or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acquisition-related or investment-related expenses, which would be recognized as a current period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maintaining quality and security standards consistent with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identify security vulnerabilities in acquired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achieve anticipated synergies or unanticipated difficulty with integration into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caused by distance and cultural differences;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harm to our existing business relationships with business partners as a result of the acquisition or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 diversion of management and employee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complexity in accounting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that may arise out of earn-outs, escrows, and other arrangements related to an acquisition of a company.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that are not discovered by due diligence during the acquisition process. In addition, our acquisition agreements with KYM and Fundera, which we acquired in 2020, contain earn-out provisions. Disputes over whether the earn-out targets have been met could lead to litigation, management distraction and significant expense.</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have to pay cash, incur additional debt, or issue equity to pay for any future acquisitions or investments, each of which could adversely affect our financial condition. The sale of equity to finance any future acquisitions or investments could result in dilution to our stockholders. The incurrence of additional indebtedness would result in increased fixed obligations and could also include additional covenants or other restrictions that would impede our ability to manage our operations. Any of the foregoing could adversely affect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or liabilities resulting from litigation could materially adversely affect our results of operations and financial condition.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and may become party to various legal proceedings and other claims that arise in the ordinary course of business, or otherwise in the future. Such matters are subject to many uncertainties and outcomes are not predictable with assurance. In addition, any such claims or litigation may be time-consuming and costly, divert management resources, require us to change our platform or have other adverse effects on our business. While we cannot assure the ultimate outcome of any legal proceeding or contingency in which we are or may become involved, we do not believe that any pending legal claim or proceeding arising in the ordinary course will be resolved in a manner that would have a material adverse effect on our business. However, if one or more of these legal matters resulted in an adverse monetary judgment against us, such a judgment could harm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at historical rates or achieve or maintain profitability in the future.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not realize sufficient revenue to achieve or maintain profitability. As we grow our business, we expect our revenue growth rates may slow in future periods due to a number of reasons, which may include slowing demand for our service, increasing competition, a decrease in the growth of our overall markets, and our failure to capitalize on growth opportunities or the maturation of our business. Our growth rate may slow for a number of reasons, including a decline in the number of users, increasing competition, and other risks described in these Risk Factors. We may also encounter unforeseen expenses, difficulties, complications and delays and other unknown factors. We expect to continue to make investments in the development and expansion of our business, which may not result in increased or sufficient revenue or growth, as a result of which we may not be able to achieve or maintain sustained profitability.</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made significant estimates and judgments in calculating our income tax provision and other tax assets and liabilities. If these estimates or judgments are incorrect, our operating results and financial condition may be materially affected.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regular review and audit by both domestic and foreign tax authorities. Any adverse outcome of such a review or audit could have a negative effect on our operating results and financial condition. In addition, the determination of our provision for income taxes and other tax assets and liabilities requires significant judgment, and there are many transactions and calculations where the ultimate tax determination is uncertain at the present time. Although we believe our estimates and judgments are reasonable, the ultimate tax outcome may differ from the amounts recorded in our financial statements and may have a material effect on our operating results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Utilization of our net operating loss carryforwards, as well as of our other temporary differences, is dependent upon the generation of sufficient future taxable income during the periods in which those temporary differences become deductible. Management considers projected future taxable income and tax-planning strategies in making this assessment. 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not be realized, and we recorded a valuation allowance against these net U.S. deferred tax assets as of December 31, 2022. Our judgment regarding the likelihood of realization of these deferred tax assets could change in future periods, which could result in a material impact to our income tax provision in the period of change.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Co-Founder, Chief Executive Officer and Chairman of our Board of Directors, Tim Chen, which will limit or preclude your ability to influence corporate matters.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Tim Chen, our Co-founder, Chief Executive Officer and Chairman of our Board of Directors and his affiliated trusts hold all outstanding shares of Class B common stock, which as of December 31, 2022 constituted approximately 87.9% of the voting power of our outstanding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12.1% of all outstanding shares of our Class A and Class B common stock. This concentrated control will limit or preclude your ability to influence corporate governance matters, transactions and all matters submitted to a vote of our stockholders, for the foreseeable future.</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tax or estate planning purposes. In addition, Mr. Chen’s and his affiliated trusts’ shares of Class B common stock will automatically convert into Class A common stock, on a one-to-one basis, upon any sale or transfer of the applicable shares (other than transfers to certain permitted entities) or upon his death. The conversion of Class B common stock to Class A common stock will have the effect, over time, of increasing the relative voting power of those holders of Class B common stock who retain their shares in the long-term. If, for example, Mr. Chen retains a significant portion of his holdings of Class B common stock for an extended period of time, he could, in the future, continue to control a majority of the combined voting power of our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Mr. Chen and his affiliated trusts have the ability to control the outcome of all matters submitted to our stockholders for approval, including the election, removal, and replacement of directors and any merger, consolidation, or sale of all or substantially all of our assets. If Mr. Chen’s employment with us is terminated, he will continue to have the ability to exercise the same significant voting power and potentially control the outcome of all matters submitted to our stockholders for approval. This concentrated control could delay, defer, or prevent a change of control, merger, consolidation, or sale of all or substantially all of our assets that our other stockholders support. Conversely, this concentrated control could allow Mr. Chen to consummate such a transaction that our other stockholders do not support. In addition, Mr. Chen may make long-term strategic investment decisions and take risks that may not be successful and may seriously harm our business.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our Chief Executive Officer, Mr. Chen also has control over our day-to-day management and the implementation of major strategic investments of our company, subject to authorization and oversight by our Board of Directors. As a board member and officer, Mr. Chen owes a fiduciary duty to our stockholders and must act in good faith in a manner he reasonably believes to be in the best interests of our stockholders. As a stockholder, Mr. Chen and his affiliated trusts are entitled to vote their shares, and shares over which they have voting control, in their own interests, which may not always be aligned with the interests of our stockholders generally.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Listing Rules and, as a result, we are exempt from certain corporate governance requirements.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Chen and his affiliated trusts hold capital stock representing a majority of our outstanding voting power. So long as Mr. Chen and his affiliated trusts maintain holdings of more than 50% of the voting power of our capital stock for the election of directors, we will be a “controlled company” within the meaning of the Nasdaq Listing Rules and Nasdaq corporate governance standards. Under these standards, a listed company of which more than 50% of the voting power for the election of directors is held by an individual, group or another company is a “controlled company” and may elect not to comply with certain Nasdaq corporate governance requirements, including:</w:t>
      </w:r>
    </w:p>
    <w:p>
      <w:pPr>
        <w:spacing w:after="0" w:line="13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Nasdaq Listing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or otherwise have director nominees selected by vote of a majority of the independent directors.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availed ourselves of some of these exemptions. As a result, we do not have a nominating and corporate governance committee or an independent nominating function. Our full Board of Directors is directly responsible for nominating members of our board.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Even as a controlled company, we remain subject to the rules of Sarbanes-Oxley as well as the Nasdaq Listing Rules that require us to have an audit committee composed entirely of independent directors, subject to permitted phase-in rules. Our audit committee is comprised of three members, all of whom are independent.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no longer eligible to rely on the “controlled company” exemptions, we will need to comply with all applicable Nasdaq corporate governance requirements, but we will be able to rely on phase-in periods for certain of these requirements in accordance with the Nasdaq Listing Rules. Accordingly, our stockholders may not have the same protections afforded to stockholders of companies that are subject to all Nasdaq corporate governance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cannot predict whether our dual class structure, combined with the concentrated control of our Co-founder, Chief Executive Officer and Chairman of our Board of Directors, Tim Chen, and his affiliated trusts,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trading price of our Class A common stock could be volatile, and you could lose all or part of your investment. The following factors, in addition to other factors described in this “Risk Factors” section may have a significant impact on the market price of our Class A common stock:</w:t>
      </w:r>
    </w:p>
    <w:p>
      <w:pPr>
        <w:spacing w:after="0" w:line="9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operating and financial performance, quarterly or annual earnings relative to similar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Class A common stock by us, our directors, executive officers, principal stockholders,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refinance or securities we may issue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Class A common stock;</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capital market risks related to changes in interest rates, realized investment losses, credit spreads, equity prices, and foreign exchange rates;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creditworthiness, financial condition, performance, and prospects;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dividend policy and whether dividends on our Class A common stock have been, and are likely to be, declared and paid from time to time;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Class A common stock relative to other investment alternatives;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or legal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or trends in our industry, geographies 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threatened or actual litigation or government investigations.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on a quarterly and annual basis, which may impact our stock price and make it difficult to predict our future performance.</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users using our platform to apply for or sign up for financial services products as well as fluctuations in the timing and amount of our expenses. Fluctuations and variability across our industry and the general economy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factors that may contribute to the variability of our quarterly and annual results include:</w:t>
      </w:r>
    </w:p>
    <w:p>
      <w:pPr>
        <w:spacing w:after="0" w:line="11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new users and retain existing users, including in a cost-effective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accurately forecast revenue and losses and appropriately plan our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changes in search engine algorithms and prominence of our editorial articles in search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maintain our position in and expand in existing markets as well as successfully enter new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and changes in, governmental or other regulation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protect our existing intellectual property and to create new intellectual property;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defending claims, including accident and coverage claims, intellectual property infringement claims, misclassifications and related judgments or settlements;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internal controls;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never declared or paid cash dividends on our capital stock, and do not anticipate paying any cash dividends in the foreseeable future. We currently intend to retain future earnings, if any, to fund the development and growth of our business.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Silicon Valley Bank and certain other lenders restrict our ability to pay dividends, and we may enter into additional agreements in the future that could also contain restrictions on payments of cash dividends.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may make our Class A common stock less attractive to investors.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of our initial public offering, although circumstances could cause us to lose that status earlier. We will remain an emerging growth company until the earlier of (1) the last day of the fiscal year (a) following the fifth anniversary of our initial public offering, (b) in which we have total annual gross revenue of at least $1.07 billion or (c) in which we are deemed to be a large accelerated filer, which requires the market value of our Class A common stock that is held by non-affiliates to exceed $700 million as of the prior June 30th, and (2) the date on which we have issued more than $1 billion in non-convertible debt during the prior three-year period.</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some investors find our Class A common stock less attractive as a result, there may be a less active trading market for our Class A common stock, and our stock price may be more volatile.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are subject to more stringent federal and state law requirements.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the Dodd-Frank Act, the listing requirements of Nasdaq and other applicable securities rules and regulations. Despite reforms made possible by the JOBS Act, compliance with these rules and regulations will nonetheless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disclosure of information in filings required of a public company, our business and financial condition will become more visible, which we believe may result in threatened or actual litigation, including by competitors and other third parties. If such claims are successful, our business, results of operations, financial condition and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prospects.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investor relations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and after becoming an accelerated filer and once we no longer qualify as an emerging growth company, our independent registered public accounting firm will also be required to provide an attestation report on our internal control over financial reporting.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Class A common stock may decline.</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in the public market could cause our stock price to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Substantially all of our shares of Class A common stock and Class B common stock are eligible for public sale, if they are registered under the Securities Act, or if they qualify for an exemption from registration under the Securities Act, including under Rules 144 or 701. If our existing stockholders sell, or indicate an intention to sell, substantial amounts of our Class A common stock in the public market, the trading price of our Class A common stock could decline.</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Certain holders of shares of our Class A common stock are entitled to rights with respect to the registration of their shares under the Securities Act as provided under the terms of an investors’ rights agreement between us and such stockholders.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registered on Form S-8 all shares of common stock that are issuable under our existing equity compensation plans, including our 2012 Equity Incentive Plan, our 2021 Equity Incentive Plan (2021 EIP) and our 2021 Employee Stock Purchase Plan (2021 ESPP). Additionally, the number of shares of our Class A common stock reserved for issuance under our 2021 EIP automatically increases on January 1 of each year, beginning on January 1, 2023, by 5% of the total number of shares of our capital stock outstanding on December 31 of the preceding calendar year, or a lesser number of shares determined by our board of directors or compensation committee. Furthermore, the number of shares of our Class A common stock reserved for issuance under our 2021 ESPP automatically increases on January 1 of each year, beginning on January 1, 2023, by the lesser of 1% of the total number of shares of our capital stock outstanding on December 31 of the preceding calendar year and 850,000 shares, or a lesser number of shares determined by our board of directors or compensation committee. Unless our board of directors elects not to increase the number of shares available for future grant each year, our stockholders may experience additional dilution. As a consequence, these shares can be freely sold in the public market upon issuance, subject to volume limitations applicable to affiliates.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Securities and industry analysts currently publish research on our company and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the following:</w:t>
      </w:r>
    </w:p>
    <w:p>
      <w:pPr>
        <w:spacing w:after="0" w:line="141" w:lineRule="exact"/>
        <w:rPr>
          <w:sz w:val="20"/>
          <w:szCs w:val="20"/>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dual class common stock structure, which provides Mr. Chen and his affiliated trusts with the ability to control the outcome of matters requiring stockholder approval, even if he owns significantly less than a majority of the number of shares of our outstanding Class A and Class B common stock;</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only our chairperson, our chief executive officer, a holder of more than 21.0 million shares of Class B common stock (subject to adjustment for stock splits, stock dividends, stock combinations and the like), or a majority of our Board of Directors is authorized to call a special meeting of stockholders;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stockholder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or in which you might otherwise receive a premium for your shares. These provisions may also prevent changes in our management or limit the price that investors are willing to pay for our stock.</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3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1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3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claim or cause of action for breach of a fiduciary duty owed by any of our current or former directors, officers or other employees to us or our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claim or cause of action seeking to interpret, apply, enforce or determine the validity of our certificate of incorporation or our bylaws;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offices in San Francisco, California, New York, New York, Scottsdale, Arizona, Durango, Colorado and Norwich, UK. We lease all of our facilities and do not own any real property. We have a remote-first policy that allows for almost all roles to be remote on an ongoing basis. As a result, most of our employees transitioned or were hired into permanent remote status and are not required to report to an office for work. See discussion of our lease commitments in Note 9–Leases in the notes to consolidated financial statements in Item 8 of Part II of this Annual Report on Form 10-K. We believe our facilities are adequate and suitable for our current needs and that, should it be needed, suitable additional or alternative space will be available to accommodate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See further discussion under “Litigation and Other Legal Matters” in Note 8–Commitments and Contingencies in the notes to consolidated financial statements in Item 8 of Part II of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391" w:lineRule="exact"/>
        <w:rPr>
          <w:sz w:val="20"/>
          <w:szCs w:val="20"/>
          <w:color w:val="auto"/>
        </w:rPr>
      </w:pPr>
    </w:p>
    <w:p>
      <w:pPr>
        <w:ind w:right="192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Class A common stock has been listed on the Nasdaq Global Market under the symbol “NRDS” since November 4, 2021. Prior to that date, there was no public trading market for our Class A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B common stock is neither listed nor publicly traded.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February 16, 2023, there were 164 stockholders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February 16, 2023, there were five stockholders of record of our Class B common stock, all of which are trusts affiliated with Tim Chen, our Chief Executive Officer and the Chairman of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Silicon Valley Bank and certain other lenders restrict our ability to pay dividends, and we may enter into additional agreements in the future that could also contain restrictions on payments of cash dividends.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sales of unregistered equity securities during the year ended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performance graph shall not be deemed “soliciting material” or “filed” with the SEC for purposes of Section 18 of the Exchange Act, and shall not be deemed to be incorporated by reference into any of our filings under the Securities Act or the Securities Exchange Act.</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graph below shows the cumulative total stockholder return on our Class A common stock between November 4, 2021 (the date that our Class A common stock commenced trading on the Nasdaq Global Market) through December 31, 2022 in comparison to the Nasdaq Composite Index and the S&amp;P 500 Index. The graph assumes that $100 was invested in each of our Class A common stock, the Nasdaq Composite Index and the S&amp;P 500 Index at their respective closing prices on November 4, 2021. The graph uses the closing market price on November 4, 2021 of $28.30 per share as the initial value of our Class A common stock. Data for the Nasdaq Composite Index and S&amp;P 500 Index assume reinvestment of dividends. The comparisons shown in the graph are not intended to forecast or be indicative of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53340</wp:posOffset>
            </wp:positionV>
            <wp:extent cx="5254625" cy="3257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reflect our current plans, estimates and beliefs, and involve risks and uncertainties. Our actual results and the timing of certain events could differ materially from those anticipated in these forward-looking statements as a result of various factors, including but not limited to those discussed in the sections titled “Special Note Regarding Forward-Looking Statements” and “Risk Factors” in this Annual Report on Form 10-K.</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Our historical results are not necessarily indicative of the results that may be expected for any period in the future. Except as otherwise noted, all references to 2022 refer to the year ended December 31, 2022, references to 2021 refer to the year ended December 31, 2021, and references to 2020 refer to the year ended December 31, 2020.</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 discussion and analysis of our financial condition and results of operations for the year ended December 31, 2022 compared to the year ended December 31, 2021 is presented below. For a discussion of our financial condition and results of operations for the year ended December 31, 2021 compared to the year ended December 31, 2020, see “Management’s Discussion and Analysis of Financial Condition and Results of Operations”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NerdWallet, we empower consumers—both individual consumers and small and mid-sized businesses (SMBs)—to make smarter financial decisions with confidence. Technology, paired with the dramatic growth in innovative financial products, has changed the way consumers manage their financial lives; consumers are more comfortable than ever comparing and shopping for financial products online. At NerdWallet, we are leveraging this transformation to democratize access to trustworthy financial guidance by incorporating our proprietary data science models into our platform—ultimately helping to improve the financial well-being of consumers and the financial services industry as a whole. As the financial services industry becomes more fragmented and complex, we believe the need for trustworthy and knowledgeable financial guidance increases. Our objective remains the same: serve as a trusted financial ecosystem that consumers and SMBs can rely on to learn about various financial topics, shop for products, connect their data and receive data-driven nudges.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deliver guidance to consumers through educational content, tools and calculators, product marketplaces and our app. Our platform delivers unique value across many financial products, including credit cards, mortgages, insurance, SMB products, personal loans, banking, investing and student loans. We expanded our guidance to the UK with our acquisition of Know Your Money (KYM) in 2020, and expanded organically into Canada during 2021 as well as Australia during 2022. Across every touchpoint, the cornerstone of our platform is consumers’ trust in the independent, objective and relevant guidance we provide, free of charge.</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trusted guidance has helped us build a large, loyal and well-informed audience of consumers who turn to us as a resource for many of their money questions and to shop for the best financial products for them. Due to this unique combination of a loyal audience, trusted guidance and tailored recommendations from our underlying machine learning technology, we have become an attractive partner for financial services providers wanting to access these high-value consumers—consumers who might not otherwise trust financial services providers’ recommendations.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By operating at the intersection of consumers and financial services providers, NerdWallet drives value for both. Through our platform, our financial services partners can reach a substantial audience, comprised of 20 million Monthly Unique Users (MUUs) on average in 2022 and 19 million on average in 2021. After doing research on our platform, consumers are better informed about the financial decision they’re about to make, which makes them primed and ready to transact. Consumers who visit NerdWallet tend to share a few other characteristics that make them attractive customers to our financial services partners: we have received feedback from our financial services partners that our users’ approval rates can be significantly higher than those applying through other channels and they are more eager to explore additional opportunities and products, driving demand for NerdWallet’s financial services partners.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Financial Model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built our business to provide unbiased and trusted guidance to consumers. Through this guidance, we attract users to our platform and use data science models to match them with relevant products from our financial services partners.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Given our mission is to provide clarity for all of life’s financial decisions, we take actions that aim to prioritize user experience over revenue per user. We believe that taking a long-term view will increase our revenue and grow our business. In addition, we do not always look to maximize the number of our financial services partners on our platform; we instead aim to have products for consumers available on our platform that enable the best match.</w:t>
      </w:r>
    </w:p>
    <w:p>
      <w:pPr>
        <w:spacing w:after="0" w:line="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seek to increase the number of consumers who come to NerdWallet pursuing our financial content, guidance, and tech-driven recommendations. We generate revenue by successfully matching those consumers with our financial services partners, from whom we generate fees. These fees from which we recognize revenue include revenue per action, revenue per click, revenue per lead, and revenue per funded loan.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Initial Public Offering</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November 8, 2021, we completed our initial public offering (the IPO), in which we sold 8.3 million shares of our Class A common stock, which includes the exercise in full of the underwriters’ option to purchase 1.1 million shares of Class A common stock, at a public offering price of $18.00 per share. We received net proceeds from the IPO of $140.0 million after deducting underwriting discounts and commissions of $10.1 million.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Generate High Quality, Engaging Consumer Resources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Delivering financial guidance and resources on a broad set of topics is core to our value proposition. In order to maintain our position as a trusted destination for personal and SMB financial guidance, we produce high-quality financial guidance, which is developed by our independent team of writers and editors. Our editorial and product teams continuously improve our content, tools and resources to ensure that our platform reflects the latest consumer finance trends and related products from our financial services partners. We plan to continue investing in our growing base of high-value content and tools, which enable us to generate more traffic and grow MUUs, enhancing monetizing activities with our financial services partners and ultimately, our financial performance.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Attract and Engage Consumers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ability to increase user engagement, whether by increasing the frequency with which MUUs visit our platform, or the amount of resources they consume on our platform, is critical to the growth of our business. We focus on attracting users to NerdWallet who are interested in multiple financial products that we review and then use machine learning to help them find financial products for their needs. For example, if an individual comes to our platform to learn more about credit cards, we hope to bring that individual back to NerdWallet at a later time to explore other financial products, often via automated contextual “nudges.” Our ability to attract and engage those visitors directly impacts our ability to earn revenue from financial services partners. As such, we plan to continue investing in content, technology and marketing in order to attract and engage consumers.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Deepen Our Relationships with Our Financial Services Partners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worked with over 400 financial services partners as of December 31, 2022. These companies are essential to helping us serve consumers and grow our business. Having a broad range of financial services partners across all of our verticals is important in offering consumers a wide selection of attractive products. Furthermore, all of our revenue is generated from our financial services partners, and as such, relationships with new and existing financial services partners are critical to the success of our business. We continuously aim to selectively add new financial services partners to our platform and to add coverage for additional verticals from existing partners. That said, maximizing the number of our financial services partners on our platform isn’t our primary focus—our focus is quality, and we aim to offer all of the top financial products on our platform</w:t>
      </w:r>
      <w:r>
        <w:rPr>
          <w:rFonts w:ascii="Arial" w:cs="Arial" w:eastAsia="Arial" w:hAnsi="Arial"/>
          <w:sz w:val="18"/>
          <w:szCs w:val="18"/>
          <w:color w:val="auto"/>
        </w:rPr>
        <w:t>.</w:t>
      </w:r>
      <w:r>
        <w:rPr>
          <w:rFonts w:ascii="Arial" w:cs="Arial" w:eastAsia="Arial" w:hAnsi="Arial"/>
          <w:sz w:val="17"/>
          <w:szCs w:val="17"/>
          <w:color w:val="auto"/>
        </w:rPr>
        <w:t xml:space="preserve"> The success of our relationships with financial services partners is in large part based on our ability to provide them with interested and qualified consumers.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Conditions and the Financial Well-Being of Consumers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business is reliant on economic conditions in the U.S. Any changes in the financial well-being of consumers, including as a result of inflation, economic recession, unemployment, government stimulus, or changes in monetary policy will affect the demand for various financial services products and therefore impact the number of individuals visiting our platform and our ability to earn revenue from matches completed on our platform. In particular, fluctuations in interest rates affect many of the products offered by our financial services partners, especially mortgages, personal loans, and banking products. Typically, when interest rates decline, we see accelerated consumer demand for loans which in turn leads to increased traffic to our platform. Conversely, when interest rates increase, we see slowed consumer demand for loans and accelerated demand for banking products.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marketing strategy leverages multiple channels across brand marketing, performance marketing and organic marketing. Sales and marketing expense consists of: brand marketing, primarily advertising costs to increase brand awareness; performance marketing, primarily costs to drive traffic directly to our platform; and organic and other, primarily personnel-related costs for content and other marketing and sales teams. In 2022, approximately 28% of our total marketing expense was attributable to brand marketing, 45% to performance marketing, and the remainder to organic and other marketing expenses. In 2021, approximately 35% of our total marketing expense was attributable to brand marketing, 36% to performance marketing, and the remainder to organic and other marketing expenses. We evaluate the success of our brand marketing by measuring aided brand awareness, which has grown consistently on an annual basis since 2019.</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able to adjust our marketing spend to reflect changes in external factors and consumer behavior. Performance marketing spend can be adjusted more quickly than brand marketing, which typically involves pre-committing to spend in future periods. As the COVID-19 headwinds subsided in 2021, we increased both brand and performance marketing to drive more MUUs to our platform. We increased sales and marketing expense in 2021 by 88% compared to 2020, and in 2022 by 38% compared to 2021.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2022, over 70% of all traffic to NerdWallet came organically through direct or unpaid channels, reflecting the strength of our brand and organic marketing efforts. Our in-house, award-winning and experienced editorial team leverages search-engine optimization best practices and technology, and designs interfaces to help consumers easily find the information they are seeking. Our editorial team also optimizes page structure to increase visibility, not only for organic search results, but also for Google’s premium features such as FAQs, featured snippets, and video results. Personnel-related expenses within organic marketing reflect our continued investment in building a comprehensive set of skills and expertise across our editorial team. We will continue to invest in our marketing channels going forward, and believe that our marketing strategy will continue to position NerdWallet as the trusted brand of choice in personal finance, improve traffic acquisition at all levels of the funnel, drive engagement and enable us to scale quickly across new consumer finance verticals and geographies.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made acquisitions to expand into new verticals; to enter new markets and geographies; and to grow our platform so that our users have better outcomes. Our recent acquisitions include:</w:t>
      </w:r>
    </w:p>
    <w:p>
      <w:pPr>
        <w:spacing w:after="0" w:line="62" w:lineRule="exact"/>
        <w:rPr>
          <w:sz w:val="20"/>
          <w:szCs w:val="20"/>
          <w:color w:val="auto"/>
        </w:rPr>
      </w:pPr>
    </w:p>
    <w:p>
      <w:pPr>
        <w:jc w:val="both"/>
        <w:ind w:left="660" w:hanging="328"/>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 the Barrelhead. </w:t>
      </w:r>
      <w:r>
        <w:rPr>
          <w:rFonts w:ascii="Arial" w:cs="Arial" w:eastAsia="Arial" w:hAnsi="Arial"/>
          <w:sz w:val="18"/>
          <w:szCs w:val="18"/>
          <w:color w:val="auto"/>
        </w:rPr>
        <w:t>In July 2022, we acquired On the Barrelhead, Inc. (OTB), a data-driven platform that provides consumers and small and mid-sized businesses (SMBs) with credit-driven product recommendations. Given the success of our Fundera acquisition within our SMB vertical, we are leveraging our vertical integration playbook to fully integrate OTB’s technology and expertise within our Loans portfolio. By pairing OTB’s loan matching platform with NerdWallet’s trusted brand and massive reach, we can offer our users more personalized and compelling recommendations, leading to better customer experiences and improved monetization.</w:t>
      </w:r>
    </w:p>
    <w:p>
      <w:pPr>
        <w:spacing w:after="0" w:line="13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Fundera. </w:t>
      </w:r>
      <w:r>
        <w:rPr>
          <w:rFonts w:ascii="Arial" w:cs="Arial" w:eastAsia="Arial" w:hAnsi="Arial"/>
          <w:sz w:val="17"/>
          <w:szCs w:val="17"/>
          <w:color w:val="auto"/>
        </w:rPr>
        <w:t>In October 2020, we acquired Fundera, Inc. (Fundera), an online platform which connects SMBs with lenders and other resources.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Fundera’s SMB-focused advice and loan comparison offerings, together with its strong brand and consultative sales approach, enables us to better support SMBs. This acquisition is a first step to enable deeper integration within existing verticals, which couples our top of funnel strength with Fundera’s monetization strategy, including recurring revenue from loan renewals. Combining the strengths of each business will allow NerdWallet to accelerate our growth in the SMB market, and will also serve as a playbook for further vertical integrations.</w:t>
      </w:r>
    </w:p>
    <w:p>
      <w:pPr>
        <w:spacing w:after="0" w:line="122"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Know Your Money. </w:t>
      </w:r>
      <w:r>
        <w:rPr>
          <w:rFonts w:ascii="Arial" w:cs="Arial" w:eastAsia="Arial" w:hAnsi="Arial"/>
          <w:sz w:val="16"/>
          <w:szCs w:val="16"/>
          <w:color w:val="auto"/>
        </w:rPr>
        <w:t>In September 2020, we acquired Notice Media Ltd. (doing business as Know Your Money), an online provider of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guidance and tools geared towards consumers and SMBs in the UK. KYM’s UK expertise and NerdWallet’s existing brand recognition have provided us a strong foothold in the UK region. We believe the acquisition will allow us to accelerate our international growth.</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 and Non-GAAP Financial Measure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collect, review and analyze operating and financial data of our business to assess our ongoing performance and compare our results to prior period results. In addition to revenue, net income and other results under generally accepted accounting principles (GAAP), the following sets forth the key operating metric we use to evaluate our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our financial services partners on our platform during a given period. During 2022, we grew average MUUs to 20 million, which was up 4% compared to 2021, as we saw strong engagement in areas such as banking, travel and SMB products, and also began incorporating our acquisition of OTB in July 2022. Partially offsetting growth were declines from a continued challenging macroeconomic environment in both mortgages and investing. During 2021, we grew average MUUs to 19 million, which was up 23% compared to 2020, as we increased our sales and marketing expenditures in light of the continued economic recovery we experienced. While we expect MUUs to grow over time, the metric may fluctuate from period to period based on economic conditions and our strategic marketing decisions.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Adjusted EBITDA as net income (loss) from continuing operations adjusted to exclude depreciation and amortization, interest expense, net, provision (benefit) for income taxes, and further exclude (1) losses (gains) on disposals of assets, (2) remeasurement of the embedded derivative in our previously outstanding long-term debt, (3) change in fair value of contingent consideration related to earnouts, (4) deferred compensation related to earnouts, (5) stock-based compensation, and (6) acquisition-related costs.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is not driven by core operating results and renders comparisons with prior periods less meaningful.</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Adjusted EBITDA provides useful information to investors and others in understanding and evaluating our operating results and in comparing operating results across periods. Moreover, we have included Adjusted EBITDA in this Annual Report on Form 10-K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41" w:lineRule="exact"/>
        <w:rPr>
          <w:sz w:val="20"/>
          <w:szCs w:val="20"/>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does not reflect interest income (expense) and other gains (losses), net, which include unrealized and realized gains and losses on foreign currency exchange and the embedded derivative in our previously outstanding long-term debt, as well as certain nonrecurring gains (losses);</w:t>
      </w:r>
    </w:p>
    <w:p>
      <w:pPr>
        <w:spacing w:after="0" w:line="129" w:lineRule="exact"/>
        <w:rPr>
          <w:rFonts w:ascii="Arial" w:cs="Arial" w:eastAsia="Arial" w:hAnsi="Arial"/>
          <w:sz w:val="18"/>
          <w:szCs w:val="18"/>
          <w:color w:val="auto"/>
        </w:rPr>
      </w:pPr>
    </w:p>
    <w:p>
      <w:pPr>
        <w:jc w:val="both"/>
        <w:ind w:left="660" w:hanging="328"/>
        <w:spacing w:after="0" w:line="340" w:lineRule="auto"/>
        <w:tabs>
          <w:tab w:leader="none" w:pos="655" w:val="left"/>
        </w:tabs>
        <w:numPr>
          <w:ilvl w:val="0"/>
          <w:numId w:val="30"/>
        </w:numPr>
        <w:rPr>
          <w:rFonts w:ascii="Arial" w:cs="Arial" w:eastAsia="Arial" w:hAnsi="Arial"/>
          <w:sz w:val="15"/>
          <w:szCs w:val="15"/>
          <w:color w:val="auto"/>
        </w:rPr>
      </w:pPr>
      <w:r>
        <w:rPr>
          <w:rFonts w:ascii="Arial" w:cs="Arial" w:eastAsia="Arial" w:hAnsi="Arial"/>
          <w:sz w:val="15"/>
          <w:szCs w:val="15"/>
          <w:color w:val="auto"/>
        </w:rPr>
        <w:t>Adjusted EBITDA excludes certain recurring, non-cash charges, such as depreciation of property and equipment, amortization of intangible assets, and (losses) gains on disposals of assets. Although these are non-cash charges, the assets being depreciated and amortized may have to be replaced in the future, and Adjusted EBITDA does not reflect all cash requirements for such replacements or for new capital expenditure requirements;</w:t>
      </w:r>
    </w:p>
    <w:p>
      <w:pPr>
        <w:spacing w:after="0" w:line="76" w:lineRule="exact"/>
        <w:rPr>
          <w:rFonts w:ascii="Arial" w:cs="Arial" w:eastAsia="Arial" w:hAnsi="Arial"/>
          <w:sz w:val="15"/>
          <w:szCs w:val="15"/>
          <w:color w:val="auto"/>
        </w:rPr>
      </w:pPr>
    </w:p>
    <w:p>
      <w:pPr>
        <w:ind w:left="660" w:right="20" w:hanging="328"/>
        <w:spacing w:after="0" w:line="342"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excludes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“Management’s Discussion and Analysis of Financial Condition and Results of Operations—Key Components of Our Results of Operations— Non-GAAP Financial Measure” for a reconciliation of Adjusted EBITDA to net income (loss), the most directly comparable financial measure calculated in accordance with GAAP.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generate substantially all of our revenue through fees paid by our financial services partners in the form of either revenue per action, revenue per click, revenue per lead, and revenue per funded loan arrangements. For these revenue arrangements, in which a partner pays only when a consumer satisfies the criteria set forth within the arrangement, revenue is recognized generally when we match the consumer with the financial services partner. For some of our arrangements, the transaction price is considered variable and an estimate of the constrained transaction price is recorded when the match occurs. Our revenue generally includes three product categories: credit cards, loans and other verticals. Credit cards revenue includes revenue from consumer credit cards. Loans revenue includes revenue from personal loans, home mortgages, student loans and auto loans. Other verticals revenue includes revenue from other product sources, including insurance, banking, investing, and SMB products.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Cost of revenue consists primarily of amortization expense associated with capitalized software development costs and developed technology intangible assets related to our acquisitions, credit scoring fees, account linking fees</w:t>
      </w:r>
      <w:r>
        <w:rPr>
          <w:rFonts w:ascii="Arial" w:cs="Arial" w:eastAsia="Arial" w:hAnsi="Arial"/>
          <w:sz w:val="16"/>
          <w:szCs w:val="16"/>
          <w:b w:val="1"/>
          <w:bCs w:val="1"/>
          <w:color w:val="auto"/>
        </w:rPr>
        <w:t>,</w:t>
      </w:r>
      <w:r>
        <w:rPr>
          <w:rFonts w:ascii="Arial" w:cs="Arial" w:eastAsia="Arial" w:hAnsi="Arial"/>
          <w:sz w:val="16"/>
          <w:szCs w:val="16"/>
          <w:color w:val="auto"/>
        </w:rPr>
        <w:t xml:space="preserve"> and third-party data center costs. We expect our cost of revenue to increase in absolute dollars for the foreseeable future to the extent that our business continues to grow. We expect our cost of revenue to decrease over time as a percentage of revenue as we recognize economies of scale. However, this percentage may fluctuate from year to year in the short term.</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activities primarily relate to engineering, product management, data enhancement, and improved functionality related to our platform. Research and development expenses primarily consist of personnel related costs, including stock-based compensation, technology and facility-related expenses and contractor expense for our engineering, product management, data and other personnel engaged in maintaining and enhancing the functionality of our platform.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research and development expenses to increase in absolute dollars for the foreseeable future, primarily for increased headcount costs to further develop and innovate our platform. Over time, we expect research and development expenses to decrease as a percentage of revenue as our business grows and recognizes economies of scale. However, this percentage may fluctuate from period to period depending on the timing and extent of our research and development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include advertising and promotion costs, costs related to brand campaign fees, marketing, business operations team, and editorial personnel and related costs, including stock-based compensation.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sales and marketing expenses to continue to increase in absolute dollars for the foreseeable future, primarily to support the growth of our existing business and expansion into new verticals. Over time, we expect sales and marketing expenses to decrease as a percentage of revenue as our business grows and recognizes economies of scale. However, this percentage may fluctuate from period to period depending on the timing and extent of our sales and marketing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personnel related costs, including stock-based compensation, for certain of our executives as well as our legal, finance, human resources, and other administrative employees; and professional services fees.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our general and administrative expenses to increase in absolute dollars for the foreseeable future primarily to support the growth of our business and our public company operations. Additional expenses may include increased headcount, enhanced systems, processes, and controls as well as increased expenses in the areas of insurance, compliance, investor relations, and professional services. For these reasons, we expect general and administrative expenses to increase as a percentage of revenue in the near term, but eventually to decrease as a percentage of revenue as our business grows and recognizes economies of scale. This percentage may fluctuate from period to period depending on the timing and extent of our general and administrative expenses.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fair value of contingent consideration related to earnouts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acquisitions of Fundera and KYM include earn-out provisions which require us to pay additional consideration based on the achievement of certain performance measures for a stated period after the acquisition date. We measure this contingent consideration at fair value as of the acquisition date and record it as a liability on our consolidated balance sheet. The fair value of each contingent consideration liability is remeasured at the end of each reporting period, with any changes in fair value recognized as income or expense from operations in our consolidated income statement.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income (expense), net is comprised of interest income, interest expense, and other gains (losses), net. Interest income consists primarily of interest earned on our cash and cash equivalents. Interest expense consists of interest costs related to our revolving credit facility and long-term debt, including amortization of the debt premium on our long-term debt. Other gains (losses), net is primarily related to changes in the fair value of the embedded derivative in our previously outstanding long-term debt, as well as realized and unrealized gains and losses on foreign currency transactions and balances. Other gains (losses), net for 2021 includes a gain on extinguishment of debt as well as a nonrecurring gain.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income tax provision (benefit) consists of federal and state income taxes. We have federal and state net operating loss carryforwards (NOLs), and federal and California research and development credit carryforwards, certain of which are subject to expiration dates if not utilized. Utilization of our NOLs and tax credit carryforwards, as well as of our other temporary differences, is dependent upon the generation of sufficient future taxable income during the periods in which those temporary differences become deductible. Based on our ongoing assessment of all available evidence, both positive and negative, including consideration of our historical profitability and the estimated impact of our operating model on future profitability, we concluded that it is more likely than not that our U.S. deferred tax assets in excess of deferred tax liabilities would not be realized and recorded a valuation allowance against these net U.S. deferred tax assets as of December 31, 2022. Our judgment regarding the likelihood of realization of these deferred tax assets could change in future periods, which could result in a material impact to our income tax provision in the period of change.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Results of Operations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The following discussion should be read in conjunction with the consolidated financial statements and related notes included elsewhere in this Annual Report on Form 10-K.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340" w:type="dxa"/>
            <w:vAlign w:val="bottom"/>
            <w:tcBorders>
              <w:bottom w:val="single" w:sz="8" w:color="auto"/>
            </w:tcBorders>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538.9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245.3</w:t>
            </w:r>
          </w:p>
        </w:tc>
        <w:tc>
          <w:tcPr>
            <w:tcW w:w="0" w:type="dxa"/>
            <w:vAlign w:val="bottom"/>
          </w:tcPr>
          <w:p>
            <w:pPr>
              <w:spacing w:after="0"/>
              <w:rPr>
                <w:sz w:val="1"/>
                <w:szCs w:val="1"/>
                <w:color w:val="auto"/>
              </w:rPr>
            </w:pPr>
          </w:p>
        </w:tc>
      </w:tr>
      <w:tr>
        <w:trPr>
          <w:trHeight w:val="243"/>
        </w:trPr>
        <w:tc>
          <w:tcPr>
            <w:tcW w:w="6840" w:type="dxa"/>
            <w:vAlign w:val="bottom"/>
            <w:gridSpan w:val="3"/>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0"/>
        </w:trPr>
        <w:tc>
          <w:tcPr>
            <w:tcW w:w="684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1"/>
              </w:rPr>
              <w:t>62.2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0"/>
        </w:trPr>
        <w:tc>
          <w:tcPr>
            <w:tcW w:w="6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0"/>
        </w:trPr>
        <w:tc>
          <w:tcPr>
            <w:tcW w:w="684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1"/>
              </w:rPr>
              <w:t>38.5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6840" w:type="dxa"/>
            <w:vAlign w:val="bottom"/>
            <w:gridSpan w:val="3"/>
          </w:tcPr>
          <w:p>
            <w:pPr>
              <w:ind w:left="240"/>
              <w:spacing w:after="0"/>
              <w:rPr>
                <w:sz w:val="20"/>
                <w:szCs w:val="20"/>
                <w:color w:val="auto"/>
              </w:rPr>
            </w:pPr>
            <w:r>
              <w:rPr>
                <w:rFonts w:ascii="Arial" w:cs="Arial" w:eastAsia="Arial" w:hAnsi="Arial"/>
                <w:sz w:val="18"/>
                <w:szCs w:val="18"/>
                <w:color w:val="auto"/>
              </w:rPr>
              <w:t>Total costs and expenses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6840" w:type="dxa"/>
            <w:vAlign w:val="bottom"/>
            <w:gridSpan w:val="3"/>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84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7"/>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gains (losses), net</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840" w:type="dxa"/>
            <w:vAlign w:val="bottom"/>
            <w:gridSpan w:val="3"/>
          </w:tcPr>
          <w:p>
            <w:pPr>
              <w:ind w:left="2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6"/>
              </w:rPr>
              <w:t>(1.0)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840" w:type="dxa"/>
            <w:vAlign w:val="bottom"/>
            <w:gridSpan w:val="3"/>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67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6840" w:type="dxa"/>
            <w:vAlign w:val="bottom"/>
            <w:gridSpan w:val="3"/>
          </w:tcPr>
          <w:p>
            <w:pPr>
              <w:spacing w:after="0"/>
              <w:rPr>
                <w:sz w:val="20"/>
                <w:szCs w:val="20"/>
                <w:color w:val="auto"/>
              </w:rPr>
            </w:pPr>
            <w:r>
              <w:rPr>
                <w:rFonts w:ascii="Arial" w:cs="Arial" w:eastAsia="Arial" w:hAnsi="Arial"/>
                <w:sz w:val="14"/>
                <w:szCs w:val="14"/>
                <w:color w:val="auto"/>
              </w:rPr>
              <w:t>(1)  Includes stock-based compensation as follows: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34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millions)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55"/>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76"/>
              <w:spacing w:after="0"/>
              <w:rPr>
                <w:sz w:val="20"/>
                <w:szCs w:val="20"/>
                <w:color w:val="auto"/>
              </w:rPr>
            </w:pPr>
            <w:r>
              <w:rPr>
                <w:rFonts w:ascii="Arial" w:cs="Arial" w:eastAsia="Arial" w:hAnsi="Arial"/>
                <w:sz w:val="13"/>
                <w:szCs w:val="13"/>
                <w:b w:val="1"/>
                <w:bCs w:val="1"/>
                <w:color w:val="auto"/>
                <w:w w:val="96"/>
              </w:rPr>
              <w:t>2021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14"/>
              <w:spacing w:after="0"/>
              <w:rPr>
                <w:sz w:val="20"/>
                <w:szCs w:val="20"/>
                <w:color w:val="auto"/>
              </w:rPr>
            </w:pPr>
            <w:r>
              <w:rPr>
                <w:rFonts w:ascii="Arial" w:cs="Arial" w:eastAsia="Arial" w:hAnsi="Arial"/>
                <w:sz w:val="13"/>
                <w:szCs w:val="13"/>
                <w:b w:val="1"/>
                <w:bCs w:val="1"/>
                <w:color w:val="auto"/>
                <w:w w:val="96"/>
              </w:rPr>
              <w:t>2020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5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w:t>
            </w:r>
          </w:p>
        </w:tc>
        <w:tc>
          <w:tcPr>
            <w:tcW w:w="400" w:type="dxa"/>
            <w:vAlign w:val="bottom"/>
            <w:gridSpan w:val="3"/>
          </w:tcPr>
          <w:p>
            <w:pPr>
              <w:jc w:val="right"/>
              <w:ind w:right="7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consolidated statements of operations as a percentage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5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110</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gains (losses), net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4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w w:val="99"/>
              </w:rPr>
              <w:t>Comparison of the Years Ended December 31, 2022 and 2021</w:t>
            </w: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5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8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Revenue</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5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4"/>
          </w:tcPr>
          <w:p>
            <w:pPr>
              <w:ind w:left="120"/>
              <w:spacing w:after="0"/>
              <w:rPr>
                <w:sz w:val="20"/>
                <w:szCs w:val="20"/>
                <w:color w:val="auto"/>
              </w:rPr>
            </w:pPr>
            <w:r>
              <w:rPr>
                <w:rFonts w:ascii="Arial" w:cs="Arial" w:eastAsia="Arial" w:hAnsi="Arial"/>
                <w:sz w:val="14"/>
                <w:szCs w:val="14"/>
                <w:b w:val="1"/>
                <w:bCs w:val="1"/>
                <w:color w:val="auto"/>
              </w:rPr>
              <w:t>$ Change</w:t>
            </w:r>
          </w:p>
        </w:tc>
        <w:tc>
          <w:tcPr>
            <w:tcW w:w="1420" w:type="dxa"/>
            <w:vAlign w:val="bottom"/>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5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Loans</w:t>
            </w:r>
          </w:p>
        </w:tc>
        <w:tc>
          <w:tcPr>
            <w:tcW w:w="300" w:type="dxa"/>
            <w:vAlign w:val="bottom"/>
          </w:tcPr>
          <w:p>
            <w:pPr>
              <w:spacing w:after="0"/>
              <w:rPr>
                <w:sz w:val="21"/>
                <w:szCs w:val="21"/>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93"/>
              </w:rPr>
              <w:t>(17.3)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6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$159.3 million, or 42%, for 2022 compared to 2021, driven by strong growth in credit cards and other verticals revenues, partially offset by lower loans revenue.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Credit cards revenue increased $86.5 million, or 70%, for 2022 compared to 2021, reflecting our ability to capitalize on higher consumer intent through improved user experiences combined with our deep alignment with our financial services partners to deliver quality matches.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Loans revenue decreased $17.3 million, or 14%, for 2022 compared to 2021, primarily due to a 44% decrease in mortgages revenue primarily attributable to higher interest rates and continuing macroeconomic headwinds, partially offset by a 72% increase in personal loans revenue driven by both organic growth as well as incorporating our acquisition of OTB in July 2022.</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verticals revenue increased $90.1 million, or 70%, for 2022 compared to 2021, primarily driven by increases of 130% in SMB products revenue following our acquisition of Fundera and 179% in banking revenue primarily due to the rising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9"/>
                <w:szCs w:val="19"/>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3"/>
              <w:spacing w:after="0"/>
              <w:rPr>
                <w:sz w:val="20"/>
                <w:szCs w:val="20"/>
                <w:color w:val="auto"/>
              </w:rPr>
            </w:pPr>
            <w:r>
              <w:rPr>
                <w:rFonts w:ascii="Arial" w:cs="Arial" w:eastAsia="Arial" w:hAnsi="Arial"/>
                <w:sz w:val="14"/>
                <w:szCs w:val="14"/>
                <w:b w:val="1"/>
                <w:bCs w:val="1"/>
                <w:color w:val="auto"/>
              </w:rPr>
              <w:t>% Change</w:t>
            </w:r>
          </w:p>
        </w:tc>
      </w:tr>
      <w:tr>
        <w:trPr>
          <w:trHeight w:val="39"/>
        </w:trPr>
        <w:tc>
          <w:tcPr>
            <w:tcW w:w="5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6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increased $11.3 million, or 39%, for 2022 compared to 2021. The increase was primarily attributable to a $10.2 million increase in amortization expense related to capitalized software development costs and intangible assets. Amortization of intangible assets increased $4.9 million related to our acquisition of OTB in the second half of 2022.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increased $15.4 million, or 25%, for 2022 compared to 2021. The increase was primarily attributable to a $14.3 million increase in personnel-related costs for our engineering, data, and product management personnel and contractors to support our continued growth.</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2022 and 2021, our total sales and marketing expense was comprised of approximately 45% and 36% for performance marketing, respectively, and 28% and 35% for brand marketing, respectively, with the remainder for organic and other marketing expenses. We are able to adjust our marketing spend to reflect changes in external factors and consumer behavior.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increased $104.3 million, or 38%, for 2022 compared to 2021. The increase was primarily attributable to increases of $70.3 million in performance marketing expenses, $23.3 million in organic and other marketing expenses primarily due to higher personnel-related costs due to our efforts to grow and increase our user base, and $10.7 million in brand marketing expenses.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expenses increased $19.7 million, or 51%, for 2022 compared to 2021, primarily attributable to increases of $9.5 million in personnel-related costs mainly due to higher stock-based compensation and increased headcount, $3.2 million in director and officer liability insurance costs, and $3.4 million in acquisition-related costs primarily due to costs related to our acquisition of OTB.</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contingent consideration related to earnouts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fair value of contingent consideration relates to our acquisitions of Fundera and KYM in the second half of 2020. The fair value of the estimated contingent considerations is subject to remeasurement at each reporting date until the payments are made. See Note 1–The Company and its Significant Accounting Policies in the notes to our consolidated financial statements for further discussion regarding how we estimated the fair value of these contingent considerations.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9"/>
                <w:szCs w:val="19"/>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ind w:left="400"/>
              <w:spacing w:after="0"/>
              <w:rPr>
                <w:sz w:val="20"/>
                <w:szCs w:val="20"/>
                <w:color w:val="auto"/>
              </w:rPr>
            </w:pPr>
            <w:r>
              <w:rPr>
                <w:rFonts w:ascii="Arial" w:cs="Arial" w:eastAsia="Arial" w:hAnsi="Arial"/>
                <w:sz w:val="14"/>
                <w:szCs w:val="14"/>
                <w:b w:val="1"/>
                <w:bCs w:val="1"/>
                <w:color w:val="auto"/>
              </w:rPr>
              <w:t>% Change</w:t>
            </w:r>
          </w:p>
        </w:tc>
      </w:tr>
      <w:tr>
        <w:trPr>
          <w:trHeight w:val="39"/>
        </w:trPr>
        <w:tc>
          <w:tcPr>
            <w:tcW w:w="5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ind w:left="594"/>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NM</w:t>
            </w: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center"/>
              <w:ind w:left="574"/>
              <w:spacing w:after="0"/>
              <w:rPr>
                <w:sz w:val="20"/>
                <w:szCs w:val="20"/>
                <w:color w:val="auto"/>
              </w:rPr>
            </w:pPr>
            <w:r>
              <w:rPr>
                <w:rFonts w:ascii="Arial" w:cs="Arial" w:eastAsia="Arial" w:hAnsi="Arial"/>
                <w:sz w:val="18"/>
                <w:szCs w:val="18"/>
                <w:color w:val="auto"/>
                <w:w w:val="97"/>
              </w:rPr>
              <w:t>(1.2)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574"/>
              <w:spacing w:after="0"/>
              <w:rPr>
                <w:sz w:val="20"/>
                <w:szCs w:val="20"/>
                <w:color w:val="auto"/>
              </w:rPr>
            </w:pPr>
            <w:r>
              <w:rPr>
                <w:rFonts w:ascii="Arial" w:cs="Arial" w:eastAsia="Arial" w:hAnsi="Arial"/>
                <w:sz w:val="18"/>
                <w:szCs w:val="18"/>
                <w:color w:val="auto"/>
                <w:w w:val="97"/>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NM</w:t>
            </w:r>
          </w:p>
        </w:tc>
      </w:tr>
      <w:tr>
        <w:trPr>
          <w:trHeight w:val="26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center"/>
              <w:ind w:left="574"/>
              <w:spacing w:after="0"/>
              <w:rPr>
                <w:sz w:val="20"/>
                <w:szCs w:val="20"/>
                <w:color w:val="auto"/>
              </w:rPr>
            </w:pPr>
            <w:r>
              <w:rPr>
                <w:rFonts w:ascii="Arial" w:cs="Arial" w:eastAsia="Arial" w:hAnsi="Arial"/>
                <w:sz w:val="18"/>
                <w:szCs w:val="18"/>
                <w:color w:val="auto"/>
                <w:w w:val="97"/>
              </w:rPr>
              <w:t>(2.3)</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w w:val="99"/>
              </w:rPr>
              <w:t>NM</w:t>
            </w: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other income (expense), net for 2022 compared to 2021 was primarily attributable to a $1.5 million gain on extinguishment of debt and a $1.3 million nonrecurring gain, both in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had an income tax benefit of $9.8 million for 2022, as compared to an income tax provision of $4.8 million in 2021. Our effective tax rate was 49.2% and (12.8%) for 2022 and 2021, respectively, as compared to the U.S. federal statutory income tax rate of 21%. During 2022, we recognized a tax benefit of $12.1 million related to the change in our existing full valuation allowance on deferred tax assets resulting from our acquisition of OTB, which was partially offset by higher capitalization of research and development expenses under new tax regulations effective in 2022. Our effective tax rate for 2021 reflects the impact of the valuation allowance recorded against our net U.S. deferred tax assets.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compensate for these limitations by reconciling Adjusted EBITDA to net income (loss), the most comparable GAAP financial measure. The following table presents a reconciliation of Adjusted EBITDA for each of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15.1</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6.4</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Acquisition-related retention</w:t>
            </w: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related to earnouts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on disposal of assets</w:t>
            </w:r>
          </w:p>
        </w:tc>
        <w:tc>
          <w:tcPr>
            <w:tcW w:w="3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0.2</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Acquisition-related expenses</w:t>
            </w: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 (gains) losses, net</w:t>
            </w:r>
          </w:p>
        </w:tc>
        <w:tc>
          <w:tcPr>
            <w:tcW w:w="3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r>
      <w:tr>
        <w:trPr>
          <w:trHeight w:val="26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24.4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3840" w:type="dxa"/>
            <w:vAlign w:val="bottom"/>
          </w:tcPr>
          <w:p>
            <w:pPr>
              <w:jc w:val="right"/>
              <w:ind w:right="450"/>
              <w:spacing w:after="0"/>
              <w:rPr>
                <w:sz w:val="20"/>
                <w:szCs w:val="20"/>
                <w:color w:val="auto"/>
              </w:rPr>
            </w:pPr>
            <w:r>
              <w:rPr>
                <w:rFonts w:ascii="Arial" w:cs="Arial" w:eastAsia="Arial" w:hAnsi="Arial"/>
                <w:sz w:val="18"/>
                <w:szCs w:val="18"/>
                <w:color w:val="auto"/>
              </w:rPr>
              <w:t>(2 %)</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(11 %)</w:t>
            </w:r>
          </w:p>
        </w:tc>
        <w:tc>
          <w:tcPr>
            <w:tcW w:w="9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48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3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12 %</w:t>
            </w:r>
          </w:p>
        </w:tc>
        <w:tc>
          <w:tcPr>
            <w:tcW w:w="16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Represents adjusted EBITDA as a percentage of revenue.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Operations—Results of Operations” for a discussion of the decrease in net loss for 2022 compared to 2021.</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increased $40.0 million, or 148%, for 2022 compared to 2021. The increase was attributable to a $32.3 million decrease in net loss and increases in adjustments to reconcile Adjusted EBITDA to net loss, including $16.5 million for stock-based compensation and $9.9 million for depreciation and amortization, offset by decreases of $14.6 million for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principal sources of liquidity to meet our business requirements and plans, both in the short-term (i.e., the next twelve months from December 31, 2022) and long-term (i.e., beyond the next twelve months), have historically been cash generated from operations and, more recently, sales of our common stock, and borrowings under our credit facilities.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8, 2021, we completed our IPO, in which we sold 8.3 million shares of our Class A common stock, which includes the exercise in full of the underwriters’ option to purchase 1.1 million shares of Class A common stock, at a public offering price of $18.00 per share. We received net proceeds from our IPO of $140.0 million after deducting underwriting discounts and commissions of $10.1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and 2021, we had cash and cash equivalents of $83.9 million and $167.8 million,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Known Contractual and Other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description of contractual commitments as of December 31, 2022 is included in Note 8–Commitments and Contingencies in the notes to the consolidated financial statements.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More broadly, we also have purchase obligations under contractual arrangements with vendors and service providers, including for certain web-hosting and cloud computing services, which do not qualify for recognition on our consolidated balance sheets but which we consider non-cancellable. As of December 31, 2022, amounts to be spent under non-cancellable purchase obligations were $5.7 million over the next twelve months, and annual amounts of approximately $4 million to $5 million from 2024 through 2026.</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as part of the acquisitions of Know Your Money and Fundera, both in 2020, the Company committed to pay additional amounts of up to $11 million and $66 million, respectively, related to contingent earn-out consideration over the succeeding years based, in part, on the achievement of certain financial metrics related to 2021 and 2022. As of December 31, 2022, Fundera’s revenue and profitability milestones for 2022 have been achieved and the contingent consideration liability was recorded at the full payout amount of $30.9 million (see Note 3–Fair Value Measurements in the notes to the consolidated financial statements), with the liability to be paid over the next twelve months.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2022, there was an outflow of $100.3 million of cash used in investing activities, primarily due to $68.1 million of cash paid, net of cash acquired, for our acquisition of OTB, as well as $27.6 million of capitalized software development costs. Additionally in 2022, there was an outflow of $8.4 million of cash used in financing activities, primarily driven by a $19.0 million payment of contingent consideration, partially offset by proceeds of $7.7 million from exercise of stock options and $4.5 million from issuance of common stock under our ESPP.</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Trends, Uncertainties and Anticipated Sources of Funds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business.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our current cash and cash equivalents and future cash flow from operations, as well as access to our credit facility, will be sufficient to meet our ongoing working capital, capital expenditure and other liquidity requirements for at least twelve months from the date of this filing. If necessary, we may borrow up to $100 million under our credit facility with Silicon Valley Bank and certain other lenders, subject to borrowing conditions, which terminates on December 2, 2023. We had no outstanding balance on our credit facility as of December 31, 2022 or 2021. Our credit facility contains certain financial and non-financial covenants. We were in compliance with all covenants as of December 31, 2022 and 2021. For additional information on these covenants, see Note 7–Debt in the notes to the consolidated financial statements.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and Uses of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 financing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97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39"/>
        </w:trPr>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97"/>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60" w:space="720"/>
            <w:col w:w="4160"/>
          </w:cols>
          <w:pgMar w:left="320" w:top="125" w:right="339" w:bottom="1440" w:gutter="0" w:footer="0" w:header="0"/>
        </w:sectPr>
      </w:pPr>
    </w:p>
    <w:p>
      <w:pPr>
        <w:spacing w:after="0" w:line="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discussion and analysis of our changes in cash flows for 2022 compared to 2021 is presented below. For a discussion of our cash flows for 2021 and 2020, see “Management’s Discussion and Analysis of Financial Condition and Results of Operations–Liquidity and Capital Resources” in our Annual Report on Form 10-K for the year ended December 31, 2021.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cash provided by operating activities increased $17.8 million in 2022 compared to 2021 driven by a $32.3 million decrease in net loss, partially offset by an $10.6 million increase in net cash outflow from changes in operating assets and liabilities and a $3.9 million decrease in non-cash charges. The increase in net cash outflow from changes in operating assets and liabilities was primarily due to an $11.5 million payment of contingent consideration and a $10.8 million decrease in accrued expenses and other current liabilities, partially offset by an $8.9 million decrease in prepaid expenses and other assets. The decrease in non-cash charges was primarily due to decreases of $17.0 million in deferred taxes, $11.4 million in change in fair value of contingent consideration related to earnouts, and $5.3 million in non-cash lease costs, substantially offset by increases of $16.5 million in stock-based compensation, $9.9 million in depreciation and amortization, and $3.4 million in other, net.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increased $77.3 million in 2022 compared to 2021, primarily due to $68.1 million of cash paid, net of cash acquired, for our acquisition of OTB, and a $6.9 million increase in capitalized software development costs.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$8.4 million of net cash used in financing activities in 2022, as compared to $100.2 million of net cash provided by financing activities in 2021, primarily due to $140.0 million of net proceeds from our IPO in 2021, and a $19.0 million payment of contingent consideration in 2022, partially offset by a $28.5 million repayment in full of our subordinated promissory notes and $12.4 million of repurchases of Class F common stock, both in 2021. Additionally, we had $70.0 million of proceeds from our line of credit to finance the cash portion of the purchase consideration for our acquisition of OTB, with a $70.0 million repayment in full in December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accounting policies we believe to be most critical to understanding our financial condition and results of operations are discussed below. For a comprehensive list of all significant accounting policies, see Note 1–The Company and its Significant Accounting Policies in the notes to consolidated financial statements in Item 8 of Part II of this Annual Report on Form 10-K.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revenue from fees paid by our financial services partners in the form of either revenue per action, revenue per click, revenue per lead and revenue per funded loan arrangements. Services are generally transferred to the customer at a point in time and the performance obligation is a series of distinct actions, leads or clicks.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some of our arrangements, under ASC 606 (Revenue from Contracts with Customers) our contractual right to fees is not contemporaneous with the satisfaction of the performance obligation to match the consumer with the customer. As a result, the transaction price is considered variable and an estimate of the constrained transaction price is recorded as revenue when the match occurs, subject to a constraint. Constrained revenue is recognized to the extent that it is probable that a significant reversal in the amount of cumulative revenue recognized will not occur. After our initial estimate and constraints are made, we reassess our estimates and constraints at the end of each reporting period. Various factors are analyzed to estimate the constrained revenue, including historical approval rates and historical time between when a consumer request for a financial product is delivered to a financial services partner and when the financial product is approved by such financial services partner.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Goodwill represents the excess of the purchase price over the fair value of net assets acquired in a business combination. We have one reporting unit. We test goodwill for impairment annually or more frequently when an event occurs or circumstances change that indicate the carrying value may not be recoverable. As a result of the goodwill impairment assessment in 2022, 2021 and 2020, we determined that it was not more likely than not that the fair value of its single reporting unit was less than its carrying amount. As such, goodwill was not impaired during 2022, 2021 and 2020.</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evaluate intangible assets and other long-lived assets for impairment whenever events or circumstances indicate that they may not be recoverable. Recoverability is assessed by comparing the carrying amount of an asset group to future undiscounted net cash flows expected to be generated. If the carrying amount of an asset group is not recoverable, an impairment loss is recognized if the carrying amount exceeds the fair value of the asset group. We group assets for purposes of such review at the lowest level for which identifiable cash flows of the asset group are largely independent of the cash flows of the other groups of assets and liabilities. Unforeseen events, changes in circumstances and market conditions and material differences in estimates of future cash flows could adversely affect the fair value of our assets and could result in future impairment charges.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Tax Asset Valuation Allowances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fulfilling the requirement to reduce the measurement of deferred tax assets that are not expected to be realized, we consider all available evidence, both positive and negative, to determine whether, based on the weight of that evidence, a valuation allowance for deferred tax assets is needed. In assessing the adequacy of recognized valuation allowances, we consider all available evidence to estimate if sufficient taxable income will be generated in the future to utilize the existing deferred tax assets by jurisdiction. This consideration includes a variety of factors such as historical and projected future taxable income and prudent and feasible tax planning strategies.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not be realized and recorded a valuation allowance against these net U.S. deferred tax assets as of December 31, 2022. Our judgment regarding the likelihood of realization of these deferred tax assets could change in future periods, which could result in a material impact to our income tax provision in the period of change.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our IPO, as our common shares were not listed on a public marketplace, the calculation of the fair value of our common shares was subject to a greater degree of estimation in determining the basis for share-based awards that were issued. Given the absence of a public market, we were required to estimate the fair value of the common shares at the time of each grant.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granted stock-based awards consisting primarily of stock options and RSUs to employees and non-employees. We estimate the grant date fair value of stock options granted to employees and nonemployees using the Black-Scholes-Merton option-pricing model. The fair value of stock options that is expected to vest is recognized as compensation expense on a straight-line basis over the requisite service period, which is typically the vesting period of the respective awards. We recognize forfeitures as they occur for equity awards with only a service condition, rather than estimate expected forfeitures.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Black-Scholes-Merton option-pricing model considers several variables and assumptions in estimating the grant date fair value of stock-based awards. These assumptions include:</w:t>
      </w:r>
    </w:p>
    <w:p>
      <w:pPr>
        <w:spacing w:after="0" w:line="116" w:lineRule="exact"/>
        <w:rPr>
          <w:sz w:val="20"/>
          <w:szCs w:val="20"/>
          <w:color w:val="auto"/>
        </w:rPr>
      </w:pPr>
    </w:p>
    <w:p>
      <w:pPr>
        <w:jc w:val="both"/>
        <w:ind w:left="660" w:hanging="328"/>
        <w:spacing w:after="0" w:line="30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Fair Value of Class A Common Stock</w:t>
      </w:r>
      <w:r>
        <w:rPr>
          <w:rFonts w:ascii="Arial" w:cs="Arial" w:eastAsia="Arial" w:hAnsi="Arial"/>
          <w:sz w:val="16"/>
          <w:szCs w:val="16"/>
          <w:color w:val="auto"/>
        </w:rPr>
        <w:t>—For periods over which our Class A common stock was not yet publicly traded, we were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the fair value of our Class A common stock. Our Board of Directors considered numerous objective and subjective factors to determine the fair value of our Class A common stock as discussed in “Common Stock Valuations” below. Subsequent to our IPO in November 2021, the fair value of our Class A common stock is determined on the grant date using the closing price of our Class A common stock.</w:t>
      </w:r>
    </w:p>
    <w:p>
      <w:pPr>
        <w:spacing w:after="0" w:line="10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We estimate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based on the simplified method.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a measure of the amount by which the stock price is expected to fluctuate. Since we do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trading history of our Class A common stock, we estimate the expected volatility by taking the average historical volatility of a group of comparable publicly traded companies over a period equal to the expected term of the awards.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expected term of the stock option award.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utilize a dividend yield of zero, as we do not currently issue dividends, nor do we expect to do so in the future.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RSUs is estimated based on the fair value of our Class A common stock on the date of grant. The fair value of RSUs that are expected to vest is recognized as compensation expense over the requisite service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ESPP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purchase rights granted under its ESPP is estimated using the component measurement approach with valuations of the components based on the Company’s stock price on the date of the grant and/or the Black-Scholes-Merton option-pricing model, as appropriate for the applicable components. The fair value of the purchase rights is recognized over the requisite service period. We recognize forfeitures as they occur, rather than estimate expected forfeitures.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on recent accounting pronouncements, see Note 1–The Company and its Significant Accounting Policies in the 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w:t>
      </w:r>
    </w:p>
    <w:p>
      <w:pPr>
        <w:spacing w:after="0" w:line="2" w:lineRule="exact"/>
        <w:rPr>
          <w:sz w:val="20"/>
          <w:szCs w:val="20"/>
          <w:color w:val="auto"/>
        </w:rPr>
      </w:pPr>
    </w:p>
    <w:p>
      <w:pPr>
        <w:jc w:val="both"/>
        <w:ind w:right="20" w:firstLine="8"/>
        <w:spacing w:after="0" w:line="255"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 Exchange Risk</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Significantly all of our revenue is generated in U.S. dollars, with the remainder generated in British pounds sterling and the Canadian dollar. Our expenses are generally denominated in the currencies of the jurisdictions in which we conduct our operations, which are primarily in the U.S., UK and Canada.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years ended December 31, 2022, 2021 and 2020.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cash and cash equivalents primarily consist of cash on hand and highly liquid investments in money market instruments and U.S. government securities. We had cash and cash equivalents of $83.9 million and $167.8 million as of December 31, 2022 and 2021, respectively.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therefore do not expect our operating results or cash flows to be materially affected by a sudden change in market interest rates due to changes in the fair market value of our portfolio. However, changes in market interest rates could adversely impact our business, financial condition and results of operations. For additional information, see the sections titled “Risk Factors—Risks Related to Our Industry and the Consumer Finance Economy.”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future borrowings on our line of credit would be subject to changes in interest rate.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NerdWallet,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85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37"/>
        </w:trPr>
        <w:tc>
          <w:tcPr>
            <w:tcW w:w="85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70"/>
        </w:trPr>
        <w:tc>
          <w:tcPr>
            <w:tcW w:w="8560" w:type="dxa"/>
            <w:vAlign w:val="bottom"/>
          </w:tcPr>
          <w:p>
            <w:pPr>
              <w:spacing w:after="0"/>
              <w:rPr>
                <w:sz w:val="20"/>
                <w:szCs w:val="20"/>
                <w:color w:val="auto"/>
              </w:rPr>
            </w:pPr>
            <w:r>
              <w:rPr>
                <w:rFonts w:ascii="Arial" w:cs="Arial" w:eastAsia="Arial" w:hAnsi="Arial"/>
                <w:sz w:val="18"/>
                <w:szCs w:val="18"/>
                <w:color w:val="auto"/>
              </w:rPr>
              <w:t>Consolidated Financial Statements of NerdWallet, Inc. and its Consolidated Subsidiaries:</w:t>
            </w:r>
          </w:p>
        </w:tc>
        <w:tc>
          <w:tcPr>
            <w:tcW w:w="660" w:type="dxa"/>
            <w:vAlign w:val="bottom"/>
          </w:tcPr>
          <w:p>
            <w:pPr>
              <w:spacing w:after="0"/>
              <w:rPr>
                <w:sz w:val="23"/>
                <w:szCs w:val="23"/>
                <w:color w:val="auto"/>
              </w:rPr>
            </w:pPr>
          </w:p>
        </w:tc>
      </w:tr>
      <w:tr>
        <w:trPr>
          <w:trHeight w:val="270"/>
        </w:trPr>
        <w:tc>
          <w:tcPr>
            <w:tcW w:w="8560" w:type="dxa"/>
            <w:vAlign w:val="bottom"/>
          </w:tcPr>
          <w:p>
            <w:pPr>
              <w:ind w:left="220"/>
              <w:spacing w:after="0"/>
              <w:rPr>
                <w:sz w:val="20"/>
                <w:szCs w:val="20"/>
                <w:color w:val="auto"/>
              </w:rPr>
            </w:pPr>
            <w:r>
              <w:rPr>
                <w:rFonts w:ascii="Arial" w:cs="Arial" w:eastAsia="Arial" w:hAnsi="Arial"/>
                <w:sz w:val="18"/>
                <w:szCs w:val="18"/>
                <w:color w:val="auto"/>
              </w:rPr>
              <w:t>Consolidated Balance Sheets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70"/>
        </w:trPr>
        <w:tc>
          <w:tcPr>
            <w:tcW w:w="8560" w:type="dxa"/>
            <w:vAlign w:val="bottom"/>
          </w:tcPr>
          <w:p>
            <w:pPr>
              <w:ind w:left="220"/>
              <w:spacing w:after="0"/>
              <w:rPr>
                <w:sz w:val="20"/>
                <w:szCs w:val="20"/>
                <w:color w:val="auto"/>
              </w:rPr>
            </w:pPr>
            <w:r>
              <w:rPr>
                <w:rFonts w:ascii="Arial" w:cs="Arial" w:eastAsia="Arial" w:hAnsi="Arial"/>
                <w:sz w:val="18"/>
                <w:szCs w:val="18"/>
                <w:color w:val="auto"/>
              </w:rPr>
              <w:t>Consolidated Statements of Operations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70"/>
        </w:trPr>
        <w:tc>
          <w:tcPr>
            <w:tcW w:w="8560" w:type="dxa"/>
            <w:vAlign w:val="bottom"/>
          </w:tcPr>
          <w:p>
            <w:pPr>
              <w:ind w:left="220"/>
              <w:spacing w:after="0"/>
              <w:rPr>
                <w:sz w:val="20"/>
                <w:szCs w:val="20"/>
                <w:color w:val="auto"/>
              </w:rPr>
            </w:pPr>
            <w:r>
              <w:rPr>
                <w:rFonts w:ascii="Arial" w:cs="Arial" w:eastAsia="Arial" w:hAnsi="Arial"/>
                <w:sz w:val="18"/>
                <w:szCs w:val="18"/>
                <w:color w:val="auto"/>
              </w:rPr>
              <w:t>Consolidated Statements of Comprehensive Income (Loss)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70"/>
        </w:trPr>
        <w:tc>
          <w:tcPr>
            <w:tcW w:w="8560" w:type="dxa"/>
            <w:vAlign w:val="bottom"/>
          </w:tcPr>
          <w:p>
            <w:pPr>
              <w:ind w:left="220"/>
              <w:spacing w:after="0"/>
              <w:rPr>
                <w:sz w:val="20"/>
                <w:szCs w:val="20"/>
                <w:color w:val="auto"/>
              </w:rPr>
            </w:pPr>
            <w:r>
              <w:rPr>
                <w:rFonts w:ascii="Arial" w:cs="Arial" w:eastAsia="Arial" w:hAnsi="Arial"/>
                <w:sz w:val="18"/>
                <w:szCs w:val="18"/>
                <w:color w:val="auto"/>
              </w:rPr>
              <w:t>Consolidated Statements of Stockholders’ Equity</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70"/>
        </w:trPr>
        <w:tc>
          <w:tcPr>
            <w:tcW w:w="8560" w:type="dxa"/>
            <w:vAlign w:val="bottom"/>
          </w:tcPr>
          <w:p>
            <w:pPr>
              <w:ind w:left="220"/>
              <w:spacing w:after="0"/>
              <w:rPr>
                <w:sz w:val="20"/>
                <w:szCs w:val="20"/>
                <w:color w:val="auto"/>
              </w:rPr>
            </w:pPr>
            <w:r>
              <w:rPr>
                <w:rFonts w:ascii="Arial" w:cs="Arial" w:eastAsia="Arial" w:hAnsi="Arial"/>
                <w:sz w:val="18"/>
                <w:szCs w:val="18"/>
                <w:color w:val="auto"/>
              </w:rPr>
              <w:t>Consolidated Statements of Cash Flows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62</w:t>
            </w:r>
          </w:p>
        </w:tc>
      </w:tr>
      <w:tr>
        <w:trPr>
          <w:trHeight w:val="270"/>
        </w:trPr>
        <w:tc>
          <w:tcPr>
            <w:tcW w:w="856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64</w:t>
            </w:r>
          </w:p>
        </w:tc>
      </w:tr>
    </w:tbl>
    <w:p>
      <w:pPr>
        <w:spacing w:after="0" w:line="21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schedules have been omitted as the information is provided in the financial statements or in related notes thereto, or is not required to be filed as the information is not applicable.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540" w:firstLine="2535"/>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NerdWallet,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NerdWallet, Inc. and subsidiaries (the “Company”) as of December 31, 2022 and 2021, and the related consolidated statements of operations, comprehensive income (loss),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cash flows for each of the three years in the period ended December 31, 2022, in conformity with accounting principles generally accepted in the United States of America.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880" w:type="dxa"/>
            <w:vAlign w:val="bottom"/>
          </w:tcPr>
          <w:p>
            <w:pPr>
              <w:spacing w:after="0"/>
              <w:rPr>
                <w:sz w:val="20"/>
                <w:szCs w:val="20"/>
                <w:color w:val="auto"/>
              </w:rPr>
            </w:pPr>
            <w:r>
              <w:rPr>
                <w:rFonts w:ascii="Arial" w:cs="Arial" w:eastAsia="Arial" w:hAnsi="Arial"/>
                <w:sz w:val="14"/>
                <w:szCs w:val="14"/>
                <w:i w:val="1"/>
                <w:iCs w:val="1"/>
                <w:color w:val="auto"/>
              </w:rPr>
              <w:t>(in millions, except share amounts which are in thousands and per share amounts)</w:t>
            </w:r>
          </w:p>
        </w:tc>
        <w:tc>
          <w:tcPr>
            <w:tcW w:w="2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9"/>
        </w:trPr>
        <w:tc>
          <w:tcPr>
            <w:tcW w:w="6880" w:type="dxa"/>
            <w:vAlign w:val="bottom"/>
          </w:tcPr>
          <w:p>
            <w:pPr>
              <w:spacing w:after="0"/>
              <w:rPr>
                <w:sz w:val="20"/>
                <w:szCs w:val="20"/>
                <w:color w:val="auto"/>
              </w:rPr>
            </w:pPr>
            <w:r>
              <w:rPr>
                <w:rFonts w:ascii="Arial" w:cs="Arial" w:eastAsia="Arial" w:hAnsi="Arial"/>
                <w:sz w:val="14"/>
                <w:szCs w:val="14"/>
                <w:b w:val="1"/>
                <w:bCs w:val="1"/>
                <w:color w:val="auto"/>
              </w:rPr>
              <w:t>As of December 31,</w:t>
            </w:r>
          </w:p>
        </w:tc>
        <w:tc>
          <w:tcPr>
            <w:tcW w:w="2960" w:type="dxa"/>
            <w:vAlign w:val="bottom"/>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ectPr>
          <w:pgSz w:w="11900" w:h="16838" w:orient="portrait"/>
          <w:cols w:equalWidth="0" w:num="1">
            <w:col w:w="11220"/>
          </w:cols>
          <w:pgMar w:left="320" w:top="121" w:right="35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Prepaid expenses and other current assets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equipment and software—net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Liabilities and Stockholders’ Equity</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tabs>
          <w:tab w:leader="none" w:pos="900" w:val="left"/>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83.9</w:t>
      </w:r>
      <w:r>
        <w:rPr>
          <w:sz w:val="20"/>
          <w:szCs w:val="20"/>
          <w:color w:val="auto"/>
        </w:rPr>
        <w:tab/>
      </w:r>
      <w:r>
        <w:rPr>
          <w:rFonts w:ascii="Arial" w:cs="Arial" w:eastAsia="Arial" w:hAnsi="Arial"/>
          <w:sz w:val="13"/>
          <w:szCs w:val="13"/>
          <w:color w:val="auto"/>
        </w:rPr>
        <w:t>$</w:t>
      </w:r>
    </w:p>
    <w:p>
      <w:pPr>
        <w:spacing w:after="0" w:line="90"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87.0</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8401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189.2</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49.1</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111.2</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64.1</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11.3</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8401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6" w:lineRule="exact"/>
        <w:rPr>
          <w:sz w:val="20"/>
          <w:szCs w:val="20"/>
          <w:color w:val="auto"/>
        </w:rPr>
      </w:pPr>
    </w:p>
    <w:p>
      <w:pPr>
        <w:spacing w:after="0"/>
        <w:tabs>
          <w:tab w:leader="none" w:pos="800" w:val="left"/>
          <w:tab w:leader="none" w:pos="14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425.7</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8401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167.8</w:t>
      </w:r>
    </w:p>
    <w:p>
      <w:pPr>
        <w:spacing w:after="0" w:line="9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57.6</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31750</wp:posOffset>
            </wp:positionV>
            <wp:extent cx="8401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242.8</w:t>
      </w:r>
    </w:p>
    <w:p>
      <w:pPr>
        <w:spacing w:after="0" w:line="9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34.9</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43.8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27.6</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13.9</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31750</wp:posOffset>
            </wp:positionV>
            <wp:extent cx="8401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Arial" w:cs="Arial" w:eastAsia="Arial" w:hAnsi="Arial"/>
          <w:sz w:val="15"/>
          <w:szCs w:val="15"/>
          <w:b w:val="1"/>
          <w:bCs w:val="1"/>
          <w:color w:val="auto"/>
        </w:rPr>
        <w:t>364.1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56515</wp:posOffset>
            </wp:positionV>
            <wp:extent cx="8401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3">
            <w:col w:w="7800" w:space="720"/>
            <w:col w:w="1520" w:space="720"/>
            <w:col w:w="4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Accounts payable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Contingent consideration—current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Contingent consideration—noncurrent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Other liabilities—noncurrent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8480" w:type="dxa"/>
            <w:vAlign w:val="bottom"/>
          </w:tcPr>
          <w:p>
            <w:pPr>
              <w:spacing w:after="0"/>
              <w:rPr>
                <w:sz w:val="20"/>
                <w:szCs w:val="20"/>
                <w:color w:val="auto"/>
              </w:rPr>
            </w:pPr>
            <w:r>
              <w:rPr>
                <w:rFonts w:ascii="Arial" w:cs="Arial" w:eastAsia="Arial" w:hAnsi="Arial"/>
                <w:sz w:val="18"/>
                <w:szCs w:val="18"/>
                <w:color w:val="auto"/>
                <w:w w:val="97"/>
              </w:rPr>
              <w:t>Preferred stock—$0.0001 par value per share—5,000 shares authorized; zero shares issued and outstanding</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80" w:type="dxa"/>
            <w:vAlign w:val="bottom"/>
          </w:tcPr>
          <w:p>
            <w:pPr>
              <w:spacing w:after="0" w:line="176" w:lineRule="exact"/>
              <w:rPr>
                <w:sz w:val="20"/>
                <w:szCs w:val="20"/>
                <w:color w:val="auto"/>
              </w:rPr>
            </w:pPr>
            <w:r>
              <w:rPr>
                <w:rFonts w:ascii="Arial" w:cs="Arial" w:eastAsia="Arial" w:hAnsi="Arial"/>
                <w:sz w:val="18"/>
                <w:szCs w:val="18"/>
                <w:color w:val="auto"/>
                <w:w w:val="93"/>
              </w:rPr>
              <w:t>Common stock—$0.0001 par value per share—296,686 shares authorized; 75,120 and 66,722 shares issued and</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60"/>
              <w:spacing w:after="0"/>
              <w:rPr>
                <w:sz w:val="20"/>
                <w:szCs w:val="20"/>
                <w:color w:val="auto"/>
              </w:rPr>
            </w:pPr>
            <w:r>
              <w:rPr>
                <w:rFonts w:ascii="Arial" w:cs="Arial" w:eastAsia="Arial" w:hAnsi="Arial"/>
                <w:sz w:val="18"/>
                <w:szCs w:val="18"/>
                <w:color w:val="auto"/>
              </w:rPr>
              <w:t>outstanding as of December 31, 2022 and 2021</w:t>
            </w:r>
          </w:p>
        </w:tc>
        <w:tc>
          <w:tcPr>
            <w:tcW w:w="4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-2905125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-1174115</wp:posOffset>
            </wp:positionV>
            <wp:extent cx="7132320" cy="266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31750</wp:posOffset>
            </wp:positionV>
            <wp:extent cx="8401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65.8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16.5</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106.5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331.6</w:t>
      </w:r>
    </w:p>
    <w:p>
      <w:pPr>
        <w:spacing w:after="0" w:line="9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(74.5)</w:t>
      </w:r>
    </w:p>
    <w:p>
      <w:pPr>
        <w:spacing w:after="0" w:line="88"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257.6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53975</wp:posOffset>
            </wp:positionV>
            <wp:extent cx="8401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87" w:lineRule="exact"/>
        <w:rPr>
          <w:sz w:val="20"/>
          <w:szCs w:val="20"/>
          <w:color w:val="auto"/>
        </w:rPr>
      </w:pPr>
    </w:p>
    <w:p>
      <w:pPr>
        <w:jc w:val="right"/>
        <w:ind w:right="60"/>
        <w:spacing w:after="0"/>
        <w:rPr>
          <w:sz w:val="20"/>
          <w:szCs w:val="20"/>
          <w:color w:val="auto"/>
        </w:rPr>
      </w:pPr>
      <w:r>
        <w:rPr>
          <w:rFonts w:ascii="Arial" w:cs="Arial" w:eastAsia="Arial" w:hAnsi="Arial"/>
          <w:sz w:val="15"/>
          <w:szCs w:val="15"/>
          <w:b w:val="1"/>
          <w:bCs w:val="1"/>
          <w:color w:val="auto"/>
        </w:rPr>
        <w:t>364.1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56515</wp:posOffset>
            </wp:positionV>
            <wp:extent cx="8401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81915</wp:posOffset>
            </wp:positionV>
            <wp:extent cx="8401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42" w:lineRule="exact"/>
        <w:rPr>
          <w:sz w:val="20"/>
          <w:szCs w:val="20"/>
          <w:color w:val="auto"/>
        </w:rPr>
      </w:pPr>
    </w:p>
    <w:p>
      <w:pPr>
        <w:sectPr>
          <w:pgSz w:w="11900" w:h="16838" w:orient="portrait"/>
          <w:cols w:equalWidth="0" w:num="2">
            <w:col w:w="10040" w:space="720"/>
            <w:col w:w="460"/>
          </w:cols>
          <w:pgMar w:left="320" w:top="121" w:right="359" w:bottom="1440" w:gutter="0" w:footer="0" w:header="0"/>
          <w:type w:val="continuous"/>
        </w:sectPr>
      </w:pP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39"/>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245.3</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7080" w:type="dxa"/>
            <w:vAlign w:val="bottom"/>
            <w:gridSpan w:val="2"/>
          </w:tcPr>
          <w:p>
            <w:pPr>
              <w:ind w:left="2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0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gains (losses), net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Share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25"/>
        </w:trPr>
        <w:tc>
          <w:tcPr>
            <w:tcW w:w="70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Weighted-average Shares Used in Computing Net Income (Loss) Per Share Attributable to</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70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Common Stockholders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9"/>
                <w:szCs w:val="19"/>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39"/>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6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1"/>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ind w:right="-179"/>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(in millions, except share amounts which are in thousands)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Balance as of December 31, 2019</w:t>
      </w:r>
    </w:p>
    <w:p>
      <w:pPr>
        <w:spacing w:after="0" w:line="27" w:lineRule="exact"/>
        <w:rPr>
          <w:sz w:val="20"/>
          <w:szCs w:val="20"/>
          <w:color w:val="auto"/>
        </w:rPr>
      </w:pPr>
    </w:p>
    <w:p>
      <w:pPr>
        <w:ind w:left="380" w:right="140" w:hanging="161"/>
        <w:spacing w:after="0" w:line="234" w:lineRule="auto"/>
        <w:rPr>
          <w:sz w:val="20"/>
          <w:szCs w:val="20"/>
          <w:color w:val="auto"/>
        </w:rPr>
      </w:pPr>
      <w:r>
        <w:rPr>
          <w:rFonts w:ascii="Arial" w:cs="Arial" w:eastAsia="Arial" w:hAnsi="Arial"/>
          <w:sz w:val="18"/>
          <w:szCs w:val="18"/>
          <w:color w:val="auto"/>
        </w:rPr>
        <w:t>Issuance of Class A common stock in connection with equity offering</w:t>
      </w:r>
    </w:p>
    <w:p>
      <w:pPr>
        <w:spacing w:after="0" w:line="14" w:lineRule="exact"/>
        <w:rPr>
          <w:sz w:val="20"/>
          <w:szCs w:val="20"/>
          <w:color w:val="auto"/>
        </w:rPr>
      </w:pPr>
    </w:p>
    <w:p>
      <w:pPr>
        <w:ind w:left="380" w:right="120" w:hanging="161"/>
        <w:spacing w:after="0" w:line="235" w:lineRule="auto"/>
        <w:rPr>
          <w:sz w:val="20"/>
          <w:szCs w:val="20"/>
          <w:color w:val="auto"/>
        </w:rPr>
      </w:pPr>
      <w:r>
        <w:rPr>
          <w:rFonts w:ascii="Arial" w:cs="Arial" w:eastAsia="Arial" w:hAnsi="Arial"/>
          <w:sz w:val="18"/>
          <w:szCs w:val="18"/>
          <w:color w:val="auto"/>
        </w:rPr>
        <w:t>Issuance of Class A common stock upon exercise of stock options</w:t>
      </w:r>
    </w:p>
    <w:p>
      <w:pPr>
        <w:spacing w:after="0" w:line="13" w:lineRule="exact"/>
        <w:rPr>
          <w:sz w:val="20"/>
          <w:szCs w:val="20"/>
          <w:color w:val="auto"/>
        </w:rPr>
      </w:pPr>
    </w:p>
    <w:p>
      <w:pPr>
        <w:ind w:left="380" w:right="320" w:hanging="161"/>
        <w:spacing w:after="0" w:line="256" w:lineRule="auto"/>
        <w:rPr>
          <w:sz w:val="20"/>
          <w:szCs w:val="20"/>
          <w:color w:val="auto"/>
        </w:rPr>
      </w:pPr>
      <w:r>
        <w:rPr>
          <w:rFonts w:ascii="Arial" w:cs="Arial" w:eastAsia="Arial" w:hAnsi="Arial"/>
          <w:sz w:val="17"/>
          <w:szCs w:val="17"/>
          <w:color w:val="auto"/>
        </w:rPr>
        <w:t>Issuance of Class A common stock pursuant to settlement of restricted stock units</w:t>
      </w:r>
    </w:p>
    <w:p>
      <w:pPr>
        <w:spacing w:after="0" w:line="1" w:lineRule="exact"/>
        <w:rPr>
          <w:sz w:val="20"/>
          <w:szCs w:val="20"/>
          <w:color w:val="auto"/>
        </w:rPr>
      </w:pPr>
    </w:p>
    <w:p>
      <w:pPr>
        <w:jc w:val="center"/>
        <w:ind w:left="220"/>
        <w:spacing w:after="0" w:line="248" w:lineRule="auto"/>
        <w:rPr>
          <w:sz w:val="20"/>
          <w:szCs w:val="20"/>
          <w:color w:val="auto"/>
        </w:rPr>
      </w:pPr>
      <w:r>
        <w:rPr>
          <w:rFonts w:ascii="Arial" w:cs="Arial" w:eastAsia="Arial" w:hAnsi="Arial"/>
          <w:sz w:val="16"/>
          <w:szCs w:val="16"/>
          <w:color w:val="auto"/>
        </w:rPr>
        <w:t>Class A common stock surrendered for employees’ tax liability upon settlement of restricted stock</w:t>
      </w:r>
    </w:p>
    <w:p>
      <w:pPr>
        <w:ind w:left="380"/>
        <w:spacing w:after="0"/>
        <w:rPr>
          <w:sz w:val="20"/>
          <w:szCs w:val="20"/>
          <w:color w:val="auto"/>
        </w:rPr>
      </w:pPr>
      <w:r>
        <w:rPr>
          <w:rFonts w:ascii="Arial" w:cs="Arial" w:eastAsia="Arial" w:hAnsi="Arial"/>
          <w:sz w:val="18"/>
          <w:szCs w:val="18"/>
          <w:color w:val="auto"/>
        </w:rPr>
        <w:t>units</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stock options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Class A common stock</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Constructive retirement of treasury stock</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comprehensive income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income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Balance as of December 31, 2020</w:t>
      </w:r>
    </w:p>
    <w:p>
      <w:pPr>
        <w:spacing w:after="0" w:line="27" w:lineRule="exact"/>
        <w:rPr>
          <w:sz w:val="20"/>
          <w:szCs w:val="20"/>
          <w:color w:val="auto"/>
        </w:rPr>
      </w:pPr>
    </w:p>
    <w:p>
      <w:pPr>
        <w:ind w:left="380" w:right="300" w:hanging="161"/>
        <w:spacing w:after="0" w:line="234" w:lineRule="auto"/>
        <w:rPr>
          <w:sz w:val="20"/>
          <w:szCs w:val="20"/>
          <w:color w:val="auto"/>
        </w:rPr>
      </w:pPr>
      <w:r>
        <w:rPr>
          <w:rFonts w:ascii="Arial" w:cs="Arial" w:eastAsia="Arial" w:hAnsi="Arial"/>
          <w:sz w:val="18"/>
          <w:szCs w:val="18"/>
          <w:color w:val="auto"/>
        </w:rPr>
        <w:t>Issuance of Class A common stock upon initial public offering</w:t>
      </w:r>
    </w:p>
    <w:p>
      <w:pPr>
        <w:spacing w:after="0" w:line="14" w:lineRule="exact"/>
        <w:rPr>
          <w:sz w:val="20"/>
          <w:szCs w:val="20"/>
          <w:color w:val="auto"/>
        </w:rPr>
      </w:pPr>
    </w:p>
    <w:p>
      <w:pPr>
        <w:ind w:left="380" w:right="140" w:hanging="161"/>
        <w:spacing w:after="0" w:line="235" w:lineRule="auto"/>
        <w:rPr>
          <w:sz w:val="20"/>
          <w:szCs w:val="20"/>
          <w:color w:val="auto"/>
        </w:rPr>
      </w:pPr>
      <w:r>
        <w:rPr>
          <w:rFonts w:ascii="Arial" w:cs="Arial" w:eastAsia="Arial" w:hAnsi="Arial"/>
          <w:sz w:val="18"/>
          <w:szCs w:val="18"/>
          <w:color w:val="auto"/>
        </w:rPr>
        <w:t>Issuance of Class A common stock upon exercise of stock options</w:t>
      </w:r>
    </w:p>
    <w:p>
      <w:pPr>
        <w:spacing w:after="0" w:line="13" w:lineRule="exact"/>
        <w:rPr>
          <w:sz w:val="20"/>
          <w:szCs w:val="20"/>
          <w:color w:val="auto"/>
        </w:rPr>
      </w:pPr>
    </w:p>
    <w:p>
      <w:pPr>
        <w:ind w:left="380" w:right="320" w:hanging="161"/>
        <w:spacing w:after="0" w:line="256" w:lineRule="auto"/>
        <w:rPr>
          <w:sz w:val="20"/>
          <w:szCs w:val="20"/>
          <w:color w:val="auto"/>
        </w:rPr>
      </w:pPr>
      <w:r>
        <w:rPr>
          <w:rFonts w:ascii="Arial" w:cs="Arial" w:eastAsia="Arial" w:hAnsi="Arial"/>
          <w:sz w:val="17"/>
          <w:szCs w:val="17"/>
          <w:color w:val="auto"/>
        </w:rPr>
        <w:t>Issuance of Class A common stock pursuant to settlement of restricted stock units</w:t>
      </w:r>
    </w:p>
    <w:p>
      <w:pPr>
        <w:spacing w:after="0" w:line="1" w:lineRule="exact"/>
        <w:rPr>
          <w:sz w:val="20"/>
          <w:szCs w:val="20"/>
          <w:color w:val="auto"/>
        </w:rPr>
      </w:pPr>
    </w:p>
    <w:p>
      <w:pPr>
        <w:jc w:val="center"/>
        <w:ind w:left="220"/>
        <w:spacing w:after="0" w:line="248" w:lineRule="auto"/>
        <w:rPr>
          <w:sz w:val="20"/>
          <w:szCs w:val="20"/>
          <w:color w:val="auto"/>
        </w:rPr>
      </w:pPr>
      <w:r>
        <w:rPr>
          <w:rFonts w:ascii="Arial" w:cs="Arial" w:eastAsia="Arial" w:hAnsi="Arial"/>
          <w:sz w:val="16"/>
          <w:szCs w:val="16"/>
          <w:color w:val="auto"/>
        </w:rPr>
        <w:t>Class A common stock surrendered for employees’ tax liability upon settlement of restricted stock</w:t>
      </w:r>
    </w:p>
    <w:p>
      <w:pPr>
        <w:ind w:left="380"/>
        <w:spacing w:after="0"/>
        <w:rPr>
          <w:sz w:val="20"/>
          <w:szCs w:val="20"/>
          <w:color w:val="auto"/>
        </w:rPr>
      </w:pPr>
      <w:r>
        <w:rPr>
          <w:rFonts w:ascii="Arial" w:cs="Arial" w:eastAsia="Arial" w:hAnsi="Arial"/>
          <w:sz w:val="18"/>
          <w:szCs w:val="18"/>
          <w:color w:val="auto"/>
        </w:rPr>
        <w:t>units</w:t>
      </w:r>
    </w:p>
    <w:p>
      <w:pPr>
        <w:spacing w:after="0" w:line="7" w:lineRule="exact"/>
        <w:rPr>
          <w:sz w:val="20"/>
          <w:szCs w:val="20"/>
          <w:color w:val="auto"/>
        </w:rPr>
      </w:pPr>
    </w:p>
    <w:p>
      <w:pPr>
        <w:ind w:left="380" w:right="280" w:hanging="161"/>
        <w:spacing w:after="0" w:line="272" w:lineRule="auto"/>
        <w:rPr>
          <w:sz w:val="20"/>
          <w:szCs w:val="20"/>
          <w:color w:val="auto"/>
        </w:rPr>
      </w:pPr>
      <w:r>
        <w:rPr>
          <w:rFonts w:ascii="Arial" w:cs="Arial" w:eastAsia="Arial" w:hAnsi="Arial"/>
          <w:sz w:val="16"/>
          <w:szCs w:val="16"/>
          <w:color w:val="auto"/>
        </w:rPr>
        <w:t>Conversion of Series A redeemable convertible preferred stock to Class A common stock</w:t>
      </w:r>
    </w:p>
    <w:p>
      <w:pPr>
        <w:spacing w:after="0" w:line="1" w:lineRule="exact"/>
        <w:rPr>
          <w:sz w:val="20"/>
          <w:szCs w:val="20"/>
          <w:color w:val="auto"/>
        </w:rPr>
      </w:pPr>
    </w:p>
    <w:p>
      <w:pPr>
        <w:ind w:left="380" w:right="140" w:hanging="161"/>
        <w:spacing w:after="0" w:line="248" w:lineRule="auto"/>
        <w:rPr>
          <w:sz w:val="20"/>
          <w:szCs w:val="20"/>
          <w:color w:val="auto"/>
        </w:rPr>
      </w:pPr>
      <w:r>
        <w:rPr>
          <w:rFonts w:ascii="Arial" w:cs="Arial" w:eastAsia="Arial" w:hAnsi="Arial"/>
          <w:sz w:val="16"/>
          <w:szCs w:val="16"/>
          <w:color w:val="auto"/>
        </w:rPr>
        <w:t>Conversion of Series A redeemable convertible preferred stock to Class A common stock upon</w:t>
      </w:r>
    </w:p>
    <w:p>
      <w:pPr>
        <w:ind w:left="380"/>
        <w:spacing w:after="0"/>
        <w:rPr>
          <w:sz w:val="20"/>
          <w:szCs w:val="20"/>
          <w:color w:val="auto"/>
        </w:rPr>
      </w:pPr>
      <w:r>
        <w:rPr>
          <w:rFonts w:ascii="Arial" w:cs="Arial" w:eastAsia="Arial" w:hAnsi="Arial"/>
          <w:sz w:val="18"/>
          <w:szCs w:val="18"/>
          <w:color w:val="auto"/>
        </w:rPr>
        <w:t>initial public offering</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stock options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early exercised stock options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Class A common stock</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Class F common stock</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40640</wp:posOffset>
            </wp:positionV>
            <wp:extent cx="10204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40640</wp:posOffset>
            </wp:positionV>
            <wp:extent cx="689229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92290" cy="179705"/>
                    </a:xfrm>
                    <a:prstGeom prst="rect">
                      <a:avLst/>
                    </a:prstGeom>
                    <a:noFill/>
                  </pic:spPr>
                </pic:pic>
              </a:graphicData>
            </a:graphic>
          </wp:anchor>
        </w:drawing>
      </w:r>
    </w:p>
    <w:p>
      <w:pPr>
        <w:spacing w:after="0" w:line="66" w:lineRule="exact"/>
        <w:rPr>
          <w:sz w:val="20"/>
          <w:szCs w:val="20"/>
          <w:color w:val="auto"/>
        </w:rPr>
      </w:pPr>
    </w:p>
    <w:p>
      <w:pPr>
        <w:jc w:val="right"/>
        <w:spacing w:after="0"/>
        <w:tabs>
          <w:tab w:leader="none" w:pos="620" w:val="left"/>
          <w:tab w:leader="none" w:pos="160" w:val="left"/>
        </w:tabs>
        <w:rPr>
          <w:sz w:val="20"/>
          <w:szCs w:val="20"/>
          <w:color w:val="auto"/>
        </w:rPr>
      </w:pPr>
      <w:r>
        <w:rPr>
          <w:rFonts w:ascii="Arial" w:cs="Arial" w:eastAsia="Arial" w:hAnsi="Arial"/>
          <w:sz w:val="18"/>
          <w:szCs w:val="18"/>
          <w:b w:val="1"/>
          <w:bCs w:val="1"/>
          <w:color w:val="auto"/>
        </w:rPr>
        <w:t>42,308</w:t>
        <w:tab/>
        <w:t>$</w:t>
      </w:r>
      <w:r>
        <w:rPr>
          <w:sz w:val="20"/>
          <w:szCs w:val="20"/>
          <w:color w:val="auto"/>
        </w:rPr>
        <w:tab/>
      </w:r>
      <w:r>
        <w:rPr>
          <w:rFonts w:ascii="Arial" w:cs="Arial" w:eastAsia="Arial" w:hAnsi="Arial"/>
          <w:sz w:val="18"/>
          <w:szCs w:val="18"/>
          <w:b w:val="1"/>
          <w:bCs w:val="1"/>
          <w:color w:val="auto"/>
        </w:rPr>
        <w:t>—</w:t>
      </w:r>
    </w:p>
    <w:p>
      <w:pPr>
        <w:spacing w:after="0" w:line="216" w:lineRule="exact"/>
        <w:rPr>
          <w:sz w:val="20"/>
          <w:szCs w:val="20"/>
          <w:color w:val="auto"/>
        </w:rPr>
      </w:pPr>
    </w:p>
    <w:p>
      <w:pPr>
        <w:jc w:val="both"/>
        <w:ind w:left="140"/>
        <w:spacing w:after="0"/>
        <w:tabs>
          <w:tab w:leader="none" w:pos="1140" w:val="left"/>
        </w:tabs>
        <w:rPr>
          <w:sz w:val="20"/>
          <w:szCs w:val="20"/>
          <w:color w:val="auto"/>
        </w:rPr>
      </w:pPr>
      <w:r>
        <w:rPr>
          <w:rFonts w:ascii="Arial" w:cs="Arial" w:eastAsia="Arial" w:hAnsi="Arial"/>
          <w:sz w:val="18"/>
          <w:szCs w:val="18"/>
          <w:color w:val="auto"/>
        </w:rPr>
        <w:t>3,879</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31750</wp:posOffset>
            </wp:positionV>
            <wp:extent cx="6892290" cy="265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92290" cy="265430"/>
                    </a:xfrm>
                    <a:prstGeom prst="rect">
                      <a:avLst/>
                    </a:prstGeom>
                    <a:noFill/>
                  </pic:spPr>
                </pic:pic>
              </a:graphicData>
            </a:graphic>
          </wp:anchor>
        </w:drawing>
      </w:r>
    </w:p>
    <w:p>
      <w:pPr>
        <w:spacing w:after="0" w:line="192" w:lineRule="exact"/>
        <w:rPr>
          <w:sz w:val="20"/>
          <w:szCs w:val="20"/>
          <w:color w:val="auto"/>
        </w:rPr>
      </w:pPr>
    </w:p>
    <w:p>
      <w:pPr>
        <w:jc w:val="both"/>
        <w:ind w:left="140"/>
        <w:spacing w:after="0"/>
        <w:tabs>
          <w:tab w:leader="none" w:pos="1140" w:val="left"/>
        </w:tabs>
        <w:rPr>
          <w:sz w:val="20"/>
          <w:szCs w:val="20"/>
          <w:color w:val="auto"/>
        </w:rPr>
      </w:pPr>
      <w:r>
        <w:rPr>
          <w:rFonts w:ascii="Arial" w:cs="Arial" w:eastAsia="Arial" w:hAnsi="Arial"/>
          <w:sz w:val="18"/>
          <w:szCs w:val="18"/>
          <w:color w:val="auto"/>
        </w:rPr>
        <w:t>2,701</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jc w:val="both"/>
        <w:ind w:left="360"/>
        <w:spacing w:after="0"/>
        <w:tabs>
          <w:tab w:leader="none" w:pos="11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31750</wp:posOffset>
            </wp:positionV>
            <wp:extent cx="6892290" cy="3771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92290" cy="377190"/>
                    </a:xfrm>
                    <a:prstGeom prst="rect">
                      <a:avLst/>
                    </a:prstGeom>
                    <a:noFill/>
                  </pic:spPr>
                </pic:pic>
              </a:graphicData>
            </a:graphic>
          </wp:anchor>
        </w:drawing>
      </w:r>
    </w:p>
    <w:p>
      <w:pPr>
        <w:spacing w:after="0" w:line="367" w:lineRule="exact"/>
        <w:rPr>
          <w:sz w:val="20"/>
          <w:szCs w:val="20"/>
          <w:color w:val="auto"/>
        </w:rPr>
      </w:pPr>
    </w:p>
    <w:p>
      <w:pPr>
        <w:ind w:left="1160" w:hanging="87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203200</wp:posOffset>
            </wp:positionV>
            <wp:extent cx="689229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92290" cy="171450"/>
                    </a:xfrm>
                    <a:prstGeom prst="rect">
                      <a:avLst/>
                    </a:prstGeom>
                    <a:noFill/>
                  </pic:spPr>
                </pic:pic>
              </a:graphicData>
            </a:graphic>
          </wp:anchor>
        </w:drawing>
      </w:r>
    </w:p>
    <w:p>
      <w:pPr>
        <w:spacing w:after="0" w:line="313" w:lineRule="exact"/>
        <w:rPr>
          <w:sz w:val="20"/>
          <w:szCs w:val="20"/>
          <w:color w:val="auto"/>
        </w:rPr>
      </w:pPr>
    </w:p>
    <w:p>
      <w:pPr>
        <w:ind w:left="1160" w:hanging="87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203200</wp:posOffset>
            </wp:positionV>
            <wp:extent cx="689229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92290" cy="17145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546100</wp:posOffset>
            </wp:positionV>
            <wp:extent cx="689229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9229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620" w:val="left"/>
          <w:tab w:leader="none" w:pos="160" w:val="left"/>
        </w:tabs>
        <w:rPr>
          <w:sz w:val="20"/>
          <w:szCs w:val="20"/>
          <w:color w:val="auto"/>
        </w:rPr>
      </w:pPr>
      <w:r>
        <w:rPr>
          <w:rFonts w:ascii="Arial" w:cs="Arial" w:eastAsia="Arial" w:hAnsi="Arial"/>
          <w:sz w:val="18"/>
          <w:szCs w:val="18"/>
          <w:b w:val="1"/>
          <w:bCs w:val="1"/>
          <w:color w:val="auto"/>
        </w:rPr>
        <w:t>48,853</w:t>
        <w:tab/>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34290</wp:posOffset>
            </wp:positionV>
            <wp:extent cx="6892290"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92290" cy="265430"/>
                    </a:xfrm>
                    <a:prstGeom prst="rect">
                      <a:avLst/>
                    </a:prstGeom>
                    <a:noFill/>
                  </pic:spPr>
                </pic:pic>
              </a:graphicData>
            </a:graphic>
          </wp:anchor>
        </w:drawing>
      </w:r>
    </w:p>
    <w:p>
      <w:pPr>
        <w:spacing w:after="0" w:line="196" w:lineRule="exact"/>
        <w:rPr>
          <w:sz w:val="20"/>
          <w:szCs w:val="20"/>
          <w:color w:val="auto"/>
        </w:rPr>
      </w:pPr>
    </w:p>
    <w:p>
      <w:pPr>
        <w:jc w:val="both"/>
        <w:ind w:left="140"/>
        <w:spacing w:after="0"/>
        <w:tabs>
          <w:tab w:leader="none" w:pos="1140" w:val="left"/>
        </w:tabs>
        <w:rPr>
          <w:sz w:val="20"/>
          <w:szCs w:val="20"/>
          <w:color w:val="auto"/>
        </w:rPr>
      </w:pPr>
      <w:r>
        <w:rPr>
          <w:rFonts w:ascii="Arial" w:cs="Arial" w:eastAsia="Arial" w:hAnsi="Arial"/>
          <w:sz w:val="18"/>
          <w:szCs w:val="18"/>
          <w:color w:val="auto"/>
        </w:rPr>
        <w:t>8,338</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jc w:val="both"/>
        <w:ind w:left="140"/>
        <w:spacing w:after="0"/>
        <w:tabs>
          <w:tab w:leader="none" w:pos="1140" w:val="left"/>
        </w:tabs>
        <w:rPr>
          <w:sz w:val="20"/>
          <w:szCs w:val="20"/>
          <w:color w:val="auto"/>
        </w:rPr>
      </w:pPr>
      <w:r>
        <w:rPr>
          <w:rFonts w:ascii="Arial" w:cs="Arial" w:eastAsia="Arial" w:hAnsi="Arial"/>
          <w:sz w:val="18"/>
          <w:szCs w:val="18"/>
          <w:color w:val="auto"/>
        </w:rPr>
        <w:t>2,322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31750</wp:posOffset>
            </wp:positionV>
            <wp:extent cx="6892290" cy="265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92290" cy="265430"/>
                    </a:xfrm>
                    <a:prstGeom prst="rect">
                      <a:avLst/>
                    </a:prstGeom>
                    <a:noFill/>
                  </pic:spPr>
                </pic:pic>
              </a:graphicData>
            </a:graphic>
          </wp:anchor>
        </w:drawing>
      </w:r>
    </w:p>
    <w:p>
      <w:pPr>
        <w:spacing w:after="0" w:line="192" w:lineRule="exact"/>
        <w:rPr>
          <w:sz w:val="20"/>
          <w:szCs w:val="20"/>
          <w:color w:val="auto"/>
        </w:rPr>
      </w:pPr>
    </w:p>
    <w:p>
      <w:pPr>
        <w:ind w:left="1160" w:hanging="894"/>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387" w:lineRule="exact"/>
        <w:rPr>
          <w:rFonts w:ascii="Arial" w:cs="Arial" w:eastAsia="Arial" w:hAnsi="Arial"/>
          <w:sz w:val="18"/>
          <w:szCs w:val="18"/>
          <w:color w:val="auto"/>
        </w:rPr>
      </w:pPr>
    </w:p>
    <w:p>
      <w:pPr>
        <w:ind w:left="1160" w:hanging="879"/>
        <w:spacing w:after="0"/>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160" w:hanging="804"/>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-233045</wp:posOffset>
            </wp:positionV>
            <wp:extent cx="6892290" cy="265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92290" cy="265430"/>
                    </a:xfrm>
                    <a:prstGeom prst="rect">
                      <a:avLst/>
                    </a:prstGeom>
                    <a:noFill/>
                  </pic:spPr>
                </pic:pic>
              </a:graphicData>
            </a:graphic>
          </wp:anchor>
        </w:drawing>
      </w:r>
    </w:p>
    <w:p>
      <w:pPr>
        <w:spacing w:after="0" w:line="367" w:lineRule="exact"/>
        <w:rPr>
          <w:sz w:val="20"/>
          <w:szCs w:val="20"/>
          <w:color w:val="auto"/>
        </w:rPr>
      </w:pPr>
    </w:p>
    <w:p>
      <w:pPr>
        <w:jc w:val="both"/>
        <w:ind w:left="140"/>
        <w:spacing w:after="0"/>
        <w:tabs>
          <w:tab w:leader="none" w:pos="1140" w:val="left"/>
        </w:tabs>
        <w:rPr>
          <w:sz w:val="20"/>
          <w:szCs w:val="20"/>
          <w:color w:val="auto"/>
        </w:rPr>
      </w:pPr>
      <w:r>
        <w:rPr>
          <w:rFonts w:ascii="Arial" w:cs="Arial" w:eastAsia="Arial" w:hAnsi="Arial"/>
          <w:sz w:val="18"/>
          <w:szCs w:val="18"/>
          <w:color w:val="auto"/>
        </w:rPr>
        <w:t>7,527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31750</wp:posOffset>
            </wp:positionV>
            <wp:extent cx="689229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92290" cy="171450"/>
                    </a:xfrm>
                    <a:prstGeom prst="rect">
                      <a:avLst/>
                    </a:prstGeom>
                    <a:noFill/>
                  </pic:spPr>
                </pic:pic>
              </a:graphicData>
            </a:graphic>
          </wp:anchor>
        </w:drawing>
      </w:r>
    </w:p>
    <w:p>
      <w:pPr>
        <w:spacing w:after="0" w:line="313" w:lineRule="exact"/>
        <w:rPr>
          <w:sz w:val="20"/>
          <w:szCs w:val="20"/>
          <w:color w:val="auto"/>
        </w:rPr>
      </w:pPr>
    </w:p>
    <w:p>
      <w:pPr>
        <w:ind w:left="1160" w:hanging="78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31750</wp:posOffset>
            </wp:positionV>
            <wp:extent cx="689229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92290" cy="171450"/>
                    </a:xfrm>
                    <a:prstGeom prst="rect">
                      <a:avLst/>
                    </a:prstGeom>
                    <a:noFill/>
                  </pic:spPr>
                </pic:pic>
              </a:graphicData>
            </a:graphic>
          </wp:anchor>
        </w:drawing>
      </w:r>
    </w:p>
    <w:p>
      <w:pPr>
        <w:spacing w:after="0" w:line="43" w:lineRule="exact"/>
        <w:rPr>
          <w:sz w:val="20"/>
          <w:szCs w:val="20"/>
          <w:color w:val="auto"/>
        </w:rPr>
      </w:pPr>
    </w:p>
    <w:p>
      <w:pPr>
        <w:ind w:left="1160" w:hanging="87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ind w:left="1160" w:hanging="96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31750</wp:posOffset>
            </wp:positionV>
            <wp:extent cx="689229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92290" cy="17145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374650</wp:posOffset>
            </wp:positionV>
            <wp:extent cx="6892290"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9229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540" w:type="dxa"/>
            <w:vAlign w:val="bottom"/>
            <w:gridSpan w:val="4"/>
            <w:vMerge w:val="restart"/>
          </w:tcPr>
          <w:p>
            <w:pPr>
              <w:jc w:val="right"/>
              <w:ind w:right="219"/>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0" w:type="dxa"/>
            <w:vAlign w:val="bottom"/>
          </w:tcPr>
          <w:p>
            <w:pPr>
              <w:spacing w:after="0"/>
              <w:rPr>
                <w:sz w:val="1"/>
                <w:szCs w:val="1"/>
                <w:color w:val="auto"/>
              </w:rPr>
            </w:pPr>
          </w:p>
        </w:tc>
      </w:tr>
      <w:tr>
        <w:trPr>
          <w:trHeight w:val="92"/>
        </w:trPr>
        <w:tc>
          <w:tcPr>
            <w:tcW w:w="15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ind w:right="88"/>
              <w:spacing w:after="0" w:line="125" w:lineRule="exact"/>
              <w:rPr>
                <w:sz w:val="20"/>
                <w:szCs w:val="20"/>
                <w:color w:val="auto"/>
              </w:rPr>
            </w:pPr>
            <w:r>
              <w:rPr>
                <w:rFonts w:ascii="Arial" w:cs="Arial" w:eastAsia="Arial" w:hAnsi="Arial"/>
                <w:sz w:val="14"/>
                <w:szCs w:val="14"/>
                <w:b w:val="1"/>
                <w:bCs w:val="1"/>
                <w:color w:val="auto"/>
              </w:rPr>
              <w:t>Paid-in</w:t>
            </w:r>
          </w:p>
        </w:tc>
        <w:tc>
          <w:tcPr>
            <w:tcW w:w="0" w:type="dxa"/>
            <w:vAlign w:val="bottom"/>
          </w:tcPr>
          <w:p>
            <w:pPr>
              <w:spacing w:after="0"/>
              <w:rPr>
                <w:sz w:val="1"/>
                <w:szCs w:val="1"/>
                <w:color w:val="auto"/>
              </w:rPr>
            </w:pPr>
          </w:p>
        </w:tc>
      </w:tr>
      <w:tr>
        <w:trPr>
          <w:trHeight w:val="39"/>
        </w:trPr>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6"/>
        </w:trPr>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jc w:val="right"/>
              <w:ind w:right="2"/>
              <w:spacing w:after="0"/>
              <w:rPr>
                <w:sz w:val="20"/>
                <w:szCs w:val="20"/>
                <w:color w:val="auto"/>
              </w:rPr>
            </w:pPr>
            <w:r>
              <w:rPr>
                <w:rFonts w:ascii="Arial" w:cs="Arial" w:eastAsia="Arial" w:hAnsi="Arial"/>
                <w:sz w:val="18"/>
                <w:szCs w:val="18"/>
                <w:b w:val="1"/>
                <w:bCs w:val="1"/>
                <w:color w:val="auto"/>
              </w:rPr>
              <w:t>780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82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   29.8</w:t>
            </w:r>
          </w:p>
        </w:tc>
        <w:tc>
          <w:tcPr>
            <w:tcW w:w="0" w:type="dxa"/>
            <w:vAlign w:val="bottom"/>
          </w:tcPr>
          <w:p>
            <w:pPr>
              <w:spacing w:after="0"/>
              <w:rPr>
                <w:sz w:val="1"/>
                <w:szCs w:val="1"/>
                <w:color w:val="auto"/>
              </w:rPr>
            </w:pPr>
          </w:p>
        </w:tc>
      </w:tr>
      <w:tr>
        <w:trPr>
          <w:trHeight w:val="418"/>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419"/>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(0.4)</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(0.4)</w:t>
      </w:r>
    </w:p>
    <w:p>
      <w:pPr>
        <w:spacing w:after="0" w:line="333" w:lineRule="exact"/>
        <w:rPr>
          <w:sz w:val="20"/>
          <w:szCs w:val="20"/>
          <w:color w:val="auto"/>
        </w:rPr>
      </w:pPr>
    </w:p>
    <w:p>
      <w:pPr>
        <w:ind w:left="1240" w:hanging="936"/>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1.6</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14916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right"/>
        <w:ind w:left="1280" w:right="80" w:hanging="1409"/>
        <w:spacing w:after="0" w:line="503" w:lineRule="auto"/>
        <w:rPr>
          <w:sz w:val="20"/>
          <w:szCs w:val="20"/>
          <w:color w:val="auto"/>
        </w:rPr>
      </w:pPr>
      <w:r>
        <w:rPr>
          <w:rFonts w:ascii="Arial" w:cs="Arial" w:eastAsia="Arial" w:hAnsi="Arial"/>
          <w:sz w:val="18"/>
          <w:szCs w:val="18"/>
          <w:b w:val="1"/>
          <w:bCs w:val="1"/>
          <w:color w:val="auto"/>
        </w:rPr>
        <w:t xml:space="preserve">—  $—  $   99.8 </w:t>
      </w:r>
      <w:r>
        <w:rPr>
          <w:rFonts w:ascii="Arial" w:cs="Arial" w:eastAsia="Arial" w:hAnsi="Arial"/>
          <w:sz w:val="18"/>
          <w:szCs w:val="18"/>
          <w:color w:val="auto"/>
        </w:rPr>
        <w:t>134.8</w:t>
      </w:r>
    </w:p>
    <w:p>
      <w:pPr>
        <w:ind w:left="1980"/>
        <w:spacing w:after="0"/>
        <w:rPr>
          <w:sz w:val="20"/>
          <w:szCs w:val="20"/>
          <w:color w:val="auto"/>
        </w:rPr>
      </w:pPr>
      <w:r>
        <w:rPr>
          <w:rFonts w:ascii="Arial" w:cs="Arial" w:eastAsia="Arial" w:hAnsi="Arial"/>
          <w:sz w:val="18"/>
          <w:szCs w:val="18"/>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(1.9)</w:t>
      </w:r>
    </w:p>
    <w:p>
      <w:pPr>
        <w:spacing w:after="0" w:line="21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0.5</w:t>
      </w:r>
    </w:p>
    <w:p>
      <w:pPr>
        <w:spacing w:after="0" w:line="3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14916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9"/>
        </w:trPr>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4"/>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82.7</w:t>
            </w: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1"/>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594"/>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8516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4">
            <w:col w:w="3900" w:space="320"/>
            <w:col w:w="1340" w:space="140"/>
            <w:col w:w="2360" w:space="80"/>
            <w:col w:w="2920"/>
          </w:cols>
          <w:pgMar w:left="320" w:top="121" w:right="519" w:bottom="1440" w:gutter="0" w:footer="0" w:header="0"/>
          <w:type w:val="continuous"/>
        </w:sectPr>
      </w:pPr>
    </w:p>
    <w:p>
      <w:pPr>
        <w:spacing w:after="0" w:line="5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Balance as of December 31, 2021</w:t>
      </w:r>
    </w:p>
    <w:p>
      <w:pPr>
        <w:spacing w:after="0" w:line="20" w:lineRule="exact"/>
        <w:rPr>
          <w:sz w:val="20"/>
          <w:szCs w:val="20"/>
          <w:color w:val="auto"/>
        </w:rPr>
      </w:pPr>
      <w:r>
        <w:rPr>
          <w:sz w:val="20"/>
          <w:szCs w:val="20"/>
          <w:color w:val="auto"/>
        </w:rPr>
        <w:br w:type="column"/>
      </w:r>
    </w:p>
    <w:p>
      <w:pPr>
        <w:spacing w:after="0"/>
        <w:tabs>
          <w:tab w:leader="none" w:pos="640" w:val="left"/>
          <w:tab w:leader="none" w:pos="1100" w:val="left"/>
          <w:tab w:leader="none" w:pos="1440" w:val="left"/>
          <w:tab w:leader="none" w:pos="1880" w:val="left"/>
          <w:tab w:leader="none" w:pos="2240" w:val="left"/>
          <w:tab w:leader="none" w:pos="2700" w:val="left"/>
          <w:tab w:leader="none" w:pos="3040" w:val="left"/>
          <w:tab w:leader="none" w:pos="3300" w:val="left"/>
        </w:tabs>
        <w:rPr>
          <w:sz w:val="20"/>
          <w:szCs w:val="20"/>
          <w:color w:val="auto"/>
        </w:rPr>
      </w:pPr>
      <w:r>
        <w:rPr>
          <w:rFonts w:ascii="Arial" w:cs="Arial" w:eastAsia="Arial" w:hAnsi="Arial"/>
          <w:sz w:val="18"/>
          <w:szCs w:val="18"/>
          <w:b w:val="1"/>
          <w:bCs w:val="1"/>
          <w:color w:val="auto"/>
        </w:rPr>
        <w:t>66,722</w:t>
        <w:tab/>
        <w:t>$</w:t>
      </w:r>
      <w:r>
        <w:rPr>
          <w:sz w:val="20"/>
          <w:szCs w:val="20"/>
          <w:color w:val="auto"/>
        </w:rPr>
        <w:tab/>
      </w: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5"/>
          <w:szCs w:val="15"/>
          <w:b w:val="1"/>
          <w:bCs w:val="1"/>
          <w:color w:val="auto"/>
        </w:rPr>
        <w:t>331.6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34290</wp:posOffset>
            </wp:positionV>
            <wp:extent cx="256286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540" w:space="720"/>
            <w:col w:w="3720" w:space="160"/>
            <w:col w:w="2920"/>
          </w:cols>
          <w:pgMar w:left="320" w:top="121" w:right="519" w:bottom="1440" w:gutter="0" w:footer="0" w:header="0"/>
          <w:type w:val="continuous"/>
        </w:sectPr>
      </w:pP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 except share amounts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December 31, 2021</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Vesting of early exercised stock options</w:t>
      </w:r>
    </w:p>
    <w:p>
      <w:pPr>
        <w:spacing w:after="0" w:line="23" w:lineRule="exact"/>
        <w:rPr>
          <w:sz w:val="20"/>
          <w:szCs w:val="20"/>
          <w:color w:val="auto"/>
        </w:rPr>
      </w:pPr>
    </w:p>
    <w:p>
      <w:pPr>
        <w:ind w:left="180" w:hanging="161"/>
        <w:spacing w:after="0" w:line="234" w:lineRule="auto"/>
        <w:rPr>
          <w:sz w:val="20"/>
          <w:szCs w:val="20"/>
          <w:color w:val="auto"/>
        </w:rPr>
      </w:pPr>
      <w:r>
        <w:rPr>
          <w:rFonts w:ascii="Arial" w:cs="Arial" w:eastAsia="Arial" w:hAnsi="Arial"/>
          <w:sz w:val="18"/>
          <w:szCs w:val="18"/>
          <w:color w:val="auto"/>
        </w:rPr>
        <w:t>Issuance of Class A common stock pursuant to settlement of restricted stock units</w:t>
      </w:r>
    </w:p>
    <w:p>
      <w:pPr>
        <w:spacing w:after="0" w:line="14" w:lineRule="exact"/>
        <w:rPr>
          <w:sz w:val="20"/>
          <w:szCs w:val="20"/>
          <w:color w:val="auto"/>
        </w:rPr>
      </w:pPr>
    </w:p>
    <w:p>
      <w:pPr>
        <w:ind w:left="180" w:right="60" w:hanging="161"/>
        <w:spacing w:after="0" w:line="235" w:lineRule="auto"/>
        <w:rPr>
          <w:sz w:val="20"/>
          <w:szCs w:val="20"/>
          <w:color w:val="auto"/>
        </w:rPr>
      </w:pPr>
      <w:r>
        <w:rPr>
          <w:rFonts w:ascii="Arial" w:cs="Arial" w:eastAsia="Arial" w:hAnsi="Arial"/>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Issuance of Class A common stock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for business combination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6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6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92"/>
        </w:trPr>
        <w:tc>
          <w:tcPr>
            <w:tcW w:w="16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jc w:val="right"/>
              <w:ind w:right="68"/>
              <w:spacing w:after="0" w:line="125" w:lineRule="exact"/>
              <w:rPr>
                <w:sz w:val="20"/>
                <w:szCs w:val="20"/>
                <w:color w:val="auto"/>
              </w:rPr>
            </w:pPr>
            <w:r>
              <w:rPr>
                <w:rFonts w:ascii="Arial" w:cs="Arial" w:eastAsia="Arial" w:hAnsi="Arial"/>
                <w:sz w:val="14"/>
                <w:szCs w:val="14"/>
                <w:b w:val="1"/>
                <w:bCs w:val="1"/>
                <w:color w:val="auto"/>
              </w:rPr>
              <w:t>Paid-in</w:t>
            </w:r>
          </w:p>
        </w:tc>
        <w:tc>
          <w:tcPr>
            <w:tcW w:w="0" w:type="dxa"/>
            <w:vAlign w:val="bottom"/>
          </w:tcPr>
          <w:p>
            <w:pPr>
              <w:spacing w:after="0"/>
              <w:rPr>
                <w:sz w:val="1"/>
                <w:szCs w:val="1"/>
                <w:color w:val="auto"/>
              </w:rPr>
            </w:pPr>
          </w:p>
        </w:tc>
      </w:tr>
      <w:tr>
        <w:trPr>
          <w:trHeight w:val="39"/>
        </w:trPr>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66,722</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ind w:left="3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  331.6</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391"/>
        </w:trPr>
        <w:tc>
          <w:tcPr>
            <w:tcW w:w="820" w:type="dxa"/>
            <w:vAlign w:val="bottom"/>
          </w:tcPr>
          <w:p>
            <w:pPr>
              <w:jc w:val="right"/>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4,935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9"/>
        </w:trPr>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(74.5)</w:t>
            </w:r>
          </w:p>
        </w:tc>
        <w:tc>
          <w:tcPr>
            <w:tcW w:w="8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257.6</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6"/>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3">
            <w:col w:w="5520" w:space="300"/>
            <w:col w:w="2420" w:space="80"/>
            <w:col w:w="2920"/>
          </w:cols>
          <w:pgMar w:left="320" w:top="121" w:right="33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December 31, 2022</w:t>
      </w:r>
    </w:p>
    <w:p>
      <w:pPr>
        <w:spacing w:after="0" w:line="20" w:lineRule="exact"/>
        <w:rPr>
          <w:sz w:val="20"/>
          <w:szCs w:val="20"/>
          <w:color w:val="auto"/>
        </w:rPr>
      </w:pPr>
      <w:r>
        <w:rPr>
          <w:sz w:val="20"/>
          <w:szCs w:val="20"/>
          <w:color w:val="auto"/>
        </w:rPr>
        <w:br w:type="column"/>
      </w:r>
    </w:p>
    <w:p>
      <w:pPr>
        <w:spacing w:after="0"/>
        <w:tabs>
          <w:tab w:leader="none" w:pos="640" w:val="left"/>
          <w:tab w:leader="none" w:pos="1080" w:val="left"/>
          <w:tab w:leader="none" w:pos="1440" w:val="left"/>
          <w:tab w:leader="none" w:pos="2240" w:val="left"/>
          <w:tab w:leader="none" w:pos="2860" w:val="left"/>
          <w:tab w:leader="none" w:pos="3700" w:val="left"/>
          <w:tab w:leader="none" w:pos="4660" w:val="left"/>
        </w:tabs>
        <w:rPr>
          <w:sz w:val="20"/>
          <w:szCs w:val="20"/>
          <w:color w:val="auto"/>
        </w:rPr>
      </w:pPr>
      <w:r>
        <w:rPr>
          <w:rFonts w:ascii="Arial" w:cs="Arial" w:eastAsia="Arial" w:hAnsi="Arial"/>
          <w:sz w:val="18"/>
          <w:szCs w:val="18"/>
          <w:b w:val="1"/>
          <w:bCs w:val="1"/>
          <w:color w:val="auto"/>
        </w:rPr>
        <w:t>75,120</w:t>
        <w:tab/>
        <w:t>$</w:t>
      </w:r>
      <w:r>
        <w:rPr>
          <w:sz w:val="20"/>
          <w:szCs w:val="20"/>
          <w:color w:val="auto"/>
        </w:rPr>
        <w:tab/>
      </w:r>
      <w:r>
        <w:rPr>
          <w:rFonts w:ascii="Arial" w:cs="Arial" w:eastAsia="Arial" w:hAnsi="Arial"/>
          <w:sz w:val="18"/>
          <w:szCs w:val="18"/>
          <w:b w:val="1"/>
          <w:bCs w:val="1"/>
          <w:color w:val="auto"/>
        </w:rPr>
        <w:t>—</w:t>
        <w:tab/>
        <w:t>$  427.3</w:t>
        <w:tab/>
        <w:t>$</w:t>
      </w:r>
      <w:r>
        <w:rPr>
          <w:sz w:val="20"/>
          <w:szCs w:val="20"/>
          <w:color w:val="auto"/>
        </w:rPr>
        <w:tab/>
      </w:r>
      <w:r>
        <w:rPr>
          <w:rFonts w:ascii="Arial" w:cs="Arial" w:eastAsia="Arial" w:hAnsi="Arial"/>
          <w:sz w:val="18"/>
          <w:szCs w:val="18"/>
          <w:b w:val="1"/>
          <w:bCs w:val="1"/>
          <w:color w:val="auto"/>
        </w:rPr>
        <w:t>(0.9)  $</w:t>
        <w:tab/>
        <w:t>(84.7)  $</w:t>
      </w:r>
      <w:r>
        <w:rPr>
          <w:sz w:val="20"/>
          <w:szCs w:val="20"/>
          <w:color w:val="auto"/>
        </w:rPr>
        <w:tab/>
      </w:r>
      <w:r>
        <w:rPr>
          <w:rFonts w:ascii="Arial" w:cs="Arial" w:eastAsia="Arial" w:hAnsi="Arial"/>
          <w:sz w:val="15"/>
          <w:szCs w:val="15"/>
          <w:b w:val="1"/>
          <w:bCs w:val="1"/>
          <w:color w:val="auto"/>
        </w:rPr>
        <w:t>341.7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60325</wp:posOffset>
            </wp:positionV>
            <wp:extent cx="34461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5360" w:space="720"/>
            <w:col w:w="5160"/>
          </w:cols>
          <w:pgMar w:left="320" w:top="121" w:right="339" w:bottom="1440" w:gutter="0" w:footer="0" w:header="0"/>
          <w:type w:val="continuous"/>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4"/>
                <w:szCs w:val="14"/>
                <w:b w:val="1"/>
                <w:bCs w:val="1"/>
                <w:color w:val="auto"/>
              </w:rPr>
              <w:t>2020</w:t>
            </w:r>
          </w:p>
        </w:tc>
      </w:tr>
      <w:tr>
        <w:trPr>
          <w:trHeight w:val="39"/>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Non-cash lease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Business combinations, net of cash acquired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3"/>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of contingent consideration</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Proceeds from line of credit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Payments on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Principal repayment of subordinated promissory notes</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Repurchase of Series A redeemable convertible 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Class A common stock under Employee Stock Purchase Plan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Tax payments related to net-share settlements on restricted stock units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Proceeds from issuance of common stock upon initial public offering, net of underwriting discounts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commissions</w:t>
            </w: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Payment of offering costs related to initial public offering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Class A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Repurchase of Class A common stock</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Repurchase of Class 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Repurchase of stock options</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6"/>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64"/>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1"/>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119"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119"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39"/>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w w:val="95"/>
              </w:rPr>
              <w:t>Capitalized software development costs recorded in accounts payable and accrued expenses and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Purchase of property and equipment recorded in accounts payable and accrued expenses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Offering costs related to initial public offering not yet paid</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Income tax payments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Disclosure Related to Operating Leases: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Lease liabilities arising from obtaining right-of-use assets</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7440" w:type="dxa"/>
            <w:vAlign w:val="bottom"/>
            <w:gridSpan w:val="2"/>
          </w:tcPr>
          <w:p>
            <w:pPr>
              <w:ind w:left="3960"/>
              <w:spacing w:after="0"/>
              <w:rPr>
                <w:sz w:val="20"/>
                <w:szCs w:val="20"/>
                <w:color w:val="auto"/>
              </w:rPr>
            </w:pPr>
            <w:r>
              <w:rPr>
                <w:rFonts w:ascii="Arial" w:cs="Arial" w:eastAsia="Arial" w:hAnsi="Arial"/>
                <w:sz w:val="18"/>
                <w:szCs w:val="18"/>
                <w:color w:val="auto"/>
                <w:w w:val="91"/>
              </w:rPr>
              <w:t>See notes to consolidated financial statements.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its Significant Accounting Policies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NerdWallet, Inc., a Delaware corporation, was formed on December 29, 2011. NerdWallet, Inc. and its subsidiaries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provide consumer-driven advice about personal finance through its platform by connecting individuals and small and mid-sized businesses (SMBs) with providers of financial products.</w:t>
      </w:r>
    </w:p>
    <w:p>
      <w:pPr>
        <w:spacing w:after="0" w:line="12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Basis of Consolidation and Presentation—</w:t>
      </w:r>
      <w:r>
        <w:rPr>
          <w:rFonts w:ascii="Arial" w:cs="Arial" w:eastAsia="Arial" w:hAnsi="Arial"/>
          <w:sz w:val="16"/>
          <w:szCs w:val="16"/>
          <w:color w:val="auto"/>
        </w:rPr>
        <w:t>The accompanying consolidated financial statements have been prepared in accordance with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generally accepted in the United States of America (GAAP). The consolidated financial statements include the accounts of the Company and its wholly-owned subsidiaries. All intercompany transactions and balances have been eliminated in consolidation. Certain comparative amounts for the prior fiscal year have been reclassified to conform to the financial statement presentation as of and for the year ended December 31, 2022.</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Segments—</w:t>
      </w:r>
      <w:r>
        <w:rPr>
          <w:rFonts w:ascii="Arial" w:cs="Arial" w:eastAsia="Arial" w:hAnsi="Arial"/>
          <w:sz w:val="18"/>
          <w:szCs w:val="18"/>
          <w:color w:val="auto"/>
        </w:rPr>
        <w:t>Operating segments are defined as components of an enterprise for which discrete financial information is available that is reviewed</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by the Chief Operating Decision Maker (CODM) in deciding how to allocate resources and in assessing performance. The Company’s CODM is its Chief Executive Officer, who reviews financial information presented on a consolidated basis for purposes of allocating resources and evaluating financial performance. As a result, the Company has concluded that it has one operating segment. Significantly all of the Company’s revenue in 2022, 2021 and 2020 was from customers located in the United States. Significantly all of the Company’s long-lived assets as of December 31, 2022 and 2021 were located in the United States.</w:t>
      </w:r>
    </w:p>
    <w:p>
      <w:pPr>
        <w:spacing w:after="0" w:line="13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consolidated financial statements and accompanying notes. Significant estimates and assumptions made by management include determination of stock-based compensation, valuation of embedded derivative, capitalization of software development costs, valuation of contingent consideration, valuation of goodwill and intangible assets, determination of associated useful lives of intangible assets and valuation of deferred tax assets. Management bases its estimates on historical experience and also on assumptions that it believes are reasonable.</w:t>
      </w:r>
    </w:p>
    <w:p>
      <w:pPr>
        <w:spacing w:after="0" w:line="100"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Concentrations of Credit Risk—</w:t>
      </w:r>
      <w:r>
        <w:rPr>
          <w:rFonts w:ascii="Arial" w:cs="Arial" w:eastAsia="Arial" w:hAnsi="Arial"/>
          <w:sz w:val="17"/>
          <w:szCs w:val="17"/>
          <w:color w:val="auto"/>
        </w:rPr>
        <w:t>Financial instruments that potentially subject the Company to concentrations of credit risk consist primarily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cash equivalents and accounts receivable. The Company deposits cash with high credit quality financial institutions. All noninterest-bearing accounts are fully insured regardless of the balance of the account. This coverage is available at all FDIC member institutions. The Company uses Silicon Valley Bank, which is an FDIC insured institution. Based on these facts, collectability of bank balances appears to be adequately assured.</w:t>
      </w:r>
    </w:p>
    <w:p>
      <w:pPr>
        <w:spacing w:after="0" w:line="1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had two customers which accounted for 15% and 12% of total accounts receivable as of December 31, 2022, and two customers which each accounted for 11% of total accounts receivable as of December 31, 2021. The Company had one customer which accounted for 12% of revenue in 2022, and no customer which accounted for more than 10% of revenue in 2021 or 2020. Under Financial Accounting Standards Board (FASB)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the Company’s customers are considered to be financial services providers (e.g., banks, credit card issuers, lenders, investment brokers and other entities) that seek to reach and receive leads, matches and referrals to the Company’s substantial audience of consumers (including SMBs) in exchange for agreed-upon fees.</w:t>
      </w:r>
    </w:p>
    <w:p>
      <w:pPr>
        <w:spacing w:after="0" w:line="12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Foreign Currency Transactions—</w:t>
      </w:r>
      <w:r>
        <w:rPr>
          <w:rFonts w:ascii="Arial" w:cs="Arial" w:eastAsia="Arial" w:hAnsi="Arial"/>
          <w:sz w:val="17"/>
          <w:szCs w:val="17"/>
          <w:color w:val="auto"/>
        </w:rPr>
        <w:t>The functional currency of the Company’s foreign subsidiaries is the respective local currency. All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accounts of the Company’s foreign subsidiaries are translated into U.S. dollars using the exchange rate on the balance sheet date. Equity transactions are translated using historical exchange rates. Revenues and expenses are translated at average rates prevailing throughout the period. Translation adjustments are included as a separate component on the consolidated statement of comprehensive income (loss), and in “Effect of exchange rate changes on cash and cash equivalents” on the consolidated statement of cash flows. Transaction gains and losses including intercompany transactions denominated in a currency other than the functional currency of the entity involved are included in “Other gains (losses), net” on our consolidated statement of operations and were immaterial for all periods presented.</w:t>
      </w:r>
    </w:p>
    <w:p>
      <w:pPr>
        <w:spacing w:after="0" w:line="11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on demand deposits and money market funds with banks that have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maturities at the date of purchase of less than 90 days.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Fair Value Measurements—</w:t>
      </w:r>
      <w:r>
        <w:rPr>
          <w:rFonts w:ascii="Arial" w:cs="Arial" w:eastAsia="Arial" w:hAnsi="Arial"/>
          <w:sz w:val="17"/>
          <w:szCs w:val="17"/>
          <w:color w:val="auto"/>
        </w:rPr>
        <w:t>The Company determines fair value based upon the exit price that would be received to sell an asset or paid to transfer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that are accessible at the measurement date for identical assets or liabilities.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hierarchy gives the highest priority to Level 1 inputs.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included within Level 1, including quoted prices for similar assets or liabilities in active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quoted prices for identical or similar assets or liabilities in markets that are not active; and inputs other than quoted prices that are observable or are derived principally from, or corroborated by, observable market data by correlation or other means.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—Unobservable inputs are used when little or no market data is available. The fair value hierarchy gives the lowest priority to Level 3 inputs.</w:t>
      </w:r>
    </w:p>
    <w:p>
      <w:pPr>
        <w:spacing w:after="0" w:line="1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Trade Accounts Receivable</w:t>
      </w:r>
      <w:r>
        <w:rPr>
          <w:rFonts w:ascii="Arial" w:cs="Arial" w:eastAsia="Arial" w:hAnsi="Arial"/>
          <w:sz w:val="18"/>
          <w:szCs w:val="18"/>
          <w:color w:val="auto"/>
        </w:rPr>
        <w:t>—Trade accounts receivable are recorded at the invoiced amount or amounts due from customers via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at the end of each month. Invoiced amounts do not bear interest. The Company generally does not require collateral or other security in support of accounts receivable. Accounts receivable are past due when they are outstanding longer than the contractual payment terms. The Company determines an allowance for credit losses by considering available information, including the length of time accounts receivable are past due, previous loss history, and reasonable and supportable expectations regarding the specific customer’s ability to pay its financial obligations. If the Company becomes aware of changes in circumstances that are indicative of a customer’s inability to meet its financial obligations, such as in the case of bankruptcy, deterioration in operating results or changes in financial position, estimates of the allowance for credit losses are further adjusted. The allowance for doubtful accounts was $1.4 million and immaterial as of December 31, 2022 and 2021, respectively. The Company does not have any off-balance-sheet credit exposure related to its customers.</w:t>
      </w:r>
    </w:p>
    <w:p>
      <w:pPr>
        <w:spacing w:after="0" w:line="13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Property, Equipment, and Software, Net</w:t>
      </w:r>
      <w:r>
        <w:rPr>
          <w:rFonts w:ascii="Arial" w:cs="Arial" w:eastAsia="Arial" w:hAnsi="Arial"/>
          <w:sz w:val="17"/>
          <w:szCs w:val="17"/>
          <w:color w:val="auto"/>
        </w:rPr>
        <w:t>—Property, equipment, and software are stated at cost, less accumulated depreciation and amortization.</w:t>
      </w:r>
      <w:r>
        <w:rPr>
          <w:rFonts w:ascii="Arial" w:cs="Arial" w:eastAsia="Arial" w:hAnsi="Arial"/>
          <w:sz w:val="17"/>
          <w:szCs w:val="17"/>
          <w:b w:val="1"/>
          <w:bCs w:val="1"/>
          <w:color w:val="auto"/>
        </w:rPr>
        <w:t xml:space="preserve"> </w:t>
      </w:r>
      <w:r>
        <w:rPr>
          <w:rFonts w:ascii="Arial" w:cs="Arial" w:eastAsia="Arial" w:hAnsi="Arial"/>
          <w:sz w:val="17"/>
          <w:szCs w:val="17"/>
          <w:color w:val="auto"/>
        </w:rPr>
        <w:t>Depreciation is computed using the straight-line method over the estimated useful lives of the respective assets, which are generally three years for computers and equipment, three years for software, and five years for furniture and fixtures. Leasehold improvements are amortized using the straight-line method over the shorter of the estimated useful lives of the assets or the term of the related lease. Expenditures for repairs and maintenance are charged to expense as incurred. Upon disposition or retirement, the cost and related accumulated depreciation are removed from the accounts and the resulting gain or loss, if any, is reflected as operating expenses in the consolidated statement of operations.</w:t>
      </w:r>
    </w:p>
    <w:p>
      <w:pPr>
        <w:spacing w:after="0" w:line="11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Capitalized Software Development Costs</w:t>
      </w:r>
      <w:r>
        <w:rPr>
          <w:rFonts w:ascii="Arial" w:cs="Arial" w:eastAsia="Arial" w:hAnsi="Arial"/>
          <w:sz w:val="18"/>
          <w:szCs w:val="18"/>
          <w:color w:val="auto"/>
        </w:rPr>
        <w:t>—The costs incurred in the preliminary stages of website and software development are expensed as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Once an application has reached the development stage, internal and external costs, if direct and incremental and deemed by management to be significant, are capitalized in property and equipment and amortized on a straight-line basis over their estimated useful lives. Maintenance, training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useful lives.</w:t>
      </w:r>
    </w:p>
    <w:p>
      <w:pPr>
        <w:spacing w:after="0" w:line="1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Capitalized development activities placed in service are amortized over the expected useful lives of those releases, currently estimated at one to five years. The estimated useful lives of website and software development activities are reviewed frequently and adjusted as appropriate to reflect upcoming development activities that may include significant upgrades and/or enhancements to the existing functionality.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is included within cost of revenue in the consolidated statement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Business Combinations</w:t>
      </w:r>
      <w:r>
        <w:rPr>
          <w:rFonts w:ascii="Arial" w:cs="Arial" w:eastAsia="Arial" w:hAnsi="Arial"/>
          <w:sz w:val="17"/>
          <w:szCs w:val="17"/>
          <w:color w:val="auto"/>
        </w:rPr>
        <w:t>—The Company recognizes identifiable assets acquired and liabilities assumed at their acquisition date fair value. Goodwill as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acquisition date is measured as the excess of consideration transferred over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the Company identifies adjustments to the preliminary purchase price allocation. Upon the conclusion of the measurement period or final determination of the values of assets acquired or liabilities assumed, whichever comes first, any subsequent adjustments are recorded to the consolidated statement of operations. As of December 31, 2022, the Company has not recorded material measurement period adjustments in connection with its business combinations.</w:t>
      </w:r>
    </w:p>
    <w:p>
      <w:pPr>
        <w:spacing w:after="0" w:line="12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Contingent Consideration</w:t>
      </w:r>
      <w:r>
        <w:rPr>
          <w:rFonts w:ascii="Arial" w:cs="Arial" w:eastAsia="Arial" w:hAnsi="Arial"/>
          <w:sz w:val="17"/>
          <w:szCs w:val="17"/>
          <w:color w:val="auto"/>
        </w:rPr>
        <w:t>—The fair value measurements of contingent consideration liabilities established in connection with business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are determined as of the acquisition date based on significant unobservable inputs, including forecasted revenues and costs of the acquired companies, the probability of meeting certain revenue or earnings targets defined in the merger agreements, and the discount rate. Contingent consideration liabilities are remeasured to fair value at each subsequent reporting date until the related contingency is resolved, with the remeasurement adjustment reported in the consolidated statement of operations.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these inputs. Changes to the inputs described above could have a material impact on the Company’s financial position and results of operations in any given period.</w:t>
      </w:r>
    </w:p>
    <w:p>
      <w:pPr>
        <w:spacing w:after="0" w:line="11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Goodwill</w:t>
      </w:r>
      <w:r>
        <w:rPr>
          <w:rFonts w:ascii="Arial" w:cs="Arial" w:eastAsia="Arial" w:hAnsi="Arial"/>
          <w:sz w:val="17"/>
          <w:szCs w:val="17"/>
          <w:color w:val="auto"/>
        </w:rPr>
        <w:t>—The Company evaluates goodwill for impairment annually or more frequently when an event occurs or circumstances change that indicate</w:t>
      </w:r>
      <w:r>
        <w:rPr>
          <w:rFonts w:ascii="Arial" w:cs="Arial" w:eastAsia="Arial" w:hAnsi="Arial"/>
          <w:sz w:val="17"/>
          <w:szCs w:val="17"/>
          <w:b w:val="1"/>
          <w:bCs w:val="1"/>
          <w:color w:val="auto"/>
        </w:rPr>
        <w:t xml:space="preserve"> </w:t>
      </w:r>
      <w:r>
        <w:rPr>
          <w:rFonts w:ascii="Arial" w:cs="Arial" w:eastAsia="Arial" w:hAnsi="Arial"/>
          <w:sz w:val="17"/>
          <w:szCs w:val="17"/>
          <w:color w:val="auto"/>
        </w:rPr>
        <w:t>the carrying value may not be recoverable. The Company may elect to utilize a qualitative assessment to evaluate whether it is more likely than not that the fair value of a reporting unit is less than its carrying value and if so, the quantitative test is performed. Under the qualitative assessment, factors that are considered include industry and market considerations, overall financial performance and other relevant events and factors affecting the reporting unit. Under the quantitative test, the Company first compares the carrying value of each reporting unit to its estimated fair value and if the fair value is determined to be less than the carrying value, we recognize an impairment loss for the difference.</w:t>
      </w:r>
    </w:p>
    <w:p>
      <w:pPr>
        <w:spacing w:after="0" w:line="11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Intangible Assets</w:t>
      </w:r>
      <w:r>
        <w:rPr>
          <w:rFonts w:ascii="Arial" w:cs="Arial" w:eastAsia="Arial" w:hAnsi="Arial"/>
          <w:sz w:val="18"/>
          <w:szCs w:val="18"/>
          <w:color w:val="auto"/>
        </w:rPr>
        <w:t>—Intangible assets include acquired intangible assets identified through business combinations, which are carried at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recorded upon acquisition less accumulated amortization, and purchased intangible assets, which are carried at cost less accumulated amortization. Intangible assets are amortized on a straight-line basis over their estimated useful lives. Amortization costs for developed technology is included in cost of revenue and amortization for customer relationships, trade names and user base are included in sales and marketing within the consolidated statement of operations. Intangible assets are reviewed for impairment whenever events or changes in circumstances indicate that the carrying amount of the asset may not be recoverable.</w:t>
      </w:r>
    </w:p>
    <w:p>
      <w:pPr>
        <w:spacing w:after="0" w:line="13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—The Company reviews long-lived assets, including property and equipment, capitalized software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costs, and intangible assets, for impairment whenever events or changes in circumstances indicate that the carrying amount of an asset or asset group may not be recoverable. Recoverability of assets or asset groups to be held and used is measured first by a comparison of the carrying amount of an asset or asset group to future undiscounted net cash flows expected to be generated by the asset or asset group. If such assets or asset group are considered to be impaired, an impairment loss would be recognized based on the excess of the carrying amount of the asset above the fair value of the asset or asset group.</w:t>
      </w:r>
    </w:p>
    <w:p>
      <w:pPr>
        <w:spacing w:after="0" w:line="10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generates substantially all its revenue through fees paid by its financial services partners in the form of either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per action, revenue per click, revenue per lead and revenue per funded loan arrangements. For these revenue arrangements, in which a partner pays only when a consumer satisfies the criteria set forth within the arrangement, revenue is recognized generally when the Company matches the consumer with the financial services partner. For some of the Company’s arrangements, the transaction price is considered variable and an estimate of the transaction price is recorded when the match occurs.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revenue recognition guidance, revenue is recognized when performance obligations under the terms of a contract with a customer are satisfied and promised goods and services have transferred to the customer, in an amount that reflects the consideration the Company expects to be entitled to in exchange for those goods or services.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revenue generated from revenue per action or revenue per funded loan arrangements in which fees are earned from customers for approved actions such as when credit cards are issued to consumers or when loans to consumers are funded, the Company’s contractual right to fees is not contemporaneous with the satisfaction of the performance obligation to match the consumer with the customer. As such, the Company records a contract asset at each reporting period-end related to the estimated variable consideration on fees for which the Company has satisfied the related performance obligation but are still pending the financial product approval before the Company has a contractual right to payment. This estimate is based on the Company’s historical closing rates and historical time between when a consumer request for a financial product is delivered to the customer and when the financial product is approved by the customer. The time between satisfaction of the Company’s performance obligation and when the Company’s right to consideration becomes unconditional is generally less than 90 days and no significant judgment is required in determining whether the estimate of variable consideration should be constrained.</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revenue generated from revenue per lead or revenue per click in which fees are earned from customers when a consumer clicks on a tagged link to the customer’s website or lead is delivered to the customer, the Company’s contractual right to fees is contemporaneous with the satisfaction of the performance obligation to match the consumer with the customer. The Company’s services are generally transferred to the customer at a point in time, when the performance obligation is met.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payment terms vary by customer and verticals. The term between invoicing and when payment is due is generally 30 days or less.</w:t>
      </w:r>
    </w:p>
    <w:p>
      <w:pPr>
        <w:spacing w:after="0" w:line="19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Cost of Revenue</w:t>
      </w:r>
      <w:r>
        <w:rPr>
          <w:rFonts w:ascii="Arial" w:cs="Arial" w:eastAsia="Arial" w:hAnsi="Arial"/>
          <w:sz w:val="18"/>
          <w:szCs w:val="18"/>
          <w:color w:val="auto"/>
        </w:rPr>
        <w:t>—Cost of revenue consists primarily of amortization expense and impairment charges associated with capitalized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costs and developed technology; credit scoring fees and account linking fees; and third-party data center costs.</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—Research and development expenses primarily consist of personnel related costs, technology and facility-related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contractor expense for our engineering, product management, data and other personnel engaged in maintaining and enhancing the functionality of our platform. Research and development costs are expensed as incurred.</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Sales and Marketing</w:t>
      </w:r>
      <w:r>
        <w:rPr>
          <w:rFonts w:ascii="Arial" w:cs="Arial" w:eastAsia="Arial" w:hAnsi="Arial"/>
          <w:sz w:val="18"/>
          <w:szCs w:val="18"/>
          <w:color w:val="auto"/>
        </w:rPr>
        <w:t>—Sales and marketing expenses include advertising and promotion costs, costs related to brand campaign fees,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team and editorial personnel and related costs, including stock-based compensation. Advertising is expensed as incurred. Advertising expense was $278.9 million, $197.3 million, and $106.8 million for 2022, 2021 and 2020,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Leases</w:t>
      </w:r>
      <w:r>
        <w:rPr>
          <w:rFonts w:ascii="Arial" w:cs="Arial" w:eastAsia="Arial" w:hAnsi="Arial"/>
          <w:sz w:val="17"/>
          <w:szCs w:val="17"/>
          <w:color w:val="auto"/>
        </w:rPr>
        <w:t>—The Company leases real estate facilities and general office equipment under operating leases expiring at various dates through 2029.</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right-of-use (ROU) assets and lease liabilities are recognized at commencement date based on the present value of remaining lease payments over the lease term, which may include options to extend or terminate the lease when it is reasonably certain the Company will exercise such options. At inception of the lease, the Company is not reasonably certain that any available lease extensions or renewal terms will be exercised. For this purpose, the Company considered lease term and only payments that are fixed and determinable at the time of commencement. As most of the Company’s leases do not provide an implicit rate, the Company used the incremental borrowing rate based on the information available at commencement date in determining the present value of lease payments. When determining the incremental borrowing rates, the Company considered information including, but not limited to, the lease term, the Company’s credit rating and interest rates of similar debt instruments with comparable credit ratings. The Company’s lease agreements may contain variable costs such as common area maintenance, insurance, real estate taxes or other costs. Variable lease costs are expensed as incurred in the consolidated statement of operations.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Nonlease components that are not fixed are expensed as incurred as variable lease payments. The Company’s lease agreements generally do not contain any residual guarantees or restrictive covenants.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and finance leases are included in other assets, accrued expenses and other current liabilities, and other liabilities-noncurrent in the consolidated balance sheets.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—The Company measures compensation expense for all stock-based payment awards granted to employees,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nonemployees, including restricted stock units (RSUs), stock options and purchase rights granted under its employee stock purchase plan (ESPP), based on the estimated fair value of the awards on the date of grant. For RSUs, fair value is based on the fair value of our common stock on the grant date. For stock options, fair value is estimated using the Black-Scholes-Merton option-pricing model. For purchase rights granted under its ESPP, the Company estimates fair value using the component measurement approach with valuations of the components based on the Company’s stock price on the date of the grant and/or the Black-Scholes-Merton option-pricing model, as appropriate for the applicable components. Stock-based compensation is recognized on a straight-line basis over the requisite service period. The requisite service period of the awards is generally the same as the vesting period. The Company recognizes forfeitures as they occur for equity awards with only a service condition.</w:t>
      </w:r>
    </w:p>
    <w:p>
      <w:pPr>
        <w:spacing w:after="0" w:line="11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accounts for income taxes under an asset and liability approach. Deferred income taxes reflect the impact of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assets and liabilities recognized for financial reporting purposes and amounts recognized for income tax reporting purposes measured by applying currently enacted tax laws. A valuation allowance is provided when necessary to reduce deferred tax assets to an amount that is more likely than not to be realized.</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accounting standards on the basis of a two-step process whereby (1) a determination is made as to whether it is more likely than not that the tax positions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The Company’s policy is to include interest and penalties within its provision for income taxes.</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Comprehensive Income (Loss)</w:t>
      </w:r>
      <w:r>
        <w:rPr>
          <w:rFonts w:ascii="Arial" w:cs="Arial" w:eastAsia="Arial" w:hAnsi="Arial"/>
          <w:sz w:val="17"/>
          <w:szCs w:val="17"/>
          <w:color w:val="auto"/>
        </w:rPr>
        <w:t>—Comprehensive income (loss) is defined as a change in equity resulting from transactions from non-owner sources.</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is comprised of all components of net income (loss) and all components of other comprehensive income (loss) within stockholders’ equity. Other comprehensive income (loss) includes adjustments for foreign currency translation.</w:t>
      </w:r>
    </w:p>
    <w:p>
      <w:pPr>
        <w:spacing w:after="0" w:line="10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Subsequent Events</w:t>
      </w:r>
      <w:r>
        <w:rPr>
          <w:rFonts w:ascii="Arial" w:cs="Arial" w:eastAsia="Arial" w:hAnsi="Arial"/>
          <w:sz w:val="18"/>
          <w:szCs w:val="18"/>
          <w:color w:val="auto"/>
        </w:rPr>
        <w:t>—The Company evaluated subsequent events through February 23, 2023, the date its consolidated financial statements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issued.</w:t>
      </w:r>
    </w:p>
    <w:p>
      <w:pPr>
        <w:spacing w:after="0" w:line="10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JOBS Act Accounting Election</w:t>
      </w:r>
      <w:r>
        <w:rPr>
          <w:rFonts w:ascii="Arial" w:cs="Arial" w:eastAsia="Arial" w:hAnsi="Arial"/>
          <w:sz w:val="16"/>
          <w:szCs w:val="16"/>
          <w:color w:val="auto"/>
        </w:rPr>
        <w:t>—The Company qualifies as an “emerging growth company” (EGC) as defined in the JOBS Act, and, as such,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may elect to delay adopting new or revised accounting standards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As a result, the Company’s financial condition and results of operations within its consolidated financial statements may not be comparable to those of other companies that have adopted new or revised accounting standards at an earlier date.</w:t>
      </w:r>
    </w:p>
    <w:p>
      <w:pPr>
        <w:spacing w:after="0" w:line="10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Recently Adopted Accounting Pronouncements</w:t>
      </w:r>
      <w:r>
        <w:rPr>
          <w:rFonts w:ascii="Arial" w:cs="Arial" w:eastAsia="Arial" w:hAnsi="Arial"/>
          <w:sz w:val="16"/>
          <w:szCs w:val="16"/>
          <w:color w:val="auto"/>
        </w:rPr>
        <w:t>—In June 2016, the FASB issued ASU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Financial Instruments - Credit Losses,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establishing ASC Topic 326, and amended the guidance thereafter (ASC 326). ASC 326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the measurement and recognition of expected credit losses for financial assets held at amortized cost; the Company’s financial assets that are in the scope of ASC 326 includes the Company’s accounts receivable, certain financial instruments and contract assets. ASC 326 replaces the prior incurred loss impairment model with an expected loss methodology, which results in more timely recognition of credit losses. The Company adopted the provisions of ASC 326 as of January 1, 2022 (two years after the effective date for public business entities due to the Company’s election under its EGC status), and such adoption did not have an impact on the Company’s financial condition and results of operations within its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October 2021, the Financial Accounting Standards Board (FASB) issued Accounting Standards Update (ASU) 2021-08,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805): Accounting for Contract Assets and Contract Liabilities from Contracts with Customers </w:t>
      </w:r>
      <w:r>
        <w:rPr>
          <w:rFonts w:ascii="Arial" w:cs="Arial" w:eastAsia="Arial" w:hAnsi="Arial"/>
          <w:sz w:val="16"/>
          <w:szCs w:val="16"/>
          <w:color w:val="auto"/>
        </w:rPr>
        <w:t>(ASU 2021-08), to address diversity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inconsistency related to the recognition and measurement of contract assets and contract liabilities acquired in a business combination. The guidance in ASU 2021-08 states that an acquirer should recognize and measure contract assets and contract liabilities acquired in a business combination in accordance with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amendments in ASU 2021-08 will be applied prospectively to any business combinations that occur during or after the fiscal year of adoption. The Company adopted the provisions of ASU 2021-08 as of January 1, 2022, and such adoption did not have an impact on the Company’s financial condition and results of operations within its consolidated financial statements.</w:t>
      </w:r>
    </w:p>
    <w:p>
      <w:pPr>
        <w:spacing w:after="0" w:line="1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Recently Issued Accounting Pronouncement Not Yet Adopted</w:t>
      </w:r>
      <w:r>
        <w:rPr>
          <w:rFonts w:ascii="Arial" w:cs="Arial" w:eastAsia="Arial" w:hAnsi="Arial"/>
          <w:sz w:val="16"/>
          <w:szCs w:val="16"/>
          <w:color w:val="auto"/>
        </w:rPr>
        <w:t>—In March 2020, the FASB issued ASU 2020-04,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Reference Rate Reform</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(Topic 848)</w:t>
      </w:r>
      <w:r>
        <w:rPr>
          <w:rFonts w:ascii="Arial" w:cs="Arial" w:eastAsia="Arial" w:hAnsi="Arial"/>
          <w:sz w:val="16"/>
          <w:szCs w:val="16"/>
          <w:color w:val="auto"/>
        </w:rPr>
        <w:t>, establishing ASC Topic 848, and amended the guidance thereafter (ASC 848). ASC 848 provides optional expedients and exceptions for 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period of time for accounting for contracts, hedging relationships and other transactions affected by the London Interbank Offered Rate (LIBOR) or another reference rate expected to be discontinued. Optional expedients can be applied through December 31, 2024. Reference rate reform has not had a material impact with respect to any of the Company’s existing contracts, therefore, the Company has not been required to elect to apply any of the optional practical expedients and exceptions under ASC 848 as of the date of the financial statements. The Company will assess future changes in its contracts, including modifications, and the potential impact of electing to apply the optional practical expedients and exceptions under ASC 848 as they occur, but does not expect their application will have a material effect on its financial position or results of operations in its consolidated financial statements.</w:t>
      </w:r>
    </w:p>
    <w:p>
      <w:pPr>
        <w:spacing w:after="0" w:line="10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a disaggregation of the Company’s revenue based on product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39"/>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6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r>
      <w:tr>
        <w:trPr>
          <w:trHeight w:val="21"/>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expenses and other current assets on the consolidated balance sheet related to estimated variable consideration was $5.8 million and $3.0 million as of December 31, 2022 and 2021, respectively.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cards revenue is primarily generated through revenue per action arrangements, Loans revenue is primarily generated through revenue per funded loan and revenue per lead arrangements, and Other verticals revenue is primarily generated through revenue per action, revenue per click and revenue per funded loan arrangements.</w:t>
      </w:r>
    </w:p>
    <w:p>
      <w:pPr>
        <w:spacing w:after="0" w:line="12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5"/>
        </w:trPr>
        <w:tc>
          <w:tcPr>
            <w:tcW w:w="4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5"/>
                <w:szCs w:val="15"/>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4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5"/>
                <w:szCs w:val="15"/>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Carrying</w:t>
            </w:r>
          </w:p>
        </w:tc>
      </w:tr>
      <w:tr>
        <w:trPr>
          <w:trHeight w:val="186"/>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6"/>
                <w:szCs w:val="16"/>
                <w:color w:val="auto"/>
              </w:rPr>
            </w:pPr>
          </w:p>
        </w:tc>
        <w:tc>
          <w:tcPr>
            <w:tcW w:w="106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r>
      <w:tr>
        <w:trPr>
          <w:trHeight w:val="39"/>
        </w:trPr>
        <w:tc>
          <w:tcPr>
            <w:tcW w:w="4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6"/>
        </w:trPr>
        <w:tc>
          <w:tcPr>
            <w:tcW w:w="456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77.4</w:t>
            </w: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878"/>
        </w:trPr>
        <w:tc>
          <w:tcPr>
            <w:tcW w:w="4560" w:type="dxa"/>
            <w:vAlign w:val="bottom"/>
          </w:tcPr>
          <w:p>
            <w:pPr>
              <w:spacing w:after="0"/>
              <w:rPr>
                <w:sz w:val="24"/>
                <w:szCs w:val="24"/>
                <w:color w:val="auto"/>
              </w:rPr>
            </w:pPr>
          </w:p>
        </w:tc>
        <w:tc>
          <w:tcPr>
            <w:tcW w:w="1300" w:type="dxa"/>
            <w:vAlign w:val="bottom"/>
            <w:gridSpan w:val="3"/>
          </w:tcPr>
          <w:p>
            <w:pPr>
              <w:jc w:val="right"/>
              <w:ind w:right="50"/>
              <w:spacing w:after="0"/>
              <w:rPr>
                <w:sz w:val="20"/>
                <w:szCs w:val="20"/>
                <w:color w:val="auto"/>
              </w:rPr>
            </w:pPr>
            <w:r>
              <w:rPr>
                <w:rFonts w:ascii="Arial" w:cs="Arial" w:eastAsia="Arial" w:hAnsi="Arial"/>
                <w:sz w:val="18"/>
                <w:szCs w:val="18"/>
                <w:color w:val="auto"/>
              </w:rPr>
              <w:t>69</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5"/>
                <w:szCs w:val="15"/>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4"/>
                <w:szCs w:val="14"/>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Carrying</w:t>
            </w:r>
          </w:p>
        </w:tc>
      </w:tr>
      <w:tr>
        <w:trPr>
          <w:trHeight w:val="200"/>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7"/>
                <w:szCs w:val="17"/>
                <w:color w:val="auto"/>
              </w:rPr>
            </w:pPr>
          </w:p>
        </w:tc>
        <w:tc>
          <w:tcPr>
            <w:tcW w:w="106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r>
      <w:tr>
        <w:trPr>
          <w:trHeight w:val="26"/>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164.9</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166.9</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54.7</w:t>
            </w:r>
          </w:p>
        </w:tc>
      </w:tr>
    </w:tbl>
    <w:p>
      <w:pPr>
        <w:spacing w:after="0" w:line="2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transfers among Level 1, Level 2 and Level 3 classifications as of the actual date of the events or change in circumstances that caused the transfers.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liabilities consist entirely of contingent consideration, and the changes in fair values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Payment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Contingent consideration liabilities related to acquisitions are measured at fair value each reporting period using Level 3 unobservable inputs. The contingent consideration liability is the estimated fair value of the earnout payments for the Fundera, Inc. (Fundera) and Know Your Money (KYM) business combinations. See Note 5–Business Combinations for additional information on the contingent consideration for each of the acquisitions.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2022, Fundera’s revenue and profitability milestones for 2022 have been achieved and the contingent consideration liability was recorded at the full payout amount. The fair values of the estimated contingent considerations were previously determined based on the Company’s evaluation of the probability and amount of earnout that will be achieved based on expected future performance by the acquired entity. The Monte Carlo simulation models simulated the applicable figures over the earnout periods to calculate the estimated earnout payments. These payments were then discounted to present value based on the expected payment dates of the contingent considerations. The weighted average volatility was 45.5% and the weighted average discount rate was estimated to be 9.0% as of December 31, 2021.</w:t>
      </w:r>
    </w:p>
    <w:p>
      <w:pPr>
        <w:spacing w:after="0" w:line="12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Consolidated Balance Sheet Components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As of December 31,</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448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4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3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4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equipment and software,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8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39"/>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Office equipment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capitalized $34.1 million, $24.2 million and $19.2 million of software development costs, and recorded amortization expense of $22.1 million, $16.7 million and $12.5 million, during 2022, 2021 and 2020, respectively. Losses on disposal related to software development costs were $0.8 million and $0.2 million for 2021 and 2020, with no losses in 2022.</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expense, exclusive of amortization of capitalized software development costs and intangible assets, was $1.9 million, $2.4 million and $1.0 million in 2022, 2021 and 2020,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As of December 31,</w:t>
            </w: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496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accounts payable</w:t>
            </w:r>
          </w:p>
        </w:tc>
        <w:tc>
          <w:tcPr>
            <w:tcW w:w="3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Deferred compensation liability related to earnouts</w:t>
            </w:r>
          </w:p>
        </w:tc>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332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340"/>
              <w:spacing w:after="0"/>
              <w:rPr>
                <w:sz w:val="20"/>
                <w:szCs w:val="20"/>
                <w:color w:val="auto"/>
              </w:rPr>
            </w:pPr>
            <w:r>
              <w:rPr>
                <w:rFonts w:ascii="Arial" w:cs="Arial" w:eastAsia="Arial" w:hAnsi="Arial"/>
                <w:sz w:val="18"/>
                <w:szCs w:val="18"/>
                <w:color w:val="auto"/>
              </w:rPr>
              <w:t>Other liabilities—noncurrent consisted of the following:</w:t>
            </w: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96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As of December 31,</w:t>
            </w: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496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80" w:type="dxa"/>
            <w:vAlign w:val="bottom"/>
            <w:tcBorders>
              <w:bottom w:val="single" w:sz="8" w:color="CCEEFF"/>
            </w:tcBorders>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4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Deferred tax liability, net</w:t>
            </w:r>
          </w:p>
        </w:tc>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color w:val="auto"/>
              </w:rPr>
              <w:t>Total other liabilities—noncurrent</w:t>
            </w:r>
          </w:p>
        </w:tc>
        <w:tc>
          <w:tcPr>
            <w:tcW w:w="3540" w:type="dxa"/>
            <w:vAlign w:val="bottom"/>
            <w:gridSpan w:val="4"/>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220" w:type="dxa"/>
            <w:vAlign w:val="bottom"/>
            <w:vMerge w:val="restart"/>
          </w:tcPr>
          <w:p>
            <w:pPr>
              <w:jc w:val="right"/>
              <w:ind w:right="237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9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9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On the Barrelhead, Inc.</w:t>
      </w:r>
      <w:r>
        <w:rPr>
          <w:rFonts w:ascii="Arial" w:cs="Arial" w:eastAsia="Arial" w:hAnsi="Arial"/>
          <w:sz w:val="18"/>
          <w:szCs w:val="18"/>
          <w:color w:val="auto"/>
        </w:rPr>
        <w:t>—On July 11, 2022, the Company completed the acquisition of On the Barrelhead, Inc. (OTB), a data-driven platform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consumers and SMBs with credit-driven product recommendations. The Company completed the acquisition of OTB under an Agreement and Plan of Merger and Reorganization.</w:t>
      </w:r>
    </w:p>
    <w:p>
      <w:pPr>
        <w:sectPr>
          <w:pgSz w:w="11900" w:h="16838" w:orient="portrait"/>
          <w:cols w:equalWidth="0" w:num="1">
            <w:col w:w="11240"/>
          </w:cols>
          <w:pgMar w:left="320" w:top="175" w:right="339" w:bottom="1440" w:gutter="0" w:footer="0" w:header="0"/>
        </w:sectPr>
      </w:pP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Purchase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purchase consideration consisted of the following:</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3"/>
          <w:szCs w:val="23"/>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consideration</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consideration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amounts considered separate from the business combination and attributable to post-combination expense</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4"/>
        <w:spacing w:after="0"/>
        <w:rPr>
          <w:sz w:val="20"/>
          <w:szCs w:val="20"/>
          <w:color w:val="auto"/>
        </w:rPr>
      </w:pPr>
      <w:r>
        <w:rPr>
          <w:rFonts w:ascii="Arial" w:cs="Arial" w:eastAsia="Arial" w:hAnsi="Arial"/>
          <w:sz w:val="14"/>
          <w:szCs w:val="14"/>
          <w:b w:val="1"/>
          <w:bCs w:val="1"/>
          <w:color w:val="auto"/>
        </w:rPr>
        <w:t>Total</w:t>
      </w:r>
    </w:p>
    <w:p>
      <w:pPr>
        <w:spacing w:after="0" w:line="117" w:lineRule="exact"/>
        <w:rPr>
          <w:sz w:val="20"/>
          <w:szCs w:val="20"/>
          <w:color w:val="auto"/>
        </w:rPr>
      </w:pPr>
    </w:p>
    <w:p>
      <w:pPr>
        <w:ind w:left="804" w:hanging="804"/>
        <w:spacing w:after="0"/>
        <w:tabs>
          <w:tab w:leader="none" w:pos="8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75.7</w:t>
      </w:r>
    </w:p>
    <w:p>
      <w:pPr>
        <w:spacing w:after="0" w:line="63" w:lineRule="exact"/>
        <w:rPr>
          <w:rFonts w:ascii="Arial" w:cs="Arial" w:eastAsia="Arial" w:hAnsi="Arial"/>
          <w:sz w:val="18"/>
          <w:szCs w:val="18"/>
          <w:color w:val="auto"/>
        </w:rPr>
      </w:pPr>
    </w:p>
    <w:p>
      <w:pPr>
        <w:ind w:left="804"/>
        <w:spacing w:after="0"/>
        <w:rPr>
          <w:rFonts w:ascii="Arial" w:cs="Arial" w:eastAsia="Arial" w:hAnsi="Arial"/>
          <w:sz w:val="18"/>
          <w:szCs w:val="18"/>
          <w:color w:val="auto"/>
        </w:rPr>
      </w:pPr>
      <w:r>
        <w:rPr>
          <w:rFonts w:ascii="Arial" w:cs="Arial" w:eastAsia="Arial" w:hAnsi="Arial"/>
          <w:sz w:val="18"/>
          <w:szCs w:val="18"/>
          <w:color w:val="auto"/>
        </w:rPr>
        <w:t>43.2</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118.9</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(0.7)</w:t>
      </w:r>
    </w:p>
    <w:p>
      <w:pPr>
        <w:spacing w:after="0" w:line="32" w:lineRule="exact"/>
        <w:rPr>
          <w:sz w:val="20"/>
          <w:szCs w:val="20"/>
          <w:color w:val="auto"/>
        </w:rPr>
      </w:pPr>
    </w:p>
    <w:p>
      <w:pPr>
        <w:ind w:left="724" w:hanging="724"/>
        <w:spacing w:after="0"/>
        <w:tabs>
          <w:tab w:leader="none" w:pos="724"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7632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9336" w:space="720"/>
            <w:col w:w="1184"/>
          </w:cols>
          <w:pgMar w:left="320" w:top="175" w:right="339" w:bottom="1440" w:gutter="0" w:footer="0" w:header="0"/>
          <w:type w:val="continuous"/>
        </w:sectPr>
      </w:pPr>
    </w:p>
    <w:p>
      <w:pPr>
        <w:spacing w:after="0" w:line="180"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$12.2 million of cash which is held in escrow for the settlement of breaches, if any, of certain representations, warranties, agreements and covenants.</w:t>
      </w:r>
    </w:p>
    <w:p>
      <w:pPr>
        <w:spacing w:after="0" w:line="13" w:lineRule="exact"/>
        <w:rPr>
          <w:rFonts w:ascii="Arial" w:cs="Arial" w:eastAsia="Arial" w:hAnsi="Arial"/>
          <w:sz w:val="14"/>
          <w:szCs w:val="14"/>
          <w:color w:val="auto"/>
        </w:rPr>
      </w:pPr>
    </w:p>
    <w:p>
      <w:pPr>
        <w:ind w:left="340" w:right="20" w:hanging="332"/>
        <w:spacing w:after="0" w:line="257" w:lineRule="auto"/>
        <w:tabs>
          <w:tab w:leader="none" w:pos="359"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the aggregate fair value of 4.9 million shares issued of the Company’s Class A common stock based on the closing price of the stock on the acquisition date of July 11, 2022, which was $8.75 per share.</w:t>
      </w: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Primarily comprised of the additional fair value of unvested OTB option awards discretionally accelerated by the Company and attributable to post-combination expense.</w:t>
      </w:r>
    </w:p>
    <w:p>
      <w:pPr>
        <w:spacing w:after="0" w:line="17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Half of the stock consideration is subject to a lockup arrangement whereby such shares may not be sold or otherwise transferred prior to expiration of the 24-month period following the acquisition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Retention Agreements and Inducement Awards</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Concurrently with the closing of the acquisition, the Company provided employment offer letters to OTB’s employees, including compensatory retention agreements with the co-founders of OTB which could result in up to $15.0 million of cash awards. Cash awards under these retention agreements are payable in equal installments on the first, second and third anniversary dates of the closing of the acquisition. Also concurrently with the closing of the acquisition, the Compensation Committee of the Company’s Board of Directors granted restricted stock unit (RSU) awards under the NerdWallet, Inc. 2022 Inducement Equity Incentive Plan (the Inducement Plan) to employees of OTB who were offered employment with the Company, which RSU awards had an aggregate grant date fair value on the acquisition date of $17.5 million, including $12.8 million of RSU awards to the co-founders of OTB, $2.3 million of RSU awards to six non-management employees of OTB and $2.4 million of RSU awards to all fourteen employees of OTB. The $12.8 million of RSU awards to the co-founders of OTB will generally vest in full upon the third anniversary of the closing of the acquisition. The $2.3 million of RSU awards to non-management employees of OTB will vest annually over four years, with 20% of the RSUs subject to vest on each of the first, second and third annual vesting dates and the remaining 40% of the RSUs subject to vest on the fourth annual vesting date. The $2.4 million of RSU awards granted to all employees of OTB will generally vest over four years subject to a one-year cliff and quarterly vesting thereafter. RSU awards under the Inducement Plan are subject to the conditions of the Inducement Plan and the terms and conditions of the grant agreements covering such awards. Compensation expenses under these employment offer letters and vesting of awards under these retention agreements and Inducement Plan are generally subject to the employees’ continued employment with the Company, and the fair value of such compensation and awards are excluded from the Purchase Price and accounted for separately from the business combination. The value of cash awards under these retention agreements are recognized as compensation expense ratably over the three-year period following the close of the acquisition. The value of RSU awards under the Inducement Plan are recognized as stock-based compensation ratably over the respective vesting terms of the awards.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5" w:name="page76"/>
    <w:bookmarkEnd w:id="7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Purchase Accounting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allocation of purchase consideration to the assets acquired and liabilities assumed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9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63"/>
        </w:trPr>
        <w:tc>
          <w:tcPr>
            <w:tcW w:w="10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Purchase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118.2</w:t>
            </w:r>
          </w:p>
        </w:tc>
      </w:tr>
      <w:tr>
        <w:trPr>
          <w:trHeight w:val="243"/>
        </w:trPr>
        <w:tc>
          <w:tcPr>
            <w:tcW w:w="100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of Assets Acquired</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004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10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50"/>
        </w:trPr>
        <w:tc>
          <w:tcPr>
            <w:tcW w:w="100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10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Liabilities Assumed</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70"/>
        </w:trPr>
        <w:tc>
          <w:tcPr>
            <w:tcW w:w="1004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0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10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tax liability</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10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50"/>
        </w:trPr>
        <w:tc>
          <w:tcPr>
            <w:tcW w:w="10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Less: Net Assets Acquired</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w:t>
            </w:r>
          </w:p>
        </w:tc>
      </w:tr>
      <w:tr>
        <w:trPr>
          <w:trHeight w:val="248"/>
        </w:trPr>
        <w:tc>
          <w:tcPr>
            <w:tcW w:w="10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acquired intangible assets consist of definite-lived assets with estimated fair values and useful lives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186"/>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39"/>
        </w:trPr>
        <w:tc>
          <w:tcPr>
            <w:tcW w:w="8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64"/>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r>
      <w:tr>
        <w:trPr>
          <w:trHeight w:val="289"/>
        </w:trPr>
        <w:tc>
          <w:tcPr>
            <w:tcW w:w="82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 of acquired intangible assets was determined using the multi-period excess earnings method of the income approach for developed technology, and the replacement cost method for customer relationships.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deferred tax liability of $12.1 million primarily relates to identified intangible assets.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recorded goodwill of $68.1 million, which represents the excess of the purchase consideration over the estimated fair value of the assets acquired, net of the liabilities assumed. The goodwill is primarily attributable to synergies from combining the operations of the Company and OTB, as well as the value ascribed to the knowledge and experience of the OTB co-founders and employees. For income tax purposes, the acquisition is a stock purchase and goodwill is not tax deductible.</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Acquisition-related costs of $3.5 million were incurred during 2022, and are included in general and administrative expense on the consolidated statements of operations. Due to the extensive level of integration of OTB’s technology and operations into the Company’s operations following the closing of the acquisition, the Company is not able to quantify the acquisition’s contribution following the closing of the acquisition to the Company’s revenue and operating loss for 2022, as the ability to objectively quantify such amounts would require a significant level of estimation.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following unaudited pro forma financial information is presented as if the OTB acquisition, including the related debt financing, was completed on January 1, 2021. The pro forma financial information includes the historical operating results of the Company and OTB prior to the acquisition, with adjustments directly attributable to the acquisition. Pro forma adjustments have been made to reflect the incremental intangible asset amortization to be incurred based on the preliminary fair values and useful lives of each identifiable intangible asset, incremental stock-based compensation related to inducement equity awards, incremental compensation related to cash retention agreements, incremental interest expense related to debt drawn to finance the cash portion of the purchase price, the adjustment of acquisition-related expenses, and the related tax effects of pro forma adjustments for the respective periods.The unaudited pro forma financial information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9"/>
        </w:trPr>
        <w:tc>
          <w:tcPr>
            <w:tcW w:w="87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39"/>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583.9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417.7</w:t>
            </w:r>
          </w:p>
        </w:tc>
      </w:tr>
      <w:tr>
        <w:trPr>
          <w:trHeight w:val="24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w w:val="93"/>
              </w:rPr>
              <w:t>(21.9)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w w:val="93"/>
              </w:rPr>
              <w:t>(51.7)</w:t>
            </w:r>
          </w:p>
        </w:tc>
      </w:tr>
    </w:tbl>
    <w:p>
      <w:pPr>
        <w:spacing w:after="0" w:line="2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financial information is not intended to present, or be indicative of, what the results of operations would have been for the combined company for the periods presented had the acquisition actually occurred on January 1, 2021, nor is it meant to be indicative of results of operations that may be achieved by the combined company in the future. The unaudited pro forma financial information does not include any cost savings or other synergies that resulted, or may result, from the OTB acquisition or any estimated costs that will be incurred to integrate OTB. Future results may vary significantly from the results reflected in this unaudited pro forma financial information because of future events and transactions, as well as other factors.</w:t>
      </w:r>
    </w:p>
    <w:p>
      <w:pPr>
        <w:spacing w:after="0" w:line="13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Fundera</w:t>
      </w:r>
      <w:r>
        <w:rPr>
          <w:rFonts w:ascii="Arial" w:cs="Arial" w:eastAsia="Arial" w:hAnsi="Arial"/>
          <w:sz w:val="18"/>
          <w:szCs w:val="18"/>
          <w:color w:val="auto"/>
        </w:rPr>
        <w:t>—In October 2020, the Company executed a merger agreement to acquire all outstanding shares of Fundera. Fundera is a company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an application that connects small businesses to lenders and covers everything from loans to legal services, free financial content and one-on-one access to experienced lending. Fundera was founded in 2013 and maintains an office in New York, NY. The acquisition date aggregate purchase price was $65.1 million, which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9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Fair value of contingent consideration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total closing consideration for the Fundera acquisition was $29.2 million in cash, of which $4.6 million in cash was held in escrow for the settlement of general representation and warranty provisions. Further the Company could make up to two additional earnout payments based on achievement of Fundera’s future revenue and profitability milestones for 2021 and 2022. These additional payments, to the extent earned, will be payable in cash. See Note 3–Fair Value Measurements for further information on contingent consideration and additional payments made. The fair value of earnouts, which are subject to the recipients continued employment services was $2.7 million and was excluded from the aggregate purchase price and accounted for separately from the business combination. The amounts were recognized as compensation expense as earned through 2022, classified as research and development and sales and marketing expenses based on the recipients’ job functions, in the consolidated statement of operations. The Company has recorded a deferred compensation liability related to earnouts of $1.7 million as of December 31, 2022, which is included within accrued expenses and other current liabilities on the consolidated balance sheet.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2022, Fundera’s revenue and profitability milestones for 2022 have been achieved and the contingent consideration liability was recorded at the full payout amount of $30.9 million. The estimated fair value of the contingent consideration was previously determined using a Monte Carlo simulation model, based upon available information and certain assumptions, known at the time the estimate was made, which management believes were reasonable.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time of acquisition, certain stock options held by Fundera employees were replaced with RSUs by the Company with a total fair value of $1.9 million. The vesting of these RSUs is contingent on continued employment, and was excluded from the aggregate purchase price. These awards are recognized as stock-based compensation ratably over the remaining vesting term through 2024.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allocation of purchase price to the assets acquired and liabilities assumed is as follows:</w:t>
      </w:r>
    </w:p>
    <w:p>
      <w:pPr>
        <w:sectPr>
          <w:pgSz w:w="11900" w:h="16838" w:orient="portrait"/>
          <w:cols w:equalWidth="0" w:num="1">
            <w:col w:w="11240"/>
          </w:cols>
          <w:pgMar w:left="320" w:top="175"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w:t>
      </w:r>
    </w:p>
    <w:p>
      <w:pPr>
        <w:spacing w:after="0" w:line="90" w:lineRule="exact"/>
        <w:rPr>
          <w:sz w:val="20"/>
          <w:szCs w:val="20"/>
          <w:color w:val="auto"/>
        </w:rPr>
      </w:pPr>
    </w:p>
    <w:p>
      <w:pPr>
        <w:ind w:left="1120" w:hanging="1113"/>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w:t>
      </w:r>
    </w:p>
    <w:p>
      <w:pPr>
        <w:spacing w:after="0" w:line="6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29.4</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57" w:lineRule="exact"/>
        <w:rPr>
          <w:sz w:val="20"/>
          <w:szCs w:val="20"/>
          <w:color w:val="auto"/>
        </w:rPr>
      </w:pPr>
    </w:p>
    <w:p>
      <w:pPr>
        <w:ind w:left="1040" w:hanging="1033"/>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57785</wp:posOffset>
            </wp:positionV>
            <wp:extent cx="9086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9100" w:space="720"/>
            <w:col w:w="1420"/>
          </w:cols>
          <w:pgMar w:left="320" w:top="175" w:right="339" w:bottom="1440" w:gutter="0" w:footer="0" w:header="0"/>
          <w:type w:val="continuous"/>
        </w:sectPr>
      </w:pPr>
    </w:p>
    <w:p>
      <w:pPr>
        <w:spacing w:after="0" w:line="14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acquired intangible assets are definite-lived assets consisting of user base, customer relationships, developed technology and trade name. The estimated fair value was determined using the excess earnings method for user base, with-and-without method for acquired customer relationships, and relief-from-royalty method for the acquired technology and trade name. The fair value of the intangible assets with definite lives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 Average</w:t>
            </w:r>
          </w:p>
        </w:tc>
      </w:tr>
      <w:tr>
        <w:trPr>
          <w:trHeight w:val="200"/>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Useful Life (Years)</w:t>
            </w:r>
          </w:p>
        </w:tc>
      </w:tr>
      <w:tr>
        <w:trPr>
          <w:trHeight w:val="39"/>
        </w:trPr>
        <w:tc>
          <w:tcPr>
            <w:tcW w:w="8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8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User base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280" w:type="dxa"/>
            <w:vAlign w:val="bottom"/>
            <w:gridSpan w:val="2"/>
          </w:tcPr>
          <w:p>
            <w:pPr>
              <w:ind w:left="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280" w:type="dxa"/>
            <w:vAlign w:val="bottom"/>
            <w:gridSpan w:val="2"/>
          </w:tcPr>
          <w:p>
            <w:pPr>
              <w:ind w:left="6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82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recorded goodwill of $37.3 million, which represents the excess of the purchase price over the estimated fair value of tangible and intangible assets acquired, net of the liabilities assumed. The goodwill is primarily attributable to Fundera as a going concern, which represents the ability of the Company to earn a higher return on the collection of assets and business of Fundera than if those assets and business were to be acquired and managed separately. The benefit of access to the workforce is an additional element of goodwill. For income tax purposes, the acquisition was a stock purchase and goodwill is not tax deductible. Acquisition-related costs of $1.0 million were incurred in 2020 and are included in general and administrative expense on the consolidated statement of operations. During the period from the acquisition date through December 31, 2020, the Company recognized revenue and loss before income tax for Fundera of $2.0 million and $0.3 million, respectively.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Results (Unaudited)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pro forma combined results of operations are provided for the years ended December 31, 2020 and 2019, as though the Fundera acquisition had been completed as of January 1, 2019. These supplemental pro forma results of operations are provided for illustrative purposes only and do not purport to be indicative of the actual results that would have been achieved by the combined company for the periods presented or that may be achieved by the combined company in the future. The pro forma results of operations do not include any cost savings or other synergies that resulted, or may result, from the Fundera acquisition or any estimated costs that will be incurred to integrate Fundera. Future results may vary significantly from the results reflected in this pro forma financial information because of future events and transactions, as well as other factors.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historical financial information was adjusted based on currently available information and certain assumptions that the Company believes are reasonable under the circumstances. The unaudited supplemental pro forma information includes adjustments to amortization and depreciation for acquired intangible assets and property and equipment, adjustments to stock-based compensation, the purchase accounting effect on interest expense, and transaction costs: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39"/>
        </w:trPr>
        <w:tc>
          <w:tcPr>
            <w:tcW w:w="9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r>
      <w:tr>
        <w:trPr>
          <w:trHeight w:val="24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8" w:name="page79"/>
    <w:bookmarkEnd w:id="7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Know Your Money</w:t>
      </w:r>
      <w:r>
        <w:rPr>
          <w:rFonts w:ascii="Arial" w:cs="Arial" w:eastAsia="Arial" w:hAnsi="Arial"/>
          <w:sz w:val="18"/>
          <w:szCs w:val="18"/>
          <w:color w:val="auto"/>
        </w:rPr>
        <w:t>—On September 30, 2020, the Company acquired all the outstanding shares of Notice Media Ltd., doing business as Know Your</w:t>
      </w:r>
      <w:r>
        <w:rPr>
          <w:rFonts w:ascii="Arial" w:cs="Arial" w:eastAsia="Arial" w:hAnsi="Arial"/>
          <w:sz w:val="18"/>
          <w:szCs w:val="18"/>
          <w:b w:val="1"/>
          <w:bCs w:val="1"/>
          <w:color w:val="auto"/>
        </w:rPr>
        <w:t xml:space="preserve"> </w:t>
      </w:r>
      <w:r>
        <w:rPr>
          <w:rFonts w:ascii="Arial" w:cs="Arial" w:eastAsia="Arial" w:hAnsi="Arial"/>
          <w:sz w:val="18"/>
          <w:szCs w:val="18"/>
          <w:color w:val="auto"/>
        </w:rPr>
        <w:t>Money, an online provider of financial guidance and tools based in the United Kingdom. The aggregate purchase price transferred for KYM was $13.7 million, which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9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Fair value of contingent consideration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paid $12.3 million in initial cash consideration and could have made up to two additional earnout payments based on certain defined operating metrics during the earnout periods January 1, 2021 through December 31, 2021 and January 1, 2022 through December 31, 2022. These additional payments, to the extent earned, would be payable in cash. As part of the transaction, the Company entered into additional earnouts which were subject to the recipients’ continued service. The fair value of such earnouts was $5.9 million, which was excluded from the aggregate purchase price and accounted for separately from the business combination. The amounts were recognized as compensation expense as earned over the earnout periods.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estimated fair value of the contingent consideration related to KYM was immaterial as of December 31, 2022, and is included in contingent consideration in the consolidated balance sheet. The estimated fair value of the contingent consideration was previously determined using a Monte Carlo simulation model, based upon available information and certain assumptions, known at the time the estimate was made, which management believes were reasonable.</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allocation of purchase price to the assets acquired and liabilities assumed is as follows:</w:t>
      </w:r>
    </w:p>
    <w:p>
      <w:pPr>
        <w:sectPr>
          <w:pgSz w:w="11900" w:h="16838" w:orient="portrait"/>
          <w:cols w:equalWidth="0" w:num="1">
            <w:col w:w="11240"/>
          </w:cols>
          <w:pgMar w:left="320" w:top="175"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w:t>
      </w:r>
    </w:p>
    <w:p>
      <w:pPr>
        <w:spacing w:after="0" w:line="90" w:lineRule="exact"/>
        <w:rPr>
          <w:sz w:val="20"/>
          <w:szCs w:val="20"/>
          <w:color w:val="auto"/>
        </w:rPr>
      </w:pPr>
    </w:p>
    <w:p>
      <w:pPr>
        <w:ind w:left="1120" w:hanging="1113"/>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1.5</w:t>
      </w:r>
    </w:p>
    <w:p>
      <w:pPr>
        <w:spacing w:after="0" w:line="6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6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57" w:lineRule="exact"/>
        <w:rPr>
          <w:sz w:val="20"/>
          <w:szCs w:val="20"/>
          <w:color w:val="auto"/>
        </w:rPr>
      </w:pPr>
    </w:p>
    <w:p>
      <w:pPr>
        <w:ind w:left="1040" w:hanging="1033"/>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57785</wp:posOffset>
            </wp:positionV>
            <wp:extent cx="9086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9100" w:space="720"/>
            <w:col w:w="1420"/>
          </w:cols>
          <w:pgMar w:left="320" w:top="175" w:right="339" w:bottom="1440" w:gutter="0" w:footer="0" w:header="0"/>
          <w:type w:val="continuous"/>
        </w:sectPr>
      </w:pP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acquired intangible assets are definite-lived assets consisting of customer relationships and developed technology. The estimated fair values of the customer relationships were determined using the excess earning method and the developed technology was determined using the relief from royalty method. The fair value of the intangible assets with definite lives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7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40" w:type="dxa"/>
            <w:vAlign w:val="bottom"/>
          </w:tcPr>
          <w:p>
            <w:pPr>
              <w:jc w:val="right"/>
              <w:ind w:right="57"/>
              <w:spacing w:after="0"/>
              <w:rPr>
                <w:sz w:val="20"/>
                <w:szCs w:val="20"/>
                <w:color w:val="auto"/>
              </w:rPr>
            </w:pPr>
            <w:r>
              <w:rPr>
                <w:rFonts w:ascii="Arial" w:cs="Arial" w:eastAsia="Arial" w:hAnsi="Arial"/>
                <w:sz w:val="14"/>
                <w:szCs w:val="14"/>
                <w:b w:val="1"/>
                <w:bCs w:val="1"/>
                <w:color w:val="auto"/>
              </w:rPr>
              <w:t>Useful Life (Years)</w:t>
            </w:r>
          </w:p>
        </w:tc>
        <w:tc>
          <w:tcPr>
            <w:tcW w:w="0" w:type="dxa"/>
            <w:vAlign w:val="bottom"/>
          </w:tcPr>
          <w:p>
            <w:pPr>
              <w:spacing w:after="0"/>
              <w:rPr>
                <w:sz w:val="1"/>
                <w:szCs w:val="1"/>
                <w:color w:val="auto"/>
              </w:rPr>
            </w:pPr>
          </w:p>
        </w:tc>
      </w:tr>
      <w:tr>
        <w:trPr>
          <w:trHeight w:val="39"/>
        </w:trPr>
        <w:tc>
          <w:tcPr>
            <w:tcW w:w="362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4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4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9" w:name="page80"/>
    <w:bookmarkEnd w:id="7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recorded goodwill of $6.0 million, which represents the excess of the purchase price over the estimated fair value of tangible and intangible assets acquired, net of the liabilities assumed. The goodwill is primarily attributable to KYM as a going concern, which represents the ability of the Company to earn a higher return on the collection of assets and business of KYM than if those assets and business were to be acquired and managed separately. The benefit of access to the workforce is an additional element of goodwill. For income tax purposes, the acquisition was a stock purchase and goodwill is not tax deductible. Acquisition-related costs of $0.5 million were incurred in 2020 and are included in general and administrative expense on the consolidated statement of operations. During the period from the acquisition date through December 31, 2020 the Company recognized revenue and loss before income tax for KYM of $1.5 million and $0.1 million, respectively. Pro forma results of operations have not been provided to reflect the KYM acquisition as such results would not have been materially different from the Company’s reported results.</w:t>
      </w:r>
    </w:p>
    <w:p>
      <w:pPr>
        <w:spacing w:after="0" w:line="12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balance of goodwill, net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2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5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beginning of year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of OTB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translation adjustment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end of year</w:t>
      </w:r>
    </w:p>
    <w:p>
      <w:pPr>
        <w:spacing w:after="0" w:line="3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impairment charges have been recorded for goodwill in 2022, 2021 or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definite lives related to the following:</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38" w:lineRule="exact"/>
        <w:rPr>
          <w:sz w:val="20"/>
          <w:szCs w:val="20"/>
          <w:color w:val="auto"/>
        </w:rPr>
      </w:pPr>
    </w:p>
    <w:p>
      <w:pPr>
        <w:jc w:val="center"/>
        <w:ind w:left="5800"/>
        <w:spacing w:after="0"/>
        <w:rPr>
          <w:sz w:val="20"/>
          <w:szCs w:val="20"/>
          <w:color w:val="auto"/>
        </w:rPr>
      </w:pPr>
      <w:r>
        <w:rPr>
          <w:rFonts w:ascii="Arial" w:cs="Arial" w:eastAsia="Arial" w:hAnsi="Arial"/>
          <w:sz w:val="12"/>
          <w:szCs w:val="12"/>
          <w:b w:val="1"/>
          <w:bCs w:val="1"/>
          <w:color w:val="auto"/>
        </w:rPr>
        <w:t>Weighted-Average</w:t>
      </w:r>
    </w:p>
    <w:p>
      <w:pPr>
        <w:spacing w:after="0" w:line="40"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Useful Life</w:t>
      </w:r>
    </w:p>
    <w:p>
      <w:pPr>
        <w:spacing w:after="0" w:line="9" w:lineRule="exact"/>
        <w:rPr>
          <w:sz w:val="20"/>
          <w:szCs w:val="20"/>
          <w:color w:val="auto"/>
        </w:rPr>
      </w:pPr>
    </w:p>
    <w:p>
      <w:pPr>
        <w:ind w:left="20"/>
        <w:spacing w:after="0"/>
        <w:tabs>
          <w:tab w:leader="none" w:pos="6120" w:val="left"/>
        </w:tabs>
        <w:rPr>
          <w:sz w:val="20"/>
          <w:szCs w:val="20"/>
          <w:color w:val="auto"/>
        </w:rPr>
      </w:pPr>
      <w:r>
        <w:rPr>
          <w:rFonts w:ascii="Arial" w:cs="Arial" w:eastAsia="Arial" w:hAnsi="Arial"/>
          <w:sz w:val="14"/>
          <w:szCs w:val="14"/>
          <w:b w:val="1"/>
          <w:bCs w:val="1"/>
          <w:color w:val="auto"/>
        </w:rPr>
        <w:t>As of December 31, 2022</w:t>
      </w:r>
      <w:r>
        <w:rPr>
          <w:sz w:val="20"/>
          <w:szCs w:val="20"/>
          <w:color w:val="auto"/>
        </w:rPr>
        <w:tab/>
      </w:r>
      <w:r>
        <w:rPr>
          <w:rFonts w:ascii="Arial" w:cs="Arial" w:eastAsia="Arial" w:hAnsi="Arial"/>
          <w:sz w:val="12"/>
          <w:szCs w:val="12"/>
          <w:b w:val="1"/>
          <w:bCs w:val="1"/>
          <w:color w:val="auto"/>
        </w:rPr>
        <w:t>(Years)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1060" w:type="dxa"/>
        <w:tblCellMar>
          <w:top w:w="0" w:type="dxa"/>
          <w:left w:w="0" w:type="dxa"/>
          <w:bottom w:w="0" w:type="dxa"/>
          <w:right w:w="0" w:type="dxa"/>
        </w:tblCellMar>
      </w:tblPr>
      <w:tr>
        <w:trPr>
          <w:trHeight w:val="230"/>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70"/>
        </w:trPr>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7"/>
        </w:trPr>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spacing w:after="0"/>
        <w:tabs>
          <w:tab w:leader="none" w:pos="1520" w:val="left"/>
          <w:tab w:leader="none" w:pos="3240" w:val="left"/>
        </w:tabs>
        <w:rPr>
          <w:sz w:val="20"/>
          <w:szCs w:val="20"/>
          <w:color w:val="auto"/>
        </w:rPr>
      </w:pPr>
      <w:r>
        <w:rPr>
          <w:rFonts w:ascii="Arial" w:cs="Arial" w:eastAsia="Arial" w:hAnsi="Arial"/>
          <w:sz w:val="14"/>
          <w:szCs w:val="14"/>
          <w:b w:val="1"/>
          <w:bCs w:val="1"/>
          <w:color w:val="auto"/>
        </w:rPr>
        <w:t>Gross</w:t>
      </w:r>
      <w:r>
        <w:rPr>
          <w:sz w:val="20"/>
          <w:szCs w:val="20"/>
          <w:color w:val="auto"/>
        </w:rPr>
        <w:tab/>
      </w:r>
      <w:r>
        <w:rPr>
          <w:rFonts w:ascii="Arial" w:cs="Arial" w:eastAsia="Arial" w:hAnsi="Arial"/>
          <w:sz w:val="14"/>
          <w:szCs w:val="14"/>
          <w:b w:val="1"/>
          <w:bCs w:val="1"/>
          <w:color w:val="auto"/>
        </w:rPr>
        <w:t>Accumulated</w:t>
      </w:r>
      <w:r>
        <w:rPr>
          <w:sz w:val="20"/>
          <w:szCs w:val="20"/>
          <w:color w:val="auto"/>
        </w:rPr>
        <w:tab/>
      </w:r>
      <w:r>
        <w:rPr>
          <w:rFonts w:ascii="Arial" w:cs="Arial" w:eastAsia="Arial" w:hAnsi="Arial"/>
          <w:sz w:val="13"/>
          <w:szCs w:val="13"/>
          <w:b w:val="1"/>
          <w:bCs w:val="1"/>
          <w:color w:val="auto"/>
        </w:rPr>
        <w:t>Net</w:t>
      </w:r>
    </w:p>
    <w:p>
      <w:pPr>
        <w:spacing w:after="0" w:line="17" w:lineRule="exact"/>
        <w:rPr>
          <w:sz w:val="20"/>
          <w:szCs w:val="20"/>
          <w:color w:val="auto"/>
        </w:rPr>
      </w:pPr>
    </w:p>
    <w:p>
      <w:pPr>
        <w:spacing w:after="0"/>
        <w:tabs>
          <w:tab w:leader="none" w:pos="1520" w:val="left"/>
          <w:tab w:leader="none" w:pos="2800" w:val="left"/>
        </w:tabs>
        <w:rPr>
          <w:sz w:val="20"/>
          <w:szCs w:val="20"/>
          <w:color w:val="auto"/>
        </w:rPr>
      </w:pPr>
      <w:r>
        <w:rPr>
          <w:rFonts w:ascii="Arial" w:cs="Arial" w:eastAsia="Arial" w:hAnsi="Arial"/>
          <w:sz w:val="14"/>
          <w:szCs w:val="14"/>
          <w:b w:val="1"/>
          <w:bCs w:val="1"/>
          <w:color w:val="auto"/>
        </w:rPr>
        <w:t>Carrying Amount</w:t>
      </w:r>
      <w:r>
        <w:rPr>
          <w:sz w:val="20"/>
          <w:szCs w:val="20"/>
          <w:color w:val="auto"/>
        </w:rPr>
        <w:tab/>
      </w:r>
      <w:r>
        <w:rPr>
          <w:rFonts w:ascii="Arial" w:cs="Arial" w:eastAsia="Arial" w:hAnsi="Arial"/>
          <w:sz w:val="14"/>
          <w:szCs w:val="14"/>
          <w:b w:val="1"/>
          <w:bCs w:val="1"/>
          <w:color w:val="auto"/>
        </w:rPr>
        <w:t>Amortization</w:t>
      </w:r>
      <w:r>
        <w:rPr>
          <w:sz w:val="20"/>
          <w:szCs w:val="20"/>
          <w:color w:val="auto"/>
        </w:rPr>
        <w:tab/>
      </w:r>
      <w:r>
        <w:rPr>
          <w:rFonts w:ascii="Arial" w:cs="Arial" w:eastAsia="Arial" w:hAnsi="Arial"/>
          <w:sz w:val="13"/>
          <w:szCs w:val="13"/>
          <w:b w:val="1"/>
          <w:bCs w:val="1"/>
          <w:color w:val="auto"/>
        </w:rPr>
        <w:t>Carrying Amount</w:t>
      </w:r>
    </w:p>
    <w:p>
      <w:pPr>
        <w:spacing w:after="0" w:line="42" w:lineRule="exact"/>
        <w:rPr>
          <w:sz w:val="20"/>
          <w:szCs w:val="20"/>
          <w:color w:val="auto"/>
        </w:rPr>
      </w:pPr>
    </w:p>
    <w:p>
      <w:pPr>
        <w:sectPr>
          <w:pgSz w:w="11900" w:h="16838" w:orient="portrait"/>
          <w:cols w:equalWidth="0" w:num="2">
            <w:col w:w="6920" w:space="300"/>
            <w:col w:w="402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80" w:type="dxa"/>
            <w:vAlign w:val="bottom"/>
            <w:tcBorders>
              <w:top w:val="single" w:sz="8" w:color="CCEEFF"/>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User base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5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Weighted-Average</w:t>
            </w:r>
          </w:p>
        </w:tc>
        <w:tc>
          <w:tcPr>
            <w:tcW w:w="300" w:type="dxa"/>
            <w:vAlign w:val="bottom"/>
          </w:tcPr>
          <w:p>
            <w:pPr>
              <w:spacing w:after="0"/>
              <w:rPr>
                <w:sz w:val="16"/>
                <w:szCs w:val="16"/>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6"/>
                <w:szCs w:val="16"/>
                <w:color w:val="auto"/>
              </w:rPr>
            </w:pPr>
          </w:p>
        </w:tc>
        <w:tc>
          <w:tcPr>
            <w:tcW w:w="9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8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Carrying 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3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25"/>
        </w:trPr>
        <w:tc>
          <w:tcPr>
            <w:tcW w:w="5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User base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4"/>
        </w:trPr>
        <w:tc>
          <w:tcPr>
            <w:tcW w:w="562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related to definite-lived intangible assets was $13.0 million, $8.0 million and $1.6 million in 2022, 2021 and 2020,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0" w:name="page81"/>
    <w:bookmarkEnd w:id="8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future amortization expense as of December 31,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9"/>
                <w:szCs w:val="19"/>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rPr>
              <w:t>Amortization</w:t>
            </w:r>
          </w:p>
        </w:tc>
      </w:tr>
      <w:tr>
        <w:trPr>
          <w:trHeight w:val="39"/>
        </w:trPr>
        <w:tc>
          <w:tcPr>
            <w:tcW w:w="9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97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impairment charges have been recorded for intangible assets for 2022, 2021 or 2020.</w:t>
      </w:r>
    </w:p>
    <w:p>
      <w:pPr>
        <w:spacing w:after="0" w:line="16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Credit Facility</w:t>
      </w:r>
      <w:r>
        <w:rPr>
          <w:rFonts w:ascii="Arial" w:cs="Arial" w:eastAsia="Arial" w:hAnsi="Arial"/>
          <w:sz w:val="18"/>
          <w:szCs w:val="18"/>
          <w:color w:val="auto"/>
        </w:rPr>
        <w:t>—The Company maintains a Senior Secured Credit Facilities Credit Agreement with Silicon Valley Bank, which over time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(as amended and restated from time to time, the Credit Agreement). It is secured by certain qualifying accounts receivable of the Company.</w:t>
      </w:r>
    </w:p>
    <w:p>
      <w:pPr>
        <w:spacing w:after="0" w:line="12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Credit Agreement provides for a revolving line of credit of up to $100.0 million with the option to increase up to an additional $25.0 million, including a letter of credit sub-facility in the aggregate amount of $10.0 million, and a swingline sub-facility in the aggregate amount of $10.0 million. In September 2022, the Company amended and restated the Credit Agreement to extend the termination date from September 2, 2023 to December 2, 2023, and to replace the Eurodollar Loan option (which was LIBOR based) with a Secured Overnight Financing Rate (SOFR) Loan option, with any outstanding Eurodollar Loans to convert to SOFR Loans at the next interest period. Under the terms of the Credit Agreement, revolving loans may be either SOFR Loans or ABR Loans. Outstanding SOFR Loans incur interest at the Adjusted SOFR Rate (which is defined in the Credit Agreement as Term SOFR plus a Term SOFR Adjustment equal to 0.10% for 1-month interest periods, 0.15% for 3-month interest periods, and 0.25% for 6-month interest periods, and, in each case, subject to a 1.00% floor), plus a margin of either 3.00% or 2.75% depending on usage. Outstanding ABR Loans will incur interest at the highest of the Prime Rate, as published by the Wall Street Journal, the federal funds rate in effect for such day plus 0.50%, and 3.25%, in each case a margin of either 1.75% or 2.00% will be applicable, depending on usage. The Company is charged a commitment fee of 0.30% per year for committed but unused amounts.</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7, 2022, the Company borrowed $70.0 million as a Eurodollar Loan under the Credit Agreement to finance the cash portion of the purchase consideration for the acquisition of OTB. This borrowing was fully repaid by the Company in December 2022.</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were no outstanding balances under the Credit Agreement at December 31, 2022 or 2021. The available amount to borrow under the Credit Agreement was $98.3 million and $94.7 million as of December 31, 2022 and 2021, respectively, which is equal to the available amount under the Credit Agreement of $100.0 million net of letters of credit with Silicon Valley Bank of $1.7 million and $5.3 million, respectively.</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Credit Agreement contains covenants limiting the Company’s ability to, among other things, dispose of assets, undergo a change in control, merge or consolidate, make acquisitions, incur debt, incur liens, pay dividends, repurchase stock, and make investments, in each case subject to certain exceptions.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Credit Agreement also contains financial covenants requiring the Company to maintain a minimum adjusted quick ratio and a minimum consolidated adjusted EBITDA if the adjusted quick ratio falls below a specified level, measured in each case at the end of each fiscal quarter. The Company is required to furnish audited financial statements within 90 days after the end of the fiscal year. The Company was in compliance with all financial covenants as of December 31, 2022 and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1" w:name="page82"/>
    <w:bookmarkEnd w:id="8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Subordinated Promissory Notes</w:t>
      </w:r>
      <w:r>
        <w:rPr>
          <w:rFonts w:ascii="Arial" w:cs="Arial" w:eastAsia="Arial" w:hAnsi="Arial"/>
          <w:sz w:val="18"/>
          <w:szCs w:val="18"/>
          <w:color w:val="auto"/>
        </w:rPr>
        <w:t>—During 2017, the Company entered into a stock repurchase agreement to repurchase a specific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G common stock from one of the Company’s co-founders. In connection with the stock repurchase agreement, the Company issued subordinated promissory notes (the Notes) with a principal amount totaling $28.5 million to the co-founder. The Notes bore interest on the outstanding principal amount at the rate of 4.2922% per year and were scheduled to mature in January 2026. In November 2021, in connection with the Company’s IPO, the Company repaid in full the outstanding principal amount of $28.5 million and accrued interest on the Notes. Upon repayment of the Notes in November 2021, the Company recognized the remaining unamortized debt premium of $1.5 million as a gain on extinguishment of debt recorded to other gains (losses), net in the consolidated statement of operations.</w:t>
      </w:r>
    </w:p>
    <w:p>
      <w:pPr>
        <w:spacing w:after="0" w:line="13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Commitments and Other Financial Arrangements</w:t>
      </w:r>
      <w:r>
        <w:rPr>
          <w:rFonts w:ascii="Arial" w:cs="Arial" w:eastAsia="Arial" w:hAnsi="Arial"/>
          <w:sz w:val="18"/>
          <w:szCs w:val="18"/>
          <w:color w:val="auto"/>
        </w:rPr>
        <w:t>—The Company has certain financial commitments and other arrangements including unused</w:t>
      </w:r>
      <w:r>
        <w:rPr>
          <w:rFonts w:ascii="Arial" w:cs="Arial" w:eastAsia="Arial" w:hAnsi="Arial"/>
          <w:sz w:val="18"/>
          <w:szCs w:val="18"/>
          <w:b w:val="1"/>
          <w:bCs w:val="1"/>
          <w:color w:val="auto"/>
        </w:rPr>
        <w:t xml:space="preserve"> </w:t>
      </w:r>
      <w:r>
        <w:rPr>
          <w:rFonts w:ascii="Arial" w:cs="Arial" w:eastAsia="Arial" w:hAnsi="Arial"/>
          <w:sz w:val="18"/>
          <w:szCs w:val="18"/>
          <w:color w:val="auto"/>
        </w:rPr>
        <w:t>letters of credit and commitments under leases. See Note 7 – Debt and Note 9 – Leases for further discussion.</w:t>
      </w:r>
    </w:p>
    <w:p>
      <w:pPr>
        <w:spacing w:after="0" w:line="1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Litigation and Other Legal Matters</w:t>
      </w:r>
      <w:r>
        <w:rPr>
          <w:rFonts w:ascii="Arial" w:cs="Arial" w:eastAsia="Arial" w:hAnsi="Arial"/>
          <w:sz w:val="16"/>
          <w:szCs w:val="16"/>
          <w:color w:val="auto"/>
        </w:rPr>
        <w:t>—The Company is involved from time to time in litigation, claims, and proceedings. Periodically,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December 31, 2022 or 2021.</w:t>
      </w:r>
    </w:p>
    <w:p>
      <w:pPr>
        <w:spacing w:after="0" w:line="10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Components of operating lease costs are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6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840" w:type="dxa"/>
            <w:vAlign w:val="bottom"/>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4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gridSpan w:val="2"/>
            <w:shd w:val="clear" w:color="auto" w:fill="CCEEFF"/>
          </w:tcPr>
          <w:p>
            <w:pPr>
              <w:jc w:val="center"/>
              <w:ind w:left="673"/>
              <w:spacing w:after="0"/>
              <w:rPr>
                <w:sz w:val="20"/>
                <w:szCs w:val="20"/>
                <w:color w:val="auto"/>
              </w:rPr>
            </w:pPr>
            <w:r>
              <w:rPr>
                <w:rFonts w:ascii="Arial" w:cs="Arial" w:eastAsia="Arial" w:hAnsi="Arial"/>
                <w:sz w:val="18"/>
                <w:szCs w:val="18"/>
                <w:color w:val="auto"/>
                <w:w w:val="95"/>
              </w:rPr>
              <w:t>8.6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Sublease income</w:t>
            </w: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00" w:type="dxa"/>
            <w:vAlign w:val="bottom"/>
            <w:gridSpan w:val="3"/>
          </w:tcPr>
          <w:p>
            <w:pPr>
              <w:jc w:val="center"/>
              <w:ind w:left="633"/>
              <w:spacing w:after="0"/>
              <w:rPr>
                <w:sz w:val="20"/>
                <w:szCs w:val="20"/>
                <w:color w:val="auto"/>
              </w:rPr>
            </w:pPr>
            <w:r>
              <w:rPr>
                <w:rFonts w:ascii="Arial" w:cs="Arial" w:eastAsia="Arial" w:hAnsi="Arial"/>
                <w:sz w:val="18"/>
                <w:szCs w:val="18"/>
                <w:color w:val="auto"/>
                <w:w w:val="91"/>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center"/>
              <w:ind w:left="673"/>
              <w:spacing w:after="0"/>
              <w:rPr>
                <w:sz w:val="20"/>
                <w:szCs w:val="20"/>
                <w:color w:val="auto"/>
              </w:rPr>
            </w:pPr>
            <w:r>
              <w:rPr>
                <w:rFonts w:ascii="Arial" w:cs="Arial" w:eastAsia="Arial" w:hAnsi="Arial"/>
                <w:sz w:val="18"/>
                <w:szCs w:val="18"/>
                <w:color w:val="auto"/>
                <w:w w:val="95"/>
              </w:rPr>
              <w:t>7.1</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Lease term and discount rate are as follows: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1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710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5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Right-of-use assets were $11.3 million and $13.9 million as of December 31, 2022 and 2021,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maturities of lease liabilities as of December 31,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9"/>
                <w:szCs w:val="19"/>
                <w:color w:val="auto"/>
              </w:rPr>
            </w:pPr>
          </w:p>
        </w:tc>
        <w:tc>
          <w:tcPr>
            <w:tcW w:w="1140" w:type="dxa"/>
            <w:vAlign w:val="bottom"/>
          </w:tcPr>
          <w:p>
            <w:pPr>
              <w:jc w:val="right"/>
              <w:ind w:right="372"/>
              <w:spacing w:after="0"/>
              <w:rPr>
                <w:sz w:val="20"/>
                <w:szCs w:val="20"/>
                <w:color w:val="auto"/>
              </w:rPr>
            </w:pPr>
            <w:r>
              <w:rPr>
                <w:rFonts w:ascii="Arial" w:cs="Arial" w:eastAsia="Arial" w:hAnsi="Arial"/>
                <w:sz w:val="14"/>
                <w:szCs w:val="14"/>
                <w:b w:val="1"/>
                <w:bCs w:val="1"/>
                <w:color w:val="auto"/>
              </w:rPr>
              <w:t>Amount</w:t>
            </w:r>
          </w:p>
        </w:tc>
      </w:tr>
      <w:tr>
        <w:trPr>
          <w:trHeight w:val="39"/>
        </w:trPr>
        <w:tc>
          <w:tcPr>
            <w:tcW w:w="9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9800" w:type="dxa"/>
            <w:vAlign w:val="bottom"/>
            <w:gridSpan w:val="2"/>
          </w:tcPr>
          <w:p>
            <w:pPr>
              <w:ind w:left="360"/>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9800" w:type="dxa"/>
            <w:vAlign w:val="bottom"/>
            <w:gridSpan w:val="2"/>
          </w:tcPr>
          <w:p>
            <w:pPr>
              <w:ind w:left="360"/>
              <w:spacing w:after="0"/>
              <w:rPr>
                <w:sz w:val="20"/>
                <w:szCs w:val="20"/>
                <w:color w:val="auto"/>
              </w:rPr>
            </w:pPr>
            <w:r>
              <w:rPr>
                <w:rFonts w:ascii="Arial" w:cs="Arial" w:eastAsia="Arial" w:hAnsi="Arial"/>
                <w:sz w:val="18"/>
                <w:szCs w:val="18"/>
                <w:color w:val="auto"/>
              </w:rPr>
              <w:t>Less: lease liabilities, current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 noncurrent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connection with the Company’s IPO which was completed on November 8, 2021, all 7.5 million shares of the Company’s then-outstanding Series A redeemable convertible preferred stock automatically converted into an equal number of shares of Class A common stock.</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Series A redeemable convertible preferred stock activity is as follows: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00" w:type="dxa"/>
            <w:vAlign w:val="bottom"/>
          </w:tcPr>
          <w:p>
            <w:pPr>
              <w:spacing w:after="0"/>
              <w:rPr>
                <w:sz w:val="20"/>
                <w:szCs w:val="20"/>
                <w:color w:val="auto"/>
              </w:rPr>
            </w:pPr>
            <w:r>
              <w:rPr>
                <w:rFonts w:ascii="Arial" w:cs="Arial" w:eastAsia="Arial" w:hAnsi="Arial"/>
                <w:sz w:val="14"/>
                <w:szCs w:val="14"/>
                <w:i w:val="1"/>
                <w:iCs w:val="1"/>
                <w:color w:val="auto"/>
              </w:rPr>
              <w:t>(in millions, except share amounts which are in thousands)</w:t>
            </w:r>
          </w:p>
        </w:tc>
        <w:tc>
          <w:tcPr>
            <w:tcW w:w="1040" w:type="dxa"/>
            <w:vAlign w:val="bottom"/>
          </w:tcPr>
          <w:p>
            <w:pPr>
              <w:spacing w:after="0"/>
              <w:rPr>
                <w:sz w:val="16"/>
                <w:szCs w:val="16"/>
                <w:color w:val="auto"/>
              </w:rPr>
            </w:pPr>
          </w:p>
        </w:tc>
        <w:tc>
          <w:tcPr>
            <w:tcW w:w="1680" w:type="dxa"/>
            <w:vAlign w:val="bottom"/>
          </w:tcPr>
          <w:p>
            <w:pPr>
              <w:jc w:val="right"/>
              <w:ind w:right="11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tcPr>
          <w:p>
            <w:pPr>
              <w:jc w:val="right"/>
              <w:ind w:right="11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700" w:type="dxa"/>
            <w:vAlign w:val="bottom"/>
            <w:vMerge w:val="continue"/>
          </w:tcPr>
          <w:p>
            <w:pPr>
              <w:spacing w:after="0"/>
              <w:rPr>
                <w:sz w:val="16"/>
                <w:szCs w:val="16"/>
                <w:color w:val="auto"/>
              </w:rPr>
            </w:pP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1760" w:type="dxa"/>
            <w:vAlign w:val="bottom"/>
            <w:gridSpan w:val="2"/>
          </w:tcPr>
          <w:p>
            <w:pPr>
              <w:ind w:left="76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1680" w:type="dxa"/>
            <w:vAlign w:val="bottom"/>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beginning of year</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67"/>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Repurchase of Series A redeemable convertible preferred stock</w:t>
            </w: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7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Conversion of Series A redeemable convertible preferred stock to Class A common</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2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6"/>
              </w:rPr>
              <w:t>Conversion of Series A redeemable convertible preferred stock to Class A common</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stock upon initial public offering</w:t>
            </w: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end of year</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March 2021, the Company repurchased 0.1 million shares of Series A redeemable convertible preferred stock from an affiliated entity of a former member of its Board of Directors for $2.1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—Under the Company’s amended and restated certificate of incorporation, which became effective upon completion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IPO on November 8, 2021, the Company is authorized to issue 5.0 million shares of preferred stock with a par value of $0.0001 per share. The Company’s Board of Directors may fix the rights, preferences, privileges and restrictions of the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Company’s common stock. There were no shares of preferred stock outstanding as of December 31, 2022 or 2021.</w:t>
      </w:r>
    </w:p>
    <w:p>
      <w:pPr>
        <w:spacing w:after="0" w:line="11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Common Stock</w:t>
      </w:r>
      <w:r>
        <w:rPr>
          <w:rFonts w:ascii="Arial" w:cs="Arial" w:eastAsia="Arial" w:hAnsi="Arial"/>
          <w:sz w:val="16"/>
          <w:szCs w:val="16"/>
          <w:color w:val="auto"/>
        </w:rPr>
        <w:t>—Under the Company’s amended and restated certificate of incorporation, which became effective upon completion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IPO on November 8, 2021, the Company is authorized to issue 296.7 million shares of common stock with a par value of $0.0001 per share, including 265.0 million shares of Class A common stock and 31.7 million shares of Class B common stock. In connection with the Company’s IPO, all 31.7 million shares of the Company’s then-outstanding Class F common stock were converted into an equal number of shares of Class B common stock.</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3" w:name="page84"/>
    <w:bookmarkEnd w:id="8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Holders of all classes of common stock are entitled to dividends when, as and if, declared by the Company’s Board of Directors, subject to the rights of the holders of all classes of stock outstanding having priority rights to dividends. The holder of each share of Class A common stock is entitled to one vote, while the holder of each share of Class B common stock is entitled to 10 votes. Prior to the Company’s IPO, the holder of each share of Class F common stock was entitled to 10 votes and the holders of Class G common stock were not entitled to vote.</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Shares of Class B common stock are convertible, at any time at the option of the holder, into an equal number of shares of Class A common stock and automatically convertible upon Transfer, as defined below. Prior to the Company’s IPO, shares of Class F common stock and Class G common stock were convertible into an equivalent number of shares of Class A common stock and generally converted into shares of Class A common stock upon Transfer, as defined below. Class F common stock was convertible at the option of the holder at any time upon written notice to the transfer agent of the corporation and was automatically convertible upon Transfer. Class G common stock was not convertible at the option of the holder and was only automatically convertible upon Transfer.</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Transfer is defined as any sale, assignment, transfer, conveyance, hypothecation or other transfer or disposition of such share or any legal or beneficial interest in such share, whether or not for value and whether voluntary or involuntary or by operation of law.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2022 and 2021, there were 43.4 million and 35.0 million shares of Class A common stock issued and outstanding,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B common stock issued and outstanding were 31.7 million as of both December 31, 2022 and 2021.</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8, 2021, the Company completed its IPO, in which the Company sold 8.3 million shares of its Class A common stock, which includes the exercise in full of the underwriters’ option to purchase 1.1 million shares of Class A common stock, at a public offering price of $18.00 per share. The net proceeds to the Company from the IPO were $140.0 million after deducting underwriting discounts and commissions of $10.1 million. Additionally, the Company incurred offering costs of $5.2 million related to the IPO.</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November 2020, the Company entered into a Class A Common Stock Purchase Agreement to sell shares of Class A common stock at $14.00 per share. The Company sold and issued approximately 3.9 million shares for gross proceeds of $54.3 million.</w:t>
      </w:r>
    </w:p>
    <w:p>
      <w:pPr>
        <w:spacing w:after="0" w:line="1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Common Stock Transfers and Repurchase</w:t>
      </w:r>
      <w:r>
        <w:rPr>
          <w:rFonts w:ascii="Arial" w:cs="Arial" w:eastAsia="Arial" w:hAnsi="Arial"/>
          <w:sz w:val="18"/>
          <w:szCs w:val="18"/>
          <w:color w:val="auto"/>
        </w:rPr>
        <w:t>—In February 2021, the Company waived its right of first refusal and the CEO entered into a stock</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agreement to sell approximately 0.1 million shares of Class A common stock to an existing investor at $14.00 per share for an aggregate purchase price of $2.1 million. The price per share was equivalent to the estimated fair value of the Company’s common stock on December 31, 2020 as determined by its Board of Directors with the assistance of a third-party valuation specialist.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January 2021, the Company waived its right of first refusal and the CEO entered into a stock transfer agreement to sell approximately 1.1 million shares of Class F common stock to an existing investor at $14.00 per share for an aggregate purchase price of $15.0 million. Upon consummation of the sale to the third party, the shares of Class F common stock were automatically converted into shares of Class A common stock on a 1:1 basis in accordance with the rights and preferences of the Class F common stock. The price per share was equivalent to the estimated fair value of the Company’s common stock on December 31, 2020 as determined by its Board of Directors with the assistance of a third-party valuation specialist.</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Also in January 2021, the Company entered into a repurchase agreement with the CEO to repurchase approximately 0.9 million shares of Class F common stock at $14.00 per share for an aggregate purchase price of $12.4 million.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2020, the Company waived its right of first refusal and the CEO entered into a stock transfer agreement to sell approximately 0.5 million shares of Class F common stock to a third party at $14.00 per share for an aggregate purchase price of $7.7 million. Upon consummation of the sale to the third party, the 0.5 million shares of Class F common stock were automatically converted into shares of Class A common stock on a 1:1 basis in accordance with the rights and preferences of the Class F common stock. No compensation expense was recorded on this transaction as management concluded that it was not a mechanism to provide compensation to employees, but rather an arms-length transaction between willing buyers and willing sellers, at a price per share determined by a third party.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2020, four new investors led an offer to purchase approximately 1.7 million shares of Class A common stock from existing employees and service providers that hold common stock and vested options at a price of $14.00 per share for an aggregate purchase price of $23.8 million. The transaction was initiated by, and the purchase price was set by, the new investors. No compensation expense was recorded on the transaction as management concluded that it was not a mechanism to provide compensation to employees, but rather an arms-length transaction between willing buyers and willing sellers, at a price per share determined by a third party.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Shares Reserved for Future Issuance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reserved the following shares of Class A common stock for future issuance: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outstanding from stock options and restricted stock units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10,261</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Shares available for future equity award grants</w:t>
            </w:r>
          </w:p>
        </w:tc>
        <w:tc>
          <w:tcPr>
            <w:tcW w:w="1440" w:type="dxa"/>
            <w:vAlign w:val="bottom"/>
          </w:tcPr>
          <w:p>
            <w:pPr>
              <w:jc w:val="right"/>
              <w:spacing w:after="0"/>
              <w:rPr>
                <w:sz w:val="20"/>
                <w:szCs w:val="20"/>
                <w:color w:val="auto"/>
              </w:rPr>
            </w:pPr>
            <w:r>
              <w:rPr>
                <w:rFonts w:ascii="Arial" w:cs="Arial" w:eastAsia="Arial" w:hAnsi="Arial"/>
                <w:sz w:val="18"/>
                <w:szCs w:val="18"/>
                <w:color w:val="auto"/>
              </w:rPr>
              <w:t>7,554</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3,679</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available for future ESPP offerings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6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 shares reserved</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21,272</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14,781</w:t>
            </w:r>
          </w:p>
        </w:tc>
      </w:tr>
      <w:tr>
        <w:trPr>
          <w:trHeight w:val="21"/>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Equity Incentive Plans</w:t>
      </w:r>
      <w:r>
        <w:rPr>
          <w:rFonts w:ascii="Arial" w:cs="Arial" w:eastAsia="Arial" w:hAnsi="Arial"/>
          <w:sz w:val="18"/>
          <w:szCs w:val="18"/>
          <w:color w:val="auto"/>
        </w:rPr>
        <w:t>—In 2012, the Company’s Board of Directors approved the adoption of the 2012 Equity Incentive Plan (the 2012 Plan). In</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2021, the Company’s Board of Directors approved the adoption of the 2021 Equity Incentive Plan (the 2021 Plan) and the termination of the 2012 Plan, both of which became effective in connection with the Company’s IPO completed on November 8, 2021.</w:t>
      </w:r>
    </w:p>
    <w:p>
      <w:pPr>
        <w:spacing w:after="0" w:line="12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2021 Plan had an initial authorization to grant share-based awards for up to 4.1 million shares of Class A common stock, and additionally provides that any shares subject to outstanding awards under the 2012 Plan that are terminated, expire, are forfeited due to a failure to vest, are reacquired or withheld to satisfy a tax withholding obligation or to satisfy the purchase price or exercise price of a stock award will be added to the 2021 Plan and made available for future issuance. The termination of the 2012 Plan had no impact on the terms of outstanding awards under that plan. At the Company’s 2022 annual meeting of stockholders on May 25, 2022, the stockholders approved an amendment to the 2021 Equity Incentive Plan to increase the aggregate number of shares of Class A common stock reserved for issuance thereunder by 8.0 million shares. The number of shares of Class A common stock reserved for issuance under the 2021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Additionally, concurrent with the closing of the acquisition of OTB on July 11, 2022, the Compensation Committee of the Company’s Board of Directors granted RSU awards under the Inducement Plan to employees of OTB who were offered employment with the Company. See Note 5</w:t>
      </w:r>
      <w:r>
        <w:rPr>
          <w:rFonts w:ascii="Arial" w:cs="Arial" w:eastAsia="Arial" w:hAnsi="Arial"/>
          <w:sz w:val="17"/>
          <w:szCs w:val="17"/>
          <w:b w:val="1"/>
          <w:bCs w:val="1"/>
          <w:color w:val="auto"/>
        </w:rPr>
        <w:t>—</w:t>
      </w:r>
      <w:r>
        <w:rPr>
          <w:rFonts w:ascii="Arial" w:cs="Arial" w:eastAsia="Arial" w:hAnsi="Arial"/>
          <w:sz w:val="17"/>
          <w:szCs w:val="17"/>
          <w:color w:val="auto"/>
        </w:rPr>
        <w:t>Business Combination for further discussion. The 2021 Plan and the predecessor 2012 Plan, both as amended, along with the Inducement Plan (collectively, the Plans) provide for the grant of incentive and non-statutory stock options, stock appreciation rights, restricted stock units and restricted stock awards to employees, non-employee directors and consultants of the Company. Options to purchase Class A common stock granted under the Plans continue to vest until the last day of employment and generally will vest 25% in the first year and monthly thereafter (for a total vesting period of 4 years), and expire 10 years from the date of grant. Class A common stock awards are generally issued to officers, directors, employees and consultants, and vest according to an award-specific schedule as approved by the Board of Directors.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of incentive stock options granted under the Plans must be at least equal to 100% of the fair market value of the Company’s Class A common stock at the date of grant, as determined by the Board of Directors. The exercise price must not be less than 110% of the fair market value of the Company’s Class A common stock at the date of grant for incentive stock options granted to an employee that owns greater than 10% of the Company stock.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for its Plans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spacing w:after="0"/>
              <w:rPr>
                <w:sz w:val="15"/>
                <w:szCs w:val="15"/>
                <w:color w:val="auto"/>
              </w:rPr>
            </w:pPr>
          </w:p>
        </w:tc>
      </w:t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5"/>
                <w:szCs w:val="15"/>
                <w:color w:val="auto"/>
              </w:rPr>
            </w:pP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Aggregate Intrinsic</w:t>
            </w:r>
          </w:p>
        </w:tc>
      </w:t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00"/>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6"/>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1,324</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Cancelled/forfeited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(309)</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21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Vested and exercisable as of December 31, 2022</w:t>
            </w:r>
          </w:p>
        </w:tc>
        <w:tc>
          <w:tcPr>
            <w:tcW w:w="1320" w:type="dxa"/>
            <w:vAlign w:val="bottom"/>
          </w:tcPr>
          <w:p>
            <w:pPr>
              <w:jc w:val="right"/>
              <w:spacing w:after="0"/>
              <w:rPr>
                <w:sz w:val="20"/>
                <w:szCs w:val="20"/>
                <w:color w:val="auto"/>
              </w:rPr>
            </w:pPr>
            <w:r>
              <w:rPr>
                <w:rFonts w:ascii="Arial" w:cs="Arial" w:eastAsia="Arial" w:hAnsi="Arial"/>
                <w:sz w:val="18"/>
                <w:szCs w:val="18"/>
                <w:color w:val="auto"/>
              </w:rPr>
              <w:t>3,861</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26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weighted-average grant-date fair value of options granted during 2022, 2021 and 2020 was $5.54, $9.60 and $6.28 per share, respectively. The intrinsic value of options exercised was $6.7 million, $30.0 million and $25.9 million during 2022, 2021 and 2020, respectively.</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unrecognized compensation cost related to non-vested stock options granted under the Plans was $15.6 million as of December 31, 2022, with the cost expected to be recognized over a weighted-average period of 2.6 years.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estimates the fair values of options awarded on the date of grant using the Black-Scholes-Merton option-pricing model, which requires inputs, including the fair value of common stock, expected term, expected volatility, risk-free interest and dividend yield.</w:t>
      </w:r>
    </w:p>
    <w:p>
      <w:pPr>
        <w:spacing w:after="0" w:line="11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Company estimates the expected term of options using the simplified method described in Staff Accounting Bulletin Topic 14, as amended, as it does not have sufficient historical experience for determining the expected term of the awards granted. Expected volatility is estimated based on the average historical volatility of similar entities with publicly traded shares. The risk-free rate for the expected term of the option is based on the U.S. Treasury yield curve at the date of grant. The expected dividend yield was 0% as the Company has not paid, and does not expect to pay, cash dividends. For awards granted prior to the IPO, the Company’s Board of Directors considered numerous objective and subjective factors to determine the fair value of the Company’s Class A common stock at each meeting at which awards were approved. These factors included, but were not limited to</w:t>
      </w:r>
    </w:p>
    <w:p>
      <w:pPr>
        <w:spacing w:after="0" w:line="4" w:lineRule="exact"/>
        <w:rPr>
          <w:sz w:val="20"/>
          <w:szCs w:val="20"/>
          <w:color w:val="auto"/>
        </w:rPr>
      </w:pPr>
    </w:p>
    <w:p>
      <w:pPr>
        <w:jc w:val="both"/>
        <w:ind w:firstLine="8"/>
        <w:spacing w:after="0" w:line="255"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contemporaneous third-party valuations of Class A common stock; (ii) the rights and preferences of Redeemable Convertible Preferred Stock compared to Class A common stock; (iii) the lack of marketability of Class A common stock; (iv) developments in the business; and (v) the likelihood of achieving a liquidity event, such as an IPO or a sale of the Company, given prevailing market conditions.</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per-share fair value of each stock option was determined on the date of grant using the following weighted-average assumptions and ranges of fair value of common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39"/>
        </w:trPr>
        <w:tc>
          <w:tcPr>
            <w:tcW w:w="6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52.2 %</w:t>
            </w:r>
          </w:p>
        </w:tc>
      </w:tr>
      <w:tr>
        <w:trPr>
          <w:trHeight w:val="27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0.6 %</w:t>
            </w:r>
          </w:p>
        </w:tc>
      </w:tr>
    </w:tbl>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2021, the Company entered into an Option Cancellation Agreement with a former member of its Board of Directors and his affiliated entity, pursuant to which the Company cancelled options to purchase an aggregate of 0.2 million shares of Class A common stock. The total consideration paid for the option cancellation was $2.4 million, of which $1.0 million was recognized as compensation expense for the excess amount paid over the purchase-date fair market value of the options.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2019, the Company entered into an Option Cancellation Agreement with a former member of its Board of Directors and his affiliated entity, pursuant to which the Company cancelled an option to purchase 0.1 million shares of Class A common stock held by Camelot Financial Capital Management LLC for consideration equal to $10.20 per share, minus the exercise price for the shares underlying such option. The total consideration paid to Camelot Financial Capital Management LLC was $0.8 million.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6" w:name="page87"/>
    <w:bookmarkEnd w:id="8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—The Plans also provide for the issuance of RSUs of the Company’s common stock to eligible participants. During 2020,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began issuing RSUs to certain employees and directors under the 2012 Plan. These RSUs are subject to service-based vesting conditions. The service-based vesting condition is generally satisfied over four years.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outstanding nonvested RSUs for its Plans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10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62"/>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00"/>
        </w:trPr>
        <w:tc>
          <w:tcPr>
            <w:tcW w:w="8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
        </w:trPr>
        <w:tc>
          <w:tcPr>
            <w:tcW w:w="8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2021</w:t>
            </w:r>
          </w:p>
        </w:tc>
        <w:tc>
          <w:tcPr>
            <w:tcW w:w="132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3"/>
              </w:rPr>
              <w:t>3,818</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7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center"/>
              <w:ind w:left="695"/>
              <w:spacing w:after="0"/>
              <w:rPr>
                <w:sz w:val="20"/>
                <w:szCs w:val="20"/>
                <w:color w:val="auto"/>
              </w:rPr>
            </w:pPr>
            <w:r>
              <w:rPr>
                <w:rFonts w:ascii="Arial" w:cs="Arial" w:eastAsia="Arial" w:hAnsi="Arial"/>
                <w:sz w:val="18"/>
                <w:szCs w:val="18"/>
                <w:color w:val="auto"/>
                <w:w w:val="93"/>
              </w:rPr>
              <w:t>6,416</w:t>
            </w: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0"/>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center"/>
              <w:ind w:left="675"/>
              <w:spacing w:after="0"/>
              <w:rPr>
                <w:sz w:val="20"/>
                <w:szCs w:val="20"/>
                <w:color w:val="auto"/>
              </w:rPr>
            </w:pPr>
            <w:r>
              <w:rPr>
                <w:rFonts w:ascii="Arial" w:cs="Arial" w:eastAsia="Arial" w:hAnsi="Arial"/>
                <w:sz w:val="18"/>
                <w:szCs w:val="18"/>
                <w:color w:val="auto"/>
                <w:w w:val="91"/>
              </w:rPr>
              <w:t>(1,521)</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70"/>
        </w:trPr>
        <w:tc>
          <w:tcPr>
            <w:tcW w:w="8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w w:val="91"/>
              </w:rPr>
              <w:t>(1,308)</w:t>
            </w:r>
          </w:p>
        </w:tc>
        <w:tc>
          <w:tcPr>
            <w:tcW w:w="30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2022</w:t>
            </w:r>
          </w:p>
        </w:tc>
        <w:tc>
          <w:tcPr>
            <w:tcW w:w="132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93"/>
              </w:rPr>
              <w:t>7,405</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fair value of shares that vested under RSUs was $17.7 million and $12.2 million during 2022 and 2021, respectively.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Unrecognized compensation cost related to RSUs was $84.1 million as of December 31, 2022, with these costs expected to be recognized over a weighted-average period of approximately 2.9 years.</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Employee Stock Purchase Plan</w:t>
      </w:r>
      <w:r>
        <w:rPr>
          <w:rFonts w:ascii="Arial" w:cs="Arial" w:eastAsia="Arial" w:hAnsi="Arial"/>
          <w:sz w:val="17"/>
          <w:szCs w:val="17"/>
          <w:color w:val="auto"/>
        </w:rPr>
        <w:t>—The Company sponsors an ESPP which became effective in connection with the Company’s IPO completed on</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8, 2021. The ESPP allows eligible employees to buy shares of the Company’s Class A common stock at a 15% discount of the stock’s market value on defined dates. The ESPP authorizes the issuance of 0.8 million shares of the Company’s Class A common stock under purchase rights granted to eligible employees, with automatic increases in the number of shares reserved for issuance on January 1 of each calendar year, beginning in 2023 and through 2031, subject to terms of the ESPP. There were 0.6 million shares of the Company’s Class A common stock purchased under the ESPP during 2022. Prior to capitalizing amounts related to software development costs, the Company recognized stock-based compensation related to the ESPP of $6.3 million and $0.8 million during 2022 and 2021, respectively. Unrecognized compensation cost related to the ESPP was $4.0 million as of December 31, 2022, with these costs expected to be recognized over a period of 1.0 year through the end of the initial offering period. The impact of forfeitures under the ESPP are recognized as forfeitures occur.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purchase rights granted under the ESPP were determined on the date of grant using the following weighted-average assumptions: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39"/>
        </w:trPr>
        <w:tc>
          <w:tcPr>
            <w:tcW w:w="7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49.8 %</w:t>
            </w:r>
          </w:p>
        </w:tc>
      </w:tr>
      <w:tr>
        <w:trPr>
          <w:trHeight w:val="24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0.4 %</w:t>
            </w:r>
          </w:p>
        </w:tc>
      </w:tr>
    </w:tbl>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recognized stock-based compensation under the Plans and ESPP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9"/>
                <w:szCs w:val="19"/>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39"/>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1"/>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stock-based compensation of $6.3 million, $3.3 million and $1.6 million was capitalized related to software development costs in 2022, 2021 and 2020,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7" w:name="page88"/>
    <w:bookmarkEnd w:id="8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did not recognize any tax benefit for stock-based compensation arrangements in 2022 or 2021 due to the establishment of a valuation allowance. The Company recognized a tax benefit for stock-based compensation arrangements of $4.7 million in 2020, including an excess tax benefit of $3.7 million.</w:t>
      </w:r>
    </w:p>
    <w:p>
      <w:pPr>
        <w:spacing w:after="0" w:line="126"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Income (loss) before the provision for (benefit from) income taxes consisted of the following:</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4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76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The components of the provision for (benefit from) income taxes are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7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7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9"/>
                <w:szCs w:val="19"/>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80" w:type="dxa"/>
            <w:vAlign w:val="bottom"/>
            <w:gridSpan w:val="5"/>
          </w:tcPr>
          <w:p>
            <w:pPr>
              <w:ind w:left="340"/>
              <w:spacing w:after="0"/>
              <w:rPr>
                <w:sz w:val="20"/>
                <w:szCs w:val="20"/>
                <w:color w:val="auto"/>
              </w:rPr>
            </w:pPr>
            <w:r>
              <w:rPr>
                <w:rFonts w:ascii="Arial" w:cs="Arial" w:eastAsia="Arial" w:hAnsi="Arial"/>
                <w:sz w:val="18"/>
                <w:szCs w:val="18"/>
                <w:color w:val="auto"/>
                <w:w w:val="94"/>
              </w:rPr>
              <w:t>The reconciliation of the statutory federal income tax rate to the Company’s effective tax rate is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7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9"/>
                <w:szCs w:val="19"/>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at federal statutory rate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Permanent items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contingency and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State taxes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Non-deductible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at effective tax rate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valuation allowance decreased by $3.7 million in 2022, mainly attributable to a corresponding reduction in the valuation allowance for a deferred tax liability related to the acquisition of OTB (see further discussion below), and corresponding changes in deferred tax assets, primarily net operating loss carryforwards and federal and state tax credits, partially offset by capitalization of research and development expenses under new tax regulations effective in 2022.</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8" w:name="page89"/>
    <w:bookmarkEnd w:id="8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Company’s deferred tax assets and liabilities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9"/>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Accruals and reserves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and state 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Capitalized research and development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Right-of-use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Basis difference for fixed assets and 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7"/>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 gross deferred tax liabilities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6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deferred tax liability is recorded in Other Liabilities—Noncurrent on the Company’s consolidated balance sheet.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the acquisition of OTB on July 11, 2022, the Company recorded identified intangible assets of $50.1 million. As these identified intangible assets are not deductible for U.S. tax purposes, a related deferred tax liability of $12.1 million was recognized, which provided an additional source of taxable income to support the realization of a portion of the Company’s pre-existing U.S. deferred tax assets. As the Company had previously established a full valuation allowance against its net U.S. deferred tax assets, the Company reduced its deferred tax asset valuation allowance by a corresponding $12.1 million, with the reduction in allowance recognized as an income tax benefit in the consolidated statement of operations for the year ended December 31, 2022.</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2022, the Company has federal net operating loss carryforwards of $6.3 million, of which $3.4 million, if not utilized, will begin to expire in 2034, and the remaining $2.9 million can be carried forward indefinitely. As of December 31, 2022, the Company has state net operating loss carryforwards of $32.9 million. The majority of state net operating loss carryforwards, if not utilized, will begin to expire on various dates beginning in 2032.</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as of December 31, 2022, the Company has $16.0 million and $9.6 million of California and federal research and development credit carryforwards, respectively. The California credits can be carried forward indefinitely. The federal credits will begin to expire on various dates beginning in 2040 and continuing through 2042.</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sufficient future taxable income during the periods in which those temporary differences become deductible. Management considers projected future taxable income and tax-planning strategies in making this assessment. Based on the Company’s ongoing assessment of all available evidence, both positive and negative, including consideration of the Company’s historical profitability and the estimated impact of its operating model on future profitability, the Company concluded that it was more likely than not that its U.S. deferred tax assets in excess of deferred tax liabilities would not be realized. Accordingly, the Company recorded a valuation allowance against these net U.S. deferred tax assets as of December 31, 2022. The Company’s judgment regarding the likelihood of realization of these deferred tax assets could change in future periods, which could result in a material impact to the Company’s income tax provision in the period of change.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9" w:name="page90"/>
    <w:bookmarkEnd w:id="8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unrecognized tax benefits, excluding accrued interest and penalties,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39"/>
        </w:trPr>
        <w:tc>
          <w:tcPr>
            <w:tcW w:w="6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beginning of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ind w:left="573"/>
              <w:spacing w:after="0"/>
              <w:rPr>
                <w:sz w:val="20"/>
                <w:szCs w:val="20"/>
                <w:color w:val="auto"/>
              </w:rPr>
            </w:pPr>
            <w:r>
              <w:rPr>
                <w:rFonts w:ascii="Arial" w:cs="Arial" w:eastAsia="Arial" w:hAnsi="Arial"/>
                <w:sz w:val="18"/>
                <w:szCs w:val="18"/>
                <w:color w:val="auto"/>
                <w:w w:val="87"/>
              </w:rPr>
              <w:t>4.8</w:t>
            </w: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3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573"/>
              <w:spacing w:after="0"/>
              <w:rPr>
                <w:sz w:val="20"/>
                <w:szCs w:val="20"/>
                <w:color w:val="auto"/>
              </w:rPr>
            </w:pPr>
            <w:r>
              <w:rPr>
                <w:rFonts w:ascii="Arial" w:cs="Arial" w:eastAsia="Arial" w:hAnsi="Arial"/>
                <w:sz w:val="18"/>
                <w:szCs w:val="18"/>
                <w:color w:val="auto"/>
                <w:w w:val="87"/>
              </w:rPr>
              <w:t>0.3</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97"/>
              </w:rPr>
              <w:t>(0.1)</w:t>
            </w: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Expiration of statute of limitations</w:t>
            </w:r>
          </w:p>
        </w:tc>
        <w:tc>
          <w:tcPr>
            <w:tcW w:w="3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center"/>
              <w:ind w:left="553"/>
              <w:spacing w:after="0"/>
              <w:rPr>
                <w:sz w:val="20"/>
                <w:szCs w:val="20"/>
                <w:color w:val="auto"/>
              </w:rPr>
            </w:pPr>
            <w:r>
              <w:rPr>
                <w:rFonts w:ascii="Arial" w:cs="Arial" w:eastAsia="Arial" w:hAnsi="Arial"/>
                <w:sz w:val="18"/>
                <w:szCs w:val="18"/>
                <w:color w:val="auto"/>
                <w:w w:val="97"/>
              </w:rPr>
              <w:t>(0.1)</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year increases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573"/>
              <w:spacing w:after="0"/>
              <w:rPr>
                <w:sz w:val="20"/>
                <w:szCs w:val="20"/>
                <w:color w:val="auto"/>
              </w:rPr>
            </w:pPr>
            <w:r>
              <w:rPr>
                <w:rFonts w:ascii="Arial" w:cs="Arial" w:eastAsia="Arial" w:hAnsi="Arial"/>
                <w:sz w:val="18"/>
                <w:szCs w:val="18"/>
                <w:color w:val="auto"/>
                <w:w w:val="87"/>
              </w:rPr>
              <w:t>1.4</w:t>
            </w:r>
          </w:p>
        </w:tc>
      </w:tr>
      <w:tr>
        <w:trPr>
          <w:trHeight w:val="26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Balance as of end of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center"/>
              <w:ind w:left="573"/>
              <w:spacing w:after="0"/>
              <w:rPr>
                <w:sz w:val="20"/>
                <w:szCs w:val="20"/>
                <w:color w:val="auto"/>
              </w:rPr>
            </w:pPr>
            <w:r>
              <w:rPr>
                <w:rFonts w:ascii="Arial" w:cs="Arial" w:eastAsia="Arial" w:hAnsi="Arial"/>
                <w:sz w:val="18"/>
                <w:szCs w:val="18"/>
                <w:color w:val="auto"/>
                <w:w w:val="87"/>
              </w:rPr>
              <w:t>6.3</w:t>
            </w:r>
          </w:p>
        </w:tc>
      </w:tr>
      <w:tr>
        <w:trPr>
          <w:trHeight w:val="21"/>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and penalties were not material for 2022 and 2021. The Company accrued $0.1 million for interest and penalties on its uncertain tax positions for 2020. Unrecognized tax benefits of $0.4 million, as well as accrued interest and penalties, would affect the Company’s provision for income taxes if recognized. The Company does not anticipate that its total unrecognized tax benefits will significantly change due to settlement of examination or the expiration of statute of limitations during the next 12 months.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and various state jurisdictions. The Company’s tax years for 2014 and forward are subject to examination by U.S. and various state tax authorities due to certain acquired attribute carryforwards.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Basic and Diluted Share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computes earnings per share (EPS) in conformity with the two-class method required for participating securities. The two-class method is an earnings allocation method that determines net income (loss) per share for each class of common stock and participating securities according to dividends declared (or accumulated) and participation rights in undistributed earnings or losses. We consider early exercised share options to be participating securities. The impact of early exercised share options on basic and diluted EPS was immaterial for 2022, 2021 and 2020.</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EPS is computed by dividing net income (loss) available to common stockholders by the weighted average number of common stock outstanding during the period. Diluted EPS is computed by dividing income (loss) attributable to common stockholders by the number of diluted shares outstanding. Diluted shares equal the total of the basic shares outstanding and all potentially issuable shares, other than antidilutive shares, if any, weighted for the average days outstanding for the period. The dilutive effect of outstanding awards and convertible securities is reflected in diluted earnings per share by application of the treasury stock method.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the numerators and denominators of the basic and diluted per share computations for net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common stockholders: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9"/>
                <w:szCs w:val="19"/>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7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common stockholders – 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Weighted-average shares of common stock – basic</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 and restricted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Effect of potentially dilutive Series A redeemable convertible preferred stock</w:t>
            </w:r>
          </w:p>
        </w:tc>
        <w:tc>
          <w:tcPr>
            <w:tcW w:w="2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shares of common stock – diluted</w:t>
            </w: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Net income (loss) per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as well as of Class F stock prior to the Company’s IPO in November 2021, are identical, except with respect to voting and conversion. See Note 11–Stockholders’ Equity for further discussion. As the liquidation and dividend rights are identical for Class A, Class B and predecessor Class F common stock, the undistributed earnings are allocated on a proportional basis and the resulting net income (loss) attributable to common stockholders will be the same for Class A, Class B and the predecessor Class F common stock on an individual or combined basis.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income (loss) per share for the periods presented because including them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3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r>
      <w:tr>
        <w:trPr>
          <w:trHeight w:val="39"/>
        </w:trPr>
        <w:tc>
          <w:tcPr>
            <w:tcW w:w="7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4"/>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subject to outstanding stock options and restricted stock units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5.0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20" w:type="dxa"/>
            <w:vAlign w:val="bottom"/>
          </w:tcPr>
          <w:p>
            <w:pPr>
              <w:jc w:val="right"/>
              <w:ind w:right="216"/>
              <w:spacing w:after="0"/>
              <w:rPr>
                <w:sz w:val="20"/>
                <w:szCs w:val="20"/>
                <w:color w:val="auto"/>
              </w:rPr>
            </w:pPr>
            <w:r>
              <w:rPr>
                <w:rFonts w:ascii="Arial" w:cs="Arial" w:eastAsia="Arial" w:hAnsi="Arial"/>
                <w:sz w:val="18"/>
                <w:szCs w:val="18"/>
                <w:color w:val="auto"/>
              </w:rPr>
              <w:t>0.6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sponsors a 401(k) savings plan (the Savings Plan). All employees are eligible to participate in the Savings Plan after meeting certain eligibility requirements. Participants may elect to have a portion of their salary deferred and contributed to the Savings Plan up to the limit allowed by the applicable income tax regulations. The Company’s current policy is to match employee contributions up to certain overall limits. The Company made matching contributions of $4.3 million, $3.5 million and $2.7 million during 2022, 2021 and 2020,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2017, the Company entered into a stock repurchase agreement to repurchase a specific number of shares of Class G common stock from one of the Company’s co-founders. In connection with the stock repurchase agreement, the Company issued Notes with a principal amount totaling $28.5 million to the co-founder. The Notes bore interest on the outstanding principal amount at the rate of 4.2922% per year and were scheduled to mature in 2026. In November 2021, in connection with the Company’s IPO, the Company repaid in full the outstanding principal amount of $28.5 million and accrued interest on the Notes. See Note 7–Debt for further discussion on the Notes. Additionally, see Note 10–Redeemable Convertible Preferred Stock and Note 11– Stockholders’ Equity for discussion on certain equity and options-related transactions with a former member of the Company’s Board of Directors and his affiliated entity, as well as with the Company’s CEO. There were no other material related party transactions during 2022, 2021 or 2020.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management of the Company, with the participation of the Company’s Chief Executive Officer and Chief Financial Officer, has evaluated the effectiveness of the Company’s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in accordance with accounting principles generally accepted in the United States of America.</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management of the Company, including the Company’s Chief Executive Officer and Chief Financial Officer, conducted an assessment of the effectiveness of the Company’s internal control over financial reporting based on criteria established in “Internal Control—Integrated Framework (2013)” issued by the Committee of Sponsoring Organizations of the Treadway Commission (COSO). Based on this assessment, the management of the Company concluded that the Company’s internal control over financial reporting was effective as of December 31, 2022.</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Annual Report on Form 10-K does not include an attestation report on the Company’s internal control over financial reporting from the Company’s independent registered public accounting firm due to the Company’s status as an “emerging growth company” under the JOBS Act.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Rules 13a-15(d) and 15d-15(d) of the Exchange Act that occurred during the quarter ended December 31, 2022 that have materially affected, or are reasonably likely to materially affect, the Company’s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management of the Company, including the Company’s Chief Executive Officer and Chief Financial Officer, believes that the Company’s disclosure controls and procedures and internal control over financial reporting are designed to provide reasonable assurance of achieving their objectives and are effective at the reasonable assurance level. However, management does not expect that the Company’s disclosure controls and procedures or the Company’s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III</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Proxy Statement for our 2023 Annual Meeting of Stockholders which will be filed with the SEC no later than 120 days after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Proxy Statement for our 2023 Annual Meeting of Stockholders which will be filed with the SEC no later than 120 days after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Proxy Statement for our 2023 Annual Meeting of Stockholders which will be filed with the SEC no later than 120 days after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Proxy Statement for our 2023 Annual Meeting of Stockholders which will be filed with the SEC no later than 120 days after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required by this item about aggregate fees billed to us by our principal accountant, Deloitte &amp; Touche LLP (PCAOB ID No. 34) is incorporated by reference to the Proxy Statement for our 2023 Annual Meeting of Stockholders which will be filed with the SEC no later than 120 days after December 31, 2022.</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0" w:type="dxa"/>
            <w:vAlign w:val="bottom"/>
            <w:gridSpan w:val="26"/>
          </w:tcPr>
          <w:p>
            <w:pPr>
              <w:ind w:left="320"/>
              <w:spacing w:after="0"/>
              <w:rPr>
                <w:sz w:val="20"/>
                <w:szCs w:val="20"/>
                <w:color w:val="auto"/>
              </w:rPr>
            </w:pPr>
            <w:r>
              <w:rPr>
                <w:rFonts w:ascii="Arial" w:cs="Arial" w:eastAsia="Arial" w:hAnsi="Arial"/>
                <w:sz w:val="14"/>
                <w:szCs w:val="14"/>
                <w:b w:val="1"/>
                <w:bCs w:val="1"/>
                <w:color w:val="auto"/>
              </w:rPr>
              <w:t>Description of Exhibit</w:t>
            </w:r>
          </w:p>
        </w:tc>
      </w:tr>
      <w:tr>
        <w:trPr>
          <w:trHeight w:val="39"/>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205">
              <w:r>
                <w:rPr>
                  <w:rFonts w:ascii="Arial" w:cs="Arial" w:eastAsia="Arial" w:hAnsi="Arial"/>
                  <w:sz w:val="18"/>
                  <w:szCs w:val="18"/>
                  <w:color w:val="0000FF"/>
                  <w:w w:val="89"/>
                </w:rPr>
                <w:t>Agreement and Plan of Merger and Reorganization, dated June 23, 2022, by and</w:t>
              </w:r>
            </w:hyperlink>
          </w:p>
        </w:tc>
        <w:tc>
          <w:tcPr>
            <w:tcW w:w="220" w:type="dxa"/>
            <w:vAlign w:val="bottom"/>
            <w:gridSpan w:val="7"/>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8"/>
          </w:tcPr>
          <w:p>
            <w:pPr>
              <w:spacing w:after="0" w:line="196" w:lineRule="exact"/>
              <w:rPr>
                <w:rFonts w:ascii="Arial" w:cs="Arial" w:eastAsia="Arial" w:hAnsi="Arial"/>
                <w:sz w:val="18"/>
                <w:szCs w:val="18"/>
                <w:color w:val="0000FF"/>
                <w:w w:val="98"/>
              </w:rPr>
            </w:pPr>
            <w:hyperlink r:id="rId205">
              <w:r>
                <w:rPr>
                  <w:rFonts w:ascii="Arial" w:cs="Arial" w:eastAsia="Arial" w:hAnsi="Arial"/>
                  <w:sz w:val="18"/>
                  <w:szCs w:val="18"/>
                  <w:color w:val="0000FF"/>
                  <w:w w:val="98"/>
                </w:rPr>
                <w:t>among NerdWallet, Inc., On the Barrelhead, Inc., Bighorn Merger Sub Corp.,</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8"/>
          </w:tcPr>
          <w:p>
            <w:pPr>
              <w:spacing w:after="0" w:line="196" w:lineRule="exact"/>
              <w:rPr>
                <w:rFonts w:ascii="Arial" w:cs="Arial" w:eastAsia="Arial" w:hAnsi="Arial"/>
                <w:sz w:val="18"/>
                <w:szCs w:val="18"/>
                <w:color w:val="0000FF"/>
                <w:w w:val="93"/>
              </w:rPr>
            </w:pPr>
            <w:hyperlink r:id="rId205">
              <w:r>
                <w:rPr>
                  <w:rFonts w:ascii="Arial" w:cs="Arial" w:eastAsia="Arial" w:hAnsi="Arial"/>
                  <w:sz w:val="18"/>
                  <w:szCs w:val="18"/>
                  <w:color w:val="0000FF"/>
                  <w:w w:val="93"/>
                </w:rPr>
                <w:t>Bighorn Merger Sub 2, LLC, NerdWallet Compare, Inc. and Fortis Advisors LLC,</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205">
              <w:r>
                <w:rPr>
                  <w:rFonts w:ascii="Arial" w:cs="Arial" w:eastAsia="Arial" w:hAnsi="Arial"/>
                  <w:sz w:val="18"/>
                  <w:szCs w:val="18"/>
                  <w:color w:val="0000FF"/>
                  <w:w w:val="88"/>
                </w:rPr>
                <w:t>as the stockholder representative.</w:t>
              </w:r>
            </w:hyperlink>
          </w:p>
        </w:tc>
        <w:tc>
          <w:tcPr>
            <w:tcW w:w="3520" w:type="dxa"/>
            <w:vAlign w:val="bottom"/>
            <w:tcBorders>
              <w:top w:val="single" w:sz="8" w:color="0000FF"/>
            </w:tcBorders>
            <w:gridSpan w:val="21"/>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tcBorders>
              <w:bottom w:val="single" w:sz="8" w:color="0000FF"/>
            </w:tcBorders>
            <w:gridSpan w:val="13"/>
          </w:tcPr>
          <w:p>
            <w:pPr>
              <w:spacing w:after="0"/>
              <w:rPr>
                <w:rFonts w:ascii="Arial" w:cs="Arial" w:eastAsia="Arial" w:hAnsi="Arial"/>
                <w:sz w:val="18"/>
                <w:szCs w:val="18"/>
                <w:color w:val="0000FF"/>
                <w:w w:val="90"/>
              </w:rPr>
            </w:pPr>
            <w:hyperlink r:id="rId206">
              <w:r>
                <w:rPr>
                  <w:rFonts w:ascii="Arial" w:cs="Arial" w:eastAsia="Arial" w:hAnsi="Arial"/>
                  <w:sz w:val="18"/>
                  <w:szCs w:val="18"/>
                  <w:color w:val="0000FF"/>
                  <w:w w:val="90"/>
                </w:rPr>
                <w:t>Amended and Restated Certificate of Incorporation of the Registrant.</w:t>
              </w:r>
            </w:hyperlink>
          </w:p>
        </w:tc>
        <w:tc>
          <w:tcPr>
            <w:tcW w:w="1020" w:type="dxa"/>
            <w:vAlign w:val="bottom"/>
            <w:gridSpan w:val="15"/>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8"/>
          </w:tcPr>
          <w:p>
            <w:pPr>
              <w:spacing w:after="0"/>
              <w:rPr>
                <w:rFonts w:ascii="Arial" w:cs="Arial" w:eastAsia="Arial" w:hAnsi="Arial"/>
                <w:sz w:val="18"/>
                <w:szCs w:val="18"/>
                <w:color w:val="0000FF"/>
              </w:rPr>
            </w:pPr>
            <w:hyperlink r:id="rId207">
              <w:r>
                <w:rPr>
                  <w:rFonts w:ascii="Arial" w:cs="Arial" w:eastAsia="Arial" w:hAnsi="Arial"/>
                  <w:sz w:val="18"/>
                  <w:szCs w:val="18"/>
                  <w:color w:val="0000FF"/>
                </w:rPr>
                <w:t>Amended and Restated Bylaws of the Registrant</w:t>
              </w:r>
            </w:hyperlink>
            <w:r>
              <w:rPr>
                <w:rFonts w:ascii="Arial" w:cs="Arial" w:eastAsia="Arial" w:hAnsi="Arial"/>
                <w:sz w:val="18"/>
                <w:szCs w:val="18"/>
                <w:color w:val="000000"/>
              </w:rPr>
              <w:t>.</w:t>
            </w: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r:id="rId208">
              <w:r>
                <w:rPr>
                  <w:rFonts w:ascii="Arial" w:cs="Arial" w:eastAsia="Arial" w:hAnsi="Arial"/>
                  <w:sz w:val="18"/>
                  <w:szCs w:val="18"/>
                  <w:color w:val="0000FF"/>
                  <w:w w:val="91"/>
                </w:rPr>
                <w:t>Description of Securities of the Registrant.</w:t>
              </w:r>
            </w:hyperlink>
          </w:p>
        </w:tc>
        <w:tc>
          <w:tcPr>
            <w:tcW w:w="400" w:type="dxa"/>
            <w:vAlign w:val="bottom"/>
            <w:tcBorders>
              <w:top w:val="single" w:sz="8" w:color="0000FF"/>
            </w:tcBorders>
            <w:gridSpan w:val="2"/>
          </w:tcPr>
          <w:p>
            <w:pPr>
              <w:spacing w:after="0"/>
              <w:rPr>
                <w:sz w:val="24"/>
                <w:szCs w:val="24"/>
                <w:color w:val="auto"/>
              </w:rPr>
            </w:pPr>
          </w:p>
        </w:tc>
        <w:tc>
          <w:tcPr>
            <w:tcW w:w="2520" w:type="dxa"/>
            <w:vAlign w:val="bottom"/>
            <w:gridSpan w:val="20"/>
          </w:tcPr>
          <w:p>
            <w:pPr>
              <w:spacing w:after="0"/>
              <w:rPr>
                <w:sz w:val="24"/>
                <w:szCs w:val="24"/>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8"/>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Investors’ Rights Agreement, by and between the Registrant and certain holders of</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209">
              <w:r>
                <w:rPr>
                  <w:rFonts w:ascii="Arial" w:cs="Arial" w:eastAsia="Arial" w:hAnsi="Arial"/>
                  <w:sz w:val="18"/>
                  <w:szCs w:val="18"/>
                  <w:color w:val="0000FF"/>
                  <w:w w:val="88"/>
                </w:rPr>
                <w:t>its capital stock, dated January 30, 2015.</w:t>
              </w:r>
            </w:hyperlink>
          </w:p>
        </w:tc>
        <w:tc>
          <w:tcPr>
            <w:tcW w:w="3020" w:type="dxa"/>
            <w:vAlign w:val="bottom"/>
            <w:tcBorders>
              <w:top w:val="single" w:sz="8" w:color="0000FF"/>
            </w:tcBorders>
            <w:gridSpan w:val="20"/>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8"/>
          </w:tcPr>
          <w:p>
            <w:pPr>
              <w:spacing w:after="0"/>
              <w:rPr>
                <w:rFonts w:ascii="Arial" w:cs="Arial" w:eastAsia="Arial" w:hAnsi="Arial"/>
                <w:sz w:val="18"/>
                <w:szCs w:val="18"/>
                <w:color w:val="0000FF"/>
                <w:w w:val="93"/>
              </w:rPr>
            </w:pPr>
            <w:hyperlink r:id="rId210">
              <w:r>
                <w:rPr>
                  <w:rFonts w:ascii="Arial" w:cs="Arial" w:eastAsia="Arial" w:hAnsi="Arial"/>
                  <w:sz w:val="18"/>
                  <w:szCs w:val="18"/>
                  <w:color w:val="0000FF"/>
                  <w:w w:val="93"/>
                </w:rPr>
                <w:t>Amendment of Investors' Rights Agreement, by and between the Registrant and</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10">
              <w:r>
                <w:rPr>
                  <w:rFonts w:ascii="Arial" w:cs="Arial" w:eastAsia="Arial" w:hAnsi="Arial"/>
                  <w:sz w:val="18"/>
                  <w:szCs w:val="18"/>
                  <w:color w:val="0000FF"/>
                </w:rPr>
                <w:t>certain holders of its capital stock, dated June 19, 2015.</w:t>
              </w:r>
            </w:hyperlink>
          </w:p>
        </w:tc>
        <w:tc>
          <w:tcPr>
            <w:tcW w:w="260" w:type="dxa"/>
            <w:vAlign w:val="bottom"/>
            <w:gridSpan w:val="8"/>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60" w:type="dxa"/>
            <w:vAlign w:val="bottom"/>
            <w:tcBorders>
              <w:bottom w:val="single" w:sz="8" w:color="0000FF"/>
            </w:tcBorders>
            <w:gridSpan w:val="17"/>
          </w:tcPr>
          <w:p>
            <w:pPr>
              <w:spacing w:after="0"/>
              <w:rPr>
                <w:rFonts w:ascii="Arial" w:cs="Arial" w:eastAsia="Arial" w:hAnsi="Arial"/>
                <w:sz w:val="18"/>
                <w:szCs w:val="18"/>
                <w:color w:val="0000FF"/>
                <w:w w:val="89"/>
              </w:rPr>
            </w:pPr>
            <w:hyperlink r:id="rId211">
              <w:r>
                <w:rPr>
                  <w:rFonts w:ascii="Arial" w:cs="Arial" w:eastAsia="Arial" w:hAnsi="Arial"/>
                  <w:sz w:val="18"/>
                  <w:szCs w:val="18"/>
                  <w:color w:val="0000FF"/>
                  <w:w w:val="89"/>
                </w:rPr>
                <w:t>Second Amendment of Investors' Rights Agreement, by and between the</w:t>
              </w:r>
            </w:hyperlink>
          </w:p>
        </w:tc>
        <w:tc>
          <w:tcPr>
            <w:tcW w:w="740" w:type="dxa"/>
            <w:vAlign w:val="bottom"/>
            <w:gridSpan w:val="11"/>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8"/>
          </w:tcPr>
          <w:p>
            <w:pPr>
              <w:spacing w:after="0" w:line="196" w:lineRule="exact"/>
              <w:rPr>
                <w:rFonts w:ascii="Arial" w:cs="Arial" w:eastAsia="Arial" w:hAnsi="Arial"/>
                <w:sz w:val="18"/>
                <w:szCs w:val="18"/>
                <w:color w:val="0000FF"/>
              </w:rPr>
            </w:pPr>
            <w:hyperlink r:id="rId211">
              <w:r>
                <w:rPr>
                  <w:rFonts w:ascii="Arial" w:cs="Arial" w:eastAsia="Arial" w:hAnsi="Arial"/>
                  <w:sz w:val="18"/>
                  <w:szCs w:val="18"/>
                  <w:color w:val="0000FF"/>
                </w:rPr>
                <w:t>Registrant and certain holders of its capital stock, dated August 26, 2015.</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8"/>
          </w:tcPr>
          <w:p>
            <w:pPr>
              <w:spacing w:after="0"/>
              <w:rPr>
                <w:rFonts w:ascii="Arial" w:cs="Arial" w:eastAsia="Arial" w:hAnsi="Arial"/>
                <w:sz w:val="18"/>
                <w:szCs w:val="18"/>
                <w:color w:val="0000FF"/>
                <w:w w:val="92"/>
              </w:rPr>
            </w:pPr>
            <w:hyperlink r:id="rId212">
              <w:r>
                <w:rPr>
                  <w:rFonts w:ascii="Arial" w:cs="Arial" w:eastAsia="Arial" w:hAnsi="Arial"/>
                  <w:sz w:val="18"/>
                  <w:szCs w:val="18"/>
                  <w:color w:val="0000FF"/>
                  <w:w w:val="92"/>
                </w:rPr>
                <w:t>Third Amendment of Investors' Rights Agreement, by and between the Registrant</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9"/>
              </w:rPr>
            </w:pPr>
            <w:hyperlink r:id="rId212">
              <w:r>
                <w:rPr>
                  <w:rFonts w:ascii="Arial" w:cs="Arial" w:eastAsia="Arial" w:hAnsi="Arial"/>
                  <w:sz w:val="18"/>
                  <w:szCs w:val="18"/>
                  <w:color w:val="0000FF"/>
                  <w:w w:val="89"/>
                </w:rPr>
                <w:t>and certain holders of its capital stock, dated June 29, 2016.</w:t>
              </w:r>
            </w:hyperlink>
          </w:p>
        </w:tc>
        <w:tc>
          <w:tcPr>
            <w:tcW w:w="1580" w:type="dxa"/>
            <w:vAlign w:val="bottom"/>
            <w:tcBorders>
              <w:top w:val="single" w:sz="8" w:color="0000FF"/>
            </w:tcBorders>
            <w:gridSpan w:val="11"/>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60" w:type="dxa"/>
            <w:vAlign w:val="bottom"/>
            <w:tcBorders>
              <w:bottom w:val="single" w:sz="8" w:color="0000FF"/>
            </w:tcBorders>
            <w:gridSpan w:val="18"/>
          </w:tcPr>
          <w:p>
            <w:pPr>
              <w:spacing w:after="0"/>
              <w:rPr>
                <w:rFonts w:ascii="Arial" w:cs="Arial" w:eastAsia="Arial" w:hAnsi="Arial"/>
                <w:sz w:val="18"/>
                <w:szCs w:val="18"/>
                <w:color w:val="0000FF"/>
                <w:w w:val="90"/>
              </w:rPr>
            </w:pPr>
            <w:hyperlink r:id="rId213">
              <w:r>
                <w:rPr>
                  <w:rFonts w:ascii="Arial" w:cs="Arial" w:eastAsia="Arial" w:hAnsi="Arial"/>
                  <w:sz w:val="18"/>
                  <w:szCs w:val="18"/>
                  <w:color w:val="0000FF"/>
                  <w:w w:val="90"/>
                </w:rPr>
                <w:t>Amendment No. 4 to the Investors' Rights Agreement, by and between the</w:t>
              </w:r>
            </w:hyperlink>
          </w:p>
        </w:tc>
        <w:tc>
          <w:tcPr>
            <w:tcW w:w="640" w:type="dxa"/>
            <w:vAlign w:val="bottom"/>
            <w:gridSpan w:val="10"/>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213">
              <w:r>
                <w:rPr>
                  <w:rFonts w:ascii="Arial" w:cs="Arial" w:eastAsia="Arial" w:hAnsi="Arial"/>
                  <w:sz w:val="18"/>
                  <w:szCs w:val="18"/>
                  <w:color w:val="0000FF"/>
                  <w:w w:val="90"/>
                </w:rPr>
                <w:t>Registrant and certain holders of its capital stock, dated April 7, 2020.</w:t>
              </w:r>
            </w:hyperlink>
          </w:p>
        </w:tc>
        <w:tc>
          <w:tcPr>
            <w:tcW w:w="960" w:type="dxa"/>
            <w:vAlign w:val="bottom"/>
            <w:gridSpan w:val="14"/>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8"/>
          </w:tcPr>
          <w:p>
            <w:pPr>
              <w:spacing w:after="0"/>
              <w:rPr>
                <w:rFonts w:ascii="Arial" w:cs="Arial" w:eastAsia="Arial" w:hAnsi="Arial"/>
                <w:sz w:val="18"/>
                <w:szCs w:val="18"/>
                <w:color w:val="0000FF"/>
              </w:rPr>
            </w:pPr>
            <w:hyperlink r:id="rId214">
              <w:r>
                <w:rPr>
                  <w:rFonts w:ascii="Arial" w:cs="Arial" w:eastAsia="Arial" w:hAnsi="Arial"/>
                  <w:sz w:val="18"/>
                  <w:szCs w:val="18"/>
                  <w:color w:val="0000FF"/>
                </w:rPr>
                <w:t>Side Letter, by and among entities affiliated with iGlobe Partners and the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214">
              <w:r>
                <w:rPr>
                  <w:rFonts w:ascii="Arial" w:cs="Arial" w:eastAsia="Arial" w:hAnsi="Arial"/>
                  <w:sz w:val="18"/>
                  <w:szCs w:val="18"/>
                  <w:color w:val="0000FF"/>
                  <w:w w:val="89"/>
                </w:rPr>
                <w:t>Registrant, dated November 26, 2020.</w:t>
              </w:r>
            </w:hyperlink>
          </w:p>
        </w:tc>
        <w:tc>
          <w:tcPr>
            <w:tcW w:w="2520" w:type="dxa"/>
            <w:vAlign w:val="bottom"/>
            <w:tcBorders>
              <w:top w:val="single" w:sz="8" w:color="0000FF"/>
            </w:tcBorders>
            <w:gridSpan w:val="13"/>
          </w:tcPr>
          <w:p>
            <w:pPr>
              <w:spacing w:after="0"/>
              <w:rPr>
                <w:sz w:val="17"/>
                <w:szCs w:val="17"/>
                <w:color w:val="auto"/>
              </w:rPr>
            </w:pPr>
          </w:p>
        </w:tc>
        <w:tc>
          <w:tcPr>
            <w:tcW w:w="740" w:type="dxa"/>
            <w:vAlign w:val="bottom"/>
            <w:gridSpan w:val="11"/>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80" w:type="dxa"/>
            <w:vAlign w:val="bottom"/>
            <w:tcBorders>
              <w:bottom w:val="single" w:sz="8" w:color="0000FF"/>
            </w:tcBorders>
            <w:gridSpan w:val="27"/>
          </w:tcPr>
          <w:p>
            <w:pPr>
              <w:spacing w:after="0"/>
              <w:rPr>
                <w:rFonts w:ascii="Arial" w:cs="Arial" w:eastAsia="Arial" w:hAnsi="Arial"/>
                <w:sz w:val="18"/>
                <w:szCs w:val="18"/>
                <w:color w:val="0000FF"/>
                <w:w w:val="90"/>
              </w:rPr>
            </w:pPr>
            <w:hyperlink r:id="rId215">
              <w:r>
                <w:rPr>
                  <w:rFonts w:ascii="Arial" w:cs="Arial" w:eastAsia="Arial" w:hAnsi="Arial"/>
                  <w:sz w:val="18"/>
                  <w:szCs w:val="18"/>
                  <w:color w:val="0000FF"/>
                  <w:w w:val="90"/>
                </w:rPr>
                <w:t>Side Letter, by and between Innovius Capital Sirius I L.P. and the Registrant, dated</w:t>
              </w:r>
            </w:hyperlink>
          </w:p>
        </w:tc>
        <w:tc>
          <w:tcPr>
            <w:tcW w:w="2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215">
              <w:r>
                <w:rPr>
                  <w:rFonts w:ascii="Arial" w:cs="Arial" w:eastAsia="Arial" w:hAnsi="Arial"/>
                  <w:sz w:val="18"/>
                  <w:szCs w:val="18"/>
                  <w:color w:val="0000FF"/>
                  <w:w w:val="89"/>
                </w:rPr>
                <w:t>July 17, 2020.</w:t>
              </w:r>
            </w:hyperlink>
          </w:p>
        </w:tc>
        <w:tc>
          <w:tcPr>
            <w:tcW w:w="4980" w:type="dxa"/>
            <w:vAlign w:val="bottom"/>
            <w:gridSpan w:val="27"/>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8"/>
          </w:tcPr>
          <w:p>
            <w:pPr>
              <w:spacing w:after="0"/>
              <w:rPr>
                <w:rFonts w:ascii="Arial" w:cs="Arial" w:eastAsia="Arial" w:hAnsi="Arial"/>
                <w:sz w:val="18"/>
                <w:szCs w:val="18"/>
                <w:color w:val="0000FF"/>
                <w:w w:val="91"/>
              </w:rPr>
            </w:pPr>
            <w:hyperlink r:id="rId216">
              <w:r>
                <w:rPr>
                  <w:rFonts w:ascii="Arial" w:cs="Arial" w:eastAsia="Arial" w:hAnsi="Arial"/>
                  <w:sz w:val="18"/>
                  <w:szCs w:val="18"/>
                  <w:color w:val="0000FF"/>
                  <w:w w:val="91"/>
                </w:rPr>
                <w:t>Side Letter Amendment Agreement, by and between Innovius Capital Sirius I, L.P.</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216">
              <w:r>
                <w:rPr>
                  <w:rFonts w:ascii="Arial" w:cs="Arial" w:eastAsia="Arial" w:hAnsi="Arial"/>
                  <w:sz w:val="18"/>
                  <w:szCs w:val="18"/>
                  <w:color w:val="0000FF"/>
                </w:rPr>
                <w:t>and the Registrant, dated October 19, 2021.</w:t>
              </w:r>
            </w:hyperlink>
          </w:p>
        </w:tc>
        <w:tc>
          <w:tcPr>
            <w:tcW w:w="40" w:type="dxa"/>
            <w:vAlign w:val="bottom"/>
            <w:gridSpan w:val="2"/>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8"/>
          </w:tcPr>
          <w:p>
            <w:pPr>
              <w:spacing w:after="0"/>
              <w:rPr>
                <w:rFonts w:ascii="Arial" w:cs="Arial" w:eastAsia="Arial" w:hAnsi="Arial"/>
                <w:sz w:val="18"/>
                <w:szCs w:val="18"/>
                <w:color w:val="0000FF"/>
                <w:w w:val="89"/>
              </w:rPr>
            </w:pPr>
            <w:hyperlink r:id="rId217">
              <w:r>
                <w:rPr>
                  <w:rFonts w:ascii="Arial" w:cs="Arial" w:eastAsia="Arial" w:hAnsi="Arial"/>
                  <w:sz w:val="18"/>
                  <w:szCs w:val="18"/>
                  <w:color w:val="0000FF"/>
                  <w:w w:val="89"/>
                </w:rPr>
                <w:t>Amended and Restated Senior Secured Credit Facilities Credit Agreement between</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Borders>
              <w:top w:val="single" w:sz="8" w:color="0000FF"/>
            </w:tcBorders>
            <w:gridSpan w:val="27"/>
          </w:tcPr>
          <w:p>
            <w:pPr>
              <w:spacing w:after="0" w:line="196" w:lineRule="exact"/>
              <w:rPr>
                <w:rFonts w:ascii="Arial" w:cs="Arial" w:eastAsia="Arial" w:hAnsi="Arial"/>
                <w:sz w:val="18"/>
                <w:szCs w:val="18"/>
                <w:color w:val="0000FF"/>
                <w:w w:val="92"/>
              </w:rPr>
            </w:pPr>
            <w:hyperlink r:id="rId217">
              <w:r>
                <w:rPr>
                  <w:rFonts w:ascii="Arial" w:cs="Arial" w:eastAsia="Arial" w:hAnsi="Arial"/>
                  <w:sz w:val="18"/>
                  <w:szCs w:val="18"/>
                  <w:color w:val="0000FF"/>
                  <w:w w:val="92"/>
                </w:rPr>
                <w:t>Silicon Valley Bank and the Registrant, dated February 19, 2021, as amended by</w:t>
              </w:r>
            </w:hyperlink>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8"/>
          </w:tcPr>
          <w:p>
            <w:pPr>
              <w:spacing w:after="0" w:line="196" w:lineRule="exact"/>
              <w:rPr>
                <w:rFonts w:ascii="Arial" w:cs="Arial" w:eastAsia="Arial" w:hAnsi="Arial"/>
                <w:sz w:val="18"/>
                <w:szCs w:val="18"/>
                <w:color w:val="0000FF"/>
              </w:rPr>
            </w:pPr>
            <w:hyperlink r:id="rId217">
              <w:r>
                <w:rPr>
                  <w:rFonts w:ascii="Arial" w:cs="Arial" w:eastAsia="Arial" w:hAnsi="Arial"/>
                  <w:sz w:val="18"/>
                  <w:szCs w:val="18"/>
                  <w:color w:val="0000FF"/>
                </w:rPr>
                <w:t>the Third Amendment thereto, dated September 15, 2022.</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140" w:type="dxa"/>
            <w:vAlign w:val="bottom"/>
            <w:gridSpan w:val="9"/>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8"/>
          </w:tcPr>
          <w:p>
            <w:pPr>
              <w:spacing w:after="0"/>
              <w:rPr>
                <w:rFonts w:ascii="Arial" w:cs="Arial" w:eastAsia="Arial" w:hAnsi="Arial"/>
                <w:sz w:val="18"/>
                <w:szCs w:val="18"/>
                <w:color w:val="0000FF"/>
                <w:w w:val="92"/>
              </w:rPr>
            </w:pPr>
            <w:hyperlink r:id="rId218">
              <w:r>
                <w:rPr>
                  <w:rFonts w:ascii="Arial" w:cs="Arial" w:eastAsia="Arial" w:hAnsi="Arial"/>
                  <w:sz w:val="18"/>
                  <w:szCs w:val="18"/>
                  <w:color w:val="0000FF"/>
                  <w:w w:val="92"/>
                </w:rPr>
                <w:t>Sublease Agreement between Yelp Inc. and the Registrant, dated April 27, 2021.</w:t>
              </w:r>
            </w:hyperlink>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Borders>
              <w:top w:val="single" w:sz="8" w:color="0000FF"/>
            </w:tcBorders>
            <w:gridSpan w:val="15"/>
          </w:tcPr>
          <w:p>
            <w:pPr>
              <w:spacing w:after="0"/>
              <w:rPr>
                <w:rFonts w:ascii="Arial" w:cs="Arial" w:eastAsia="Arial" w:hAnsi="Arial"/>
                <w:sz w:val="18"/>
                <w:szCs w:val="18"/>
                <w:color w:val="0000FF"/>
              </w:rPr>
            </w:pPr>
            <w:hyperlink r:id="rId219">
              <w:r>
                <w:rPr>
                  <w:rFonts w:ascii="Arial" w:cs="Arial" w:eastAsia="Arial" w:hAnsi="Arial"/>
                  <w:sz w:val="18"/>
                  <w:szCs w:val="18"/>
                  <w:color w:val="0000FF"/>
                </w:rPr>
                <w:t>2012 Equity Incentive Plan.</w:t>
              </w:r>
            </w:hyperlink>
          </w:p>
        </w:tc>
        <w:tc>
          <w:tcPr>
            <w:tcW w:w="40" w:type="dxa"/>
            <w:vAlign w:val="bottom"/>
          </w:tcPr>
          <w:p>
            <w:pPr>
              <w:spacing w:after="0"/>
              <w:rPr>
                <w:sz w:val="24"/>
                <w:szCs w:val="24"/>
                <w:color w:val="auto"/>
              </w:rPr>
            </w:pPr>
          </w:p>
        </w:tc>
        <w:tc>
          <w:tcPr>
            <w:tcW w:w="680" w:type="dxa"/>
            <w:vAlign w:val="bottom"/>
            <w:tcBorders>
              <w:top w:val="single" w:sz="8" w:color="0000FF"/>
            </w:tcBorders>
            <w:gridSpan w:val="6"/>
          </w:tcPr>
          <w:p>
            <w:pPr>
              <w:spacing w:after="0"/>
              <w:rPr>
                <w:sz w:val="24"/>
                <w:szCs w:val="24"/>
                <w:color w:val="auto"/>
              </w:rPr>
            </w:pPr>
          </w:p>
        </w:tc>
        <w:tc>
          <w:tcPr>
            <w:tcW w:w="200" w:type="dxa"/>
            <w:vAlign w:val="bottom"/>
            <w:gridSpan w:val="6"/>
          </w:tcPr>
          <w:p>
            <w:pPr>
              <w:spacing w:after="0"/>
              <w:rPr>
                <w:sz w:val="24"/>
                <w:szCs w:val="24"/>
                <w:color w:val="auto"/>
              </w:rPr>
            </w:pPr>
          </w:p>
        </w:tc>
      </w:tr>
      <w:tr>
        <w:trPr>
          <w:trHeight w:val="966"/>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top w:val="single" w:sz="8" w:color="0000FF"/>
            </w:tcBorders>
            <w:gridSpan w:val="2"/>
          </w:tcPr>
          <w:p>
            <w:pPr>
              <w:spacing w:after="0"/>
              <w:rPr>
                <w:sz w:val="24"/>
                <w:szCs w:val="24"/>
                <w:color w:val="auto"/>
              </w:rPr>
            </w:pPr>
          </w:p>
        </w:tc>
        <w:tc>
          <w:tcPr>
            <w:tcW w:w="2980" w:type="dxa"/>
            <w:vAlign w:val="bottom"/>
            <w:gridSpan w:val="11"/>
          </w:tcPr>
          <w:p>
            <w:pPr>
              <w:jc w:val="right"/>
              <w:ind w:right="32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40640</wp:posOffset>
            </wp:positionV>
            <wp:extent cx="2588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Exhibit 2.1 to the Registrant’s Current Report on Form 8-K (No. 001-40994) filed June 24, 2022</w:t>
      </w:r>
    </w:p>
    <w:p>
      <w:pPr>
        <w:spacing w:after="0" w:line="394"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auto"/>
        </w:rPr>
        <w:t>Exhibit 3.1 to the Registrant’s Current Report on Form 8-K (No. 001-40994) filed November 10, 2021</w:t>
      </w:r>
    </w:p>
    <w:p>
      <w:pPr>
        <w:spacing w:after="0" w:line="2"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auto"/>
        </w:rPr>
        <w:t>Exhibit 3.2 to the Registrant’s Current Report on Form 8-K (No. 001-40994) filed November 10, 2021</w:t>
      </w:r>
    </w:p>
    <w:p>
      <w:pPr>
        <w:spacing w:after="0" w:line="2" w:lineRule="exact"/>
        <w:rPr>
          <w:sz w:val="20"/>
          <w:szCs w:val="20"/>
          <w:color w:val="auto"/>
        </w:rPr>
      </w:pPr>
    </w:p>
    <w:p>
      <w:pPr>
        <w:ind w:right="400"/>
        <w:spacing w:after="0" w:line="316" w:lineRule="auto"/>
        <w:rPr>
          <w:sz w:val="20"/>
          <w:szCs w:val="20"/>
          <w:color w:val="auto"/>
        </w:rPr>
      </w:pPr>
      <w:r>
        <w:rPr>
          <w:rFonts w:ascii="Arial" w:cs="Arial" w:eastAsia="Arial" w:hAnsi="Arial"/>
          <w:sz w:val="16"/>
          <w:szCs w:val="16"/>
          <w:color w:val="auto"/>
        </w:rPr>
        <w:t>Exhibit 4.1 to the Registrant’s Annual Report on Form 10-K (No. 001-40994) filed March 24, 2022</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10.1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10.2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10.3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10.4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10.5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10.19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10.20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10.22 to the Registrant’s Registration Statement on Form S-1 (No. 333-260134) filed October 26, 2021</w:t>
      </w:r>
    </w:p>
    <w:p>
      <w:pPr>
        <w:spacing w:after="0" w:line="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Exhibit 10.4 to the Registrant’s Quarterly Report on Form 10-Q (No. 001-40994) filed November 2, 2022</w:t>
      </w:r>
    </w:p>
    <w:p>
      <w:pPr>
        <w:spacing w:after="0" w:line="178"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10.17 to the Registrant’s Registration Statement on Form S-1 (No. 333-260134) filed October 8, 2021</w:t>
      </w:r>
    </w:p>
    <w:p>
      <w:pPr>
        <w:spacing w:after="0" w:line="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Exhibit 10.6 to the Registrant’s Registration Statement on Form S-1 (No. 333-260134) filed October 8, 2021</w:t>
      </w:r>
    </w:p>
    <w:p>
      <w:pPr>
        <w:sectPr>
          <w:pgSz w:w="11900" w:h="16838" w:orient="portrait"/>
          <w:cols w:equalWidth="0" w:num="2">
            <w:col w:w="7060" w:space="120"/>
            <w:col w:w="4020"/>
          </w:cols>
          <w:pgMar w:left="320" w:top="125" w:right="379" w:bottom="1440" w:gutter="0" w:footer="0" w:header="0"/>
        </w:sectPr>
      </w:pPr>
    </w:p>
    <w:bookmarkStart w:id="94" w:name="page95"/>
    <w:bookmarkEnd w:id="94"/>
    <w:p>
      <w:pPr>
        <w:ind w:left="340"/>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40" w:type="dxa"/>
            <w:vAlign w:val="bottom"/>
            <w:gridSpan w:val="21"/>
          </w:tcPr>
          <w:p>
            <w:pPr>
              <w:ind w:left="160"/>
              <w:spacing w:after="0"/>
              <w:rPr>
                <w:sz w:val="20"/>
                <w:szCs w:val="20"/>
                <w:color w:val="auto"/>
              </w:rPr>
            </w:pPr>
            <w:r>
              <w:rPr>
                <w:rFonts w:ascii="Arial" w:cs="Arial" w:eastAsia="Arial" w:hAnsi="Arial"/>
                <w:sz w:val="14"/>
                <w:szCs w:val="14"/>
                <w:b w:val="1"/>
                <w:bCs w:val="1"/>
                <w:color w:val="auto"/>
              </w:rPr>
              <w:t>Description of Exhibit</w:t>
            </w:r>
          </w:p>
        </w:tc>
      </w:tr>
      <w:tr>
        <w:trPr>
          <w:trHeight w:val="39"/>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6"/>
          </w:tcPr>
          <w:p>
            <w:pPr>
              <w:spacing w:after="0" w:line="196" w:lineRule="exact"/>
              <w:rPr>
                <w:rFonts w:ascii="Arial" w:cs="Arial" w:eastAsia="Arial" w:hAnsi="Arial"/>
                <w:sz w:val="18"/>
                <w:szCs w:val="18"/>
                <w:color w:val="0000FF"/>
                <w:w w:val="95"/>
              </w:rPr>
            </w:pPr>
            <w:hyperlink r:id="rId222">
              <w:r>
                <w:rPr>
                  <w:rFonts w:ascii="Arial" w:cs="Arial" w:eastAsia="Arial" w:hAnsi="Arial"/>
                  <w:sz w:val="18"/>
                  <w:szCs w:val="18"/>
                  <w:color w:val="0000FF"/>
                  <w:w w:val="95"/>
                </w:rPr>
                <w:t>Forms of Stock Option Agreement, Notice of Stock Option Grant, and Exercise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22">
              <w:r>
                <w:rPr>
                  <w:rFonts w:ascii="Arial" w:cs="Arial" w:eastAsia="Arial" w:hAnsi="Arial"/>
                  <w:sz w:val="18"/>
                  <w:szCs w:val="18"/>
                  <w:color w:val="0000FF"/>
                </w:rPr>
                <w:t>Notice under the 2012 Equity Incentive Plan.</w:t>
              </w:r>
            </w:hyperlink>
          </w:p>
        </w:tc>
        <w:tc>
          <w:tcPr>
            <w:tcW w:w="280" w:type="dxa"/>
            <w:vAlign w:val="bottom"/>
            <w:gridSpan w:val="9"/>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15"/>
          </w:tcPr>
          <w:p>
            <w:pPr>
              <w:spacing w:after="0"/>
              <w:rPr>
                <w:rFonts w:ascii="Arial" w:cs="Arial" w:eastAsia="Arial" w:hAnsi="Arial"/>
                <w:sz w:val="18"/>
                <w:szCs w:val="18"/>
                <w:color w:val="0000FF"/>
                <w:w w:val="91"/>
              </w:rPr>
            </w:pPr>
            <w:hyperlink r:id="rId223">
              <w:r>
                <w:rPr>
                  <w:rFonts w:ascii="Arial" w:cs="Arial" w:eastAsia="Arial" w:hAnsi="Arial"/>
                  <w:sz w:val="18"/>
                  <w:szCs w:val="18"/>
                  <w:color w:val="0000FF"/>
                  <w:w w:val="91"/>
                </w:rPr>
                <w:t>Forms of Restricted Stock Unit Grant Notice and Restricted Stock Unit Award</w:t>
              </w:r>
            </w:hyperlink>
          </w:p>
        </w:tc>
        <w:tc>
          <w:tcPr>
            <w:tcW w:w="360" w:type="dxa"/>
            <w:vAlign w:val="bottom"/>
            <w:gridSpan w:val="11"/>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6"/>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Agreement under the 2012 Equity Incentive Plan.</w:t>
              </w:r>
            </w:hyperlink>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r:id="rId224">
              <w:r>
                <w:rPr>
                  <w:rFonts w:ascii="Arial" w:cs="Arial" w:eastAsia="Arial" w:hAnsi="Arial"/>
                  <w:sz w:val="18"/>
                  <w:szCs w:val="18"/>
                  <w:color w:val="0000FF"/>
                  <w:w w:val="89"/>
                </w:rPr>
                <w:t>2021 Equity Incentive Plan, as amended.</w:t>
              </w:r>
            </w:hyperlink>
          </w:p>
        </w:tc>
        <w:tc>
          <w:tcPr>
            <w:tcW w:w="620" w:type="dxa"/>
            <w:vAlign w:val="bottom"/>
            <w:tcBorders>
              <w:top w:val="single" w:sz="8" w:color="0000FF"/>
            </w:tcBorders>
            <w:gridSpan w:val="3"/>
          </w:tcPr>
          <w:p>
            <w:pPr>
              <w:spacing w:after="0"/>
              <w:rPr>
                <w:sz w:val="21"/>
                <w:szCs w:val="21"/>
                <w:color w:val="auto"/>
              </w:rPr>
            </w:pPr>
          </w:p>
        </w:tc>
        <w:tc>
          <w:tcPr>
            <w:tcW w:w="2440" w:type="dxa"/>
            <w:vAlign w:val="bottom"/>
            <w:gridSpan w:val="13"/>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8"/>
                <w:szCs w:val="18"/>
                <w:color w:val="0000FF"/>
                <w:w w:val="95"/>
              </w:rPr>
            </w:pPr>
            <w:hyperlink r:id="rId225">
              <w:r>
                <w:rPr>
                  <w:rFonts w:ascii="Arial" w:cs="Arial" w:eastAsia="Arial" w:hAnsi="Arial"/>
                  <w:sz w:val="18"/>
                  <w:szCs w:val="18"/>
                  <w:color w:val="0000FF"/>
                  <w:w w:val="95"/>
                </w:rPr>
                <w:t>Forms of Notice of Stock Option Grant, Stock Option Agreement, and Exercise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25">
              <w:r>
                <w:rPr>
                  <w:rFonts w:ascii="Arial" w:cs="Arial" w:eastAsia="Arial" w:hAnsi="Arial"/>
                  <w:sz w:val="18"/>
                  <w:szCs w:val="18"/>
                  <w:color w:val="0000FF"/>
                </w:rPr>
                <w:t>Notice under the 2021 Equity Incentive Plan.</w:t>
              </w:r>
            </w:hyperlink>
          </w:p>
        </w:tc>
        <w:tc>
          <w:tcPr>
            <w:tcW w:w="280" w:type="dxa"/>
            <w:vAlign w:val="bottom"/>
            <w:gridSpan w:val="9"/>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w w:val="91"/>
              </w:rPr>
            </w:pPr>
            <w:hyperlink r:id="rId226">
              <w:r>
                <w:rPr>
                  <w:rFonts w:ascii="Arial" w:cs="Arial" w:eastAsia="Arial" w:hAnsi="Arial"/>
                  <w:sz w:val="18"/>
                  <w:szCs w:val="18"/>
                  <w:color w:val="0000FF"/>
                  <w:w w:val="91"/>
                </w:rPr>
                <w:t>Form of Restricted Stock Unit Grant Notice and Award Agreement under the 2021</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226">
              <w:r>
                <w:rPr>
                  <w:rFonts w:ascii="Arial" w:cs="Arial" w:eastAsia="Arial" w:hAnsi="Arial"/>
                  <w:sz w:val="18"/>
                  <w:szCs w:val="18"/>
                  <w:color w:val="0000FF"/>
                  <w:w w:val="91"/>
                </w:rPr>
                <w:t>Equity Incentive Plan.</w:t>
              </w:r>
            </w:hyperlink>
          </w:p>
        </w:tc>
        <w:tc>
          <w:tcPr>
            <w:tcW w:w="4340" w:type="dxa"/>
            <w:vAlign w:val="bottom"/>
            <w:tcBorders>
              <w:top w:val="single" w:sz="8" w:color="0000FF"/>
            </w:tcBorders>
            <w:gridSpan w:val="20"/>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Borders>
              <w:bottom w:val="single" w:sz="8" w:color="0000FF"/>
            </w:tcBorders>
            <w:gridSpan w:val="9"/>
          </w:tcPr>
          <w:p>
            <w:pPr>
              <w:spacing w:after="0"/>
              <w:rPr>
                <w:rFonts w:ascii="Arial" w:cs="Arial" w:eastAsia="Arial" w:hAnsi="Arial"/>
                <w:sz w:val="18"/>
                <w:szCs w:val="18"/>
                <w:color w:val="0000FF"/>
                <w:w w:val="90"/>
              </w:rPr>
            </w:pPr>
            <w:hyperlink r:id="rId227">
              <w:r>
                <w:rPr>
                  <w:rFonts w:ascii="Arial" w:cs="Arial" w:eastAsia="Arial" w:hAnsi="Arial"/>
                  <w:sz w:val="18"/>
                  <w:szCs w:val="18"/>
                  <w:color w:val="0000FF"/>
                  <w:w w:val="90"/>
                </w:rPr>
                <w:t>2022 Inducement Equity Incentive Plan.</w:t>
              </w:r>
            </w:hyperlink>
          </w:p>
        </w:tc>
        <w:tc>
          <w:tcPr>
            <w:tcW w:w="3100" w:type="dxa"/>
            <w:vAlign w:val="bottom"/>
            <w:gridSpan w:val="17"/>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8"/>
                <w:szCs w:val="18"/>
                <w:color w:val="0000FF"/>
                <w:w w:val="95"/>
              </w:rPr>
            </w:pPr>
            <w:hyperlink r:id="rId228">
              <w:r>
                <w:rPr>
                  <w:rFonts w:ascii="Arial" w:cs="Arial" w:eastAsia="Arial" w:hAnsi="Arial"/>
                  <w:sz w:val="18"/>
                  <w:szCs w:val="18"/>
                  <w:color w:val="0000FF"/>
                  <w:w w:val="95"/>
                </w:rPr>
                <w:t>Form of RSU Inducement Award Agreement for OTB Founders under the 2022</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228">
              <w:r>
                <w:rPr>
                  <w:rFonts w:ascii="Arial" w:cs="Arial" w:eastAsia="Arial" w:hAnsi="Arial"/>
                  <w:sz w:val="18"/>
                  <w:szCs w:val="18"/>
                  <w:color w:val="0000FF"/>
                  <w:w w:val="91"/>
                </w:rPr>
                <w:t>Inducement Equity Incentive Plan.</w:t>
              </w:r>
            </w:hyperlink>
          </w:p>
        </w:tc>
        <w:tc>
          <w:tcPr>
            <w:tcW w:w="3220" w:type="dxa"/>
            <w:vAlign w:val="bottom"/>
            <w:tcBorders>
              <w:top w:val="single" w:sz="8" w:color="0000FF"/>
            </w:tcBorders>
            <w:gridSpan w:val="11"/>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w w:val="92"/>
              </w:rPr>
            </w:pPr>
            <w:hyperlink r:id="rId229">
              <w:r>
                <w:rPr>
                  <w:rFonts w:ascii="Arial" w:cs="Arial" w:eastAsia="Arial" w:hAnsi="Arial"/>
                  <w:sz w:val="18"/>
                  <w:szCs w:val="18"/>
                  <w:color w:val="0000FF"/>
                  <w:w w:val="92"/>
                </w:rPr>
                <w:t>Form of RSU Inducement Award Agreement for Other Employees under the 2022</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229">
              <w:r>
                <w:rPr>
                  <w:rFonts w:ascii="Arial" w:cs="Arial" w:eastAsia="Arial" w:hAnsi="Arial"/>
                  <w:sz w:val="18"/>
                  <w:szCs w:val="18"/>
                  <w:color w:val="0000FF"/>
                  <w:w w:val="91"/>
                </w:rPr>
                <w:t>Inducement Equity Incentive Plan.</w:t>
              </w:r>
            </w:hyperlink>
          </w:p>
        </w:tc>
        <w:tc>
          <w:tcPr>
            <w:tcW w:w="3400" w:type="dxa"/>
            <w:vAlign w:val="bottom"/>
            <w:tcBorders>
              <w:top w:val="single" w:sz="8" w:color="0000FF"/>
            </w:tcBorders>
            <w:gridSpan w:val="1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rPr>
            </w:pPr>
            <w:hyperlink r:id="rId230">
              <w:r>
                <w:rPr>
                  <w:rFonts w:ascii="Arial" w:cs="Arial" w:eastAsia="Arial" w:hAnsi="Arial"/>
                  <w:sz w:val="18"/>
                  <w:szCs w:val="18"/>
                  <w:color w:val="0000FF"/>
                </w:rPr>
                <w:t>2021 Employee Stock Purchase Plan.</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FF"/>
            </w:tcBorders>
            <w:gridSpan w:val="18"/>
          </w:tcPr>
          <w:p>
            <w:pPr>
              <w:spacing w:after="0"/>
              <w:rPr>
                <w:rFonts w:ascii="Arial" w:cs="Arial" w:eastAsia="Arial" w:hAnsi="Arial"/>
                <w:sz w:val="18"/>
                <w:szCs w:val="18"/>
                <w:color w:val="0000FF"/>
                <w:w w:val="90"/>
              </w:rPr>
            </w:pPr>
            <w:hyperlink r:id="rId231">
              <w:r>
                <w:rPr>
                  <w:rFonts w:ascii="Arial" w:cs="Arial" w:eastAsia="Arial" w:hAnsi="Arial"/>
                  <w:sz w:val="18"/>
                  <w:szCs w:val="18"/>
                  <w:color w:val="0000FF"/>
                  <w:w w:val="90"/>
                </w:rPr>
                <w:t>Form of Indemnification Agreement entered into by and between the Registrant</w:t>
              </w:r>
            </w:hyperlink>
          </w:p>
        </w:tc>
        <w:tc>
          <w:tcPr>
            <w:tcW w:w="260" w:type="dxa"/>
            <w:vAlign w:val="bottom"/>
            <w:gridSpan w:val="8"/>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6"/>
          </w:tcPr>
          <w:p>
            <w:pPr>
              <w:spacing w:after="0" w:line="196" w:lineRule="exact"/>
              <w:rPr>
                <w:rFonts w:ascii="Arial" w:cs="Arial" w:eastAsia="Arial" w:hAnsi="Arial"/>
                <w:sz w:val="18"/>
                <w:szCs w:val="18"/>
                <w:color w:val="0000FF"/>
              </w:rPr>
            </w:pPr>
            <w:hyperlink r:id="rId231">
              <w:r>
                <w:rPr>
                  <w:rFonts w:ascii="Arial" w:cs="Arial" w:eastAsia="Arial" w:hAnsi="Arial"/>
                  <w:sz w:val="18"/>
                  <w:szCs w:val="18"/>
                  <w:color w:val="0000FF"/>
                </w:rPr>
                <w:t>and each director and executive officer.</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940" w:type="dxa"/>
            <w:vAlign w:val="bottom"/>
          </w:tcPr>
          <w:p>
            <w:pPr>
              <w:ind w:left="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tcBorders>
              <w:bottom w:val="single" w:sz="8" w:color="0000FF"/>
            </w:tcBorders>
            <w:gridSpan w:val="11"/>
          </w:tcPr>
          <w:p>
            <w:pPr>
              <w:spacing w:after="0"/>
              <w:rPr>
                <w:rFonts w:ascii="Arial" w:cs="Arial" w:eastAsia="Arial" w:hAnsi="Arial"/>
                <w:sz w:val="18"/>
                <w:szCs w:val="18"/>
                <w:color w:val="0000FF"/>
                <w:w w:val="89"/>
              </w:rPr>
            </w:pPr>
            <w:hyperlink r:id="rId232">
              <w:r>
                <w:rPr>
                  <w:rFonts w:ascii="Arial" w:cs="Arial" w:eastAsia="Arial" w:hAnsi="Arial"/>
                  <w:sz w:val="18"/>
                  <w:szCs w:val="18"/>
                  <w:color w:val="0000FF"/>
                  <w:w w:val="89"/>
                </w:rPr>
                <w:t>Change of Control and Severance Policy.</w:t>
              </w:r>
            </w:hyperlink>
          </w:p>
        </w:tc>
        <w:tc>
          <w:tcPr>
            <w:tcW w:w="600" w:type="dxa"/>
            <w:vAlign w:val="bottom"/>
            <w:gridSpan w:val="2"/>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8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r>
      <w:tr>
        <w:trPr>
          <w:trHeight w:val="480"/>
        </w:trPr>
        <w:tc>
          <w:tcPr>
            <w:tcW w:w="940" w:type="dxa"/>
            <w:vAlign w:val="bottom"/>
          </w:tcPr>
          <w:p>
            <w:pPr>
              <w:ind w:left="2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Borders>
              <w:bottom w:val="single" w:sz="8" w:color="0000FF"/>
            </w:tcBorders>
            <w:gridSpan w:val="19"/>
          </w:tcPr>
          <w:p>
            <w:pPr>
              <w:spacing w:after="0"/>
              <w:rPr>
                <w:rFonts w:ascii="Arial" w:cs="Arial" w:eastAsia="Arial" w:hAnsi="Arial"/>
                <w:sz w:val="18"/>
                <w:szCs w:val="18"/>
                <w:color w:val="0000FF"/>
                <w:w w:val="89"/>
              </w:rPr>
            </w:pPr>
            <w:hyperlink r:id="rId233">
              <w:r>
                <w:rPr>
                  <w:rFonts w:ascii="Arial" w:cs="Arial" w:eastAsia="Arial" w:hAnsi="Arial"/>
                  <w:sz w:val="18"/>
                  <w:szCs w:val="18"/>
                  <w:color w:val="0000FF"/>
                  <w:w w:val="89"/>
                </w:rPr>
                <w:t>Offer Letter, by and between Tim Chen and the Registrant, dated June 25, 2021.</w:t>
              </w:r>
            </w:hyperlink>
          </w:p>
        </w:tc>
        <w:tc>
          <w:tcPr>
            <w:tcW w:w="240" w:type="dxa"/>
            <w:vAlign w:val="bottom"/>
            <w:gridSpan w:val="7"/>
          </w:tcPr>
          <w:p>
            <w:pPr>
              <w:spacing w:after="0"/>
              <w:rPr>
                <w:sz w:val="24"/>
                <w:szCs w:val="24"/>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bottom w:val="single" w:sz="8" w:color="0000FF"/>
            </w:tcBorders>
            <w:gridSpan w:val="21"/>
          </w:tcPr>
          <w:p>
            <w:pPr>
              <w:spacing w:after="0"/>
              <w:rPr>
                <w:rFonts w:ascii="Arial" w:cs="Arial" w:eastAsia="Arial" w:hAnsi="Arial"/>
                <w:sz w:val="18"/>
                <w:szCs w:val="18"/>
                <w:color w:val="0000FF"/>
                <w:w w:val="90"/>
              </w:rPr>
            </w:pPr>
            <w:hyperlink r:id="rId234">
              <w:r>
                <w:rPr>
                  <w:rFonts w:ascii="Arial" w:cs="Arial" w:eastAsia="Arial" w:hAnsi="Arial"/>
                  <w:sz w:val="18"/>
                  <w:szCs w:val="18"/>
                  <w:color w:val="0000FF"/>
                  <w:w w:val="90"/>
                </w:rPr>
                <w:t>Offer Letter, by and between Lauren StClair and the Registrant, dated November</w:t>
              </w:r>
            </w:hyperlink>
          </w:p>
        </w:tc>
        <w:tc>
          <w:tcPr>
            <w:tcW w:w="180" w:type="dxa"/>
            <w:vAlign w:val="bottom"/>
            <w:gridSpan w:val="5"/>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20"/>
              <w:spacing w:after="0" w:line="196" w:lineRule="exact"/>
              <w:rPr>
                <w:rFonts w:ascii="Arial" w:cs="Arial" w:eastAsia="Arial" w:hAnsi="Arial"/>
                <w:sz w:val="18"/>
                <w:szCs w:val="18"/>
                <w:color w:val="0000FF"/>
                <w:w w:val="77"/>
              </w:rPr>
            </w:pPr>
            <w:hyperlink r:id="rId234">
              <w:r>
                <w:rPr>
                  <w:rFonts w:ascii="Arial" w:cs="Arial" w:eastAsia="Arial" w:hAnsi="Arial"/>
                  <w:sz w:val="18"/>
                  <w:szCs w:val="18"/>
                  <w:color w:val="0000FF"/>
                  <w:w w:val="77"/>
                </w:rPr>
                <w:t>23, 2020.</w:t>
              </w:r>
            </w:hyperlink>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tcBorders>
              <w:bottom w:val="single" w:sz="8" w:color="0000FF"/>
            </w:tcBorders>
            <w:gridSpan w:val="14"/>
          </w:tcPr>
          <w:p>
            <w:pPr>
              <w:spacing w:after="0"/>
              <w:rPr>
                <w:rFonts w:ascii="Arial" w:cs="Arial" w:eastAsia="Arial" w:hAnsi="Arial"/>
                <w:sz w:val="18"/>
                <w:szCs w:val="18"/>
                <w:color w:val="0000FF"/>
                <w:w w:val="90"/>
              </w:rPr>
            </w:pPr>
            <w:hyperlink r:id="rId235">
              <w:r>
                <w:rPr>
                  <w:rFonts w:ascii="Arial" w:cs="Arial" w:eastAsia="Arial" w:hAnsi="Arial"/>
                  <w:sz w:val="18"/>
                  <w:szCs w:val="18"/>
                  <w:color w:val="0000FF"/>
                  <w:w w:val="90"/>
                </w:rPr>
                <w:t>Consulting Services Agreement by and between NerdWallet, Inc. and Kelly</w:t>
              </w:r>
            </w:hyperlink>
          </w:p>
        </w:tc>
        <w:tc>
          <w:tcPr>
            <w:tcW w:w="560" w:type="dxa"/>
            <w:vAlign w:val="bottom"/>
            <w:gridSpan w:val="12"/>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6"/>
          </w:tcPr>
          <w:p>
            <w:pPr>
              <w:spacing w:after="0" w:line="196" w:lineRule="exact"/>
              <w:rPr>
                <w:rFonts w:ascii="Arial" w:cs="Arial" w:eastAsia="Arial" w:hAnsi="Arial"/>
                <w:sz w:val="18"/>
                <w:szCs w:val="18"/>
                <w:color w:val="0000FF"/>
              </w:rPr>
            </w:pPr>
            <w:hyperlink r:id="rId235">
              <w:r>
                <w:rPr>
                  <w:rFonts w:ascii="Arial" w:cs="Arial" w:eastAsia="Arial" w:hAnsi="Arial"/>
                  <w:sz w:val="18"/>
                  <w:szCs w:val="18"/>
                  <w:color w:val="0000FF"/>
                </w:rPr>
                <w:t>Gillease.</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8"/>
                <w:szCs w:val="18"/>
                <w:color w:val="0000FF"/>
              </w:rPr>
            </w:pPr>
            <w:hyperlink r:id="rId236">
              <w:r>
                <w:rPr>
                  <w:rFonts w:ascii="Arial" w:cs="Arial" w:eastAsia="Arial" w:hAnsi="Arial"/>
                  <w:sz w:val="18"/>
                  <w:szCs w:val="18"/>
                  <w:color w:val="0000FF"/>
                </w:rPr>
                <w:t>Subsidiaries of the Registrant.</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1"/>
              </w:rPr>
              <w:t>Consent of Deloitte &amp; Touche LLP, independent registered public accounting firm.</w:t>
            </w:r>
          </w:p>
        </w:tc>
        <w:tc>
          <w:tcPr>
            <w:tcW w:w="40" w:type="dxa"/>
            <w:vAlign w:val="bottom"/>
          </w:tcPr>
          <w:p>
            <w:pPr>
              <w:spacing w:after="0"/>
              <w:rPr>
                <w:sz w:val="24"/>
                <w:szCs w:val="24"/>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sz w:val="20"/>
                <w:szCs w:val="20"/>
                <w:color w:val="auto"/>
              </w:rPr>
            </w:pPr>
            <w:r>
              <w:rPr>
                <w:rFonts w:ascii="Arial" w:cs="Arial" w:eastAsia="Arial" w:hAnsi="Arial"/>
                <w:sz w:val="18"/>
                <w:szCs w:val="18"/>
                <w:color w:val="0000FF"/>
                <w:w w:val="94"/>
              </w:rPr>
              <w:t>Certification of Principal Executive Officer pursuant to Exchange Act Rules 13a-</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w w:val="91"/>
              </w:rPr>
              <w:t>14(a) and 15d-14(a), as adopted pursuant to Section 302 of the Sarbanes-Oxley</w:t>
            </w:r>
          </w:p>
        </w:tc>
        <w:tc>
          <w:tcPr>
            <w:tcW w:w="160" w:type="dxa"/>
            <w:vAlign w:val="bottom"/>
            <w:gridSpan w:val="4"/>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3"/>
              </w:rPr>
              <w:t>Act of 2002.</w:t>
            </w:r>
          </w:p>
        </w:tc>
        <w:tc>
          <w:tcPr>
            <w:tcW w:w="4760" w:type="dxa"/>
            <w:vAlign w:val="bottom"/>
            <w:tcBorders>
              <w:top w:val="single" w:sz="8" w:color="0000FF"/>
            </w:tcBorders>
            <w:gridSpan w:val="13"/>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236"/>
        </w:trPr>
        <w:tc>
          <w:tcPr>
            <w:tcW w:w="94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26"/>
          </w:tcPr>
          <w:p>
            <w:pPr>
              <w:spacing w:after="0"/>
              <w:rPr>
                <w:sz w:val="20"/>
                <w:szCs w:val="20"/>
                <w:color w:val="auto"/>
              </w:rPr>
            </w:pPr>
            <w:r>
              <w:rPr>
                <w:rFonts w:ascii="Arial" w:cs="Arial" w:eastAsia="Arial" w:hAnsi="Arial"/>
                <w:sz w:val="18"/>
                <w:szCs w:val="18"/>
                <w:color w:val="0000FF"/>
                <w:w w:val="95"/>
              </w:rPr>
              <w:t>Certification of Principal Financial Officer pursuant to Exchange Act Rules 13a-</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w w:val="90"/>
              </w:rPr>
              <w:t>14(a) and 15d-14(a), as adopted pursuant to Section 302 of the Sarbanes-Oxley</w:t>
            </w:r>
          </w:p>
        </w:tc>
        <w:tc>
          <w:tcPr>
            <w:tcW w:w="200" w:type="dxa"/>
            <w:vAlign w:val="bottom"/>
            <w:gridSpan w:val="6"/>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1"/>
              </w:rPr>
              <w:t>Act of 2002.</w:t>
            </w:r>
          </w:p>
        </w:tc>
        <w:tc>
          <w:tcPr>
            <w:tcW w:w="4780" w:type="dxa"/>
            <w:vAlign w:val="bottom"/>
            <w:tcBorders>
              <w:top w:val="single" w:sz="8" w:color="0000FF"/>
            </w:tcBorders>
            <w:gridSpan w:val="14"/>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736"/>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gridSpan w:val="15"/>
          </w:tcPr>
          <w:p>
            <w:pPr>
              <w:jc w:val="right"/>
              <w:ind w:right="78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40640</wp:posOffset>
            </wp:positionV>
            <wp:extent cx="25888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0"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10.7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10.8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99.1 to the Registrant’s Registration Statement on Form S-8 (No. 333-265197) filed May 25, 2022</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10.10 to the Registrant’s Registration Statement on Form S-1 (No. 333-260134) filed October 26,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10.11 to the Registrant’s Registration Statement on Form S-1 (No. 333-260134) filed October 26,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99.1 to the Registrant’s Registration Statement on Form S-8 (No. 333-266087) filed July 11, 2022</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99.2 to the Registrant’s Registration Statement on Form S-8 (No. 333-266087) filed July 11, 2022</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99.3 to the Registrant’s Registration Statement on Form S-8 (No. 333-266087) filed July 11, 2022</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10.12 to the Registrant’s Registration Statement on Form S-1 (No. 333-260134) filed October 26,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10.13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10.22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10.21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10.17 to the Registrant’s Registration Statement on Form S-1 (No. 333-260134) filed October 8, 2021</w:t>
      </w:r>
    </w:p>
    <w:p>
      <w:pPr>
        <w:spacing w:after="0" w:line="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Exhibit 10.1 to the Registrant’s Amended Current Report on Form 8-K/A (No. 001-40994) filed October 3, 2022</w:t>
      </w:r>
    </w:p>
    <w:p>
      <w:pPr>
        <w:spacing w:after="0" w:line="22" w:lineRule="exact"/>
        <w:rPr>
          <w:sz w:val="20"/>
          <w:szCs w:val="20"/>
          <w:color w:val="auto"/>
        </w:rPr>
      </w:pPr>
    </w:p>
    <w:p>
      <w:pPr>
        <w:ind w:right="400"/>
        <w:spacing w:after="0" w:line="316" w:lineRule="auto"/>
        <w:rPr>
          <w:sz w:val="20"/>
          <w:szCs w:val="20"/>
          <w:color w:val="auto"/>
        </w:rPr>
      </w:pPr>
      <w:r>
        <w:rPr>
          <w:rFonts w:ascii="Arial" w:cs="Arial" w:eastAsia="Arial" w:hAnsi="Arial"/>
          <w:sz w:val="16"/>
          <w:szCs w:val="16"/>
          <w:color w:val="auto"/>
        </w:rPr>
        <w:t>Exhibit 21.1 to the Registrant’s Annual Report on Form 10-K (No. 001-40994) filed March 24,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7060" w:space="120"/>
            <w:col w:w="4020"/>
          </w:cols>
          <w:pgMar w:left="320" w:top="125" w:right="379" w:bottom="1440" w:gutter="0" w:footer="0" w:header="0"/>
          <w:type w:val="continuous"/>
        </w:sectPr>
      </w:pPr>
    </w:p>
    <w:bookmarkStart w:id="95" w:name="page96"/>
    <w:bookmarkEnd w:id="9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18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6120" w:type="dxa"/>
            <w:vAlign w:val="bottom"/>
            <w:gridSpan w:val="5"/>
          </w:tcPr>
          <w:p>
            <w:pPr>
              <w:ind w:left="2320"/>
              <w:spacing w:after="0"/>
              <w:rPr>
                <w:sz w:val="20"/>
                <w:szCs w:val="20"/>
                <w:color w:val="auto"/>
              </w:rPr>
            </w:pPr>
            <w:r>
              <w:rPr>
                <w:rFonts w:ascii="Arial" w:cs="Arial" w:eastAsia="Arial" w:hAnsi="Arial"/>
                <w:sz w:val="14"/>
                <w:szCs w:val="14"/>
                <w:b w:val="1"/>
                <w:bCs w:val="1"/>
                <w:color w:val="auto"/>
              </w:rPr>
              <w:t>Description of Exhibit</w:t>
            </w:r>
          </w:p>
        </w:tc>
        <w:tc>
          <w:tcPr>
            <w:tcW w:w="4060" w:type="dxa"/>
            <w:vAlign w:val="bottom"/>
          </w:tcPr>
          <w:p>
            <w:pPr>
              <w:ind w:left="1760"/>
              <w:spacing w:after="0"/>
              <w:rPr>
                <w:sz w:val="20"/>
                <w:szCs w:val="20"/>
                <w:color w:val="auto"/>
              </w:rPr>
            </w:pPr>
            <w:r>
              <w:rPr>
                <w:rFonts w:ascii="Arial" w:cs="Arial" w:eastAsia="Arial" w:hAnsi="Arial"/>
                <w:sz w:val="14"/>
                <w:szCs w:val="14"/>
                <w:b w:val="1"/>
                <w:bCs w:val="1"/>
                <w:color w:val="auto"/>
              </w:rPr>
              <w:t>Location</w:t>
            </w:r>
          </w:p>
        </w:tc>
      </w:tr>
      <w:tr>
        <w:trPr>
          <w:trHeight w:val="39"/>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5"/>
          </w:tcPr>
          <w:p>
            <w:pPr>
              <w:spacing w:after="0" w:line="196" w:lineRule="exact"/>
              <w:rPr>
                <w:sz w:val="20"/>
                <w:szCs w:val="20"/>
                <w:color w:val="auto"/>
              </w:rPr>
            </w:pPr>
            <w:r>
              <w:rPr>
                <w:rFonts w:ascii="Arial" w:cs="Arial" w:eastAsia="Arial" w:hAnsi="Arial"/>
                <w:sz w:val="18"/>
                <w:szCs w:val="18"/>
                <w:color w:val="0000FF"/>
                <w:w w:val="94"/>
              </w:rPr>
              <w:t>Certification of Principal Executive Officer pursuant to 18 U.S.C. Section 1350, as</w:t>
            </w:r>
          </w:p>
        </w:tc>
        <w:tc>
          <w:tcPr>
            <w:tcW w:w="40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r>
      <w:tr>
        <w:trPr>
          <w:trHeight w:val="182"/>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89"/>
              </w:rPr>
              <w:t>adopted pursuant to Section 906 of the Sarbanes-Oxley Act of 2002.</w:t>
            </w:r>
          </w:p>
        </w:tc>
        <w:tc>
          <w:tcPr>
            <w:tcW w:w="1020" w:type="dxa"/>
            <w:vAlign w:val="bottom"/>
            <w:tcBorders>
              <w:top w:val="single" w:sz="8" w:color="0000FF"/>
            </w:tcBorders>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4060" w:type="dxa"/>
            <w:vAlign w:val="bottom"/>
          </w:tcPr>
          <w:p>
            <w:pPr>
              <w:spacing w:after="0"/>
              <w:rPr>
                <w:sz w:val="15"/>
                <w:szCs w:val="15"/>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0000FF"/>
                <w:w w:val="95"/>
              </w:rPr>
              <w:t>Certification of Principal Financial Officer pursuant to 18 U.S.C. Section 1350, as</w:t>
            </w:r>
          </w:p>
        </w:tc>
        <w:tc>
          <w:tcPr>
            <w:tcW w:w="40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89"/>
              </w:rPr>
              <w:t>adopted pursuant to Section 906 of the Sarbanes-Oxley Act of 2002.</w:t>
            </w:r>
          </w:p>
        </w:tc>
        <w:tc>
          <w:tcPr>
            <w:tcW w:w="980" w:type="dxa"/>
            <w:vAlign w:val="bottom"/>
            <w:tcBorders>
              <w:top w:val="single" w:sz="8" w:color="0000FF"/>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4060" w:type="dxa"/>
            <w:vAlign w:val="bottom"/>
          </w:tcPr>
          <w:p>
            <w:pPr>
              <w:spacing w:after="0"/>
              <w:rPr>
                <w:sz w:val="15"/>
                <w:szCs w:val="15"/>
                <w:color w:val="auto"/>
              </w:rPr>
            </w:pPr>
          </w:p>
        </w:tc>
      </w:tr>
      <w:tr>
        <w:trPr>
          <w:trHeight w:val="26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2"/>
                <w:szCs w:val="22"/>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XBRL Instance Document.(the instance document does not appear in the</w:t>
            </w:r>
          </w:p>
        </w:tc>
        <w:tc>
          <w:tcPr>
            <w:tcW w:w="40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w w:val="93"/>
              </w:rPr>
              <w:t>Interactive Data File because its XBRL tags are embedded within the Inline XBRL</w:t>
            </w:r>
          </w:p>
        </w:tc>
        <w:tc>
          <w:tcPr>
            <w:tcW w:w="406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4060" w:type="dxa"/>
            <w:vAlign w:val="bottom"/>
          </w:tcPr>
          <w:p>
            <w:pPr>
              <w:spacing w:after="0"/>
              <w:rPr>
                <w:sz w:val="20"/>
                <w:szCs w:val="20"/>
                <w:color w:val="auto"/>
              </w:rPr>
            </w:pPr>
          </w:p>
        </w:tc>
      </w:tr>
      <w:tr>
        <w:trPr>
          <w:trHeight w:val="257"/>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2"/>
                <w:szCs w:val="22"/>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40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0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0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40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0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42"/>
        </w:trPr>
        <w:tc>
          <w:tcPr>
            <w:tcW w:w="9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w:t>
            </w:r>
          </w:p>
        </w:tc>
        <w:tc>
          <w:tcPr>
            <w:tcW w:w="40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Exhibits 101).</w:t>
            </w:r>
          </w:p>
        </w:tc>
        <w:tc>
          <w:tcPr>
            <w:tcW w:w="4060" w:type="dxa"/>
            <w:vAlign w:val="bottom"/>
          </w:tcPr>
          <w:p>
            <w:pPr>
              <w:spacing w:after="0"/>
              <w:rPr>
                <w:sz w:val="20"/>
                <w:szCs w:val="20"/>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30" w:lineRule="exact"/>
        <w:rPr>
          <w:sz w:val="20"/>
          <w:szCs w:val="20"/>
          <w:color w:val="auto"/>
        </w:rPr>
      </w:pPr>
    </w:p>
    <w:p>
      <w:pPr>
        <w:jc w:val="right"/>
        <w:ind w:left="340" w:hanging="332"/>
        <w:spacing w:after="0" w:line="248" w:lineRule="auto"/>
        <w:tabs>
          <w:tab w:leader="none" w:pos="286" w:val="left"/>
        </w:tabs>
        <w:numPr>
          <w:ilvl w:val="0"/>
          <w:numId w:val="61"/>
        </w:numPr>
        <w:rPr>
          <w:rFonts w:ascii="Arial" w:cs="Arial" w:eastAsia="Arial" w:hAnsi="Arial"/>
          <w:sz w:val="17"/>
          <w:szCs w:val="17"/>
          <w:color w:val="auto"/>
        </w:rPr>
      </w:pPr>
      <w:r>
        <w:rPr>
          <w:rFonts w:ascii="Arial" w:cs="Arial" w:eastAsia="Arial" w:hAnsi="Arial"/>
          <w:sz w:val="13"/>
          <w:szCs w:val="13"/>
          <w:color w:val="auto"/>
        </w:rPr>
        <w:t>The certifications attached as Exhibits 32.1 and 32.2 that accompany this Annual Report on Form 10-K are deemed furnished and not filed with the Securities and Exchange Commission and are not to be incorporated by reference into any filing under the Securities Act of 1933, as amended, or the Securities Exchange Act of 1934, as amended, whether made before or after the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date of this Annual Report on Form 10-K, irrespective of any general incorporation language contained in such filing.</w:t>
      </w:r>
    </w:p>
    <w:p>
      <w:pPr>
        <w:spacing w:after="0" w:line="15" w:lineRule="exact"/>
        <w:rPr>
          <w:sz w:val="20"/>
          <w:szCs w:val="20"/>
          <w:color w:val="auto"/>
        </w:rPr>
      </w:pPr>
    </w:p>
    <w:p>
      <w:pPr>
        <w:jc w:val="both"/>
        <w:ind w:left="340" w:hanging="332"/>
        <w:spacing w:after="0" w:line="272" w:lineRule="auto"/>
        <w:tabs>
          <w:tab w:leader="none" w:pos="353" w:val="left"/>
        </w:tabs>
        <w:numPr>
          <w:ilvl w:val="0"/>
          <w:numId w:val="62"/>
        </w:numPr>
        <w:rPr>
          <w:rFonts w:ascii="Arial" w:cs="Arial" w:eastAsia="Arial" w:hAnsi="Arial"/>
          <w:sz w:val="14"/>
          <w:szCs w:val="14"/>
          <w:color w:val="auto"/>
        </w:rPr>
      </w:pPr>
      <w:r>
        <w:rPr>
          <w:rFonts w:ascii="Arial" w:cs="Arial" w:eastAsia="Arial" w:hAnsi="Arial"/>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25"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8"/>
          <w:szCs w:val="18"/>
          <w:color w:val="auto"/>
        </w:rPr>
        <w:t>(b) Financial Statement Schedules.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February 23, 2023.</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NERDWALLET, INC.</w:t>
      </w:r>
    </w:p>
    <w:p>
      <w:pPr>
        <w:spacing w:after="0" w:line="337" w:lineRule="exact"/>
        <w:rPr>
          <w:sz w:val="20"/>
          <w:szCs w:val="20"/>
          <w:color w:val="auto"/>
        </w:rPr>
      </w:pPr>
    </w:p>
    <w:p>
      <w:pPr>
        <w:ind w:left="5560"/>
        <w:spacing w:after="0"/>
        <w:tabs>
          <w:tab w:leader="none" w:pos="6020" w:val="left"/>
        </w:tabs>
        <w:rPr>
          <w:sz w:val="20"/>
          <w:szCs w:val="20"/>
          <w:color w:val="auto"/>
        </w:rPr>
      </w:pPr>
      <w:r>
        <w:rPr>
          <w:rFonts w:ascii="Arial" w:cs="Arial" w:eastAsia="Arial" w:hAnsi="Arial"/>
          <w:sz w:val="18"/>
          <w:szCs w:val="18"/>
          <w:color w:val="auto"/>
        </w:rPr>
        <w:t>By:</w:t>
        <w:tab/>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26746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Tim Chen</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320" w:lineRule="exact"/>
        <w:rPr>
          <w:sz w:val="20"/>
          <w:szCs w:val="20"/>
          <w:color w:val="auto"/>
        </w:rPr>
      </w:pPr>
    </w:p>
    <w:p>
      <w:pPr>
        <w:ind w:left="5560"/>
        <w:spacing w:after="0"/>
        <w:tabs>
          <w:tab w:leader="none" w:pos="6020" w:val="left"/>
        </w:tabs>
        <w:rPr>
          <w:sz w:val="20"/>
          <w:szCs w:val="20"/>
          <w:color w:val="auto"/>
        </w:rPr>
      </w:pPr>
      <w:r>
        <w:rPr>
          <w:rFonts w:ascii="Arial" w:cs="Arial" w:eastAsia="Arial" w:hAnsi="Arial"/>
          <w:sz w:val="18"/>
          <w:szCs w:val="18"/>
          <w:color w:val="auto"/>
        </w:rPr>
        <w:t>By:</w:t>
        <w:tab/>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26746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Lauren StClair</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16"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
        </w:trPr>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720" w:type="dxa"/>
            <w:vAlign w:val="bottom"/>
          </w:tcPr>
          <w:p>
            <w:pPr>
              <w:jc w:val="center"/>
              <w:spacing w:after="0"/>
              <w:rPr>
                <w:sz w:val="20"/>
                <w:szCs w:val="20"/>
                <w:color w:val="auto"/>
              </w:rPr>
            </w:pPr>
            <w:r>
              <w:rPr>
                <w:rFonts w:ascii="Arial" w:cs="Arial" w:eastAsia="Arial" w:hAnsi="Arial"/>
                <w:sz w:val="18"/>
                <w:szCs w:val="18"/>
                <w:color w:val="auto"/>
                <w:w w:val="92"/>
              </w:rPr>
              <w:t>/s/ Tim Chen</w:t>
            </w:r>
          </w:p>
        </w:tc>
        <w:tc>
          <w:tcPr>
            <w:tcW w:w="120" w:type="dxa"/>
            <w:vAlign w:val="bottom"/>
          </w:tcPr>
          <w:p>
            <w:pPr>
              <w:spacing w:after="0"/>
              <w:rPr>
                <w:sz w:val="24"/>
                <w:szCs w:val="24"/>
                <w:color w:val="auto"/>
              </w:rPr>
            </w:pP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c>
          <w:tcPr>
            <w:tcW w:w="0" w:type="dxa"/>
            <w:vAlign w:val="bottom"/>
          </w:tcPr>
          <w:p>
            <w:pPr>
              <w:spacing w:after="0"/>
              <w:rPr>
                <w:sz w:val="1"/>
                <w:szCs w:val="1"/>
                <w:color w:val="auto"/>
              </w:rPr>
            </w:pPr>
          </w:p>
        </w:tc>
      </w:tr>
      <w:tr>
        <w:trPr>
          <w:trHeight w:val="54"/>
        </w:trPr>
        <w:tc>
          <w:tcPr>
            <w:tcW w:w="27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680" w:type="dxa"/>
            <w:vAlign w:val="bottom"/>
            <w:gridSpan w:val="2"/>
            <w:vMerge w:val="restart"/>
          </w:tcPr>
          <w:p>
            <w:pPr>
              <w:jc w:val="center"/>
              <w:ind w:right="120"/>
              <w:spacing w:after="0" w:line="134" w:lineRule="exact"/>
              <w:rPr>
                <w:sz w:val="20"/>
                <w:szCs w:val="20"/>
                <w:color w:val="auto"/>
              </w:rPr>
            </w:pPr>
            <w:r>
              <w:rPr>
                <w:rFonts w:ascii="Arial" w:cs="Arial" w:eastAsia="Arial" w:hAnsi="Arial"/>
                <w:sz w:val="15"/>
                <w:szCs w:val="15"/>
                <w:color w:val="auto"/>
              </w:rPr>
              <w:t>Chairman of the Board of Directors</w:t>
            </w: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2"/>
              </w:rPr>
              <w:t>Tim Chen</w:t>
            </w:r>
          </w:p>
        </w:tc>
        <w:tc>
          <w:tcPr>
            <w:tcW w:w="120" w:type="dxa"/>
            <w:vAlign w:val="bottom"/>
            <w:vMerge w:val="continue"/>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2"/>
            <w:vMerge w:val="restart"/>
          </w:tcPr>
          <w:p>
            <w:pPr>
              <w:jc w:val="center"/>
              <w:ind w:right="140"/>
              <w:spacing w:after="0"/>
              <w:rPr>
                <w:sz w:val="20"/>
                <w:szCs w:val="20"/>
                <w:color w:val="auto"/>
              </w:rPr>
            </w:pPr>
            <w:r>
              <w:rPr>
                <w:rFonts w:ascii="Arial" w:cs="Arial" w:eastAsia="Arial" w:hAnsi="Arial"/>
                <w:sz w:val="18"/>
                <w:szCs w:val="18"/>
                <w:i w:val="1"/>
                <w:iCs w:val="1"/>
                <w:color w:val="auto"/>
                <w:w w:val="94"/>
              </w:rPr>
              <w:t>(Principal Executive Officer)</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2"/>
              </w:rPr>
              <w:t>/s/ Lauren StClair</w:t>
            </w:r>
          </w:p>
        </w:tc>
        <w:tc>
          <w:tcPr>
            <w:tcW w:w="120" w:type="dxa"/>
            <w:vAlign w:val="bottom"/>
          </w:tcPr>
          <w:p>
            <w:pPr>
              <w:spacing w:after="0"/>
              <w:rPr>
                <w:sz w:val="24"/>
                <w:szCs w:val="24"/>
                <w:color w:val="auto"/>
              </w:rPr>
            </w:pP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23, 2023</w:t>
            </w:r>
          </w:p>
        </w:tc>
        <w:tc>
          <w:tcPr>
            <w:tcW w:w="0" w:type="dxa"/>
            <w:vAlign w:val="bottom"/>
          </w:tcPr>
          <w:p>
            <w:pPr>
              <w:spacing w:after="0"/>
              <w:rPr>
                <w:sz w:val="1"/>
                <w:szCs w:val="1"/>
                <w:color w:val="auto"/>
              </w:rPr>
            </w:pPr>
          </w:p>
        </w:tc>
      </w:tr>
      <w:tr>
        <w:trPr>
          <w:trHeight w:val="127"/>
        </w:trPr>
        <w:tc>
          <w:tcPr>
            <w:tcW w:w="272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and</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2"/>
              </w:rPr>
              <w:t>Lauren StClair</w:t>
            </w:r>
          </w:p>
        </w:tc>
        <w:tc>
          <w:tcPr>
            <w:tcW w:w="120" w:type="dxa"/>
            <w:vAlign w:val="bottom"/>
          </w:tcPr>
          <w:p>
            <w:pPr>
              <w:spacing w:after="0"/>
              <w:rPr>
                <w:sz w:val="6"/>
                <w:szCs w:val="6"/>
                <w:color w:val="auto"/>
              </w:rPr>
            </w:pPr>
          </w:p>
        </w:tc>
        <w:tc>
          <w:tcPr>
            <w:tcW w:w="3680" w:type="dxa"/>
            <w:vAlign w:val="bottom"/>
            <w:gridSpan w:val="2"/>
            <w:vMerge w:val="continue"/>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Jennifer Ceran</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89"/>
              </w:rPr>
              <w:t>Jennifer Ceran</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Lynne Laube</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0"/>
              </w:rPr>
              <w:t>Lynne Laube</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Loverro</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1"/>
              </w:rPr>
              <w:t>Thomas Loverro</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Kenneth T. McBride</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3"/>
              </w:rPr>
              <w:t>Kenneth T. McBride</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0"/>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Maurice Taylor</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4"/>
              </w:rPr>
              <w:t>Maurice Taylor</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0"/>
        </w:trPr>
        <w:tc>
          <w:tcPr>
            <w:tcW w:w="2720" w:type="dxa"/>
            <w:vAlign w:val="bottom"/>
          </w:tcPr>
          <w:p>
            <w:pPr>
              <w:spacing w:after="0"/>
              <w:rPr>
                <w:sz w:val="24"/>
                <w:szCs w:val="24"/>
                <w:color w:val="auto"/>
              </w:rPr>
            </w:pPr>
          </w:p>
        </w:tc>
        <w:tc>
          <w:tcPr>
            <w:tcW w:w="3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94</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consent to the incorporation by reference in Registration Statement No. 333-266087, No. 333-265197, and No. 333-260853 on Form S-8 of our report dated February 23, 2023, relating to the financial statements of NerdWallet, Inc. (the “Company”) appearing in this Annual Report on Form 10-K for the year ended December 31, 2022.</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Deloitte &amp; Touche LLP</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San Jose, California</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February 23, 2023</w:t>
      </w:r>
    </w:p>
    <w:p>
      <w:pPr>
        <w:sectPr>
          <w:pgSz w:w="11900" w:h="16838" w:orient="portrait"/>
          <w:cols w:equalWidth="0" w:num="1">
            <w:col w:w="11240"/>
          </w:cols>
          <w:pgMar w:left="320" w:top="11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NerdWallet,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70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2023</w:t>
      </w:r>
      <w:r>
        <w:rPr>
          <w:sz w:val="20"/>
          <w:szCs w:val="20"/>
          <w:color w:val="auto"/>
        </w:rPr>
        <w:tab/>
      </w:r>
      <w:r>
        <w:rPr>
          <w:rFonts w:ascii="Arial" w:cs="Arial" w:eastAsia="Arial" w:hAnsi="Arial"/>
          <w:sz w:val="16"/>
          <w:szCs w:val="16"/>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w:t>
      </w:r>
    </w:p>
    <w:p>
      <w:pPr>
        <w:spacing w:after="0" w:line="1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40"/>
          </w:cols>
          <w:pgMar w:left="320" w:top="136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NerdWallet,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700" w:val="left"/>
          <w:tab w:leader="none" w:pos="7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2023</w:t>
      </w:r>
      <w:r>
        <w:rPr>
          <w:sz w:val="20"/>
          <w:szCs w:val="20"/>
          <w:color w:val="auto"/>
        </w:rPr>
        <w:tab/>
      </w:r>
      <w:r>
        <w:rPr>
          <w:rFonts w:ascii="Arial" w:cs="Arial" w:eastAsia="Arial" w:hAnsi="Arial"/>
          <w:sz w:val="16"/>
          <w:szCs w:val="16"/>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363"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76" w:lineRule="exact"/>
        <w:rPr>
          <w:sz w:val="20"/>
          <w:szCs w:val="20"/>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70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2023</w:t>
      </w:r>
      <w:r>
        <w:rPr>
          <w:sz w:val="20"/>
          <w:szCs w:val="20"/>
          <w:color w:val="auto"/>
        </w:rPr>
        <w:tab/>
      </w:r>
      <w:r>
        <w:rPr>
          <w:rFonts w:ascii="Arial" w:cs="Arial" w:eastAsia="Arial" w:hAnsi="Arial"/>
          <w:sz w:val="16"/>
          <w:szCs w:val="16"/>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w:t>
      </w:r>
    </w:p>
    <w:p>
      <w:pPr>
        <w:spacing w:after="0" w:line="1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40"/>
          </w:cols>
          <w:pgMar w:left="320" w:top="1363"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700" w:val="left"/>
          <w:tab w:leader="none" w:pos="7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2023</w:t>
      </w:r>
      <w:r>
        <w:rPr>
          <w:sz w:val="20"/>
          <w:szCs w:val="20"/>
          <w:color w:val="auto"/>
        </w:rPr>
        <w:tab/>
      </w:r>
      <w:r>
        <w:rPr>
          <w:rFonts w:ascii="Arial" w:cs="Arial" w:eastAsia="Arial" w:hAnsi="Arial"/>
          <w:sz w:val="16"/>
          <w:szCs w:val="16"/>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lvl w:ilvl="1">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lowerRoman"/>
      <w:start w:val="1"/>
    </w:lvl>
  </w:abstractNum>
  <w:abstractNum w:abstractNumId="32">
    <w:nsid w:val="579478FE"/>
    <w:multiLevelType w:val="hybridMultilevel"/>
    <w:lvl w:ilvl="0">
      <w:lvlJc w:val="left"/>
      <w:lvlText w:val="(%1)"/>
      <w:numFmt w:val="decimal"/>
      <w:start w:val="26"/>
    </w:lvl>
  </w:abstractNum>
  <w:abstractNum w:abstractNumId="33">
    <w:nsid w:val="749ABB43"/>
    <w:multiLevelType w:val="hybridMultilevel"/>
    <w:lvl w:ilvl="0">
      <w:lvlJc w:val="left"/>
      <w:lvlText w:val="(%1)"/>
      <w:numFmt w:val="decimal"/>
      <w:start w:val="93"/>
    </w:lvl>
  </w:abstractNum>
  <w:abstractNum w:abstractNumId="34">
    <w:nsid w:val="3DC240FB"/>
    <w:multiLevelType w:val="hybridMultilevel"/>
    <w:lvl w:ilvl="0">
      <w:lvlJc w:val="left"/>
      <w:lvlText w:val="%1"/>
      <w:numFmt w:val="decimal"/>
      <w:start w:val="647"/>
    </w:lvl>
    <w:lvl w:ilvl="1">
      <w:lvlJc w:val="left"/>
      <w:lvlText w:val="(%2)"/>
      <w:numFmt w:val="decimal"/>
      <w:start w:val="96"/>
    </w:lvl>
  </w:abstractNum>
  <w:abstractNum w:abstractNumId="35">
    <w:nsid w:val="1BA026FA"/>
    <w:multiLevelType w:val="hybridMultilevel"/>
    <w:lvl w:ilvl="0">
      <w:lvlJc w:val="left"/>
      <w:lvlText w:val="%1"/>
      <w:numFmt w:val="decimal"/>
      <w:start w:val="58"/>
    </w:lvl>
    <w:lvl w:ilvl="1">
      <w:lvlJc w:val="left"/>
      <w:lvlText w:val="%2"/>
      <w:numFmt w:val="decimal"/>
      <w:start w:val="1"/>
    </w:lvl>
  </w:abstractNum>
  <w:abstractNum w:abstractNumId="36">
    <w:nsid w:val="79A1DEAA"/>
    <w:multiLevelType w:val="hybridMultilevel"/>
    <w:lvl w:ilvl="0">
      <w:lvlJc w:val="left"/>
      <w:lvlText w:val="(%1)"/>
      <w:numFmt w:val="decimal"/>
      <w:start w:val="3"/>
    </w:lvl>
  </w:abstractNum>
  <w:abstractNum w:abstractNumId="37">
    <w:nsid w:val="75C6C33A"/>
    <w:multiLevelType w:val="hybridMultilevel"/>
    <w:lvl w:ilvl="0">
      <w:lvlJc w:val="left"/>
      <w:lvlText w:val="(%1)"/>
      <w:numFmt w:val="decimal"/>
      <w:start w:val="41"/>
    </w:lvl>
  </w:abstractNum>
  <w:abstractNum w:abstractNumId="38">
    <w:nsid w:val="12E685FB"/>
    <w:multiLevelType w:val="hybridMultilevel"/>
    <w:lvl w:ilvl="0">
      <w:lvlJc w:val="left"/>
      <w:lvlText w:val="(%1)"/>
      <w:numFmt w:val="decimal"/>
      <w:start w:val="883"/>
    </w:lvl>
  </w:abstractNum>
  <w:abstractNum w:abstractNumId="39">
    <w:nsid w:val="70C6A529"/>
    <w:multiLevelType w:val="hybridMultilevel"/>
    <w:lvl w:ilvl="0">
      <w:lvlJc w:val="left"/>
      <w:lvlText w:val="(%1)"/>
      <w:numFmt w:val="decimal"/>
      <w:start w:val="780"/>
    </w:lvl>
  </w:abstractNum>
  <w:abstractNum w:abstractNumId="40">
    <w:nsid w:val="520EEDD1"/>
    <w:multiLevelType w:val="hybridMultilevel"/>
    <w:lvl w:ilvl="0">
      <w:lvlJc w:val="left"/>
      <w:lvlText w:val="\emdash "/>
      <w:numFmt w:val="bullet"/>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2"/>
    </w:lvl>
  </w:abstractNum>
  <w:abstractNum w:abstractNumId="43">
    <w:nsid w:val="23F9C13C"/>
    <w:multiLevelType w:val="hybridMultilevel"/>
    <w:lvl w:ilvl="0">
      <w:lvlJc w:val="left"/>
      <w:lvlText w:val="%1."/>
      <w:numFmt w:val="decimal"/>
      <w:start w:val="3"/>
    </w:lvl>
  </w:abstractNum>
  <w:abstractNum w:abstractNumId="44">
    <w:nsid w:val="649BB77C"/>
    <w:multiLevelType w:val="hybridMultilevel"/>
    <w:lvl w:ilvl="0">
      <w:lvlJc w:val="left"/>
      <w:lvlText w:val="%1."/>
      <w:numFmt w:val="decimal"/>
      <w:start w:val="4"/>
    </w:lvl>
  </w:abstractNum>
  <w:abstractNum w:abstractNumId="45">
    <w:nsid w:val="275AC794"/>
    <w:multiLevelType w:val="hybridMultilevel"/>
    <w:lvl w:ilvl="0">
      <w:lvlJc w:val="left"/>
      <w:lvlText w:val="%1."/>
      <w:numFmt w:val="decimal"/>
      <w:start w:val="5"/>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6"/>
    </w:lvl>
  </w:abstractNum>
  <w:abstractNum w:abstractNumId="54">
    <w:nsid w:val="D34B6A8"/>
    <w:multiLevelType w:val="hybridMultilevel"/>
    <w:lvl w:ilvl="0">
      <w:lvlJc w:val="left"/>
      <w:lvlText w:val="%1."/>
      <w:numFmt w:val="decimal"/>
      <w:start w:val="7"/>
    </w:lvl>
  </w:abstractNum>
  <w:abstractNum w:abstractNumId="55">
    <w:nsid w:val="10233C99"/>
    <w:multiLevelType w:val="hybridMultilevel"/>
    <w:lvl w:ilvl="0">
      <w:lvlJc w:val="left"/>
      <w:lvlText w:val="%1."/>
      <w:numFmt w:val="decimal"/>
      <w:start w:val="8"/>
    </w:lvl>
  </w:abstractNum>
  <w:abstractNum w:abstractNumId="56">
    <w:nsid w:val="3F6AB60F"/>
    <w:multiLevelType w:val="hybridMultilevel"/>
    <w:lvl w:ilvl="0">
      <w:lvlJc w:val="left"/>
      <w:lvlText w:val="%1."/>
      <w:numFmt w:val="decimal"/>
      <w:start w:val="9"/>
    </w:lvl>
  </w:abstractNum>
  <w:abstractNum w:abstractNumId="57">
    <w:nsid w:val="61574095"/>
    <w:multiLevelType w:val="hybridMultilevel"/>
    <w:lvl w:ilvl="0">
      <w:lvlJc w:val="left"/>
      <w:lvlText w:val="(%1)"/>
      <w:numFmt w:val="lowerRoman"/>
      <w:start w:val="1"/>
    </w:lvl>
  </w:abstractNum>
  <w:abstractNum w:abstractNumId="58">
    <w:nsid w:val="7E0C57B1"/>
    <w:multiLevelType w:val="hybridMultilevel"/>
    <w:lvl w:ilvl="0">
      <w:lvlJc w:val="left"/>
      <w:lvlText w:val="%1."/>
      <w:numFmt w:val="decimal"/>
      <w:start w:val="12"/>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05" Type="http://schemas.openxmlformats.org/officeDocument/2006/relationships/hyperlink" Target="https://www.sec.gov/Archives/edgar/data/1625278/000162527822000089/exhibit21-mergeragreement.htm" TargetMode="External"/><Relationship Id="rId206" Type="http://schemas.openxmlformats.org/officeDocument/2006/relationships/hyperlink" Target="https://www.sec.gov/Archives/edgar/data/0001625278/000162828021022618/exhibit31-closing8xk.htm" TargetMode="External"/><Relationship Id="rId207" Type="http://schemas.openxmlformats.org/officeDocument/2006/relationships/hyperlink" Target="https://www.sec.gov/Archives/edgar/data/0001625278/000162828021022618/exhibit32-closing8xk.htm" TargetMode="External"/><Relationship Id="rId208" Type="http://schemas.openxmlformats.org/officeDocument/2006/relationships/hyperlink" Target="https://www.sec.gov/Archives/edgar/data/1625278/000162527822000029/exhibit41-10xkfy21.htm" TargetMode="External"/><Relationship Id="rId209" Type="http://schemas.openxmlformats.org/officeDocument/2006/relationships/hyperlink" Target="https://www.sec.gov/Archives/edgar/data/1625278/000162828021019876/exhibit101-sx1.htm" TargetMode="External"/><Relationship Id="rId210" Type="http://schemas.openxmlformats.org/officeDocument/2006/relationships/hyperlink" Target="https://www.sec.gov/Archives/edgar/data/1625278/000162828021019876/exhibit102-sx1.htm" TargetMode="External"/><Relationship Id="rId211" Type="http://schemas.openxmlformats.org/officeDocument/2006/relationships/hyperlink" Target="https://www.sec.gov/Archives/edgar/data/1625278/000162828021019876/exhibit103-sx1.htm" TargetMode="External"/><Relationship Id="rId212" Type="http://schemas.openxmlformats.org/officeDocument/2006/relationships/hyperlink" Target="https://www.sec.gov/Archives/edgar/data/1625278/000162828021019876/exhibit104-sx1.htm" TargetMode="External"/><Relationship Id="rId213" Type="http://schemas.openxmlformats.org/officeDocument/2006/relationships/hyperlink" Target="https://www.sec.gov/Archives/edgar/data/1625278/000162828021019876/exhibit105-sx1.htm" TargetMode="External"/><Relationship Id="rId214" Type="http://schemas.openxmlformats.org/officeDocument/2006/relationships/hyperlink" Target="https://www.sec.gov/Archives/edgar/data/1625278/000162828021019876/exhibit1019-sx1.htm" TargetMode="External"/><Relationship Id="rId215" Type="http://schemas.openxmlformats.org/officeDocument/2006/relationships/hyperlink" Target="https://www.sec.gov/Archives/edgar/data/1625278/000162828021019876/exhibit1020-sx1.htm" TargetMode="External"/><Relationship Id="rId216" Type="http://schemas.openxmlformats.org/officeDocument/2006/relationships/hyperlink" Target="https://www.sec.gov/Archives/edgar/data/0001625278/000162828021020521/exhibit1022-sx1a2.htm" TargetMode="External"/><Relationship Id="rId217" Type="http://schemas.openxmlformats.org/officeDocument/2006/relationships/hyperlink" Target="https://www.sec.gov/Archives/edgar/data/1625278/000162527822000171/exhibit104-2426234xconform.htm" TargetMode="External"/><Relationship Id="rId218" Type="http://schemas.openxmlformats.org/officeDocument/2006/relationships/hyperlink" Target="https://www.sec.gov/Archives/edgar/data/1625278/000162828021020344/exhibit1017-sx1a.htm" TargetMode="External"/><Relationship Id="rId219" Type="http://schemas.openxmlformats.org/officeDocument/2006/relationships/hyperlink" Target="https://www.sec.gov/Archives/edgar/data/1625278/000162828021019876/exhibit106-sx1.htm" TargetMode="External"/><Relationship Id="rId222" Type="http://schemas.openxmlformats.org/officeDocument/2006/relationships/hyperlink" Target="https://www.sec.gov/Archives/edgar/data/1625278/000162828021019876/exhibit107-sx1.htm" TargetMode="External"/><Relationship Id="rId223" Type="http://schemas.openxmlformats.org/officeDocument/2006/relationships/hyperlink" Target="https://www.sec.gov/Archives/edgar/data/1625278/000162828021019876/exhibit108-sx1.htm" TargetMode="External"/><Relationship Id="rId224" Type="http://schemas.openxmlformats.org/officeDocument/2006/relationships/hyperlink" Target="https://www.sec.gov/Archives/edgar/data/1625278/000162527822000065/exhibit991-sx852522.htm" TargetMode="External"/><Relationship Id="rId225" Type="http://schemas.openxmlformats.org/officeDocument/2006/relationships/hyperlink" Target="https://www.sec.gov/Archives/edgar/data/0001625278/000162828021020521/exhibit1010-s1a2.htm" TargetMode="External"/><Relationship Id="rId226" Type="http://schemas.openxmlformats.org/officeDocument/2006/relationships/hyperlink" Target="https://www.sec.gov/Archives/edgar/data/0001625278/000162828021020521/exhibit1011-sx1a2.htm" TargetMode="External"/><Relationship Id="rId227" Type="http://schemas.openxmlformats.org/officeDocument/2006/relationships/hyperlink" Target="https://www.sec.gov/Archives/edgar/data/1625278/000162527822000107/exhibit991-nerdwalletinc20.htm" TargetMode="External"/><Relationship Id="rId228" Type="http://schemas.openxmlformats.org/officeDocument/2006/relationships/hyperlink" Target="https://www.sec.gov/Archives/edgar/data/1625278/000162527822000107/exhibit992-nerdwalletincfo.htm" TargetMode="External"/><Relationship Id="rId229" Type="http://schemas.openxmlformats.org/officeDocument/2006/relationships/hyperlink" Target="https://www.sec.gov/Archives/edgar/data/1625278/000162527822000107/exhibit993-nerdwalletincfo.htm" TargetMode="External"/><Relationship Id="rId230" Type="http://schemas.openxmlformats.org/officeDocument/2006/relationships/hyperlink" Target="https://www.sec.gov/Archives/edgar/data/0001625278/000162828021020521/exhibit1012-sx1a2.htm" TargetMode="External"/><Relationship Id="rId231" Type="http://schemas.openxmlformats.org/officeDocument/2006/relationships/hyperlink" Target="https://www.sec.gov/Archives/edgar/data/1625278/000162828021019876/exhibit1013-sx1.htm" TargetMode="External"/><Relationship Id="rId232" Type="http://schemas.openxmlformats.org/officeDocument/2006/relationships/hyperlink" Target="https://www.sec.gov/Archives/edgar/data/1625278/000162828021019876/exhibit1022-sx1.htm" TargetMode="External"/><Relationship Id="rId233" Type="http://schemas.openxmlformats.org/officeDocument/2006/relationships/hyperlink" Target="https://www.sec.gov/Archives/edgar/data/1625278/000162828021019876/exhibit1021-sx1.htm" TargetMode="External"/><Relationship Id="rId234" Type="http://schemas.openxmlformats.org/officeDocument/2006/relationships/hyperlink" Target="https://www.sec.gov/Archives/edgar/data/1625278/000162828021019876/exhibit1017-sx1.htm" TargetMode="External"/><Relationship Id="rId235" Type="http://schemas.openxmlformats.org/officeDocument/2006/relationships/hyperlink" Target="https://www.sec.gov/Archives/edgar/data/1625278/000162527822000150/exhibit101-consultingservi.htm" TargetMode="External"/><Relationship Id="rId236" Type="http://schemas.openxmlformats.org/officeDocument/2006/relationships/hyperlink" Target="https://www.sec.gov/Archives/edgar/data/1625278/000162527822000029/exhibit211-10xkfy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2023-02-23T15:56:39Z</dcterms:created>
  <dcterms:modified xsi:type="dcterms:W3CDTF">2023-02-23T15:56:39Z</dcterms:modified>
</cp:coreProperties>
</file>