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7"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4" w:lineRule="exact"/>
        <w:rPr>
          <w:rFonts w:ascii="MS PGothic" w:cs="MS PGothic" w:eastAsia="MS PGothic" w:hAnsi="MS PGothic"/>
          <w:sz w:val="18"/>
          <w:szCs w:val="18"/>
          <w:color w:val="auto"/>
          <w:highlight w:val="black"/>
        </w:rPr>
      </w:pPr>
    </w:p>
    <w:p>
      <w:pPr>
        <w:ind w:left="36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September 30, 2025</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Commission file number 001-40994</w:t>
      </w:r>
    </w:p>
    <w:p>
      <w:pPr>
        <w:spacing w:after="0" w:line="11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25"/>
          <w:szCs w:val="25"/>
          <w:b w:val="1"/>
          <w:bCs w:val="1"/>
          <w:color w:val="auto"/>
        </w:rPr>
        <w:t>NerdWallet, Inc.</w:t>
      </w:r>
    </w:p>
    <w:p>
      <w:pPr>
        <w:spacing w:after="0" w:line="3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13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Delaware</w:t>
      </w:r>
    </w:p>
    <w:p>
      <w:pPr>
        <w:ind w:left="7460"/>
        <w:spacing w:after="0"/>
        <w:rPr>
          <w:sz w:val="20"/>
          <w:szCs w:val="20"/>
          <w:color w:val="auto"/>
        </w:rPr>
      </w:pPr>
      <w:r>
        <w:rPr>
          <w:rFonts w:ascii="Times New Roman" w:cs="Times New Roman" w:eastAsia="Times New Roman" w:hAnsi="Times New Roman"/>
          <w:sz w:val="17"/>
          <w:szCs w:val="17"/>
          <w:b w:val="1"/>
          <w:bCs w:val="1"/>
          <w:color w:val="auto"/>
        </w:rPr>
        <w:t>45-4180440</w:t>
      </w:r>
    </w:p>
    <w:p>
      <w:pPr>
        <w:spacing w:after="0" w:line="39" w:lineRule="exact"/>
        <w:rPr>
          <w:sz w:val="24"/>
          <w:szCs w:val="24"/>
          <w:color w:val="auto"/>
        </w:rPr>
      </w:pPr>
    </w:p>
    <w:p>
      <w:pPr>
        <w:ind w:left="180"/>
        <w:spacing w:after="0"/>
        <w:tabs>
          <w:tab w:leader="none" w:pos="6620" w:val="left"/>
        </w:tabs>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i w:val="1"/>
          <w:iCs w:val="1"/>
          <w:color w:val="auto"/>
        </w:rPr>
        <w:t>(I.R.S. Employer Identification No.)</w:t>
      </w:r>
    </w:p>
    <w:p>
      <w:pPr>
        <w:spacing w:after="0" w:line="39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19 S. B Street, Suite 9, San Mateo, California 94401</w:t>
      </w:r>
    </w:p>
    <w:p>
      <w:pPr>
        <w:spacing w:after="0" w:line="2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(Zip code)</w:t>
      </w:r>
    </w:p>
    <w:p>
      <w:pPr>
        <w:spacing w:after="0" w:line="9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(415) 549-8913</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i w:val="1"/>
          <w:i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180" w:space="400"/>
            <w:col w:w="10660"/>
          </w:cols>
          <w:pgMar w:left="320" w:top="1440" w:right="339" w:bottom="1440" w:gutter="0" w:footer="0" w:header="0"/>
          <w:type w:val="continuous"/>
        </w:sectPr>
      </w:pP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19" w:lineRule="exact"/>
        <w:rPr>
          <w:sz w:val="24"/>
          <w:szCs w:val="24"/>
          <w:color w:val="auto"/>
        </w:rPr>
      </w:pPr>
    </w:p>
    <w:p>
      <w:pPr>
        <w:ind w:left="1340"/>
        <w:spacing w:after="0"/>
        <w:tabs>
          <w:tab w:leader="none" w:pos="4500" w:val="left"/>
          <w:tab w:leader="none" w:pos="7220" w:val="left"/>
        </w:tabs>
        <w:rPr>
          <w:sz w:val="20"/>
          <w:szCs w:val="20"/>
          <w:color w:val="auto"/>
        </w:rPr>
      </w:pPr>
      <w:r>
        <w:rPr>
          <w:rFonts w:ascii="Times New Roman" w:cs="Times New Roman" w:eastAsia="Times New Roman" w:hAnsi="Times New Roman"/>
          <w:sz w:val="17"/>
          <w:szCs w:val="17"/>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65" w:lineRule="exact"/>
        <w:rPr>
          <w:sz w:val="24"/>
          <w:szCs w:val="24"/>
          <w:color w:val="auto"/>
        </w:rPr>
      </w:pPr>
    </w:p>
    <w:p>
      <w:pPr>
        <w:ind w:left="540"/>
        <w:spacing w:after="0"/>
        <w:tabs>
          <w:tab w:leader="none" w:pos="4940" w:val="left"/>
          <w:tab w:leader="none" w:pos="7860" w:val="left"/>
        </w:tabs>
        <w:rPr>
          <w:sz w:val="20"/>
          <w:szCs w:val="20"/>
          <w:color w:val="auto"/>
        </w:rPr>
      </w:pPr>
      <w:r>
        <w:rPr>
          <w:rFonts w:ascii="Times New Roman" w:cs="Times New Roman" w:eastAsia="Times New Roman" w:hAnsi="Times New Roman"/>
          <w:sz w:val="17"/>
          <w:szCs w:val="17"/>
          <w:color w:val="auto"/>
        </w:rPr>
        <w:t>Class A common stock, $0.0001 par value</w:t>
      </w:r>
      <w:r>
        <w:rPr>
          <w:sz w:val="20"/>
          <w:szCs w:val="20"/>
          <w:color w:val="auto"/>
        </w:rPr>
        <w:tab/>
      </w:r>
      <w:r>
        <w:rPr>
          <w:rFonts w:ascii="Times New Roman" w:cs="Times New Roman" w:eastAsia="Times New Roman" w:hAnsi="Times New Roman"/>
          <w:sz w:val="17"/>
          <w:szCs w:val="17"/>
          <w:color w:val="auto"/>
        </w:rPr>
        <w:t>NRDS</w:t>
      </w:r>
      <w:r>
        <w:rPr>
          <w:sz w:val="20"/>
          <w:szCs w:val="20"/>
          <w:color w:val="auto"/>
        </w:rPr>
        <w:tab/>
      </w:r>
      <w:r>
        <w:rPr>
          <w:rFonts w:ascii="Times New Roman" w:cs="Times New Roman" w:eastAsia="Times New Roman" w:hAnsi="Times New Roman"/>
          <w:sz w:val="17"/>
          <w:szCs w:val="17"/>
          <w:color w:val="auto"/>
        </w:rPr>
        <w:t>The Nasdaq Global Market</w:t>
      </w:r>
    </w:p>
    <w:p>
      <w:pPr>
        <w:spacing w:after="0" w:line="237"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jc w:val="both"/>
        <w:spacing w:after="0" w:line="27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108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9"/>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8"/>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42"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41,027,578 shares of Class A common stock and 31,685,652 shares of Class B common stock as of October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Form 10-Q</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5"/>
        </w:trPr>
        <w:tc>
          <w:tcPr>
            <w:tcW w:w="320" w:type="dxa"/>
            <w:vAlign w:val="bottom"/>
          </w:tcPr>
          <w:p>
            <w:pPr>
              <w:spacing w:after="0"/>
              <w:rPr>
                <w:sz w:val="15"/>
                <w:szCs w:val="15"/>
                <w:color w:val="auto"/>
              </w:rPr>
            </w:pPr>
          </w:p>
        </w:tc>
        <w:tc>
          <w:tcPr>
            <w:tcW w:w="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8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540" w:type="dxa"/>
            <w:vAlign w:val="bottom"/>
            <w:gridSpan w:val="9"/>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1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w:t>
            </w:r>
          </w:p>
        </w:tc>
        <w:tc>
          <w:tcPr>
            <w:tcW w:w="3380" w:type="dxa"/>
            <w:vAlign w:val="bottom"/>
            <w:gridSpan w:val="2"/>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080" w:type="dxa"/>
            <w:vAlign w:val="bottom"/>
            <w:gridSpan w:val="3"/>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760" w:type="dxa"/>
            <w:vAlign w:val="bottom"/>
            <w:gridSpan w:val="7"/>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80" w:type="dxa"/>
            <w:vAlign w:val="bottom"/>
            <w:gridSpan w:val="6"/>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700" w:type="dxa"/>
            <w:vAlign w:val="bottom"/>
            <w:gridSpan w:val="11"/>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0"/>
                <w:szCs w:val="20"/>
                <w:color w:val="auto"/>
              </w:rPr>
            </w:pPr>
          </w:p>
        </w:tc>
      </w:tr>
      <w:tr>
        <w:trPr>
          <w:trHeight w:val="507"/>
        </w:trPr>
        <w:tc>
          <w:tcPr>
            <w:tcW w:w="3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3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Item</w:t>
            </w:r>
          </w:p>
        </w:tc>
        <w:tc>
          <w:tcPr>
            <w:tcW w:w="20" w:type="dxa"/>
            <w:vAlign w:val="bottom"/>
            <w:tcBorders>
              <w:bottom w:val="single" w:sz="8" w:color="0000FF"/>
            </w:tcBorders>
          </w:tcPr>
          <w:p>
            <w:pPr>
              <w:spacing w:after="0"/>
              <w:rPr>
                <w:sz w:val="20"/>
                <w:szCs w:val="20"/>
                <w:color w:val="auto"/>
              </w:rPr>
            </w:pP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1.</w:t>
            </w:r>
          </w:p>
        </w:tc>
        <w:tc>
          <w:tcPr>
            <w:tcW w:w="100" w:type="dxa"/>
            <w:vAlign w:val="bottom"/>
            <w:tcBorders>
              <w:bottom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20"/>
                <w:szCs w:val="20"/>
                <w:color w:val="auto"/>
              </w:rPr>
            </w:pPr>
          </w:p>
        </w:tc>
        <w:tc>
          <w:tcPr>
            <w:tcW w:w="6980" w:type="dxa"/>
            <w:vAlign w:val="bottom"/>
            <w:gridSpan w:val="13"/>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120" w:type="dxa"/>
            <w:vAlign w:val="bottom"/>
            <w:gridSpan w:val="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tcPr>
          <w:p>
            <w:pPr>
              <w:spacing w:after="0"/>
              <w:rPr>
                <w:sz w:val="20"/>
                <w:szCs w:val="20"/>
                <w:color w:val="auto"/>
              </w:rPr>
            </w:pPr>
          </w:p>
        </w:tc>
      </w:tr>
      <w:tr>
        <w:trPr>
          <w:trHeight w:val="236"/>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0000FF"/>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20"/>
                <w:szCs w:val="20"/>
                <w:color w:val="auto"/>
              </w:rPr>
            </w:pPr>
          </w:p>
        </w:tc>
        <w:tc>
          <w:tcPr>
            <w:tcW w:w="6160" w:type="dxa"/>
            <w:vAlign w:val="bottom"/>
            <w:gridSpan w:val="10"/>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160" w:type="dxa"/>
            <w:vAlign w:val="bottom"/>
            <w:gridSpan w:val="15"/>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tcPr>
          <w:p>
            <w:pPr>
              <w:spacing w:after="0"/>
              <w:rPr>
                <w:sz w:val="20"/>
                <w:szCs w:val="20"/>
                <w:color w:val="auto"/>
              </w:rPr>
            </w:pPr>
          </w:p>
        </w:tc>
      </w:tr>
      <w:tr>
        <w:trPr>
          <w:trHeight w:val="237"/>
        </w:trPr>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506"/>
        </w:trPr>
        <w:tc>
          <w:tcPr>
            <w:tcW w:w="320" w:type="dxa"/>
            <w:vAlign w:val="bottom"/>
          </w:tcPr>
          <w:p>
            <w:pPr>
              <w:spacing w:after="0"/>
              <w:rPr>
                <w:sz w:val="24"/>
                <w:szCs w:val="24"/>
                <w:color w:val="auto"/>
              </w:rPr>
            </w:pPr>
          </w:p>
        </w:tc>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00" w:type="dxa"/>
            <w:vAlign w:val="bottom"/>
          </w:tcPr>
          <w:p>
            <w:pPr>
              <w:spacing w:after="0"/>
              <w:rPr>
                <w:sz w:val="24"/>
                <w:szCs w:val="24"/>
                <w:color w:val="auto"/>
              </w:rPr>
            </w:pPr>
          </w:p>
        </w:tc>
      </w:tr>
      <w:tr>
        <w:trPr>
          <w:trHeight w:val="1432"/>
        </w:trPr>
        <w:tc>
          <w:tcPr>
            <w:tcW w:w="3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significant risks and uncertainties. Except for statements of historical facts, all statements contained in this Quarterly Report on Form 10-Q are forward-looking. These statements often contain words such as “anticipate,” “believe,” “contemplate,” “continue,” “could,” “estimate,” “expect,” “intend,” “may,” “plan,” “potential,” “predict,” “project,” “should,” “target,” “will” or “would” or similar terms, including their negatives. These forward-looking statements include, but are not limited to, statements regarding:</w:t>
      </w:r>
    </w:p>
    <w:p>
      <w:pPr>
        <w:spacing w:after="0" w:line="183" w:lineRule="exact"/>
        <w:rPr>
          <w:sz w:val="20"/>
          <w:szCs w:val="20"/>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developments, including inflation, interest rates, credit market conditions and general economic uncertainty, on our business, operating results, financial condition, and stock price;</w:t>
      </w:r>
    </w:p>
    <w:p>
      <w:pPr>
        <w:spacing w:after="0" w:line="63" w:lineRule="exact"/>
        <w:rPr>
          <w:rFonts w:ascii="Times New Roman" w:cs="Times New Roman" w:eastAsia="Times New Roman" w:hAnsi="Times New Roman"/>
          <w:sz w:val="18"/>
          <w:szCs w:val="18"/>
          <w:color w:val="auto"/>
        </w:rPr>
      </w:pPr>
    </w:p>
    <w:p>
      <w:pPr>
        <w:ind w:left="660" w:right="20" w:hanging="328"/>
        <w:spacing w:after="0" w:line="268" w:lineRule="exact"/>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financial and operational performance, including total revenue, cost of revenue, non</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GAAP operating income (loss) and adjusted EBITDA;</w:t>
      </w:r>
    </w:p>
    <w:p>
      <w:pPr>
        <w:spacing w:after="0" w:line="14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traffic, engagement, and monetization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returns on marketing investments and brand campaigns;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demand for products and services offered through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user registrations, improve repeat usage rates, and convert users into matches with financial services partners;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within existing and new verticals, including new products, services, and features that are competitive, compliant with applicable regulations, and responsive to market needs;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geographic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relationships with existing financial services partners and identifying new ones;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scalable technology and data capabilities to provide personalized guidance and enhance user engagement;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brand awareness, credibility, and consumer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high quality, engaging consumer content and tools;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evolving consumer financial interests and behaviors;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in existing and new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security, reliability, and availability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enhancing our intellectual property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developing, and retaining highly skilled and diverse talent;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evolving laws, regulations, and supervisory expectations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cash equivalents, and investments to meet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growth, scaling infrastructure, and preserving our corporate culture;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executing, and successfully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new financial services markets, and meeting associated regulatory complexities;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expected synergies, accretion, and other benefits from completed acquisitions.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performance and should not be relied upon as predictions of future events. They are based on our current expectations, estimates, and projections regarding future events and trends that may affect our business, financial condition, and operating results. These expectations are subject to various risks, uncertainties, and assumptions, including those described elsewhere in this Quarterly Report on Form 10-Q, in Part I, Item 1A. Risk Factors in our Annual Report on Form 10-K for the year ended December 31, 2024, as well as in our subsequent periodic filings with the U.S. Securities and Exchange Commission.</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industry is highly competitive and rapidly evolving, and new risks and uncertainties may arise that we cannot predict. As a result, actual results, events, or circumstances may differ materially from those reflected in our forward-looking statements.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 this Quarterly Report on Form 10-Q speak only as of the date hereof. We undertake no obligation to update any such statements in this Quarterly Report on Form 10-Q to reflect subsequent events, new information, or unexpected developments, except as required by law. These statements also do not reflect potential impacts from future acquisitions, mergers, dispositions, joint ventures, or investments.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statements that include “we believe” or similar expressions represent our beliefs and opinions as of the date of this Quarterly Report on Form 10-Q. While we believe the information supporting these statements is reasonable, it may be incomplete or subject to change. Investors should not interpret these statements as assurances that we have conducted an exhaustive inquiry or review of all relevant information. Given their inherent uncertainty, investors should not place undue reliance on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right"/>
        <w:ind w:right="2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29" w:lineRule="exact"/>
        <w:rPr>
          <w:sz w:val="20"/>
          <w:szCs w:val="20"/>
          <w:color w:val="auto"/>
        </w:rPr>
      </w:pPr>
    </w:p>
    <w:p>
      <w:pPr>
        <w:ind w:left="20"/>
        <w:spacing w:after="0"/>
        <w:tabs>
          <w:tab w:leader="none" w:pos="9000" w:val="left"/>
          <w:tab w:leader="none" w:pos="10420" w:val="left"/>
        </w:tabs>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 and per share amounts)</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receivable—net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equipment and software—net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120.6</w:t>
      </w:r>
      <w:r>
        <w:rPr>
          <w:sz w:val="20"/>
          <w:szCs w:val="20"/>
          <w:color w:val="auto"/>
        </w:rPr>
        <w:tab/>
      </w:r>
      <w:r>
        <w:rPr>
          <w:rFonts w:ascii="Times New Roman" w:cs="Times New Roman" w:eastAsia="Times New Roman" w:hAnsi="Times New Roman"/>
          <w:sz w:val="16"/>
          <w:szCs w:val="16"/>
          <w:color w:val="auto"/>
        </w:rPr>
        <w:t>$</w:t>
      </w:r>
    </w:p>
    <w:p>
      <w:pPr>
        <w:spacing w:after="0" w:line="9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121.9</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840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275.1</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32.7</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115.7</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24.8</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33.8</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7.6</w:t>
      </w:r>
    </w:p>
    <w:p>
      <w:pPr>
        <w:spacing w:after="0" w:line="63"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3.1</w:t>
      </w:r>
    </w:p>
    <w:p>
      <w:pPr>
        <w:spacing w:after="0" w:line="46" w:lineRule="exact"/>
        <w:rPr>
          <w:sz w:val="20"/>
          <w:szCs w:val="20"/>
          <w:color w:val="auto"/>
        </w:rPr>
      </w:pPr>
    </w:p>
    <w:p>
      <w:pPr>
        <w:spacing w:after="0"/>
        <w:tabs>
          <w:tab w:leader="none" w:pos="800" w:val="left"/>
          <w:tab w:leader="none" w:pos="14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492.8</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840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66.3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102.2</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34290</wp:posOffset>
            </wp:positionV>
            <wp:extent cx="840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196.7</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43.0</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112.4</w:t>
      </w:r>
    </w:p>
    <w:p>
      <w:pPr>
        <w:spacing w:after="0" w:line="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33.3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45.6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69850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3">
            <w:col w:w="7800" w:space="720"/>
            <w:col w:w="1520" w:space="720"/>
            <w:col w:w="460"/>
          </w:cols>
          <w:pgMar w:left="320" w:top="121"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liabilities—noncurrent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stock—$0.0001 par value per share—5,000 shares authorized; zero shares issued and outstanding</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Common stock—$0.0001 par value per share—296,686 shares authorized; 74,731 and 74,108 shares issued and</w:t>
            </w:r>
          </w:p>
        </w:tc>
        <w:tc>
          <w:tcPr>
            <w:tcW w:w="4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w:t>
            </w:r>
          </w:p>
        </w:tc>
        <w:tc>
          <w:tcPr>
            <w:tcW w:w="4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8.9</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60.1</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73.4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530.9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34290</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364.2</w:t>
      </w:r>
    </w:p>
    <w:p>
      <w:pPr>
        <w:spacing w:after="0" w:line="7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62865</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10020" w:space="660"/>
            <w:col w:w="540"/>
          </w:cols>
          <w:pgMar w:left="320" w:top="121" w:right="359" w:bottom="1440" w:gutter="0" w:footer="0" w:header="0"/>
          <w:type w:val="continuous"/>
        </w:sectPr>
      </w:pP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0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503.8</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37"/>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gains (losses),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6"/>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6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(Loss) per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 Attributable to Common Stockholders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0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6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74,108</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530.9</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(166.5)</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364.2</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74,492</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537.9</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371.6</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75,223</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547.9</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(158.1)</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74,731</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553.5</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(151.0)</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402.4</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rPr>
                <w:sz w:val="15"/>
                <w:szCs w:val="15"/>
                <w:color w:val="auto"/>
              </w:rPr>
            </w:pPr>
          </w:p>
        </w:tc>
        <w:tc>
          <w:tcPr>
            <w:tcW w:w="1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96"/>
        </w:trPr>
        <w:tc>
          <w:tcPr>
            <w:tcW w:w="58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8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58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amounts which are in thousands)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Class A common stock upon exercise of stock options</w:t>
      </w:r>
    </w:p>
    <w:p>
      <w:pPr>
        <w:spacing w:after="0" w:line="27"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Issuance of Class A common stock pursuant to settlement of restricted stock units</w:t>
      </w:r>
    </w:p>
    <w:p>
      <w:pPr>
        <w:spacing w:after="0" w:line="10" w:lineRule="exact"/>
        <w:rPr>
          <w:sz w:val="20"/>
          <w:szCs w:val="20"/>
          <w:color w:val="auto"/>
        </w:rPr>
      </w:pPr>
    </w:p>
    <w:p>
      <w:pPr>
        <w:ind w:left="180" w:right="60" w:hanging="161"/>
        <w:spacing w:after="0" w:line="237" w:lineRule="auto"/>
        <w:rPr>
          <w:sz w:val="20"/>
          <w:szCs w:val="20"/>
          <w:color w:val="auto"/>
        </w:rPr>
      </w:pPr>
      <w:r>
        <w:rPr>
          <w:rFonts w:ascii="Times New Roman" w:cs="Times New Roman" w:eastAsia="Times New Roman" w:hAnsi="Times New Roman"/>
          <w:sz w:val="18"/>
          <w:szCs w:val="18"/>
          <w:color w:val="auto"/>
        </w:rPr>
        <w:t>Class A common stock withheld related to net share 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76,940</w:t>
            </w:r>
          </w:p>
        </w:tc>
        <w:tc>
          <w:tcPr>
            <w:tcW w:w="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483.7</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366.9</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91"/>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97"/>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2"/>
        </w:trPr>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77,720</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494.5</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(115.4)</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378.7</w:t>
            </w:r>
          </w:p>
        </w:tc>
      </w:tr>
      <w:tr>
        <w:trPr>
          <w:trHeight w:val="234"/>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78,397</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505.6</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379.4</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8"/>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74,028</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519.3</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(196.9)</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322.4</w:t>
            </w:r>
          </w:p>
        </w:tc>
      </w:tr>
      <w:tr>
        <w:trPr>
          <w:trHeight w:val="27"/>
        </w:trPr>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20" w:space="300"/>
            <w:col w:w="5420"/>
          </w:cols>
          <w:pgMar w:left="320" w:top="333"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costs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losses,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combination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 on warehouse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payments related to net-share settlements on restricted stock units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 under Employee Stock Purchase Plan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5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recorded in accounts payable and accrued expenses and other 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payments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 Related to 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850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709"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70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NerdWallet, Inc., a Delaware corporation, was formed on December 29, 2011. NerdWallet, Inc. and its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provide consumer-driven advice about personal finance through its platform by connecting individuals and small and mid-sized businesses (SMBs) with providers of financial products.</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Basis of Consolidation and Presentation—</w:t>
      </w:r>
      <w:r>
        <w:rPr>
          <w:rFonts w:ascii="Times New Roman" w:cs="Times New Roman" w:eastAsia="Times New Roman" w:hAnsi="Times New Roman"/>
          <w:sz w:val="18"/>
          <w:szCs w:val="18"/>
          <w:color w:val="auto"/>
        </w:rPr>
        <w:t>The accompanying unaudited interim condensed consolidated financial statements have been prepared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accounting principles generally accepted in the United States of America (GAAP) and applicable rules and regulations of the U.S. Securities and Exchange Commission (SEC)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2024.</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Certain comparative amounts for the three and nine months ended September 30, 2024 have been reclassified to conform to the financial statement presentation as of and for the three and nine months ended September 30, 2025. The results of operations for the three and nine months ended September 30, 2025 are not necessarily indicative of the results to be expected for the full year or any other future period.</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Segments—</w:t>
      </w:r>
      <w:r>
        <w:rPr>
          <w:rFonts w:ascii="Times New Roman" w:cs="Times New Roman" w:eastAsia="Times New Roman" w:hAnsi="Times New Roman"/>
          <w:sz w:val="18"/>
          <w:szCs w:val="18"/>
          <w:color w:val="auto"/>
        </w:rPr>
        <w:t>The Company has one operating segment. The measure of segment assets is presented as total assets in the condensed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segment costs and expenses, along with a reconciliation to income (loss) from operations,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503.8</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7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 costs and expenses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6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of capitalized internally developed software costs.</w:t>
      </w:r>
    </w:p>
    <w:p>
      <w:pPr>
        <w:spacing w:after="0" w:line="17" w:lineRule="exact"/>
        <w:rPr>
          <w:rFonts w:ascii="Times New Roman" w:cs="Times New Roman" w:eastAsia="Times New Roman" w:hAnsi="Times New Roman"/>
          <w:sz w:val="14"/>
          <w:szCs w:val="14"/>
          <w:color w:val="auto"/>
        </w:rPr>
      </w:pPr>
    </w:p>
    <w:p>
      <w:pPr>
        <w:ind w:left="340" w:hanging="332"/>
        <w:spacing w:after="0" w:line="278" w:lineRule="auto"/>
        <w:tabs>
          <w:tab w:leader="none" w:pos="3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cost of revenue and non-personnel-related operating expenses (each excluding depreciation and amortization), restructuring charges, and acquisition-related retention and expenses.</w:t>
      </w:r>
    </w:p>
    <w:p>
      <w:pPr>
        <w:spacing w:after="0" w:line="12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segment items included in consolidated net income (loss) are presented in the condensed consolidated statements of operations, and comprised of other income (expense), net, and income tax provision (benefit).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Sales and Marketing</w:t>
      </w:r>
      <w:r>
        <w:rPr>
          <w:rFonts w:ascii="Times New Roman" w:cs="Times New Roman" w:eastAsia="Times New Roman" w:hAnsi="Times New Roman"/>
          <w:sz w:val="18"/>
          <w:szCs w:val="18"/>
          <w:color w:val="auto"/>
        </w:rPr>
        <w:t>—Components of sales and marketing expenses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Brand marketing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and other marketing</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6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 and Marketing</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342.1</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—On June 13, 2025, the Company acquired a privately-held financial services company for a purchase consideration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 million in cash. This acquisition has been accounted for as a business combination. The fair value of assets acquired totaled $2.0 million and was comprised of intangible assets for customer relationships with a three-year estimated useful life, and the Company recorded $3.0 million of goodwill.</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contribution from this acquisition following the closing date through September 30, 2025 was not material to the Company’s revenue and operating income for the three and nine months ended September 30, 2025. Pro forma results of operations have not been provided to reflect this acquisition as such results would not have been materially different from the Company’s reported results.</w:t>
      </w:r>
    </w:p>
    <w:p>
      <w:pPr>
        <w:spacing w:after="0" w:line="11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Lease Amendment</w:t>
      </w:r>
      <w:r>
        <w:rPr>
          <w:rFonts w:ascii="Times New Roman" w:cs="Times New Roman" w:eastAsia="Times New Roman" w:hAnsi="Times New Roman"/>
          <w:sz w:val="18"/>
          <w:szCs w:val="18"/>
          <w:color w:val="auto"/>
        </w:rPr>
        <w:t>—In April 2025, the Company commenced an amendment of an operating lease for office space in Arizona, and recorded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 million right-of-use (ROU) asset and $4.0 million of corresponding operating lease liabilities. The amendment expires in 2030, with total remaining future lease payments of $4.7 million as of September 30, 2025. The amendment also includes options for extension or early termination of the lease, neither of which options are certain to be exercised by the Company and, accordingly, are excluded from the calculations of ROU assets and lease liabilities recognized.</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—During the nine months ended September 30, 2025, there have been no material changes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accounting policies as disclosed in Note 1–The Company and its Significant Accounting Policies in the notes to the consolidated financial statements in the Company’s Annual Report on Form 10-K for the year ended December 31, 2024.</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r>
        <w:rPr>
          <w:rFonts w:ascii="Times New Roman" w:cs="Times New Roman" w:eastAsia="Times New Roman" w:hAnsi="Times New Roman"/>
          <w:sz w:val="18"/>
          <w:szCs w:val="18"/>
          <w:color w:val="auto"/>
        </w:rPr>
        <w:t>—In July 2025, the FASB issued ASU No. 2025-05,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Losses (Topic 326): Measurement of Credit Losses for Accounts Receivable and Contract Assets </w:t>
      </w:r>
      <w:r>
        <w:rPr>
          <w:rFonts w:ascii="Times New Roman" w:cs="Times New Roman" w:eastAsia="Times New Roman" w:hAnsi="Times New Roman"/>
          <w:sz w:val="18"/>
          <w:szCs w:val="18"/>
          <w:color w:val="auto"/>
        </w:rPr>
        <w:t>(ASU 2025-05), which provides a practical expedient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to the estimation of expected credit losses for current accounts receivable and current contract assets that arise from transactions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practical expedient allows an entity to assume that current conditions as of the balance sheet date do not change for the remaining life of the asset. The guidance in ASU 2025-05 is effective on an annual and interim basis, and will be required to be applied for the year ending December 31, 2026 for public business entities, with early adoption permitted in an interim or annual reporting period in which financial statements have not yet been issued or made available for issuance. The guidance should be applied on a prospective basis.</w:t>
      </w:r>
    </w:p>
    <w:p>
      <w:pPr>
        <w:spacing w:after="0" w:line="13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which amends certain aspects of the accounting for and disclosure of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including eliminating consideration of software project development stages and providing enhanced guidance on how to evaluate whether the probable-to-complete recognition threshold has been met. The guidance in ASU 2025-06 is effective on an annual and interim basis, and will be required to be applied for the year ending December 31, 2028 for public business entities, with early adoption permitted as of the beginning of an annual reporting period. The guidance may be applied on a prospective, retrospective, or modified prospective basis.</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evaluating the impact of the adoptions of these new standards on the Company’s condensed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a disaggregation of the Company’s revenue based on product category: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6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recognized during the nine months ended September 30, 2025 which was deferred as of December 31, 2024, was immaterial. During the nine months ended September 30, 2024, the Company recognized $4.1 million of revenue that was deferred as of December 31, 2023, all of which was recognized during the three months ended March 31, 2024.</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contract asset recorded within prepaid expenses and other current assets on the condensed consolidated balance sheet related to estimated variable consideration was $4.5 million and $6.8 million as of September 30, 2025 and December 31, 2024, respectively.</w:t>
      </w:r>
    </w:p>
    <w:p>
      <w:pPr>
        <w:spacing w:after="0" w:line="10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assets that are measured at fair value on a recurring basis, by level, within the fair value hierarchy are summarized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7"/>
        </w:trPr>
        <w:tc>
          <w:tcPr>
            <w:tcW w:w="45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5"/>
                <w:szCs w:val="15"/>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456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9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4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equivalents—money market funds</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Condensed Consolidated Balance Sheet Components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made a strategic investment of $2.0 million in equity interests of a limited liability company. These equity interests do not have a readily determinable fair value and are accounted for under the equity method of accounting. In applying the equity method of accounting, investments are initially recorded at cost, and subsequently adjusted based on the Company’s proportionate share of the investee’s net income or loss, based on the most recent available financial information from the investee, net of any contributions and distributions received. Equity method investments are periodically reviewed for impairment, and would be considered impaired when the fair value of the Company’s interest is less than the carrying value, with an impairment charge recorded in earnings if such decline in value is determined to be other than temporary. Equity method investments are included in other assets on the Company’s condensed consolidated balance sheet. The carrying value of the Company’s equity method investment was $2.0 million as of September 30, 2025, and there were no related changes in carrying amount or impairment during the three and nine months ended September 30, 2025.</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Property, equipment and software, net includes capitalized software development costs, net of accumulated amortization, of $30.7 million and $40.5 million as of September 30, 2025 and December 31, 2024, respectively. The Company capitalized $5.6 million and $15.4 million of software development costs during the three and nine months ended September 30, 2025, respectively, and $5.7 million and $19.0 million during the three and nine months ended September 30, 2024, respectively. The Company recorded amortization expense related to capitalized software development costs of $7.6 million and $25.3 million during the three and nine months ended September 30, 2025, respectively, and $9.0 million and $25.3 million during the three and nine months ended September 30, 2024, respectively.</w:t>
      </w:r>
    </w:p>
    <w:p>
      <w:pPr>
        <w:spacing w:after="0" w:line="90" w:lineRule="exact"/>
        <w:rPr>
          <w:sz w:val="20"/>
          <w:szCs w:val="20"/>
          <w:color w:val="auto"/>
        </w:rPr>
      </w:pPr>
    </w:p>
    <w:p>
      <w:pPr>
        <w:jc w:val="both"/>
        <w:ind w:firstLine="324"/>
        <w:spacing w:after="0" w:line="250" w:lineRule="exact"/>
        <w:rPr>
          <w:sz w:val="20"/>
          <w:szCs w:val="20"/>
          <w:color w:val="auto"/>
        </w:rPr>
      </w:pPr>
      <w:r>
        <w:rPr>
          <w:rFonts w:ascii="Times New Roman" w:cs="Times New Roman" w:eastAsia="Times New Roman" w:hAnsi="Times New Roman"/>
          <w:sz w:val="18"/>
          <w:szCs w:val="18"/>
          <w:color w:val="auto"/>
        </w:rPr>
        <w:t>Accrued expenses and other current liabilities include unbilled accounts payable of $44.0 million and $33.7 million, short</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term borrowings under a warehouse line of credit of $5.8 million and $2.5 million, and operating lease liabilities of $1.9 million and $2.3 million, as of September 30, 2025 and December 31, 2024, respectively.</w:t>
      </w:r>
    </w:p>
    <w:p>
      <w:pPr>
        <w:spacing w:after="0" w:line="14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liabilities—noncurrent includes operating lease liabilities of $6.6 million and $4.1 million as of September 30, 2025 and December 31, 2024, respectively.</w:t>
      </w:r>
    </w:p>
    <w:p>
      <w:pPr>
        <w:spacing w:after="0" w:line="10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Commitments and Other Financial Arrangements</w:t>
      </w:r>
      <w:r>
        <w:rPr>
          <w:rFonts w:ascii="Times New Roman" w:cs="Times New Roman" w:eastAsia="Times New Roman" w:hAnsi="Times New Roman"/>
          <w:sz w:val="18"/>
          <w:szCs w:val="18"/>
          <w:color w:val="auto"/>
        </w:rPr>
        <w:t>—The Company has certain financial commitments and other arrangements including unused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letters of credit, commitments under leases, and an outstanding warehouse line of credit. See Note 7–Leases for discussion of an amendment of an operating lease for office space. As of September 30, 2025, there were no other material changes to the Company’s commitments and other financial arrangements as disclosed in Note 8–Commitments and Contingencies in the notes to the consolidated financial statements in the Company’s Annual Report on Form 10-K for the year ended December 31, 2024.</w:t>
      </w:r>
    </w:p>
    <w:p>
      <w:pPr>
        <w:spacing w:after="0" w:line="1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Litigation and Other Legal Matters</w:t>
      </w:r>
      <w:r>
        <w:rPr>
          <w:rFonts w:ascii="Times New Roman" w:cs="Times New Roman" w:eastAsia="Times New Roman" w:hAnsi="Times New Roman"/>
          <w:sz w:val="18"/>
          <w:szCs w:val="18"/>
          <w:color w:val="auto"/>
        </w:rPr>
        <w:t>—The Company is involved from time to time in litigation, claims, and proceedings. Periodically,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September 30, 2025 or December 31,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Share Repurchase Program</w:t>
      </w:r>
      <w:r>
        <w:rPr>
          <w:rFonts w:ascii="Times New Roman" w:cs="Times New Roman" w:eastAsia="Times New Roman" w:hAnsi="Times New Roman"/>
          <w:sz w:val="18"/>
          <w:szCs w:val="18"/>
          <w:color w:val="auto"/>
        </w:rPr>
        <w:t>—The Company maintains a plan, authorized by its Board of Directors in May 2023 with subsequent additional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authorizations as approved by the Board of Directors, including a $50.0 million additional share repurchase authorization announced on September 13, 2025, under which the Company may repurchase shares of the Company’s Class A common stock (collectively, the Repurchase Program).</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repurchased 1.8 million shares of Class A common stock for $19.2 million during the three and nine months ended September 30, 2025, and repurchased 5.7 million and 5.8 million shares, respectively, for $71.1 million and $72.2 million, respectively, during the three and nine months ended September 30, 2024. Additionally, the Company paid $0.3 million of excise taxes during the nine months ended September 30, 2025 which related to previous share repurchases. The remaining share repurchase authorization under the Repurchase Program is $55.8 million as of September 30, 2025.</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Between October 1, 2025 and November 5, 2025, the Company repurchased 2.3 million shares of Class A common stock for $25.5 million. The remaining share repurchase authorization under the Repurchase Program is $30.3 million as of November 5, 2025.</w:t>
      </w:r>
    </w:p>
    <w:p>
      <w:pPr>
        <w:spacing w:after="0" w:line="10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Equity Incentive Plans</w:t>
      </w:r>
      <w:r>
        <w:rPr>
          <w:rFonts w:ascii="Times New Roman" w:cs="Times New Roman" w:eastAsia="Times New Roman" w:hAnsi="Times New Roman"/>
          <w:sz w:val="18"/>
          <w:szCs w:val="18"/>
          <w:color w:val="auto"/>
        </w:rPr>
        <w:t>—The 2021 Equity Incentive Plan and the predecessor 2012 Equity Incentive Plan, both as amended, along with the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Equity Incentive Plan (collectively, the Plans) comprise the equity incentive plans of the Company.</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3.7 million shares effective January 1, 2025.</w:t>
      </w:r>
    </w:p>
    <w:p>
      <w:pPr>
        <w:sectPr>
          <w:pgSz w:w="11900" w:h="16838" w:orient="portrait"/>
          <w:cols w:equalWidth="0" w:num="1">
            <w:col w:w="11240"/>
          </w:cols>
          <w:pgMar w:left="320" w:top="333" w:right="339" w:bottom="1440" w:gutter="0" w:footer="0" w:header="0"/>
        </w:sectPr>
      </w:pP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—A summary of the Company’s stock option activity for its Plans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7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61"/>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7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Cancelled/forfeited</w:t>
            </w:r>
            <w:r>
              <w:rPr>
                <w:rFonts w:ascii="Times New Roman" w:cs="Times New Roman" w:eastAsia="Times New Roman" w:hAnsi="Times New Roman"/>
                <w:sz w:val="23"/>
                <w:szCs w:val="23"/>
                <w:color w:val="auto"/>
                <w:vertAlign w:val="superscript"/>
              </w:rPr>
              <w:t>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6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September 30,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stock options with both service-based and performance-based conditions.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0.1 million of stock options with both service-based and performance-based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80" w:type="dxa"/>
            <w:vAlign w:val="bottom"/>
          </w:tcPr>
          <w:p>
            <w:pPr>
              <w:spacing w:after="0"/>
              <w:rPr>
                <w:sz w:val="14"/>
                <w:szCs w:val="14"/>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4"/>
        </w:trPr>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8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180" w:type="dxa"/>
        <w:tblCellMar>
          <w:top w:w="0" w:type="dxa"/>
          <w:left w:w="0" w:type="dxa"/>
          <w:bottom w:w="0" w:type="dxa"/>
          <w:right w:w="0" w:type="dxa"/>
        </w:tblCellMar>
      </w:tblPr>
      <w:tr>
        <w:trPr>
          <w:trHeight w:val="261"/>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7.2</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97"/>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5.5</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782" w:lineRule="exact"/>
        <w:rPr>
          <w:sz w:val="20"/>
          <w:szCs w:val="20"/>
          <w:color w:val="auto"/>
        </w:rPr>
      </w:pPr>
    </w:p>
    <w:p>
      <w:pPr>
        <w:sectPr>
          <w:pgSz w:w="11900" w:h="16838" w:orient="portrait"/>
          <w:cols w:equalWidth="0" w:num="2">
            <w:col w:w="8200" w:space="100"/>
            <w:col w:w="2940"/>
          </w:cols>
          <w:pgMar w:left="320" w:top="333" w:right="339" w:bottom="1440" w:gutter="0" w:footer="0" w:header="0"/>
          <w:type w:val="continuous"/>
        </w:sectPr>
      </w:pPr>
    </w:p>
    <w:p>
      <w:pPr>
        <w:spacing w:after="0" w:line="4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September 30, 2025 was $5.96 per share. The aggregate intrinsic value of options exercised was immaterial for the nine months ended September 30,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per-share fair value of each stock option granted was determined on the date of grant using the following weighted-average assumptions:</w:t>
      </w:r>
    </w:p>
    <w:p>
      <w:pPr>
        <w:spacing w:after="0" w:line="57"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33020</wp:posOffset>
            </wp:positionV>
            <wp:extent cx="17399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4"/>
        </w:trPr>
        <w:tc>
          <w:tcPr>
            <w:tcW w:w="9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70"/>
        </w:trPr>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9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864"/>
        </w:trPr>
        <w:tc>
          <w:tcPr>
            <w:tcW w:w="8400" w:type="dxa"/>
            <w:vAlign w:val="bottom"/>
          </w:tcPr>
          <w:p>
            <w:pPr>
              <w:jc w:val="right"/>
              <w:ind w:right="259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8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—A summary of the Company’s outstanding nonvested restricted stock units (RSUs) for its Plans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204"/>
        </w:trPr>
        <w:tc>
          <w:tcPr>
            <w:tcW w:w="8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8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2024</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7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7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70"/>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88"/>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September 30, 2025</w:t>
            </w:r>
            <w:r>
              <w:rPr>
                <w:rFonts w:ascii="Times New Roman" w:cs="Times New Roman" w:eastAsia="Times New Roman" w:hAnsi="Times New Roman"/>
                <w:sz w:val="23"/>
                <w:szCs w:val="23"/>
                <w:color w:val="auto"/>
                <w:vertAlign w:val="superscript"/>
              </w:rPr>
              <w:t>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less than 0.1 million of RSUs with both service-based and performance-based conditions.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shares that vested under RSUs was $25.8 million during the nine months ended September 30, 2025.</w:t>
      </w:r>
    </w:p>
    <w:p>
      <w:pPr>
        <w:spacing w:after="0" w:line="16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Employee Stock Purchase Plan</w:t>
      </w:r>
      <w:r>
        <w:rPr>
          <w:rFonts w:ascii="Times New Roman" w:cs="Times New Roman" w:eastAsia="Times New Roman" w:hAnsi="Times New Roman"/>
          <w:sz w:val="18"/>
          <w:szCs w:val="18"/>
          <w:color w:val="auto"/>
        </w:rPr>
        <w:t>—The terms of the Employee Stock Purchase Plan (ESPP) provide for automatic increases in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for issuance on January 1 of each calendar year, beginning in 2023 and through 2031, subject to terms of the ESPP. In accordance with these plan terms, the aggregate number of Class A common stock authorized for issuance under the ESPP increased by 0.7 million effective January 1, 2025. Prior to capitalizing amounts related to software development costs, the Company recognized stock-based compensation related to the ESPP of $0.2 million and $0.7 million during the three and nine months ended September 30, 2025, respectively, and $0.2 million and $0.4 million during the three and nine months ended September 30, 2024, respectively.</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recognized stock-based compensation under the Plans and ESPP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6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stock-based compensation capitalized related to software development costs was $0.9 million and $0.7 million during the three months ended September 30, 2025 and 2024, respectively, and $2.5 million and $2.9 million during the nine months ended September 30, 2025 and 2024,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NERDWALLET,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The Company’s tax provision for the three and nine months ended September 30, 2025 was determined using an estimated annual effective tax rate which is adjusted for discrete items occurring during the periods presented. The Company’s tax provision for the three and nine months ended September 30, 2024 was determined using a discrete effective tax rate method, as allowed by ASC Topic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xml:space="preserve"> as the Company had determined that small changes in estimated “ordinary” income would have resulted in significant changes in the estimated annual effective tax rate.</w:t>
      </w: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2025 differs from the U.S. federal statutory income tax rate of 21% primarily due to discrete items related to stock-based compensation and uncertain tax positions. The primary difference between the Company’s effective tax rate and the statutory federal income tax rate for the three and nine months ended September 30, 2024 was the full valuation allowance previously maintained on the Company’s federal, state and foreign deferred tax attributes. During the three months ended December 31, 2024, the Company concluded that it was more likely than not that the Company will be able to fully realize its net U.S. Federal and majority state deferred tax assets, with a significant improvement in the Company’s profitability, coupled with anticipated future earnings, deemed to provide positive evidence to support sufficient taxable income in future periods, and accordingly recorded a valuation allowance release. The Company continues to maintain a valuation allowance on its California deferred tax assets, which consist primarily of tax credits, as of September 30, 2025. The Company’s judgment regarding the likelihood of realization of its deferred tax assets could change in future periods, which could result in a material impact in the Company’s income tax provision in the period of change.</w:t>
      </w:r>
    </w:p>
    <w:p>
      <w:pPr>
        <w:spacing w:after="0" w:line="14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An Act to Provide for Reconciliation Pursuant to Title II of H. Con. Res. 14, commonly known as the One Big Beautiful Bill Act. Included in this legislation are provisions that allow for the immediate expensing of domestic U.S. research and development expenses, immediate expensing of certain capital expenditures, and other changes to the U.S. taxation of profits derived from foreign operations. The Company has incorporated the new legislation into its income tax provision, as applicable, and determined that there was no material impact on the Company’s tax provision for 2025.</w:t>
      </w:r>
    </w:p>
    <w:p>
      <w:pPr>
        <w:spacing w:after="0" w:line="1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Basic and Diluted Share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the basic and diluted per share computations for net income (loss) attributable to common stockholders: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stockholders—basic and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RSUs, stock options and ESPP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income (loss) per share because including them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6180" w:type="dxa"/>
            <w:vAlign w:val="bottom"/>
            <w:gridSpan w:val="2"/>
            <w:vMerge w:val="continue"/>
          </w:tcPr>
          <w:p>
            <w:pPr>
              <w:spacing w:after="0"/>
              <w:rPr>
                <w:sz w:val="16"/>
                <w:szCs w:val="16"/>
                <w:color w:val="auto"/>
              </w:rPr>
            </w:pPr>
          </w:p>
        </w:tc>
        <w:tc>
          <w:tcPr>
            <w:tcW w:w="11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RSUs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7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NerdWallet provides trustworthy financial guidance to consumers and small and mid-sized businesses (SMBs).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personal finance website, app, and financial service provider, NerdWallet provides consumers—both individuals and SMBs—with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and Canada.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non-GAAP financial measures we use to evaluate our business.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operating income (loss) and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Non-GAAP operating income (loss): </w:t>
      </w:r>
      <w:r>
        <w:rPr>
          <w:rFonts w:ascii="Times New Roman" w:cs="Times New Roman" w:eastAsia="Times New Roman" w:hAnsi="Times New Roman"/>
          <w:sz w:val="18"/>
          <w:szCs w:val="18"/>
          <w:color w:val="auto"/>
        </w:rPr>
        <w:t>We define non-GAAP operating income (loss) as income (loss) from operations adjusted to exclude depreciation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amortization, and further exclude (1) impairment of right-of-use asset, (2) losses (gains) on disposals of assets, (3) change in fair value of contingent consideration related to earnouts, (4) deferred compensation related to earnouts, (5) acquisition-related costs, and (6) restructuring charges. We also reduce income from operations, or increase loss from operations, for capitalized internally developed software costs.</w:t>
      </w:r>
    </w:p>
    <w:p>
      <w:pPr>
        <w:spacing w:after="0" w:line="122"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from continuing operations adjusted to exclude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(expense), net, other gains (losses), net, and provision (benefit) for income taxes, and further exclude (1) impairment of right-of-use asset,</w:t>
      </w:r>
    </w:p>
    <w:p>
      <w:pPr>
        <w:spacing w:after="0" w:line="1" w:lineRule="exact"/>
        <w:rPr>
          <w:sz w:val="20"/>
          <w:szCs w:val="20"/>
          <w:color w:val="auto"/>
        </w:rPr>
      </w:pPr>
    </w:p>
    <w:p>
      <w:pPr>
        <w:ind w:firstLine="8"/>
        <w:spacing w:after="0" w:line="260" w:lineRule="auto"/>
        <w:tabs>
          <w:tab w:leader="none" w:pos="2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(gains) on disposals of assets, (3) change in fair value of contingent consideration related to earnouts, (4) deferred compensation related to earnouts, (5) stock-based compensation, (6) acquisition-related costs, and (7) restructuring charges.</w:t>
      </w:r>
    </w:p>
    <w:p>
      <w:pPr>
        <w:spacing w:after="0" w:line="1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items are excluded from our non-GAAP operating income (loss) and adjusted EBITDA measures because these items are non-cash in nature, or because the amounts are not driven by core operating results and renders comparisons with prior periods less meaningful. We deduct capitalized internally developed software costs in our non-GAAP operating income (loss) measure to reflect the cash impact of personnel costs incurred within the time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non-GAAP operating income (loss) and adjusted EBITDA provide useful information to investors and others in understanding and evaluating our operating results and in comparing operating results across periods. Moreover, non-GAAP operating income (loss) and adjusted EBITDA are key measurements used by our management internally to make operating decisions, including those related to analyzing operating expenses, evaluating performance, and performing strategic planning and annual budgeting. However, the use of these non-GAAP financial measures have certain limitations because they do not reflect all items of income and expense that affect our operations. Non-GAAP operating income (loss) and adjusted EBITDA have limitations as financial measures, should be considered as supplemental in nature, and are not meant as substitutes for the related financial information prepared in accordance with GAAP. These limitations include the following:</w:t>
      </w:r>
    </w:p>
    <w:p>
      <w:pPr>
        <w:spacing w:after="0" w:line="135" w:lineRule="exact"/>
        <w:rPr>
          <w:sz w:val="20"/>
          <w:szCs w:val="20"/>
          <w:color w:val="auto"/>
        </w:rPr>
      </w:pPr>
    </w:p>
    <w:p>
      <w:pPr>
        <w:jc w:val="both"/>
        <w:ind w:left="660" w:hanging="328"/>
        <w:spacing w:after="0" w:line="25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recurring, non-cash charges, such as amortization of software, depreciation of property and equipment, amortization of intangible assets, impairment of right-of-use asset, and (losses) gains on disposals of assets. Although these are non-cash charges, the assets being depreciated and amortized may have to be replaced in the future, and non-GAAP operating income (loss) and adjusted EBITDA do not reflect all cash requirements for such replacements or for new capital expenditure requirements;</w:t>
      </w:r>
    </w:p>
    <w:p>
      <w:pPr>
        <w:spacing w:after="0" w:line="12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certain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(loss) and adjusted EBITDA exclude restructuring charges primarily consisting of severance payments, stock-based compensation, employee benefits, and related expenses for impacted employees, as well as contract termination costs, associated with our Restructuring Plan;</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(expense) and other gains (losses), net, which include unrealized and realized gains and losses on foreign currency exchange, as well as certain nonrecurring gains (losses).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Operations—Non-GAAP Financial Measures” for reconciliations of non-GAAP operating income (loss) to income (loss) from operations, and adjusted EBITDA to net income (loss), the most directly comparable respective GAAP financial measures.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following discussion should be read in conjunction with the condensed consolidated financial statements and related notes included elsewhere in this Quarterly Report on Form 10-Q.</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2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6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503.8</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70"/>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7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70"/>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3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gains (losses),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6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as follows:</w:t>
      </w:r>
    </w:p>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Total 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20" w:type="dxa"/>
            <w:vAlign w:val="bottom"/>
            <w:gridSpan w:val="4"/>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380" w:type="dxa"/>
            <w:vAlign w:val="bottom"/>
          </w:tcPr>
          <w:p>
            <w:pPr>
              <w:spacing w:after="0"/>
              <w:rPr>
                <w:sz w:val="14"/>
                <w:szCs w:val="1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80" w:type="dxa"/>
            <w:vAlign w:val="bottom"/>
            <w:tcBorders>
              <w:bottom w:val="single" w:sz="8" w:color="auto"/>
            </w:tcBorders>
          </w:tcPr>
          <w:p>
            <w:pPr>
              <w:spacing w:after="0"/>
              <w:rPr>
                <w:sz w:val="15"/>
                <w:szCs w:val="15"/>
                <w:color w:val="auto"/>
              </w:rPr>
            </w:pPr>
          </w:p>
        </w:tc>
      </w:tr>
      <w:tr>
        <w:trPr>
          <w:trHeight w:val="186"/>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6"/>
                <w:szCs w:val="16"/>
                <w:color w:val="auto"/>
              </w:rPr>
            </w:pPr>
          </w:p>
        </w:tc>
      </w:tr>
      <w:tr>
        <w:trPr>
          <w:trHeight w:val="30"/>
        </w:trPr>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6"/>
        </w:trPr>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78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7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29"/>
        </w:trPr>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30"/>
        </w:trPr>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37"/>
        </w:trPr>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6"/>
        </w:trPr>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78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7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780" w:type="dxa"/>
            <w:vAlign w:val="bottom"/>
          </w:tcPr>
          <w:p>
            <w:pPr>
              <w:jc w:val="right"/>
              <w:ind w:right="61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37"/>
        </w:trPr>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-333375</wp:posOffset>
            </wp:positionV>
            <wp:extent cx="667766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77660" cy="14605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-633730</wp:posOffset>
            </wp:positionV>
            <wp:extent cx="667766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7766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135"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as a percentage of revenue: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3"/>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37"/>
        </w:trPr>
        <w:tc>
          <w:tcPr>
            <w:tcW w:w="5780" w:type="dxa"/>
            <w:vAlign w:val="bottom"/>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6580" w:type="dxa"/>
            <w:vAlign w:val="bottom"/>
            <w:gridSpan w:val="3"/>
          </w:tcPr>
          <w:p>
            <w:pPr>
              <w:ind w:left="6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6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7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8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tcBorders>
              <w:bottom w:val="single" w:sz="8" w:color="CCEEFF"/>
            </w:tcBorders>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gains (losses), net</w:t>
            </w:r>
          </w:p>
        </w:tc>
        <w:tc>
          <w:tcPr>
            <w:tcW w:w="13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7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8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2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Income from operations increased $27.8 million, or 420%, and $45.1 million for the three and nine months ended September 30, 2025 compared to the three and nine months ended September 30, 2024, respectively, primarily driven by increases in revenue of $23.8 million and $107.4 million. Operating expenses decreased $4.0 million for the three months ended September 30, 2025 and increased $62.3 million for the nine months ended September 30, 2025, primarily attributable to increases of $7.2 million and $80.9 million in sales and marketing expenses, partially offset by decreases of $7.3 million and $16.0 million in research and development expenses. Additionally, cost of revenue decreased $2.4 million for the three months ended September 30, 2025 and increased $3.3 million for the nine months ended September 30, 2025.</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income increased $26.2 million for the three months ended September 30, 2025, and was $34.7 million for the nine months ended September 30, 2025 as compared to a net loss of $8.2 million for the nine months ended September 30, 2024, primarily driven by increases in income from operations of $27.8 million and $45.1 million for the three and nine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2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cards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 products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verticals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$23.8 million, or 12%, and $107.4 million, or 21%, for the three and nine months ended September 30, 2025 compared to the three and nine months ended September 30, 2024, respectively, primarily reflecting growth in Insurance products, Emerging verticals revenues, and Loans, partially offset by lower Credit cards revenue.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Insurance revenue includes revenue from consumer insurance products, including auto, life and pet insurance. Insurance revenue increased $2.2 million, or 3%, and $80.0 million, or 67%, for the three and nine months ended September 30, 2025, respectively, driven by strong growth in auto insurance products revenue for the nine months ended September 30, 2025 as carriers expanded budgets.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Credit cards revenue consists of revenue from consumer credit cards. Credit cards revenue decreased $11.2 million, or 25%, and $34.5 million, or 24%, for the three and nine months ended September 30, 2025, respectively, primarily due to continued pressures in organic search traffic that have persisted for multiple quarters.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SMB products revenue includes revenue from loans, credit cards and other financial products and services intended for small and mid-sized businesses. SMB products revenue decreased $4.2 million, or 15%, and $6.8 million, or 8%, for the three and nine months ended September 30, 2025, respectively, primarily due to continued pressures in organic search traffic.</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Loans revenue includes revenue from personal loans, mortgages, student loans and auto loans. Loans revenue increased $15.8 million, or 66%, and $24.2 million, or 36%, for the three and nine months ended September 30, 2025, respectively, primarily due to increases of 91% and 42% in personal loans revenue, respectively, and 60% and 39% in mortgage loans revenue, respectively, as we continue to integrate our October 2024 acquisition of Next Door Lending LLC (NDL).</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Emerging verticals revenue includes revenue from other product sources, including banking, investing and international. Emerging verticals revenue increased $21.2 million, or 83%, and $44.5 million, or 49%, for the three and nine months ended September 30, 2025, respectively, primarily driven by increases of 96% and 60% in banking revenue, respectively, due to higher demand for banking products.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2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7"/>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decreased $2.4 million, or 13%, for the three months ended September 30, 2025, primarily due to decreases of $1.4 million in amortization expense related to capitalized software development costs and $1.0 million related to third-party service and data charges. Cost of revenue increased $3.3 million, or 7%, for the nine months ended September 30, 2025, primarily due to a $3.4 million increase related to third-party service and data charges.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$7.3 million, or 31%, and $16.0 million, or 24%, for the three and nine months ended September 30, 2025 compared to the three and nine months ended September 30, 2024, respectively, primarily attributable to decreases of $1.9 million and $10.3 million in personnel-related costs, respectively, for our engineering, data and product management personnel and contractors, as well as a $5.6 million restructuring charge in the three and nine months ended September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sales and marketing expense, including as a percentage of total sales and marketing expense,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Pr>
          <w:p>
            <w:pPr>
              <w:spacing w:after="0"/>
              <w:rPr>
                <w:sz w:val="14"/>
                <w:szCs w:val="14"/>
                <w:color w:val="auto"/>
              </w:rPr>
            </w:pPr>
          </w:p>
        </w:tc>
      </w:tr>
      <w:tr>
        <w:trPr>
          <w:trHeight w:val="190"/>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50"/>
        </w:trPr>
        <w:tc>
          <w:tcPr>
            <w:tcW w:w="2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186"/>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6"/>
                <w:szCs w:val="16"/>
                <w:color w:val="auto"/>
              </w:rPr>
            </w:pPr>
          </w:p>
        </w:tc>
      </w:tr>
      <w:tr>
        <w:trPr>
          <w:trHeight w:val="37"/>
        </w:trPr>
        <w:tc>
          <w:tcPr>
            <w:tcW w:w="2980" w:type="dxa"/>
            <w:vAlign w:val="bottom"/>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23"/>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3"/>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marketing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Brand marketing</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and other marketing</w:t>
            </w: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 and Marketing</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128.1</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423.0</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able to adjust our marketing spend to reflect changes in external factors and consumer behavior.</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$7.2 million, or 6%, and $80.9 million, or 24%, for the three and nine months ended September 30, 2025 compared to the three and nine months ended September 30, 2024, respectively, primarily due to increases of $12.9 million and $85.9 million in performance marketing expenses, respectively, partially offset by decreases of $6.8 million and $3.1 million in brand marketing expenses, respectively, for the three and nine months ended September 30,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$1.5 million, or 10%, and $5.9 million, or 12%, for the three and nine months ended September 30, 2025, as compared to the three and nine months ended September 30, 2024, respectively, primarily attributable to decreases of $0.9 million and $5.5 million in personnel-related costs, respectively, as well as a $1.0 million restructuring charge in the three and nine months ended September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c>
          <w:tcPr>
            <w:tcW w:w="8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2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color w:val="auto"/>
                <w:w w:val="97"/>
              </w:rPr>
              <w:t>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center"/>
              <w:ind w:left="96"/>
              <w:spacing w:after="0"/>
              <w:rPr>
                <w:sz w:val="20"/>
                <w:szCs w:val="20"/>
                <w:color w:val="auto"/>
              </w:rPr>
            </w:pPr>
            <w:r>
              <w:rPr>
                <w:rFonts w:ascii="Times New Roman" w:cs="Times New Roman" w:eastAsia="Times New Roman" w:hAnsi="Times New Roman"/>
                <w:sz w:val="18"/>
                <w:szCs w:val="18"/>
                <w:color w:val="auto"/>
                <w:w w:val="98"/>
              </w:rPr>
              <w:t>(0.3)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720" w:type="dxa"/>
            <w:vAlign w:val="bottom"/>
          </w:tcPr>
          <w:p>
            <w:pPr>
              <w:jc w:val="center"/>
              <w:ind w:left="218"/>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8"/>
              </w:rPr>
              <w:t>(0.1)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center"/>
              <w:ind w:left="238"/>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color w:val="auto"/>
                <w:w w:val="97"/>
              </w:rPr>
              <w:t>0.3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ind w:left="136"/>
              <w:spacing w:after="0"/>
              <w:rPr>
                <w:sz w:val="20"/>
                <w:szCs w:val="20"/>
                <w:color w:val="auto"/>
              </w:rPr>
            </w:pPr>
            <w:r>
              <w:rPr>
                <w:rFonts w:ascii="Times New Roman" w:cs="Times New Roman" w:eastAsia="Times New Roman" w:hAnsi="Times New Roman"/>
                <w:sz w:val="18"/>
                <w:szCs w:val="18"/>
                <w:color w:val="auto"/>
                <w:w w:val="97"/>
              </w:rPr>
              <w:t>0.3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ind w:left="258"/>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6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center"/>
              <w:ind w:left="258"/>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center"/>
              <w:ind w:left="258"/>
              <w:spacing w:after="0"/>
              <w:rPr>
                <w:sz w:val="20"/>
                <w:szCs w:val="20"/>
                <w:color w:val="auto"/>
              </w:rPr>
            </w:pPr>
            <w:r>
              <w:rPr>
                <w:rFonts w:ascii="Times New Roman" w:cs="Times New Roman" w:eastAsia="Times New Roman" w:hAnsi="Times New Roman"/>
                <w:sz w:val="18"/>
                <w:szCs w:val="18"/>
                <w:b w:val="1"/>
                <w:bCs w:val="1"/>
                <w:color w:val="auto"/>
                <w:w w:val="97"/>
              </w:rPr>
              <w:t>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center"/>
              <w:ind w:left="274"/>
              <w:spacing w:after="0"/>
              <w:rPr>
                <w:sz w:val="20"/>
                <w:szCs w:val="20"/>
                <w:color w:val="auto"/>
              </w:rPr>
            </w:pPr>
            <w:r>
              <w:rPr>
                <w:rFonts w:ascii="Times New Roman" w:cs="Times New Roman" w:eastAsia="Times New Roman" w:hAnsi="Times New Roman"/>
                <w:sz w:val="18"/>
                <w:szCs w:val="18"/>
                <w:b w:val="1"/>
                <w:bCs w:val="1"/>
                <w:color w:val="auto"/>
                <w:w w:val="97"/>
              </w:rPr>
              <w:t>3.6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net decreased $0.1 million, or 10%, and $1.1 million, or 31%, for the three and nine months ended September 30, 2025 compared to the three and nine months ended September 30, 2024, respectively, primarily attributable to lower interest income reflecting lower interest rates and average cash balances.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Company’s tax provision for the nine months ended September 30, 2025 was determined using an estimated annual effective tax rate which was adjusted for discrete items occurring during the period. The Company’s tax provision for the nine months ended September 30, 2024 was determined using a discrete effective tax rate method, as allowed by ASC Topic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xml:space="preserve"> as the Company had determined that small changes in estimated “ordinary” income would have resulted in significant changes in the estimated annual effective tax rate.</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had income tax provisions of $9.2 million and $13.6 million for the three and nine months ended September 30, 2025, respectively, and $7.7 million and $12.5 million for the three and nine months ended September 30, 2024, respectively. Our effective tax rate was 25.8% and 28.1% for the three and nine months ended September 30, 2025, and 99.2% and 290.7% for the three and nine months ended September 30, 2024, respectively. Our effective tax rate for the three and nine months ended September 30, 2025 differs from the U.S. federal statutory income tax rate of 21% primarily due to discrete items related to stock-based compensation and uncertain tax positions. Our effective tax rate for the three and nine months ended September 30, 2024 differed from the U.S. federal statutory income tax rate of 21% primarily due to the valuation allowance previously maintained against our net U.S. deferred tax assets and state taxes, partially offset by research and development credits.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Based on our ongoing assessment of all available evidence, both positive and negative, including consideration of our historical profitability and the estimated impact of our operating model on future profitability, we concluded that it was more likely than not that our U.S. federal and majority state deferred tax assets are realizable, resulting in a valuation allowance release for federal and states, other than California, during the three months ended December 31, 2024. We continue to maintain a valuation allowance on our California deferred tax assets, which consist primarily of tax credits, as of September 30, 2025. Our judgment regarding the likelihood of realization of these deferred tax assets could change in future periods, which could result in a material impact to our income tax provision in the period of change.</w:t>
      </w:r>
    </w:p>
    <w:p>
      <w:pPr>
        <w:spacing w:after="0" w:line="133"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An Act to Provide for Reconciliation Pursuant to Title II of H. Con. Res. 14, commonly known as the One Big Beautiful Bill Act. Included in this legislation are provisions that allow for the immediate expensing of domestic U.S. research and development expenses, immediate expensing of certain capital expenditures, and other changes to the U.S. taxation of profits derived from foreign operations. We have incorporated the new legislation into our income tax provision, as applicable, and determined that there was no material impact on our tax provision for 2025.</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(loss) and adjusted EBITDA as we define them may not be comparable to similarly titled measures used by other companies. Because of these limitations, you should consider non-GAAP operating income (loss) and adjusted EBITDA alongside other financial performance measures, including income (loss) from operations, net income (loss) and our other GAAP results.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reconciling non-GAAP operating income (loss) to income (loss) from operations, and adjusted EBITDA to net income (loss), the most comparable GAAP financial measures,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6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41.3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71.3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30.8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 margin</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6"/>
        </w:trPr>
        <w:tc>
          <w:tcPr>
            <w:tcW w:w="5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(8.2)</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Acquisition-related retention</w:t>
            </w:r>
          </w:p>
        </w:tc>
        <w:tc>
          <w:tcPr>
            <w:tcW w:w="3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77.1</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internally developed software costs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6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41.3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71.3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30.8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non-GAAP operating income (loss) as a percentage of revenue.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adjusted EBITDA as a percentage of revenue.</w:t>
      </w:r>
    </w:p>
    <w:p>
      <w:pPr>
        <w:spacing w:after="0" w:line="2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Operations—Results of Operations” for a discussion of the changes in income (loss) from operations and net income (loss) for the three and nine months ended September 30, 2025 compared to the three and nine months ended September 30, 2024.</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operating income increased $18.4 million, or 81%, and $40.5 million, or 132%, for the three and nine months ended September 30, 2025 compared to the three and nine months ended September 30, 2024, respectively, primarily driven by increases in income from operations of $27.8 million and $45.1 million, respectively, partially offset by $7.8 million of restructuring charges for the three and nine months ended September 30, 2024.</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Adjusted EBITDA increased $16.3 million, or 44%, and $31.2 million, or 41%, for the three and nine months ended September 30, 2025 compared to the three and nine months ended September 30, 2024, respectively, primarily driven by increases in net income of $26.2 million and $42.9 million, respectively, Additionally, adjustments to reconcile adjusted EBITDA to net income decreased $9.9 million and $11.7 million for the three and nine months ended September 30, 2025, primarily reflecting $7.8 million of restructuring charges for the three and nine months ended September 30, 2024 and decreases of $2.0 million and $6.1 million in stock-based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to meet our business requirements and plans, both in the short-term (i.e., the next twelve months from September 30, 2025) and long-term (i.e., beyond the next twelve months), have historically been cash generated from operations. Our primary liquidity needs are related to the funding of general business requirements, including working capital requirements, research and development, and capital expenditures, as well as other liquidity requirements including, but not limited to, business combinations.</w:t>
      </w:r>
    </w:p>
    <w:p>
      <w:pPr>
        <w:spacing w:after="0" w:line="126" w:lineRule="exact"/>
        <w:rPr>
          <w:sz w:val="20"/>
          <w:szCs w:val="20"/>
          <w:color w:val="auto"/>
        </w:rPr>
      </w:pPr>
    </w:p>
    <w:p>
      <w:pPr>
        <w:ind w:right="11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As of September 30, 2025 and December 31, 2024, we had cash and cash equivalents of $120.6 million and $66.3 million, respectively. </w:t>
      </w:r>
      <w:r>
        <w:rPr>
          <w:rFonts w:ascii="Times New Roman" w:cs="Times New Roman" w:eastAsia="Times New Roman" w:hAnsi="Times New Roman"/>
          <w:sz w:val="18"/>
          <w:szCs w:val="18"/>
          <w:b w:val="1"/>
          <w:bCs w:val="1"/>
          <w:i w:val="1"/>
          <w:iCs w:val="1"/>
          <w:color w:val="auto"/>
        </w:rPr>
        <w:t>Known Contractual and Other Obligations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description of contractual commitments as of September 30, 2025 is included in Note 5–Commitments and Contingencies in the notes to our condensed consolidated financial statements.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 broadly, we also have purchase obligations under contractual arrangements with vendors and service providers, including for certain web-hosting and cloud computing services and advertising, which do not qualify for recognition on our condensed consolidated balance sheets but which we consider non-cancellable. During the nine months ended September 30, 2025, there have been no material changes in our purchase obligations as disclosed in “Management’s Discussion and Analysis of Financial Condition and Results of Operations–Liquidity and Capital Resources” in our Annual Report on Form 10-K for the year ended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Uncertainties and Anticipated Sources of Funds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grow our business, we intend to make significant investments in our business, which may result in increases in our personnel and related expenses.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We maintain a plan, authorized by our Board of Directors in May 2023 with subsequent additional share repurchase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authorizations as approved by our Board of Directors, including a $50.0 million additional share repurchase authorization announced on September 13, 2025, under which we may repurchase shares of our Class A common stock (collectively, the Repurchase Program). Subject to market conditions and other factors, the Repurchase Program is intended to make opportunistic repurchases of our Class A common stock to reduce our outstanding share count. Under the Repurchase Program, shares of Class A common stock may be repurchased in the open market through privately negotiated transactions or otherwise, in accordance with applicable securities laws and other restrictions. The Repurchase Program does not have fixed expiration dates and does not obligate us to acquire any specific number of shares. The timing and terms of any repurchases are at management’s discretion and depend on a variety of factors, including business, economic and market conditions, regulatory requirements, prevailing stock prices and other considerations. Additionally, we may, from</w:t>
      </w:r>
    </w:p>
    <w:p>
      <w:pPr>
        <w:spacing w:after="0" w:line="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time to time, enter into Rule 10b5</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1 trading plans to facilitate repurchases. Shares repurchased under the Repurchase Programs are retired. We expect to fund repurchases with existing cash and cash equivalents. We repurchased 1.8 million shares of Class A common stock for $19.2 million, including costs associated with the repurchases, during the nine months ended September 30, 2025. Additionally, we paid $0.3 million of excise taxes during the nine months ended September 30, 2025 which related to previous share repurchases.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Facility: </w:t>
      </w:r>
      <w:r>
        <w:rPr>
          <w:rFonts w:ascii="Times New Roman" w:cs="Times New Roman" w:eastAsia="Times New Roman" w:hAnsi="Times New Roman"/>
          <w:sz w:val="18"/>
          <w:szCs w:val="18"/>
          <w:color w:val="auto"/>
        </w:rPr>
        <w:t>We, including three of our wholly-owned subsidiaries, maintain a credit agreement (the Credit Agreement) with JPMorgan 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The Credit Facility matures on September 26, 2028. We had no outstanding balance on our Credit Agreement as of September 30, 2025 or December 31, 2024. The available amount to borrow under our Credit Agreement was $123.9 million at both September 30, 2025 and December 31, 2024, which was equal to the available amount under the credit agreement of $125.0 million, net of letters of credit of $1.1 million. Our Credit Agreement contains certain customary financial and non-financial covenants. We were in compliance with all covenants as of September 30, 2025 and December 31, 2024.</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Warehouse Line of Credit: </w:t>
      </w:r>
      <w:r>
        <w:rPr>
          <w:rFonts w:ascii="Times New Roman" w:cs="Times New Roman" w:eastAsia="Times New Roman" w:hAnsi="Times New Roman"/>
          <w:sz w:val="18"/>
          <w:szCs w:val="18"/>
          <w:color w:val="auto"/>
        </w:rPr>
        <w:t>NDL, a wholly-owned subsidiary, maintains a $15.0 million warehouse line of credit to provide NDL short-term funding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mortgage loans originated for sale. Borrowings under the warehouse line of credit bear interest at the greater of the interest rate of the underlying mortgage loans held for sale or a minimum rate of 6%, and are secured by the underlying promissory notes of the mortgage loans held for sale as well as NDL’s other assets. The warehouse line of credit matures on February 1, 2026. NDL had $5.8 million outstanding under the warehouse line of credit as of September 30, 2025, which is included in accrued expenses and other current liabilities on our condensed consolidated balance sheet. The warehouse line of credit requires NDL to comply with certain minimum tangible net worth, liquidity, and insurance requirements. NDL was in compliance with all covenants as of September 30, 2025 and December 31, 2024.</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current cash and cash equivalents and future cash flow from operations, as well as access to our Credit Agreement, will be sufficient to meet our ongoing working capital, capital expenditure and other liquidity requirements for the next twelve months and beyond.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ectPr>
          <w:pgSz w:w="11900" w:h="16838" w:orient="portrait"/>
          <w:cols w:equalWidth="0" w:num="1">
            <w:col w:w="11240"/>
          </w:cols>
          <w:pgMar w:left="320" w:top="135" w:right="33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 Resources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15862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8020" w:space="720"/>
            <w:col w:w="2500"/>
          </w:cols>
          <w:pgMar w:left="320" w:top="135" w:right="339" w:bottom="1440" w:gutter="0" w:footer="0" w:header="0"/>
          <w:type w:val="continuous"/>
        </w:sect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increased $30.8 million for the nine months ended September 30, 2025 compared to the nine months ended September 30, 2024, driven by net income of $34.7 million for the nine months ended September 30, 2025, as compared to a net loss of $8.2 million for the nine months ended September 30, 2024, as well as a $5.4 million increase in non-cash charges, partially offset by a $17.5 million increase in net cash outflow from changes in operating assets and liabilities. The increase in non-cash charges was primarily due to increases of $11.7 million in deferred taxes and $1.3 million in other, net, partially offset by a $7.6 million decrease in stock-based compensation. The increase in net cash outflow from changes in operating assets and liabilities was primarily due to increases of $10.4 million for accrued expenses and other current liabilities, $5.5 million for accounts payable, $4.2 million for prepaid expenses and other current assets, and $3.6 million for mortgage loans held for sale, partially offset by a $6.7 million decrease for accounts receivable.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$4.0 million for the nine months ended September 30, 2025 compared to the nine months ended September 30, 2024, primarily due to decreases of $6.1 million in purchases of investments and $3.5 million in capitalized software development costs, partially offset by $5.0 million of cash paid for an acquisition in the nine months ended September 30, 2025.</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decreased $48.6 million for the nine months ended September 30, 2025 compared to the nine months ended September 30, 2024, primarily due to a $50.3 million decrease for repurchases of Class A common stock and $3.3 million of short-term borrowings under a warehouse line of credit, partially offset by a $4.5 million decrease from exercises of 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there have been no material changes in our critical accounting policies as disclosed in “Management’s Discussion and Analysis of Financial Condition and Results of Operations–Critical Accounting Policies and Estimates” in our Annual Report on Form 10-K for the year ended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there were no material changes from the market risk disclosures in our Annual Report on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September 30, 2025. Based on that evaluation, the Chief Executive Officer and the Chief Financial Officer concluded that these disclosure controls and procedures were effective as of September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Rules 13a-15(d) and 15d-15(d) of the Exchange Act that occurred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5–Commitments and Contingencies in the notes to condensed consolidated financial statements in Item 1 of Part I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2024, in Part II, Item 1A. Risk Factors in our Quarterly Report on Form 10-Q for the quarter ended June 30, 2025, and in our subsequent periodic filings with the Securities and Exchange Commission.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 activity for the three months ended September 30,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80" w:type="dxa"/>
            <w:vAlign w:val="bottom"/>
          </w:tcPr>
          <w:p>
            <w:pPr>
              <w:spacing w:after="0"/>
              <w:rPr>
                <w:sz w:val="15"/>
                <w:szCs w:val="15"/>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7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8"/>
              </w:rPr>
              <w:t>Programs</w:t>
            </w:r>
            <w:r>
              <w:rPr>
                <w:rFonts w:ascii="Times New Roman" w:cs="Times New Roman" w:eastAsia="Times New Roman" w:hAnsi="Times New Roman"/>
                <w:sz w:val="18"/>
                <w:szCs w:val="18"/>
                <w:b w:val="1"/>
                <w:bCs w:val="1"/>
                <w:color w:val="auto"/>
                <w:w w:val="98"/>
                <w:vertAlign w:val="superscript"/>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8"/>
                <w:szCs w:val="18"/>
                <w:b w:val="1"/>
                <w:bCs w:val="1"/>
                <w:i w:val="1"/>
                <w:i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26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23"/>
                <w:szCs w:val="23"/>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0"/>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6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jc w:val="both"/>
        <w:ind w:left="340" w:hanging="332"/>
        <w:spacing w:after="0" w:line="258" w:lineRule="auto"/>
        <w:tabs>
          <w:tab w:leader="none" w:pos="33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 2023, we announced that our Board of Directors authorized a plan under which we may repurchase up to $20 million of our Class A common stock and, following our utilization of that share repurchase authorization, we announced on October 26, 2023, September 9, 2024, October 29, 2024, and September 13, 2025 that our Board of Directors approved additional share repurchase authorizations under which we may repurchase up to an additional $30 million, $50 million, $25 million, and $50 million, respectively, of our Class A common stock (collectively, the Repurchase Program). Under the Repurchase Program, shares of Class A common stock may be repurchased from time to time in the open market through privately negotiated transactions or otherwise, in accordance with applicable securities laws and other restrictions. The Repurchase Program does not have fixed expiration dates, does not obligate us to acquire any specific dollar amount or number of shares, and may be amended, suspended or discontinued at any time. The amount and timing of any repurchases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spacing w:after="0" w:line="3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or Executive Officers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 of the Exchange Act) adopted, modified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jc w:val="right"/>
        <w:ind w:right="10020"/>
        <w:spacing w:after="0"/>
        <w:rPr>
          <w:sz w:val="20"/>
          <w:szCs w:val="20"/>
          <w:color w:val="auto"/>
        </w:rPr>
      </w:pPr>
      <w:r>
        <w:rPr>
          <w:rFonts w:ascii="Times New Roman" w:cs="Times New Roman" w:eastAsia="Times New Roman" w:hAnsi="Times New Roman"/>
          <w:sz w:val="18"/>
          <w:szCs w:val="18"/>
          <w:color w:val="auto"/>
        </w:rPr>
        <w:t>(a)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tcPr>
          <w:p>
            <w:pPr>
              <w:spacing w:after="0"/>
              <w:rPr>
                <w:sz w:val="15"/>
                <w:szCs w:val="15"/>
                <w:color w:val="auto"/>
              </w:rPr>
            </w:pPr>
          </w:p>
        </w:tc>
      </w:tr>
      <w:tr>
        <w:trPr>
          <w:trHeight w:val="19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0" w:type="dxa"/>
            <w:vAlign w:val="bottom"/>
            <w:gridSpan w:val="8"/>
          </w:tcPr>
          <w:p>
            <w:pPr>
              <w:ind w:left="14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8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37"/>
        </w:trPr>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196"/>
        </w:trPr>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c>
          <w:tcPr>
            <w:tcW w:w="4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4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2"/>
          </w:tcPr>
          <w:p>
            <w:pPr>
              <w:spacing w:after="0"/>
              <w:rPr>
                <w:sz w:val="17"/>
                <w:szCs w:val="17"/>
                <w:color w:val="auto"/>
              </w:rPr>
            </w:pPr>
          </w:p>
        </w:tc>
        <w:tc>
          <w:tcPr>
            <w:tcW w:w="420" w:type="dxa"/>
            <w:vAlign w:val="bottom"/>
            <w:gridSpan w:val="6"/>
          </w:tcPr>
          <w:p>
            <w:pPr>
              <w:spacing w:after="0"/>
              <w:rPr>
                <w:sz w:val="17"/>
                <w:szCs w:val="17"/>
                <w:color w:val="auto"/>
              </w:rPr>
            </w:pPr>
          </w:p>
        </w:tc>
        <w:tc>
          <w:tcPr>
            <w:tcW w:w="4080" w:type="dxa"/>
            <w:vAlign w:val="bottom"/>
          </w:tcPr>
          <w:p>
            <w:pPr>
              <w:spacing w:after="0"/>
              <w:rPr>
                <w:sz w:val="17"/>
                <w:szCs w:val="17"/>
                <w:color w:val="auto"/>
              </w:rPr>
            </w:pPr>
          </w:p>
        </w:tc>
      </w:tr>
      <w:tr>
        <w:trPr>
          <w:trHeight w:val="23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4780" w:type="dxa"/>
            <w:vAlign w:val="bottom"/>
            <w:tcBorders>
              <w:top w:val="single" w:sz="8" w:color="0000FF"/>
            </w:tcBorders>
            <w:gridSpan w:val="2"/>
          </w:tcPr>
          <w:p>
            <w:pPr>
              <w:spacing w:after="0"/>
              <w:rPr>
                <w:sz w:val="17"/>
                <w:szCs w:val="17"/>
                <w:color w:val="auto"/>
              </w:rPr>
            </w:pPr>
          </w:p>
        </w:tc>
        <w:tc>
          <w:tcPr>
            <w:tcW w:w="420" w:type="dxa"/>
            <w:vAlign w:val="bottom"/>
            <w:gridSpan w:val="6"/>
          </w:tcPr>
          <w:p>
            <w:pPr>
              <w:spacing w:after="0"/>
              <w:rPr>
                <w:sz w:val="17"/>
                <w:szCs w:val="17"/>
                <w:color w:val="auto"/>
              </w:rPr>
            </w:pPr>
          </w:p>
        </w:tc>
        <w:tc>
          <w:tcPr>
            <w:tcW w:w="4080" w:type="dxa"/>
            <w:vAlign w:val="bottom"/>
          </w:tcPr>
          <w:p>
            <w:pPr>
              <w:spacing w:after="0"/>
              <w:rPr>
                <w:sz w:val="17"/>
                <w:szCs w:val="17"/>
                <w:color w:val="auto"/>
              </w:rPr>
            </w:pPr>
          </w:p>
        </w:tc>
      </w:tr>
      <w:tr>
        <w:trPr>
          <w:trHeight w:val="237"/>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1020" w:type="dxa"/>
            <w:vAlign w:val="bottom"/>
            <w:tcBorders>
              <w:top w:val="single" w:sz="8" w:color="0000FF"/>
            </w:tcBorders>
            <w:gridSpan w:val="5"/>
          </w:tcPr>
          <w:p>
            <w:pPr>
              <w:spacing w:after="0"/>
              <w:rPr>
                <w:sz w:val="15"/>
                <w:szCs w:val="15"/>
                <w:color w:val="auto"/>
              </w:rPr>
            </w:pPr>
          </w:p>
        </w:tc>
        <w:tc>
          <w:tcPr>
            <w:tcW w:w="160" w:type="dxa"/>
            <w:vAlign w:val="bottom"/>
            <w:gridSpan w:val="2"/>
          </w:tcPr>
          <w:p>
            <w:pPr>
              <w:spacing w:after="0"/>
              <w:rPr>
                <w:sz w:val="15"/>
                <w:szCs w:val="15"/>
                <w:color w:val="auto"/>
              </w:rPr>
            </w:pPr>
          </w:p>
        </w:tc>
        <w:tc>
          <w:tcPr>
            <w:tcW w:w="4080" w:type="dxa"/>
            <w:vAlign w:val="bottom"/>
          </w:tcPr>
          <w:p>
            <w:pPr>
              <w:spacing w:after="0"/>
              <w:rPr>
                <w:sz w:val="15"/>
                <w:szCs w:val="15"/>
                <w:color w:val="auto"/>
              </w:rPr>
            </w:pPr>
          </w:p>
        </w:tc>
      </w:tr>
      <w:tr>
        <w:trPr>
          <w:trHeight w:val="25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adopted pursuant to Section 906 of the Sarbanes-Oxley Act of 2002.</w:t>
            </w:r>
          </w:p>
        </w:tc>
        <w:tc>
          <w:tcPr>
            <w:tcW w:w="980" w:type="dxa"/>
            <w:vAlign w:val="bottom"/>
            <w:tcBorders>
              <w:top w:val="single" w:sz="8" w:color="0000FF"/>
            </w:tcBorders>
            <w:gridSpan w:val="4"/>
          </w:tcPr>
          <w:p>
            <w:pPr>
              <w:spacing w:after="0"/>
              <w:rPr>
                <w:sz w:val="15"/>
                <w:szCs w:val="15"/>
                <w:color w:val="auto"/>
              </w:rPr>
            </w:pPr>
          </w:p>
        </w:tc>
        <w:tc>
          <w:tcPr>
            <w:tcW w:w="200" w:type="dxa"/>
            <w:vAlign w:val="bottom"/>
            <w:gridSpan w:val="3"/>
          </w:tcPr>
          <w:p>
            <w:pPr>
              <w:spacing w:after="0"/>
              <w:rPr>
                <w:sz w:val="15"/>
                <w:szCs w:val="15"/>
                <w:color w:val="auto"/>
              </w:rPr>
            </w:pPr>
          </w:p>
        </w:tc>
        <w:tc>
          <w:tcPr>
            <w:tcW w:w="4080" w:type="dxa"/>
            <w:vAlign w:val="bottom"/>
          </w:tcPr>
          <w:p>
            <w:pPr>
              <w:spacing w:after="0"/>
              <w:rPr>
                <w:sz w:val="15"/>
                <w:szCs w:val="15"/>
                <w:color w:val="auto"/>
              </w:rPr>
            </w:pPr>
          </w:p>
        </w:tc>
      </w:tr>
      <w:tr>
        <w:trPr>
          <w:trHeight w:val="259"/>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408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4080" w:type="dxa"/>
            <w:vAlign w:val="bottom"/>
          </w:tcPr>
          <w:p>
            <w:pPr>
              <w:spacing w:after="0"/>
              <w:rPr>
                <w:sz w:val="20"/>
                <w:szCs w:val="20"/>
                <w:color w:val="auto"/>
              </w:rPr>
            </w:pPr>
          </w:p>
        </w:tc>
      </w:tr>
      <w:tr>
        <w:trPr>
          <w:trHeight w:val="256"/>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2"/>
                <w:szCs w:val="22"/>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3"/>
                <w:szCs w:val="23"/>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Exhibits 101).</w:t>
            </w:r>
          </w:p>
        </w:tc>
        <w:tc>
          <w:tcPr>
            <w:tcW w:w="40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59" w:lineRule="exact"/>
        <w:rPr>
          <w:sz w:val="20"/>
          <w:szCs w:val="20"/>
          <w:color w:val="auto"/>
        </w:rPr>
      </w:pPr>
    </w:p>
    <w:p>
      <w:pPr>
        <w:ind w:left="340" w:hanging="332"/>
        <w:spacing w:after="0" w:line="271" w:lineRule="auto"/>
        <w:tabs>
          <w:tab w:leader="none" w:pos="2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2" w:lineRule="exact"/>
        <w:rPr>
          <w:sz w:val="20"/>
          <w:szCs w:val="20"/>
          <w:color w:val="auto"/>
        </w:rPr>
      </w:pPr>
    </w:p>
    <w:p>
      <w:pPr>
        <w:jc w:val="both"/>
        <w:ind w:left="340" w:hanging="332"/>
        <w:spacing w:after="0" w:line="281" w:lineRule="auto"/>
        <w:tabs>
          <w:tab w:leader="none" w:pos="353"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NERDWALLET, INC.</w:t>
      </w:r>
    </w:p>
    <w:p>
      <w:pPr>
        <w:spacing w:after="0" w:line="285" w:lineRule="exact"/>
        <w:rPr>
          <w:sz w:val="20"/>
          <w:szCs w:val="20"/>
          <w:color w:val="auto"/>
        </w:rPr>
      </w:pPr>
    </w:p>
    <w:p>
      <w:pPr>
        <w:ind w:left="20"/>
        <w:spacing w:after="0"/>
        <w:tabs>
          <w:tab w:leader="none" w:pos="600" w:val="left"/>
          <w:tab w:leader="none" w:pos="5100" w:val="left"/>
        </w:tabs>
        <w:rPr>
          <w:sz w:val="20"/>
          <w:szCs w:val="20"/>
          <w:color w:val="auto"/>
        </w:rPr>
      </w:pPr>
      <w:r>
        <w:rPr>
          <w:rFonts w:ascii="Times New Roman" w:cs="Times New Roman" w:eastAsia="Times New Roman" w:hAnsi="Times New Roman"/>
          <w:sz w:val="18"/>
          <w:szCs w:val="18"/>
          <w:color w:val="auto"/>
        </w:rPr>
        <w:t>Date:</w:t>
        <w:tab/>
        <w:t>November 6, 2025</w:t>
      </w:r>
      <w:r>
        <w:rPr>
          <w:sz w:val="20"/>
          <w:szCs w:val="20"/>
          <w:color w:val="auto"/>
        </w:rPr>
        <w:tab/>
      </w:r>
      <w:r>
        <w:rPr>
          <w:rFonts w:ascii="Times New Roman" w:cs="Times New Roman" w:eastAsia="Times New Roman" w:hAnsi="Times New Roman"/>
          <w:sz w:val="18"/>
          <w:szCs w:val="18"/>
          <w:color w:val="auto"/>
        </w:rPr>
        <w:t>/s/ Jun Hyung Lee</w:t>
      </w:r>
    </w:p>
    <w:p>
      <w:pPr>
        <w:ind w:left="4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21590</wp:posOffset>
            </wp:positionV>
            <wp:extent cx="26231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3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Jun Hyung Lee</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2025</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Jun Hyung Lee, certify that:</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NerdWallet,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70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2025</w:t>
      </w:r>
      <w:r>
        <w:rPr>
          <w:sz w:val="20"/>
          <w:szCs w:val="20"/>
          <w:color w:val="auto"/>
        </w:rPr>
        <w:tab/>
      </w:r>
      <w:r>
        <w:rPr>
          <w:rFonts w:ascii="Times New Roman" w:cs="Times New Roman" w:eastAsia="Times New Roman" w:hAnsi="Times New Roman"/>
          <w:sz w:val="18"/>
          <w:szCs w:val="18"/>
          <w:color w:val="auto"/>
        </w:rPr>
        <w:t>/s/ Jun Hyung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Jun Hyung Lee</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35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68" w:lineRule="exact"/>
        <w:rPr>
          <w:sz w:val="20"/>
          <w:szCs w:val="20"/>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2025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2025</w:t>
      </w:r>
      <w:r>
        <w:rPr>
          <w:sz w:val="20"/>
          <w:szCs w:val="20"/>
          <w:color w:val="auto"/>
        </w:rPr>
        <w:tab/>
      </w:r>
      <w:r>
        <w:rPr>
          <w:rFonts w:ascii="Times New Roman" w:cs="Times New Roman" w:eastAsia="Times New Roman" w:hAnsi="Times New Roman"/>
          <w:sz w:val="17"/>
          <w:szCs w:val="17"/>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Tim Chen</w:t>
      </w:r>
    </w:p>
    <w:p>
      <w:pPr>
        <w:spacing w:after="0" w:line="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ectPr>
          <w:pgSz w:w="11900" w:h="16838" w:orient="portrait"/>
          <w:cols w:equalWidth="0" w:num="1">
            <w:col w:w="11240"/>
          </w:cols>
          <w:pgMar w:left="320" w:top="135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 Jun Hyung Lee, Chief Financial Officer of NerdWallet, Inc. (the “Company”), certify, as of the date hereof and solely for purposes of and pursuant to 18 U.S.C. Section 1350 as adopted pursuant to Section 906 of the Sarbanes-Oxley Act of 2002, that, to my knowledge:</w:t>
      </w:r>
    </w:p>
    <w:p>
      <w:pPr>
        <w:spacing w:after="0" w:line="54" w:lineRule="exact"/>
        <w:rPr>
          <w:sz w:val="20"/>
          <w:szCs w:val="20"/>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2025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700" w:val="left"/>
          <w:tab w:leader="none" w:pos="7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2025</w:t>
      </w:r>
      <w:r>
        <w:rPr>
          <w:sz w:val="20"/>
          <w:szCs w:val="20"/>
          <w:color w:val="auto"/>
        </w:rPr>
        <w:tab/>
      </w:r>
      <w:r>
        <w:rPr>
          <w:rFonts w:ascii="Times New Roman" w:cs="Times New Roman" w:eastAsia="Times New Roman" w:hAnsi="Times New Roman"/>
          <w:sz w:val="18"/>
          <w:szCs w:val="18"/>
          <w:color w:val="auto"/>
        </w:rPr>
        <w:t>/s/ Jun Hyung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34290</wp:posOffset>
            </wp:positionV>
            <wp:extent cx="36518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Jun Hyung Lee</w:t>
      </w:r>
    </w:p>
    <w:p>
      <w:pPr>
        <w:spacing w:after="0" w:line="5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7"/>
    </w:lvl>
  </w:abstractNum>
  <w:abstractNum w:abstractNumId="12">
    <w:nsid w:val="3F2DBA31"/>
    <w:multiLevelType w:val="hybridMultilevel"/>
    <w:lvl w:ilvl="0">
      <w:lvlJc w:val="left"/>
      <w:lvlText w:val="%1."/>
      <w:numFmt w:val="decimal"/>
      <w:start w:val="8"/>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2025-11-06T16:11:44Z</dcterms:created>
  <dcterms:modified xsi:type="dcterms:W3CDTF">2025-11-06T16:11:44Z</dcterms:modified>
</cp:coreProperties>
</file>