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10th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9"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41,753,215 shares of Class A common stock and 31,685,652 shares of Class B common stock as of October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33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80" w:type="dxa"/>
            <w:vAlign w:val="bottom"/>
            <w:gridSpan w:val="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7"/>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1"/>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developments, including but not limited to, inflationary pressures, the interest rate environment, tightening credit markets and general macroeconomic uncertainty on our business, results of operations, financial condition and stock price;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and operating performance, including total revenue, cost of revenue, non-GAAP operating income (loss),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synergies, accretive value and other benefits from completed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plan, including expectations regarding the amount, timing and manner of repurchases made under the plan;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benefits from our internal restructuring plan and workforce reduction, including expected cost savings and the expectations regarding the impact of such actions on our business, results of operations and future investment opportunities.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elsewhere in this Quarterly Report on Form 10-Q, in Part I, Item 1A. Risk Factors in our Annual Report on Form 10-K for the year ended December 31, 2023,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speak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9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102.8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193.7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45.3</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36.7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402.4</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100.4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75.5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198.4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111.5</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44450</wp:posOffset>
            </wp:positionV>
            <wp:extent cx="840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74,028 and 76,940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1.7</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35.6</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37.3</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14.4</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483.7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(116.5)</w:t>
      </w:r>
    </w:p>
    <w:p>
      <w:pPr>
        <w:spacing w:after="0" w:line="8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34290</wp:posOffset>
            </wp:positionV>
            <wp:extent cx="840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36830</wp:posOffset>
            </wp:positionV>
            <wp:extent cx="8401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80"/>
            <w:col w:w="52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465.7</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3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(Loss) Per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Attributable to Common Stockholders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ind w:right="16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760" w:type="dxa"/>
            <w:vAlign w:val="bottom"/>
            <w:vMerge w:val="restart"/>
          </w:tcPr>
          <w:p>
            <w:pPr>
              <w:jc w:val="center"/>
              <w:ind w:left="48"/>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4" w:lineRule="exact"/>
        <w:rPr>
          <w:sz w:val="20"/>
          <w:szCs w:val="20"/>
          <w:color w:val="auto"/>
        </w:rPr>
      </w:pPr>
    </w:p>
    <w:p>
      <w:pPr>
        <w:spacing w:after="0"/>
        <w:tabs>
          <w:tab w:leader="none" w:pos="1060" w:val="left"/>
          <w:tab w:leader="none" w:pos="2020" w:val="left"/>
        </w:tabs>
        <w:rPr>
          <w:sz w:val="20"/>
          <w:szCs w:val="20"/>
          <w:color w:val="auto"/>
        </w:rPr>
      </w:pPr>
      <w:r>
        <w:rPr>
          <w:rFonts w:ascii="Times New Roman" w:cs="Times New Roman" w:eastAsia="Times New Roman" w:hAnsi="Times New Roman"/>
          <w:sz w:val="14"/>
          <w:szCs w:val="14"/>
          <w:b w:val="1"/>
          <w:bCs w:val="1"/>
          <w:color w:val="auto"/>
        </w:rPr>
        <w:t>Comprehensive</w:t>
        <w:tab/>
        <w:t>Accumulated</w:t>
        <w:tab/>
        <w:t>Stockholders’</w:t>
      </w:r>
    </w:p>
    <w:p>
      <w:pPr>
        <w:spacing w:after="0" w:line="15" w:lineRule="exact"/>
        <w:rPr>
          <w:sz w:val="20"/>
          <w:szCs w:val="20"/>
          <w:color w:val="auto"/>
        </w:rPr>
      </w:pPr>
    </w:p>
    <w:p>
      <w:pPr>
        <w:ind w:left="340"/>
        <w:spacing w:after="0"/>
        <w:tabs>
          <w:tab w:leader="none" w:pos="1280" w:val="left"/>
          <w:tab w:leader="none" w:pos="2220" w:val="left"/>
        </w:tabs>
        <w:rPr>
          <w:sz w:val="20"/>
          <w:szCs w:val="20"/>
          <w:color w:val="auto"/>
        </w:rPr>
      </w:pPr>
      <w:r>
        <w:rPr>
          <w:rFonts w:ascii="Times New Roman" w:cs="Times New Roman" w:eastAsia="Times New Roman" w:hAnsi="Times New Roman"/>
          <w:sz w:val="14"/>
          <w:szCs w:val="14"/>
          <w:b w:val="1"/>
          <w:bCs w:val="1"/>
          <w:color w:val="auto"/>
        </w:rPr>
        <w:t>Loss</w:t>
      </w:r>
      <w:r>
        <w:rPr>
          <w:sz w:val="20"/>
          <w:szCs w:val="20"/>
          <w:color w:val="auto"/>
        </w:rPr>
        <w:tab/>
      </w:r>
      <w:r>
        <w:rPr>
          <w:rFonts w:ascii="Times New Roman" w:cs="Times New Roman" w:eastAsia="Times New Roman" w:hAnsi="Times New Roman"/>
          <w:sz w:val="14"/>
          <w:szCs w:val="14"/>
          <w:b w:val="1"/>
          <w:bCs w:val="1"/>
          <w:color w:val="auto"/>
        </w:rPr>
        <w:t>Deficit</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66" w:lineRule="exact"/>
        <w:rPr>
          <w:sz w:val="20"/>
          <w:szCs w:val="20"/>
          <w:color w:val="auto"/>
        </w:rPr>
      </w:pPr>
    </w:p>
    <w:p>
      <w:pPr>
        <w:sectPr>
          <w:pgSz w:w="11900" w:h="16838" w:orient="portrait"/>
          <w:cols w:equalWidth="0" w:num="2">
            <w:col w:w="8200" w:space="140"/>
            <w:col w:w="2900"/>
          </w:cols>
          <w:pgMar w:left="320" w:top="333"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77,720</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78,397</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74,028</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2"/>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76,711</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(0.7)</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2"/>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77,525</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(0.5)</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365.0</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76,994</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 recorded in 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087"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087"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9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500" w:val="left"/>
          <w:tab w:leader="none" w:pos="9500" w:val="left"/>
          <w:tab w:leader="none" w:pos="9920" w:val="left"/>
          <w:tab w:leader="none" w:pos="10920" w:val="left"/>
        </w:tabs>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w:t>
        <w:tab/>
        <w:t>$</w:t>
      </w:r>
      <w:r>
        <w:rPr>
          <w:sz w:val="20"/>
          <w:szCs w:val="20"/>
          <w:color w:val="auto"/>
        </w:rPr>
        <w:tab/>
      </w:r>
      <w:r>
        <w:rPr>
          <w:rFonts w:ascii="Times New Roman" w:cs="Times New Roman" w:eastAsia="Times New Roman" w:hAnsi="Times New Roman"/>
          <w:sz w:val="17"/>
          <w:szCs w:val="17"/>
          <w:color w:val="auto"/>
        </w:rPr>
        <w:t>2.7</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2023.</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nine months ended September 30, 2023 have been reclassified to conform to the financial statement presentation as of and for the three and nine months ended September 30, 2024. The results of operations for the three and nine months ended September 30, 2024 are not necessarily indicative of the results to be expected for the full year or any other future period.</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nine months ended September 30, 2024, the Company made a strategic investment of $8.1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securities of a privately-held company over which the Company does not exercise significant influence. See Note 4–Significant Condensed Consolidated Balance Sheet Components for further discussion. During the nine months ended September 30, 2024, there have been no other material changes to the Company’s significant accounting policies as disclosed in Note 1–The Company and its Significant Accounting Policies in the notes to the consolidated financial statements in the Company’s Annual Report on Form 10-K for the year ended December 31, 2023.</w:t>
      </w:r>
    </w:p>
    <w:p>
      <w:pPr>
        <w:spacing w:after="0" w:line="1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$4.1 million of revenue that was deferred as of December 31, 2023, all of which was recognized during the three months ended March 31, 2024. Revenue recognized during the nine months ended September 30, 2023 which was deferred as of December 31, 2022 was immaterial.</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$7.6 million and $5.5 million as of September 30,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$42.7 million and $49.0 million as of September 30, 2024 and December 31, 2023, respectively. The Company capitalized $5.7 million and $19.0 million of software development costs during the three and nine months ended September 30, 2024, respectively, and $7.9 million and $25.7 million during the three and nine months ended September 30, 2023, respectively. The Company recorded amortization expense related to capitalized software development costs of $9.0 million and $25.3 million during the three and nine months ended September 30, 2024 and $7.3 million and $20.9 million during the three and nine months ended September 30, 2023, respectively.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made a strategic investment of $8.1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 and any related gains or losses would be included in other gains (losses), net on the Company’s condensed consolidated statements of operations. Equity investments without readily determinable fair values were $8.1 million as of September 30, 2024, and there were no related changes in carrying amount or impairment during the nine months ended September 30, 2024.</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expenses and other current liabilities include unbilled accounts payable of $42.0 million and $21.2 million, and operating lease liabilities of $2.8 million and $3.4 million, as of September 30, 2024 and December 31, 2023, respectively. Accrued expenses and other current liabilities as of September 30, 2024 also includes a liability for repurchases of Class A common stock of $2.4 million.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$4.1 million and $6.2 million as of September 30, 2024 and December 31, 2023,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and commitments under leases. During the nine months ended September 30, 2024, the Company entered into an amendment, that has not yet commenced, of an operating lease for office space, with total future lease payments of approximately $5 million that are not yet recorded on the Company’s condensed consolidated balance sheet. This lease amendment is expected to commence in 2025 (upon availability of the office space) with an expected lease term of approximately five years. As of September 30, 2024, there were no other material changes to the Company’s commitments and other financial arrangements as disclosed in Note 8–Commitments and Contingencies in the notes to the consolidated financial statements in the Company’s Annual Report on Form 10-K for the year ended December 31, 2023.</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September 30, 2024 or December 31,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—On May 2, 2023, the Company announced that its Board of Directors authorized a plan under which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$20 million of the Company’s Class A common stock and, following the Company’s utilization of such share repurchase authorization, the Company announced on October 26, 2023 and September 9, 2024 that its Board of Directors approved additional share repurchase authorizations under which the Company may repurchase up to an additional $30 million and $50 million, respectively, of the Company’s Class A common stock (collectively, the Repurchase Program). The Company repurchased 5.7 million and 5.8 million shares, respectively, of Class A common stock for $71.1 million and $72.2 million, respectively, including costs associated with the repurchases, during the three and nine months ended September 30, 2024, and 1.2 million and 1.3 million shares, respectively, for $10.8 million and $12.1 million, respectively, during the three and nine months ended September 30, 2023. The remaining share repurchase authorization under the Repurchase Program is $8.2 million as of September 30, 2024.</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2024.</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30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6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0.2 million of target award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6.3</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5.8</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575"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2024 was $9.08 per share. The aggregate intrinsic value of options exercised was $7.0 million for the nine months ended September 30, 2024.</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0.2 million of target award stock options with both service-based and performance-based conditions to certain employees of the Company. Recipients of these performance-based stock options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stock options are also subject to service-based vesting over a period of three years.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30, 2024, the per-share fair value of each stock option granted was determined on the date of grant using the following weighted-average assumptions:</w:t>
      </w:r>
    </w:p>
    <w:tbl>
      <w:tblPr>
        <w:tblLayout w:type="fixed"/>
        <w:tblInd w:w="0" w:type="dxa"/>
        <w:tblCellMar>
          <w:top w:w="0" w:type="dxa"/>
          <w:left w:w="0" w:type="dxa"/>
          <w:bottom w:w="0" w:type="dxa"/>
          <w:right w:w="0" w:type="dxa"/>
        </w:tblCellMar>
      </w:tblPr>
      <w:tr>
        <w:trPr>
          <w:trHeight w:val="176"/>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7"/>
        </w:trPr>
        <w:tc>
          <w:tcPr>
            <w:tcW w:w="9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43"/>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7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stock options granted for the nine months ended September 30,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restricted stock units (RSUs)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204"/>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200" w:type="dxa"/>
            <w:vAlign w:val="bottom"/>
          </w:tcPr>
          <w:p>
            <w:pPr>
              <w:jc w:val="center"/>
              <w:ind w:left="595"/>
              <w:spacing w:after="0"/>
              <w:rPr>
                <w:sz w:val="20"/>
                <w:szCs w:val="20"/>
                <w:color w:val="auto"/>
              </w:rPr>
            </w:pPr>
            <w:r>
              <w:rPr>
                <w:rFonts w:ascii="Times New Roman" w:cs="Times New Roman" w:eastAsia="Times New Roman" w:hAnsi="Times New Roman"/>
                <w:sz w:val="18"/>
                <w:szCs w:val="18"/>
                <w:color w:val="auto"/>
                <w:w w:val="98"/>
              </w:rPr>
              <w:t>2,112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8"/>
              </w:rPr>
              <w:t>(2,240)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w w:val="98"/>
              </w:rPr>
              <w:t>(1,504)</w:t>
            </w:r>
          </w:p>
        </w:tc>
        <w:tc>
          <w:tcPr>
            <w:tcW w:w="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89"/>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2024</w:t>
            </w:r>
            <w:r>
              <w:rPr>
                <w:rFonts w:ascii="Times New Roman" w:cs="Times New Roman" w:eastAsia="Times New Roman" w:hAnsi="Times New Roman"/>
                <w:sz w:val="23"/>
                <w:szCs w:val="23"/>
                <w:color w:val="auto"/>
                <w:vertAlign w:val="superscript"/>
              </w:rPr>
              <w:t>2</w:t>
            </w:r>
          </w:p>
        </w:tc>
        <w:tc>
          <w:tcPr>
            <w:tcW w:w="120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5,156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target award RSUs with both service-based and performance-based conditions.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target award RSUs with both service-based and performance-based conditions.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$30.5 million during the nine months ended September 30, 2024.</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0.1 million of target award RSUs with both service-based and performance-based conditions to certain employees of the Company. Recipients of these performance-based RSUs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RSUs are also subject to service-based vesting over a period of three years.</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2024. Prior to capitalizing amounts related to software development costs, the Company recognized stock-based compensation related to the ESPP of $0.2 million and $0.4 million during the three and nine months ended September 30, 2024, respectively, which relates to the ESPP purchase period which began on May 1, 2024. Prior to capitalizing amounts related to software development costs, the Company recognized stock-based compensation related to the ESPP of $0.8 million and $2.8 million during the three and nine months ended September 30, 2023, respectively.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6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$0.7 million and $1.2 million during the three months ended September 30, 2024 and 2023, respectively, and $2.9 million and $4.3 million during the nine months ended September 30, 2024 and 2023, respectively.</w:t>
      </w:r>
    </w:p>
    <w:p>
      <w:pPr>
        <w:spacing w:after="0" w:line="11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the Company’s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Company’s tax provision for interim periods was previously determined using an estimated annual effective tax rate which was adjusted for discrete items occurring during the periods presented. The Company determined that since small changes in estimated “ordinary” income would result in significant changes in the estimated annual effective tax rate, the historical method would not provide a reliable estimate for the three and nine months ended September 30, 2024.</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primary difference between the Company’s effective tax rate and the statutory federal income tax rate is the full valuation allowance established on the Company’s federal, state and foreign deferred tax attributes. As of September 30, 2024 and December 31, 2023,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income (loss)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(loss)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60" w:type="dxa"/>
            <w:vAlign w:val="bottom"/>
            <w:vMerge w:val="continue"/>
          </w:tcPr>
          <w:p>
            <w:pPr>
              <w:spacing w:after="0"/>
              <w:rPr>
                <w:sz w:val="16"/>
                <w:szCs w:val="16"/>
                <w:color w:val="auto"/>
              </w:rPr>
            </w:pPr>
          </w:p>
        </w:tc>
        <w:tc>
          <w:tcPr>
            <w:tcW w:w="21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931"/>
        </w:trPr>
        <w:tc>
          <w:tcPr>
            <w:tcW w:w="5260" w:type="dxa"/>
            <w:vAlign w:val="bottom"/>
          </w:tcPr>
          <w:p>
            <w:pPr>
              <w:spacing w:after="0"/>
              <w:rPr>
                <w:sz w:val="24"/>
                <w:szCs w:val="24"/>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Plan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30, 2024, the Company committed to a restructuring plan, effective August 1, 2024, intended to reduce the Company’s operating expenses and better position the Company to execute its long-term strategic initiatives (the Restructuring Plan). The Restructuring Plan was substantially completed during the three months ended September 30, 2024, and reduced the size of the Company’s workforce by approximately 15% of its full-time employees, as compared to its headcount as of December 31, 2023. The Company incurred a pre-tax restructuring charge of $7.8 million for the three and nine months ended September 30, 2024 in connection with the Restructuring Plan, which primarily consisted of severance payments, employee benefits and related expenses for impacted employees, and is presented in the condensed consolidated statement of operations as $5.6 million of research and development expenses, $1.2 million of sales and marketing expenses and $1.0 million of general and administrative expenses.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restructuring reserve, which is included in accrued expenses and other current liabilities on the condensed consolidated balance sheet,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220" w:type="dxa"/>
            <w:vAlign w:val="bottom"/>
          </w:tcPr>
          <w:p>
            <w:pPr>
              <w:spacing w:after="0"/>
              <w:rPr>
                <w:sz w:val="19"/>
                <w:szCs w:val="19"/>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3"/>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9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Acquisition of Next Door Lending LLC</w:t>
      </w:r>
      <w:r>
        <w:rPr>
          <w:rFonts w:ascii="Times New Roman" w:cs="Times New Roman" w:eastAsia="Times New Roman" w:hAnsi="Times New Roman"/>
          <w:sz w:val="18"/>
          <w:szCs w:val="18"/>
          <w:color w:val="auto"/>
        </w:rPr>
        <w:t>—On October 1, 2024, the Company acquired all outstanding equity interests of Next Door Lending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(NDL), a mortgage brokerage, for a preliminary purchase consideration of approximately $1 million in cash. The acquisition of NDL is intended to allow the Company to provide mortgage shoppers with more hands-on guidance. Given the recent timing of the closing of this acquisition, the Company is in the process of evaluating the purchase price allocation for this acquisition.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the purchase agreement, certain employees of NDL could earn up to an aggregate of $3.5 million of performance-based cash earnout awards, with the value of such earnout awards to be recognized as compensation expense following the close of the acquisition through 2028, generally subject to the employees’ continued employment with the Company. The value of these cash earnout awards are excluded from the purchase consideration and accounted for separately from the business combination.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Repurchase Program</w:t>
      </w:r>
      <w:r>
        <w:rPr>
          <w:rFonts w:ascii="Times New Roman" w:cs="Times New Roman" w:eastAsia="Times New Roman" w:hAnsi="Times New Roman"/>
          <w:sz w:val="18"/>
          <w:szCs w:val="18"/>
          <w:color w:val="auto"/>
        </w:rPr>
        <w:t>—Following the Company’s utilization of the share repurchase authorization announced by the Company on September 9,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announced on October 29, 2024 that its Board of Directors approved a new share repurchase authorization under which the Company may repurchase up to $25 million of the Company’s Class A common stock (the October 2024 Repurchase Plan). Under the October 2024 Repurchase Plan, shares of Class A common stock may be repurchased from time to time in the open market, through privately negotiated transactions or otherwise, in accordance with applicable securities laws and other restrictions. The October 2024 Repurchase Plan does not have a fixed expiration date and does not obligate the Company to acquire any specific dollar amount or number of shares. The amount and timing of repurchases under the October 2024 Repurchase Plan will be determined at management’s discretion and depend on a variety of factors, including business, economic and market conditions, regulatory requirements, prevailing stock prices and other considerations.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30, 2024, we committed to a restructuring plan, effective August 1, 2024, intended to reduce our operating expenses and better position us to execute our long-term strategic initiatives (the Restructuring Plan). The Restructuring Plan was substantially completed during the three months ended September 30, 2024 and reduced the size of our workforce by approximately 15% of our full-time employees, as compared to our headcount as of December 31, 2023. We incurred a pre-tax restructuring charge of $7.8 million for the three and nine months ended September 30, 2024 in connection with the Restructuring Plan, which primarily consisted of severance payments, employee benefits and related expenses for impacted employees, and is presented in our condensed consolidated statement of operations as $5.6 million of research and development expenses, $1.2 million of sales and marketing expenses and $1.0 million of general and administrative expenses. We expect to realize approximately $30 million of annualized cost savings as a result of the Restructuring Plan.</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charges that we have incurred and the savings we expect to realize are subject to several assumptions, including, but not limited to, compliance with legal requirements in various jurisdictions, the impact of the workforce reduction on our business results of operations, and future investment opportunities. Actual results may differ materially from the estimates disclosed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and non-GAAP financial measures we use to evaluate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22 million and 25 million average MUUs for the three and nine months ended September 30, 2024, which was down 7% and up 9% compared to the three and nine months ended September 30, 2023, respectively. We saw broad pressure from organic traffic declines partially offset by strong engagement in areas such as investing and insurance for the three months ended September 30, 2024, and saw strong engagement in areas such as investing, travel products and insurance for the nine months ended September 30, 2024. While we expect MUUs to grow over time, the metric may fluctuate from period to period based on economic conditions, trends in consumer behavior and our strategic marketing decisions.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(5) acquisition-related costs, and (6) restructuring charges.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and provision (benefit) for income taxes, and further exclude (1) impairment of right-of-use asset, (2) losses (gains) on disposals of assets, (3) change in fair value of contingent consideration related to earnouts, (4) deferred compensation related to earnouts, (5) stock-based compensation, (6) acquisition-related costs, and (7) restructuring charges.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restructuring charges primarily consisting of severance payments, employee benefits, and related expenses for impacted employees associated with our Restructuring Plan;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465.7</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as follows:</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60" w:type="dxa"/>
            <w:vAlign w:val="bottom"/>
            <w:gridSpan w:val="4"/>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380" w:type="dxa"/>
            <w:vAlign w:val="bottom"/>
          </w:tcPr>
          <w:p>
            <w:pPr>
              <w:spacing w:after="0"/>
              <w:rPr>
                <w:sz w:val="14"/>
                <w:szCs w:val="1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r>
      <w:tr>
        <w:trPr>
          <w:trHeight w:val="187"/>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6"/>
                <w:szCs w:val="16"/>
                <w:color w:val="auto"/>
              </w:rPr>
            </w:pPr>
          </w:p>
        </w:tc>
      </w:tr>
      <w:tr>
        <w:trPr>
          <w:trHeight w:val="30"/>
        </w:trPr>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82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7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29"/>
        </w:trPr>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30"/>
        </w:trPr>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7"/>
        </w:trPr>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82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7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37"/>
        </w:trPr>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-333375</wp:posOffset>
            </wp:positionV>
            <wp:extent cx="667766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77660" cy="14541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-633730</wp:posOffset>
            </wp:positionV>
            <wp:extent cx="667766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3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740" w:type="dxa"/>
            <w:vAlign w:val="bottom"/>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6520" w:type="dxa"/>
            <w:vAlign w:val="bottom"/>
            <w:gridSpan w:val="3"/>
          </w:tcPr>
          <w:p>
            <w:pPr>
              <w:ind w:left="6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1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from operations increased $2.6 million, or 64%, for the three months ended September 30, 2024 compared to the three months ended September 30, 2023, as a $38.5 million increase in revenue was partially offset by a $35.9 million increase in operating expenses, primarily attributable to increases of $27.5 million in sales and marketing expenses and $4.4 million in cost of revenue. We had income from operations of $0.7 million for the nine months ended September 30, 2024, as compared to a loss from operations of $1.0 million for the nine months ended September 30, 2023, reflecting a $38.1 million increase in revenue partially offset by a $36.4 million increase in operating expenses, primarily attributable to increases of $21.0 million in sales and marketing expenses, $6.6 million in cost of revenue, and $6.2 million in research and development expenses.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had net income of $0.1 million for the three months ended September 30, 2024, as compared to a net loss of $0.5 million for the three months ended September 30, 2023, while net loss decreased $1.3 million, or 14%, for the nine months ended September 30, 2024 compared to the nine months ended September 30, 2023, with the changes primarily attributable to the $2.6 million increase in income from operations for the three months ended September 30, 2024 and the impact of income from operations of $0.7 million for the nine months ended September 30, 2024 as compared to a loss from operations of $1.0 million for the nine months ended September 30, 2023, and increases in interest income of $0.4 million and $1.5 million, respectively, partially offset by increases in income tax provision of $2.5 million and $2.0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$38.5 million, or 25%, and $38.1 million, or 8%, for the three and nine months ended September 30, 2024 compared to the three and nine months ended September 30, 2023, respectively, reflecting growth in emerging verticals and SMB products revenue, partially offset by lower credit cards and loans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cards revenue consists of revenue from consumer credit cards. Credit cards revenue decreased $8.7 million, or 16%, and $25.1 million, or 15%, for the three and nine months ended September 30, 2024, respectively, primarily due to pressures in organic search traffic and reduced marketing spending by our financial services partners amidst a cautious underwriting environment.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revenue includes revenue from personal loans, mortgages, student loans and auto loans. Loans revenue decreased $9.1 million, or 28%, and $11.1 million, or 14%, for the three and nine months ended September 30, 2024, respectively, primarily due to decreases of 49% and 26% in personal loans revenue as we continue to work through a high interest rate environment.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SMB products revenue includes revenue from loans, credit cards and other financial products and services intended for small and mid-sized businesses. SMB products revenue increased $3.1 million, or 12%, and $10.7 million, or 14%, for the three and nine months ended September 30, 2024, respectively, primarily driven by revenue growth in products such as business credit cards, banking and loan renewals, as we continue to scale our product offerings, partially offset by decreases in business loan originations.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Emerging verticals revenue includes revenue from other product sources, including banking, insurance, investing and international. Emerging verticals revenue increased $53.2 million, or 129%, and $63.6 million, or 43%, for the three and nine months ended September 30, 2024, respectively, primarily driven by strong increases of 916% and 222% in insurance products revenue as carriers expanded budgets, partially offset by decreases of 26% and 20% in banking revenue as consumer demand for banking products continued to moderate.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$4.4 million, or 33%, and $6.6 million, or 17%, for the three and nine months ended September 30, 2024 compared to the three and nine months ended September 30, 2023, respectively, primarily due to increases of $1.7 million and $4.4 million in amortization expense related to capitalized software development costs and $3.0 million and $3.3 million primarily related to third-party service charges, partially offset by decreases of $0.5 million and $1.5 million in amortization expense related to intangible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$2.3 million, or 11%, and $6.2 million, or 10%, for the three and nine months ended September 30, 2024 compared to the three and nine months ended September 30, 2023, respectively, primarily attributable to a $5.6 million restructuring charge as well as increases of $0.7 million and $1.3 million in software and technology costs related to our platform, respectively. These increases for the three months ended September 30, 2024 were partially offset by a $3.3 million decrease in personnel-related costs for our engineering, data, and product management personnel and contractors to support our continued growth and key platform capabilities.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our total sales and marketing expense was comprised of approximately 9% and 17% for brand marketing, respectively, and 72% and 60% for performance marketing, respectively, with the remainder for organic and other marketing expenses. For the three and nine months ended September 30, 2023, our total sales and marketing expense was comprised of approximately 19% and 24% for brand marketing, respectively, and 53% and 49% for performance marketing, respectively, with the remainder for organic and other marketing expenses. We are able to adjust our marketing spend to reflect changes in external factors and consumer behavior.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$27.5 million, or 27%, and $21.0 million, or 7%, for the three and nine months ended September 30, 2024 compared to the three and nine months ended September 30, 2023, respectively, as increases of $38.4 million and $47.3 million in performance marketing expenses were partially offset by decreases of $7.5 million and $20.8 million in brand marketing expenses, and $3.4 million and $5.5 million in organic and other marketing expenses primarily due to lower personnel-related costs partially offset by a $1.2 million restructuring charge.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$1.7 million, or 13%, and $2.6 million, or 6%, for the three and nine months ended September 30, 2024, as compared to the three and nine months ended September 30, 2023, respectively. The changes were primarily attributable to a $1.0 million restructuring charge as well as higher personnel-related costs mainly related to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7"/>
              </w:rPr>
              <w:t>2.7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8"/>
              </w:rPr>
              <w:t>(0.6)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38"/>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6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color w:val="auto"/>
                <w:w w:val="97"/>
              </w:rPr>
              <w:t>3.6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7"/>
              </w:rPr>
              <w:t>2.0</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$0.5 million or 86%, and $1.6 million, or 83%, for the three and nine months ended September 30, 2024 compared to the three and nine months ended September 30, 2023, respectively, primarily attributable to higher interest income reflecting higher interest rates and, for the nine months ended September 30, 2024, higher average cash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Beginning with the three months ended June 30, 2023, our tax provision for interim periods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Our tax provision for interim periods was previously determined using an estimated annual effective tax rate which was adjusted for discrete items occurring during the periods presented. We determined that since small changes in estimated “ordinary” income would result in significant changes in the estimated annual effective tax rate, the historical method would not provide a reliable estimate for the three months ended September 30, 2024.</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income tax provisions of $7.7 million and $12.5 million for the three and nine months ended September 30, 2024, respectively, and $5.2 million and $10.5 million for the three and nine months ended September 30, 2023, respectively. Our effective tax rate was 99.2% and 290.7% for the three and nine months ended September 30, 2024, and 110.9% and 1,080.6% for the three and nine months ended September 30, 2023. Our effective tax rate for the three and nine months ended September 30, 2024 differs from the U.S. federal statutory income tax rate of 21% primarily due to the valuation allowance maintained against our net U.S. deferred tax assets and state taxes, partially offset by research and development credits. Our effective tax rate for the three and nine months ended September 30, 2023 differs from the U.S. federal statutory income tax rate of 21% primarily due to capitalization of research and development expenses under tax regulations effective in 2022, a full valuation allowance recorded against our net U.S. deferred tax assets, and excess tax benefits related to stock-based compensation.</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September 30, 2024. Our judgment regarding the likelihood of realization of these deferred tax assets could change in future periods, which could result in a material impact to our income tax provision in the period of change. Given our current earnings projections, sufficient positive evidence may become available for us to release all, or a portion, of the valuation allowance within the next twelve months. However, the timing and amounts of such valuation allowance releases are subject to change based on the level of profitability achieved in future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income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68.3</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6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income (loss) from operations and net income (loss) for the three and nine months ended September 30, 2024 compared to the three and nine months ended September 30, 2023.</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Non-GAAP operating income increased $13.4 million, or 138%, and $17.0 million, or 120%, for the three and nine months ended September 30, 2024, as compared to the three and nine months ended September 30, 2023, primarily due to a $2.6 million increase in income from operations for the three months ended September 30, 2024, and the impact of income from operations of $0.7 million for the nine months ended September 30, 2024 as compared to a loss from operations of $1.0 million for the nine months ended September 30, 2023, along with $7.8 million of restructuring charges for the three and nine months ended September 30, 2024, and decreases of $2.1 million and $6.6 million in capitalized internally developed software costs.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EBITDA increased $10.6 million, or 39%, and $8.8 million, or 13%, for the three and nine months ended September 30, 2024 compared to the three and nine months ended September 30, 2023, respectively. The increases were primarily attributable to increases in adjustments to reconcile adjusted EBITDA to net income (loss), including $7.8 million of restructuring charges for the three and nine months ended September 30, 2024 and increases of $2.5 million and $2.0 million in income tax provision. These increases also include net income of $0.1 million for the three months ended September 30, 2024, as compared to a net loss of $0.5 million for the three months ended September 30, 2023, and a $1.3 million decrease in net loss for the nine months ended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September 30, 2024)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9" w:lineRule="exact"/>
        <w:rPr>
          <w:sz w:val="20"/>
          <w:szCs w:val="20"/>
          <w:color w:val="auto"/>
        </w:rPr>
      </w:pPr>
    </w:p>
    <w:p>
      <w:pPr>
        <w:ind w:right="1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we had cash and cash equivalents of $71.7 million and $100.4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September 30, 2024 is included in Note 5–Commitments and Contingencies in the notes to our condensed consolidated financial statements.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As of September 30, 2024, amounts to be spent under non-cancellable purchase obligations were $3.2 million in the remainder of 2024, and approximately $17 million in 2025 and $9 million in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announced on May 2, 2023 that our Board of Directors authorized a plan under which we may repurchase up to $20 million of our Class A common stock and, following our utilization of such share repurchase authorization, we announced on October 26, 2023 and September 9, 2024 that our Board of Directors approved additional share repurchase authorizations under which we may repurchase up to an additional $30 million and $50 million, respectively,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Programs are retired. We expect to fund repurchases with existing cash and cash equivalents. We repurchased 5.8 million shares of Class A common stock for $72.2 million, including costs associated with the repurchases, during the nine months ended September 30, 2024.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On October 1, 2024, we entered into an amendment to the Credit Agreement which, among other things, permits us to acquire an unrestricted subsidiary and/or to invest up to an aggregate of $15 million in unrestricted subsidiaries in any fiscal year, subject to standard provisions and limitations for unrestricted subsidiaries. The Credit Facility matures on September 26, 2028. We had no outstanding balance on our Credit Agreement as of September 30, 2024 or December 31, 2023. The available amount to borrow under our Credit Agreement was $123.7 million at both September 30, 2024 and December 31, 2023, which was equal to the available amount under the credit agreement of $125.0 million, net of letters of credit of $1.3 million. Our Credit Agreement contains certain customary financial and non-financial covenants. We were in compliance with all covenants as of September 30, 2024 and December 31, 2023.</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$19.4 million in the nine months ended September 30, 2024 compared to the nine months ended September 30, 2023, as decreases of $18.3 million in net cash outflow from changes in operating assets and liabilities and $1.3 million in net loss was partially offset by a $0.2 million decrease in non-cash charges. The decrease in net cash outflow from changes in operating assets and liabilities was primarily due to a $14.0 million payment in the nine months ended September 30, 2023 for contingent consideration in excess of the amounts recorded at the acquisition date, and decreases of $22.7 million in accrued expenses and other current liabilities and $9.7 million in prepaid expenses and other assets, partially offset by a $28.9 million decrease in accounts receivable. The decrease in non-cash charges was primarily due to decreases of $0.9 million in other, net and $0.4 million in non-cash lease costs, partially offset by a $1.0 million increase in depreciation and amortization.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$4.3 million in the nine months ended September 30, 2024 compared to the nine months ended September 30, 2023, primarily due to an $8.1 million purchase of an investment in the nine months ended September 30, 2024, partially offset by a $3.7 million decrease in capitalized software development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$46.5 million in the nine months ended September 30, 2024 compared to the nine months ended September 30, 2023, primarily due to a $57.7 million increase in repurchases of Class A common stock and a $3.9 million decrease from exercises of stock options, partially offset by a $16.9 million payment in the nine months ended September 30, 2023 for contingent consideration recorded at the acquisition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from the market risk disclosures in our Annual Report on Form 10-K for the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September 30, 2024. Based on that evaluation, the Chief Executive Officer and the Chief Financial Officer concluded that these disclosure controls and procedures were effective as of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2023 and in our subsequent periodic filings with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 activity for the three months ended September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6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3"/>
                <w:szCs w:val="23"/>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jc w:val="both"/>
        <w:ind w:left="340" w:hanging="332"/>
        <w:spacing w:after="0" w:line="258" w:lineRule="auto"/>
        <w:tabs>
          <w:tab w:leader="none" w:pos="33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under which we may repurchase up to $20 million of our Class A common stock and, following our utilization of such share repurchase authorization, we announced on October 26, 2023, September 9, 2024, and October 29, 2024 that our Board of Directors approved additional share repurchase authorizations under which we may repurchase up to an additional $30 million, $50 million, and $25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3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 of the Exchange Act) adopted, modified or terminated a Rule 10b5-1 trading arrangement or a non-Rule 10b5-1 trading arrangement (as such terms are defined under Item 408 of Regulation S-K), except as noted below.</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September 11, 2024, The Yount Family Revocable Trust, of which Sam Yount, Chief Business Officer, is trustee, modified a Rule 10b5-1 trading plan originally adopted on February 20, 2024. The plan, as modified, provides for the potential sale of up to 931,097 shares of Class A common stock and is set to expire on December 12, 2025.</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Bearman LLC, of which Sam Yount, Chief Business Officer, is the sole member, adopted a Rule 10b5-1 trading plan providing for the potential sale of up to 603,154 shares of Class A common stock, set to expire on December 12, 2025.</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The SMB Charitable Remainder Trust, of which Sam Yount, Chief Business Officer, is trustee, adopted a Rule 10b5-1 trading plan providing for the potential sale of up to 137,080 shares of Class A common stock, set to expire on December 12, 2025.</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The Margaret Yount Charitable Remainder Trust, of which Sam Yount, Chief Business Officer, is trustee, providing for the potential sale of up to 137,080 shares of Class A common stock, set to expire on December 12, 2025.</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2024, Lauren StClair, Chief Financial Officer, adopted a Rule 10b5-1 trading plan providing for the potential sale of up to 72,836 shares of Class A common stock, set to expire on October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Financial Officer and Appointment of Interim Chief Financial Officer</w:t>
      </w:r>
    </w:p>
    <w:p>
      <w:pPr>
        <w:spacing w:after="0" w:line="16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October 25, 2024, Lauren StClair, the Company’s Chief Financial Officer, notified the Company of her decision to resign, effective March 7, 2025, to pursue other opportunities. Ms. StClair’s resignation was not due to any disagreement with the Company on any matters relating to its operations, policies, or practices. The Company has commenced a search for a successor to Ms. StClair as Chief Financial Officer.</w:t>
      </w:r>
    </w:p>
    <w:p>
      <w:pPr>
        <w:spacing w:after="0" w:line="10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Upon the effectiveness of Ms. StClair’s resignation as our Chief Financial Officer, the Company’s board of directors expects to appoint Nicholas Tatum to serve as Chief Financial Officer on an interim basis, unless Ms. StClair's successor is appointed before March 7, 2025. Mr. Tatum, age 40, is currently the Company’s Vice President, Corporate Controller, a role he has held since August 2022. While acting as interim Chief Financial Officer, Mr. Tatum will serve as the Company’s principal financial officer and principal accounting officer. From January 2015 to August 2022, Mr. Tatum served in various roles at Under Armour, Inc., including most recently the Senior Director, Corporate and Global Accounting. From September 2013 to January 2015, Mr. Tatum served as Director, Financial Reporting at Millennial Media. Prior to that, Mr. Tatum held various roles with PricewaterhouseCoopers. Mr. Tatum holds a Bachelor of Science degree from the University of Maryland.</w:t>
      </w:r>
    </w:p>
    <w:p>
      <w:pPr>
        <w:spacing w:after="0" w:line="13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There are no arrangements between Mr. Tatum and any other persons pursuant to which he will be appointed to serve as our interim Chief Financial Officer. There are no family relationships between Mr. Tatum and any director or executive officer of the Company, and he has no direct or indirect material interest in any transaction required to be disclosed pursuant to Item 404(a) of Regulation S-K.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00" w:type="dxa"/>
            <w:vAlign w:val="bottom"/>
            <w:gridSpan w:val="10"/>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Limited Consent and Second Amendment to Credit Agreement dated October 1,</w:t>
            </w: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2024, by and among NerdWallet, Inc. and JPMorgan Chase Bank, N.A., as</w:t>
            </w:r>
          </w:p>
        </w:tc>
        <w:tc>
          <w:tcPr>
            <w:tcW w:w="4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Administrative Agent.</w:t>
            </w:r>
          </w:p>
        </w:tc>
        <w:tc>
          <w:tcPr>
            <w:tcW w:w="40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4"/>
          </w:tcPr>
          <w:p>
            <w:pPr>
              <w:spacing w:after="0"/>
              <w:rPr>
                <w:sz w:val="17"/>
                <w:szCs w:val="17"/>
                <w:color w:val="auto"/>
              </w:rPr>
            </w:pPr>
          </w:p>
        </w:tc>
        <w:tc>
          <w:tcPr>
            <w:tcW w:w="420" w:type="dxa"/>
            <w:vAlign w:val="bottom"/>
            <w:gridSpan w:val="7"/>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4"/>
          </w:tcPr>
          <w:p>
            <w:pPr>
              <w:spacing w:after="0"/>
              <w:rPr>
                <w:sz w:val="17"/>
                <w:szCs w:val="17"/>
                <w:color w:val="auto"/>
              </w:rPr>
            </w:pPr>
          </w:p>
        </w:tc>
        <w:tc>
          <w:tcPr>
            <w:tcW w:w="420" w:type="dxa"/>
            <w:vAlign w:val="bottom"/>
            <w:gridSpan w:val="7"/>
          </w:tcPr>
          <w:p>
            <w:pPr>
              <w:spacing w:after="0"/>
              <w:rPr>
                <w:sz w:val="17"/>
                <w:szCs w:val="17"/>
                <w:color w:val="auto"/>
              </w:rPr>
            </w:pPr>
          </w:p>
        </w:tc>
        <w:tc>
          <w:tcPr>
            <w:tcW w:w="4080" w:type="dxa"/>
            <w:vAlign w:val="bottom"/>
          </w:tcPr>
          <w:p>
            <w:pPr>
              <w:spacing w:after="0"/>
              <w:rPr>
                <w:sz w:val="17"/>
                <w:szCs w:val="17"/>
                <w:color w:val="auto"/>
              </w:rPr>
            </w:pPr>
          </w:p>
        </w:tc>
      </w:tr>
      <w:tr>
        <w:trPr>
          <w:trHeight w:val="23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7"/>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6"/>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340" w:hanging="332"/>
        <w:spacing w:after="0" w:line="271" w:lineRule="auto"/>
        <w:tabs>
          <w:tab w:leader="none" w:pos="2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2" w:lineRule="exact"/>
        <w:rPr>
          <w:sz w:val="20"/>
          <w:szCs w:val="20"/>
          <w:color w:val="auto"/>
        </w:rPr>
      </w:pPr>
    </w:p>
    <w:p>
      <w:pPr>
        <w:jc w:val="both"/>
        <w:ind w:left="340" w:hanging="332"/>
        <w:spacing w:after="0" w:line="281" w:lineRule="auto"/>
        <w:tabs>
          <w:tab w:leader="none" w:pos="35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98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52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59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Lauren StClair</w:t>
            </w: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Lauren StClair</w:t>
            </w:r>
          </w:p>
        </w:tc>
      </w:tr>
      <w:tr>
        <w:trPr>
          <w:trHeight w:val="270"/>
        </w:trPr>
        <w:tc>
          <w:tcPr>
            <w:tcW w:w="3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CONSENT AND SECOND AMENDMENT TO CREDIT AGREEMENT</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THIS LIMITED CONSENT AND SECOND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October 1, 2024 by and among NerdWallet,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September 26, 2023 by and among the Borrower, the subsidiaries of the Borrower from time to time party thereto as Subsidiary Guarantors, the Lenders from time to time party thereto and the Administrative Agent (as amended by the First Amendment to Credit Agreement, dated as of November 1, 2023, and as further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Amended Credit Agreement (as defined below).</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the Borrower, pursuant to that certain Unit Purchase Agreement, dated as of July 16, 2024 (as amended, restated, supplemented or otherwise modified prior to the date hereof, the “</w:t>
      </w:r>
      <w:r>
        <w:rPr>
          <w:rFonts w:ascii="Times New Roman" w:cs="Times New Roman" w:eastAsia="Times New Roman" w:hAnsi="Times New Roman"/>
          <w:sz w:val="20"/>
          <w:szCs w:val="20"/>
          <w:u w:val="single" w:color="auto"/>
          <w:color w:val="auto"/>
        </w:rPr>
        <w:t>Next Door Purchase Agreement</w:t>
      </w:r>
      <w:r>
        <w:rPr>
          <w:rFonts w:ascii="Times New Roman" w:cs="Times New Roman" w:eastAsia="Times New Roman" w:hAnsi="Times New Roman"/>
          <w:sz w:val="20"/>
          <w:szCs w:val="20"/>
          <w:color w:val="auto"/>
        </w:rPr>
        <w:t>”), by and among the Borrower, as buyer, NDL Holdings, LLC, a Michigan limited liability company, Douglas Liska, individually as a resident of the State of Michigan and as trustee of the Trust (defined below), the Liska Family Revocable Living Trust dated May 4, 2011, as amended (the “</w:t>
      </w:r>
      <w:r>
        <w:rPr>
          <w:rFonts w:ascii="Times New Roman" w:cs="Times New Roman" w:eastAsia="Times New Roman" w:hAnsi="Times New Roman"/>
          <w:sz w:val="20"/>
          <w:szCs w:val="20"/>
          <w:u w:val="single" w:color="auto"/>
          <w:color w:val="auto"/>
        </w:rPr>
        <w:t>Trust</w:t>
      </w:r>
      <w:r>
        <w:rPr>
          <w:rFonts w:ascii="Times New Roman" w:cs="Times New Roman" w:eastAsia="Times New Roman" w:hAnsi="Times New Roman"/>
          <w:sz w:val="20"/>
          <w:szCs w:val="20"/>
          <w:color w:val="auto"/>
        </w:rPr>
        <w:t>”), Jonathon Haddad, an individual residing in the State of Michigan, and Next Door Lending LLC, a Michigan limited liability company (“</w:t>
      </w:r>
      <w:r>
        <w:rPr>
          <w:rFonts w:ascii="Times New Roman" w:cs="Times New Roman" w:eastAsia="Times New Roman" w:hAnsi="Times New Roman"/>
          <w:sz w:val="20"/>
          <w:szCs w:val="20"/>
          <w:u w:val="single" w:color="auto"/>
          <w:color w:val="auto"/>
        </w:rPr>
        <w:t>Next Door</w:t>
      </w:r>
      <w:r>
        <w:rPr>
          <w:rFonts w:ascii="Times New Roman" w:cs="Times New Roman" w:eastAsia="Times New Roman" w:hAnsi="Times New Roman"/>
          <w:sz w:val="20"/>
          <w:szCs w:val="20"/>
          <w:color w:val="auto"/>
        </w:rPr>
        <w:t>”), intends to purchase, acquire, accept and assume all of the LLC interests in Next Door (the “</w:t>
      </w:r>
      <w:r>
        <w:rPr>
          <w:rFonts w:ascii="Times New Roman" w:cs="Times New Roman" w:eastAsia="Times New Roman" w:hAnsi="Times New Roman"/>
          <w:sz w:val="20"/>
          <w:szCs w:val="20"/>
          <w:u w:val="single" w:color="auto"/>
          <w:color w:val="auto"/>
        </w:rPr>
        <w:t>Next Door Acquisition</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the Borrower has requested that Administrative Agent and each of the Lenders (i) consent to the Next Door Acquisition and (ii) make certain amendments to the Existing Credit Agreement pursuant to Section 9.02 thereof, and the Administrative Agent and the Lenders party hereto, which constitute the Required Lenders, have agreed to do so, subject to the terms and conditions set forth herein;</w:t>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Borrower and the Administrative Agent hereby agree to enter into this Amendment.</w:t>
      </w:r>
    </w:p>
    <w:p>
      <w:pPr>
        <w:spacing w:after="0" w:line="181" w:lineRule="exact"/>
        <w:rPr>
          <w:sz w:val="20"/>
          <w:szCs w:val="20"/>
          <w:color w:val="auto"/>
        </w:rPr>
      </w:pPr>
    </w:p>
    <w:p>
      <w:pPr>
        <w:jc w:val="both"/>
        <w:ind w:firstLine="1304"/>
        <w:spacing w:after="0" w:line="271" w:lineRule="auto"/>
        <w:tabs>
          <w:tab w:leader="none" w:pos="175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Existing Credit Agreement</w:t>
      </w:r>
      <w:r>
        <w:rPr>
          <w:rFonts w:ascii="Times New Roman" w:cs="Times New Roman" w:eastAsia="Times New Roman" w:hAnsi="Times New Roman"/>
          <w:sz w:val="19"/>
          <w:szCs w:val="19"/>
          <w:color w:val="auto"/>
        </w:rPr>
        <w:t xml:space="preserve">. Effective as of the Second Amendment Effective Date (as defined below), the Existing Credit Agreement is hereby amended to delete the stricken text (indicated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000000"/>
        </w:rPr>
        <w:t>) and to add the double-underlined text (indicated in the same manner as the following example: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1F497D"/>
        </w:rPr>
        <w:t>double-underlined text</w:t>
      </w:r>
      <w:r>
        <w:rPr>
          <w:rFonts w:ascii="Times New Roman" w:cs="Times New Roman" w:eastAsia="Times New Roman" w:hAnsi="Times New Roman"/>
          <w:sz w:val="19"/>
          <w:szCs w:val="19"/>
          <w:color w:val="000000"/>
        </w:rPr>
        <w:t>) as set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Any Schedule, Exhibit or other attachment to the Existing Credit Agreement or any other Loan Document not amended pursuant to the terms of this Amendment shall remain in effect without any amendment or other modification thereto.</w:t>
      </w:r>
    </w:p>
    <w:p>
      <w:pPr>
        <w:spacing w:after="0" w:line="181" w:lineRule="exact"/>
        <w:rPr>
          <w:sz w:val="20"/>
          <w:szCs w:val="20"/>
          <w:color w:val="auto"/>
        </w:rPr>
      </w:pPr>
    </w:p>
    <w:p>
      <w:pPr>
        <w:ind w:left="1660" w:hanging="356"/>
        <w:spacing w:after="0"/>
        <w:tabs>
          <w:tab w:leader="none" w:pos="1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Consent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61" w:lineRule="auto"/>
        <w:tabs>
          <w:tab w:leader="none" w:pos="175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and notwithstanding anything contained in any Loan Document, including, without limitation, Section 6.04 of the Credit Agreement, the Administrative Agent and the Lenders party hereto, constituting the Required Lenders, hereby consent to the Next Door Acquisition and the Borrower’s continuing ownership of the Equity Interests of Next Door.</w:t>
      </w:r>
    </w:p>
    <w:p>
      <w:pPr>
        <w:sectPr>
          <w:pgSz w:w="11900" w:h="16838" w:orient="portrait"/>
          <w:cols w:equalWidth="0" w:num="1">
            <w:col w:w="11240"/>
          </w:cols>
          <w:pgMar w:left="320" w:top="94" w:right="339" w:bottom="1440" w:gutter="0" w:footer="0" w:header="0"/>
        </w:sectPr>
      </w:pPr>
    </w:p>
    <w:bookmarkStart w:id="33" w:name="page34"/>
    <w:bookmarkEnd w:id="33"/>
    <w:p>
      <w:pPr>
        <w:jc w:val="both"/>
        <w:ind w:firstLine="1304"/>
        <w:spacing w:after="0" w:line="258" w:lineRule="auto"/>
        <w:tabs>
          <w:tab w:leader="none" w:pos="172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the limited consent set forth in this Section shall be limited precisely as written and, except as expressly set forth in this Section, shall not be deemed to be a consent to or amendment, waiver or modification of any other term or condition of the Credit Agreement or any other Loan Document and shall not be a consent to any other Acquisition or to any further Investments in or transactions with Next Door.</w:t>
      </w:r>
    </w:p>
    <w:p>
      <w:pPr>
        <w:spacing w:after="0" w:line="172" w:lineRule="exact"/>
        <w:rPr>
          <w:sz w:val="20"/>
          <w:szCs w:val="20"/>
          <w:color w:val="auto"/>
        </w:rPr>
      </w:pPr>
    </w:p>
    <w:p>
      <w:pPr>
        <w:ind w:firstLine="1304"/>
        <w:spacing w:after="0" w:line="283" w:lineRule="auto"/>
        <w:tabs>
          <w:tab w:leader="none" w:pos="165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The effectiveness of this Amendment (the “</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is subject to the satisfaction of the following conditions precedent:</w:t>
      </w:r>
    </w:p>
    <w:p>
      <w:pPr>
        <w:spacing w:after="0" w:line="160" w:lineRule="exact"/>
        <w:rPr>
          <w:sz w:val="20"/>
          <w:szCs w:val="20"/>
          <w:color w:val="auto"/>
        </w:rPr>
      </w:pPr>
    </w:p>
    <w:p>
      <w:pPr>
        <w:jc w:val="both"/>
        <w:ind w:firstLine="1304"/>
        <w:spacing w:after="0" w:line="254" w:lineRule="auto"/>
        <w:tabs>
          <w:tab w:leader="none" w:pos="172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(or its counsel’s) shall have received executed counterparts of this Amendment signed by or on behalf of the Borrower, the Administrative Agent and Lenders constituting Required Lenders (which, subject to Section 9.06(b) of the Amended Credit Agreement, may include any Electronic Signatures transmitted by telecopy, emailed pdf. or any other electronic means that reproduces an image of an actual executed signature page);</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8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true and complete copy of the fully executed Next Door Purchase Agreement, together with all schedules, exhibits and other attachments thereto; and</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73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other documents and taken such other actions as the Administrative Agent or its counsel may have reasonably requested.</w:t>
      </w:r>
    </w:p>
    <w:p>
      <w:pPr>
        <w:spacing w:after="0" w:line="146" w:lineRule="exact"/>
        <w:rPr>
          <w:sz w:val="20"/>
          <w:szCs w:val="20"/>
          <w:color w:val="auto"/>
        </w:rPr>
      </w:pPr>
    </w:p>
    <w:p>
      <w:pPr>
        <w:ind w:left="1680" w:hanging="376"/>
        <w:spacing w:after="0"/>
        <w:tabs>
          <w:tab w:leader="none" w:pos="16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Borrower</w:t>
      </w:r>
      <w:r>
        <w:rPr>
          <w:rFonts w:ascii="Times New Roman" w:cs="Times New Roman" w:eastAsia="Times New Roman" w:hAnsi="Times New Roman"/>
          <w:sz w:val="20"/>
          <w:szCs w:val="20"/>
          <w:color w:val="auto"/>
        </w:rPr>
        <w:t>. The Borrower hereby represents and warrants as of the date hereof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14" w:lineRule="exact"/>
        <w:rPr>
          <w:sz w:val="20"/>
          <w:szCs w:val="20"/>
          <w:color w:val="auto"/>
        </w:rPr>
      </w:pPr>
    </w:p>
    <w:p>
      <w:pPr>
        <w:jc w:val="both"/>
        <w:ind w:firstLine="1304"/>
        <w:spacing w:after="0" w:line="261" w:lineRule="auto"/>
        <w:tabs>
          <w:tab w:leader="none" w:pos="175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the Amended Credit Agreement constitute legal, valid and binding obligations of the Borrower, enforceable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7"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terms of this Amendment, (i) no Default or Event of Default has occurred and is continuing or would result therefrom and (ii) the representations and warranties of the Loan Parties set forth in the Amended Credit Agreement and the other Loan Documents are true and correct in all material respects with the same effect as though made on and as of the date hereof (it being understood and agreed that any representation or warranty which by its terms is made as of a specified date is true and correct in all material respects only as of such specified date).</w:t>
      </w:r>
    </w:p>
    <w:p>
      <w:pPr>
        <w:spacing w:after="0" w:line="173" w:lineRule="exact"/>
        <w:rPr>
          <w:sz w:val="20"/>
          <w:szCs w:val="20"/>
          <w:color w:val="auto"/>
        </w:rPr>
      </w:pPr>
    </w:p>
    <w:p>
      <w:pPr>
        <w:ind w:left="1660" w:hanging="356"/>
        <w:spacing w:after="0"/>
        <w:tabs>
          <w:tab w:leader="none" w:pos="1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Existing Credit 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304"/>
        <w:spacing w:after="0" w:line="269" w:lineRule="auto"/>
        <w:tabs>
          <w:tab w:leader="none" w:pos="17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hereof, each reference to the Existing Credit Agreement in the Existing Credit Agreement or any other Loan Document shall mean and be a reference to the Amended Credit Agreement.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4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 agrees that this Amendment and the transactions contemplated hereby shall not limit or diminish its obligations arising under or pursuant to the Loan Documents to which it is a party, (ii) reaffirms all of its obligations under the Existing Credit Agreement and the other Loan Documents to which it is a party and (iii) acknowledges and agrees that the Existing Credit Agreement and each other Loan Document executed by it remains in full force and effect and is hereby reaffirmed, ratified and confirmed.</w:t>
      </w:r>
    </w:p>
    <w:p>
      <w:pPr>
        <w:sectPr>
          <w:pgSz w:w="11900" w:h="16838" w:orient="portrait"/>
          <w:cols w:equalWidth="0" w:num="1">
            <w:col w:w="11240"/>
          </w:cols>
          <w:pgMar w:left="320" w:top="1413" w:right="339" w:bottom="1440" w:gutter="0" w:footer="0" w:header="0"/>
        </w:sectPr>
      </w:pPr>
    </w:p>
    <w:bookmarkStart w:id="34" w:name="page35"/>
    <w:bookmarkEnd w:id="34"/>
    <w:p>
      <w:pPr>
        <w:jc w:val="both"/>
        <w:ind w:left="-1120" w:firstLine="1304"/>
        <w:spacing w:after="0" w:line="258" w:lineRule="auto"/>
        <w:tabs>
          <w:tab w:leader="none" w:pos="61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herein, the execution, delivery and effectiveness of this Amendment shall not operate as a waiver of any right, power or remedy of the Lenders or the Administrative Agent under the Existing Credit Agreement or any of the other Loan Documents, nor constitute a waiver of any provision of any of the Loan Documents or any other documents, instruments and agreements executed and/or delivered in connection therewith.</w:t>
      </w:r>
    </w:p>
    <w:p>
      <w:pPr>
        <w:spacing w:after="0" w:line="172" w:lineRule="exact"/>
        <w:rPr>
          <w:rFonts w:ascii="Times New Roman" w:cs="Times New Roman" w:eastAsia="Times New Roman" w:hAnsi="Times New Roman"/>
          <w:sz w:val="20"/>
          <w:szCs w:val="20"/>
          <w:color w:val="auto"/>
        </w:rPr>
      </w:pPr>
    </w:p>
    <w:p>
      <w:pPr>
        <w:ind w:left="600" w:hanging="416"/>
        <w:spacing w:after="0"/>
        <w:tabs>
          <w:tab w:leader="none" w:pos="6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w:t>
      </w:r>
    </w:p>
    <w:p>
      <w:pPr>
        <w:spacing w:after="0" w:line="229" w:lineRule="exact"/>
        <w:rPr>
          <w:sz w:val="20"/>
          <w:szCs w:val="20"/>
          <w:color w:val="auto"/>
        </w:rPr>
      </w:pPr>
    </w:p>
    <w:p>
      <w:pPr>
        <w:jc w:val="both"/>
        <w:ind w:left="-1120" w:firstLine="1304"/>
        <w:spacing w:after="0" w:line="261" w:lineRule="auto"/>
        <w:tabs>
          <w:tab w:leader="none" w:pos="56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Amendment shall be governed by and construed in accordance with and governed by the law of the State of New York. The parties hereto agree that provisions of Sections 9.09 and 9.10 of the Amended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120" w:firstLine="1304"/>
        <w:spacing w:after="0" w:line="269" w:lineRule="auto"/>
        <w:tabs>
          <w:tab w:leader="none" w:pos="61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w:t>
      </w:r>
    </w:p>
    <w:p>
      <w:pPr>
        <w:spacing w:after="0" w:line="172" w:lineRule="exact"/>
        <w:rPr>
          <w:rFonts w:ascii="Times New Roman" w:cs="Times New Roman" w:eastAsia="Times New Roman" w:hAnsi="Times New Roman"/>
          <w:sz w:val="20"/>
          <w:szCs w:val="20"/>
          <w:color w:val="auto"/>
        </w:rPr>
      </w:pPr>
    </w:p>
    <w:p>
      <w:pPr>
        <w:jc w:val="both"/>
        <w:ind w:left="-1120" w:firstLine="1304"/>
        <w:spacing w:after="0" w:line="250" w:lineRule="auto"/>
        <w:tabs>
          <w:tab w:leader="none" w:pos="6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193"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63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Neither the execution, delivery and acceptance of this Amendment nor any of the terms, covenants, conditions or other provisions set forth herein are intended, nor shall they be deemed or construed, to effect a novation of any liens or Obligations under the Existing Credit Agreement or to pay, extinguish, release, satisfy or discharge (a) the Obligations under the Existing Credit Agreement, (b) the liability of any Loan Party under the Existing Credit Agreement or the other Loan Documents executed and delivered in connection therewith or any Obligations or other obligations evidenced thereby, or (c) any mortgages, deeds of trust, liens, security interests or contractual or legal rights securing all or any part of such Obligations.</w:t>
      </w:r>
    </w:p>
    <w:p>
      <w:pPr>
        <w:spacing w:after="0" w:line="178" w:lineRule="exact"/>
        <w:rPr>
          <w:rFonts w:ascii="Times New Roman" w:cs="Times New Roman" w:eastAsia="Times New Roman" w:hAnsi="Times New Roman"/>
          <w:sz w:val="20"/>
          <w:szCs w:val="20"/>
          <w:color w:val="auto"/>
        </w:rPr>
      </w:pPr>
    </w:p>
    <w:p>
      <w:pPr>
        <w:jc w:val="both"/>
        <w:ind w:left="-1120" w:firstLine="1304"/>
        <w:spacing w:after="0" w:line="257" w:lineRule="auto"/>
        <w:tabs>
          <w:tab w:leader="none" w:pos="70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Except as expressly modified by this Amendment, all of the terms, provisions and conditions of the Existing Credit Agreement, as heretofore amended, shall remain unchanged and in full force and effect. Each Loan Party, as debtor, grantor, pledgor, guarantor, assignor, or in any other similar capacity in which such Person grants liens or security interests in its property or otherwise acts as accommodation party or guarantor, as the case may be, hereby (i) ratifies and reaffirms all of its payment and performance obligations, contingent or otherwise, under the Existing Credit</w:t>
      </w:r>
    </w:p>
    <w:p>
      <w:pPr>
        <w:sectPr>
          <w:pgSz w:w="11900" w:h="16838" w:orient="portrait"/>
          <w:cols w:equalWidth="0" w:num="1">
            <w:col w:w="10120"/>
          </w:cols>
          <w:pgMar w:left="1440" w:top="1413"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20"/>
          <w:szCs w:val="20"/>
          <w:color w:val="auto"/>
        </w:rPr>
        <w:t>Agreement and each other Loan Document to which it is a party (after giving effect hereto) and (ii) to the extent such Person granted liens on or security interests in any of its property pursuant to any Loan Documents as security for or otherwise guaranteed the Obligations under or with respect to the Loan Documents, ratifies and reaffirms such guarantee and grant of security interests and liens and confirms and agrees that such security interests and liens hereafter secure all of the Obligations as amended hereby. This Amendment shall not constitute a course of dealing with the Administrative Agent or any Lender at variance with the Existing Credit Agreement or the other Loan Documents such as to require further notice by such Person to require strict compliance with the terms of the Existing Credit Agreement and the other Loan Documents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240"/>
          </w:cols>
          <w:pgMar w:left="320" w:top="1413" w:right="3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9"/>
          <w:szCs w:val="19"/>
          <w:color w:val="auto"/>
        </w:rPr>
        <w:t>IN WITNESS WHEREOF, this Amendment has been duly executed as of the day and year first above written.</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NERDWALLET, INC.,</w:t>
      </w:r>
    </w:p>
    <w:p>
      <w:pPr>
        <w:spacing w:after="0" w:line="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245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Lauren StClair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CFO</w:t>
      </w:r>
    </w:p>
    <w:p>
      <w:pPr>
        <w:sectPr>
          <w:pgSz w:w="11900" w:h="16838" w:orient="portrait"/>
          <w:cols w:equalWidth="0" w:num="1">
            <w:col w:w="9019"/>
          </w:cols>
          <w:pgMar w:left="1440" w:top="1413" w:right="1440" w:bottom="1440" w:gutter="0" w:footer="0" w:header="0"/>
          <w:type w:val="continuous"/>
        </w:sectPr>
      </w:pPr>
    </w:p>
    <w:bookmarkStart w:id="37" w:name="page38"/>
    <w:bookmarkEnd w:id="37"/>
    <w:p>
      <w:pPr>
        <w:ind w:left="27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Administrative Agent and a Lender</w:t>
      </w:r>
    </w:p>
    <w:p>
      <w:pPr>
        <w:spacing w:after="0" w:line="200" w:lineRule="exact"/>
        <w:rPr>
          <w:sz w:val="20"/>
          <w:szCs w:val="20"/>
          <w:color w:val="auto"/>
        </w:rPr>
      </w:pPr>
    </w:p>
    <w:p>
      <w:pPr>
        <w:spacing w:after="0" w:line="2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Jared Friedberg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63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Jared Friedberg</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Signor</w:t>
      </w:r>
    </w:p>
    <w:p>
      <w:pPr>
        <w:sectPr>
          <w:pgSz w:w="11900" w:h="16838" w:orient="portrait"/>
          <w:cols w:equalWidth="0" w:num="1">
            <w:col w:w="9019"/>
          </w:cols>
          <w:pgMar w:left="1440" w:top="1413" w:right="1440" w:bottom="1440" w:gutter="0" w:footer="0" w:header="0"/>
        </w:sectPr>
      </w:pPr>
    </w:p>
    <w:bookmarkStart w:id="38" w:name="page39"/>
    <w:bookmarkEnd w:id="38"/>
    <w:p>
      <w:pPr>
        <w:ind w:left="2780"/>
        <w:spacing w:after="0"/>
        <w:rPr>
          <w:sz w:val="20"/>
          <w:szCs w:val="20"/>
          <w:color w:val="auto"/>
        </w:rPr>
      </w:pPr>
      <w:r>
        <w:rPr>
          <w:rFonts w:ascii="Times New Roman" w:cs="Times New Roman" w:eastAsia="Times New Roman" w:hAnsi="Times New Roman"/>
          <w:sz w:val="19"/>
          <w:szCs w:val="19"/>
          <w:color w:val="auto"/>
        </w:rPr>
        <w:t>FIRST-CITIZENS BANK &amp; TRUST COMPANY, as a Lender</w:t>
      </w: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Devanshi Dhanuka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41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Devanshi Dhanuka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VP</w:t>
      </w:r>
    </w:p>
    <w:p>
      <w:pPr>
        <w:sectPr>
          <w:pgSz w:w="11900" w:h="16838" w:orient="portrait"/>
          <w:cols w:equalWidth="0" w:num="1">
            <w:col w:w="9019"/>
          </w:cols>
          <w:pgMar w:left="1440" w:top="1413" w:right="1440" w:bottom="1440" w:gutter="0" w:footer="0" w:header="0"/>
        </w:sectPr>
      </w:pPr>
    </w:p>
    <w:bookmarkStart w:id="39" w:name="page40"/>
    <w:bookmarkEnd w:id="39"/>
    <w:p>
      <w:pPr>
        <w:ind w:left="2780"/>
        <w:spacing w:after="0"/>
        <w:rPr>
          <w:sz w:val="20"/>
          <w:szCs w:val="20"/>
          <w:color w:val="auto"/>
        </w:rPr>
      </w:pPr>
      <w:r>
        <w:rPr>
          <w:rFonts w:ascii="Times New Roman" w:cs="Times New Roman" w:eastAsia="Times New Roman" w:hAnsi="Times New Roman"/>
          <w:sz w:val="19"/>
          <w:szCs w:val="19"/>
          <w:color w:val="auto"/>
        </w:rPr>
        <w:t>MUFG BANK, LTD., as a Lender</w:t>
      </w: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Natalie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547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Natalie Perez</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1413" w:right="1440" w:bottom="1440" w:gutter="0" w:footer="0" w:header="0"/>
        </w:sectPr>
      </w:pPr>
    </w:p>
    <w:bookmarkStart w:id="40" w:name="page41"/>
    <w:bookmarkEnd w:id="40"/>
    <w:p>
      <w:pPr>
        <w:ind w:left="2780"/>
        <w:spacing w:after="0"/>
        <w:rPr>
          <w:sz w:val="20"/>
          <w:szCs w:val="20"/>
          <w:color w:val="auto"/>
        </w:rPr>
      </w:pPr>
      <w:r>
        <w:rPr>
          <w:rFonts w:ascii="Times New Roman" w:cs="Times New Roman" w:eastAsia="Times New Roman" w:hAnsi="Times New Roman"/>
          <w:sz w:val="19"/>
          <w:szCs w:val="19"/>
          <w:color w:val="auto"/>
        </w:rPr>
        <w:t>CITIBANK, N.A., as a Lender</w:t>
      </w: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Stuart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267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Stuart Darby</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13"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Amended Credit Agreement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13"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2925445</wp:posOffset>
            </wp:positionH>
            <wp:positionV relativeFrom="page">
              <wp:posOffset>1546225</wp:posOffset>
            </wp:positionV>
            <wp:extent cx="1697355" cy="3600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CREDIT AGREEMENT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1"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dated as of</w:t>
      </w:r>
    </w:p>
    <w:p>
      <w:pPr>
        <w:spacing w:after="0" w:line="200" w:lineRule="exact"/>
        <w:rPr>
          <w:sz w:val="20"/>
          <w:szCs w:val="20"/>
          <w:color w:val="auto"/>
        </w:rPr>
      </w:pPr>
    </w:p>
    <w:p>
      <w:pPr>
        <w:spacing w:after="0" w:line="272"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September 26, 2023</w:t>
      </w:r>
    </w:p>
    <w:p>
      <w:pPr>
        <w:spacing w:after="0" w:line="200" w:lineRule="exact"/>
        <w:rPr>
          <w:sz w:val="20"/>
          <w:szCs w:val="20"/>
          <w:color w:val="auto"/>
        </w:rPr>
      </w:pPr>
    </w:p>
    <w:p>
      <w:pPr>
        <w:spacing w:after="0" w:line="259"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72"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NERDWALLET, INC.,</w:t>
      </w:r>
    </w:p>
    <w:p>
      <w:pPr>
        <w:spacing w:after="0" w:line="28"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243" w:lineRule="exact"/>
        <w:rPr>
          <w:sz w:val="20"/>
          <w:szCs w:val="20"/>
          <w:color w:val="auto"/>
        </w:rPr>
      </w:pPr>
    </w:p>
    <w:p>
      <w:pPr>
        <w:ind w:left="4132"/>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00" w:lineRule="exact"/>
        <w:rPr>
          <w:sz w:val="20"/>
          <w:szCs w:val="20"/>
          <w:color w:val="auto"/>
        </w:rPr>
      </w:pPr>
    </w:p>
    <w:p>
      <w:pPr>
        <w:spacing w:after="0" w:line="299"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8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4" w:lineRule="exact"/>
        <w:rPr>
          <w:sz w:val="20"/>
          <w:szCs w:val="20"/>
          <w:color w:val="auto"/>
        </w:rPr>
      </w:pPr>
    </w:p>
    <w:p>
      <w:pPr>
        <w:ind w:left="4272"/>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43"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SILICON VALLEY BANK, A DIVISION OF FIRST-CITIZENS BANK &amp; TRUST COMPANY, and</w:t>
      </w:r>
    </w:p>
    <w:p>
      <w:pPr>
        <w:spacing w:after="0" w:line="6"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MUFG BANK, LTD.,</w:t>
      </w:r>
    </w:p>
    <w:p>
      <w:pPr>
        <w:spacing w:after="0" w:line="13"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724535</wp:posOffset>
            </wp:positionV>
            <wp:extent cx="1714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381635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 w:firstLine="8"/>
        <w:spacing w:after="0" w:line="227" w:lineRule="auto"/>
        <w:tabs>
          <w:tab w:leader="none" w:pos="106"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As amended by the First Amendment to Credit Agreement, dated November 1, 2023 </w:t>
      </w:r>
      <w:r>
        <w:rPr>
          <w:rFonts w:ascii="Times New Roman" w:cs="Times New Roman" w:eastAsia="Times New Roman" w:hAnsi="Times New Roman"/>
          <w:sz w:val="20"/>
          <w:szCs w:val="20"/>
          <w:color w:val="0000FF"/>
        </w:rPr>
        <w:t>and the Second Amendment to Credit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dated October 1, 2024</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-182245</wp:posOffset>
            </wp:positionV>
            <wp:extent cx="2546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0812"/>
          </w:cols>
          <w:pgMar w:left="328" w:top="1440" w:right="759" w:bottom="1440" w:gutter="0" w:footer="0" w:header="0"/>
        </w:sectPr>
      </w:pPr>
    </w:p>
    <w:bookmarkStart w:id="43" w:name="page44"/>
    <w:bookmarkEnd w:id="43"/>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1.01.</w:t>
            </w:r>
          </w:p>
        </w:tc>
        <w:tc>
          <w:tcPr>
            <w:tcW w:w="1080" w:type="dxa"/>
            <w:vAlign w:val="bottom"/>
            <w:tcBorders>
              <w:bottom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w w:val="97"/>
              </w:rPr>
              <w:t>Defined Terms</w:t>
            </w:r>
          </w:p>
        </w:tc>
        <w:tc>
          <w:tcPr>
            <w:tcW w:w="5740" w:type="dxa"/>
            <w:vAlign w:val="bottom"/>
            <w:gridSpan w:val="28"/>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288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8"/>
                <w:szCs w:val="18"/>
                <w:color w:val="auto"/>
                <w:w w:val="99"/>
              </w:rPr>
              <w:t>Classification of Loans and Borrowings</w:t>
            </w:r>
          </w:p>
        </w:tc>
        <w:tc>
          <w:tcPr>
            <w:tcW w:w="394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1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Terms Generally</w:t>
            </w:r>
          </w:p>
        </w:tc>
        <w:tc>
          <w:tcPr>
            <w:tcW w:w="5600" w:type="dxa"/>
            <w:vAlign w:val="bottom"/>
            <w:gridSpan w:val="2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192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8"/>
              </w:rPr>
              <w:t>Accounting Terms; GAAP</w:t>
            </w:r>
          </w:p>
        </w:tc>
        <w:tc>
          <w:tcPr>
            <w:tcW w:w="490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33</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Pro Forma Adjustments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172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Status of Obligations</w:t>
            </w:r>
          </w:p>
        </w:tc>
        <w:tc>
          <w:tcPr>
            <w:tcW w:w="5100" w:type="dxa"/>
            <w:vAlign w:val="bottom"/>
            <w:gridSpan w:val="16"/>
          </w:tcPr>
          <w:p>
            <w:pPr>
              <w:spacing w:after="0"/>
              <w:rPr>
                <w:sz w:val="18"/>
                <w:szCs w:val="18"/>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34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E32E1"/>
                <w:w w:val="88"/>
              </w:rPr>
              <w:t>35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35</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1860" w:type="dxa"/>
            <w:vAlign w:val="bottom"/>
            <w:tcBorders>
              <w:top w:val="single" w:sz="8" w:color="auto"/>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rPr>
              <w:t>Letter of Credit Amounts</w:t>
            </w:r>
          </w:p>
        </w:tc>
        <w:tc>
          <w:tcPr>
            <w:tcW w:w="960" w:type="dxa"/>
            <w:vAlign w:val="bottom"/>
            <w:tcBorders>
              <w:top w:val="single" w:sz="8" w:color="auto"/>
            </w:tcBorders>
            <w:gridSpan w:val="3"/>
          </w:tcPr>
          <w:p>
            <w:pPr>
              <w:spacing w:after="0"/>
              <w:rPr>
                <w:sz w:val="18"/>
                <w:szCs w:val="18"/>
                <w:color w:val="auto"/>
              </w:rPr>
            </w:pPr>
          </w:p>
        </w:tc>
        <w:tc>
          <w:tcPr>
            <w:tcW w:w="400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35</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Divisions</w:t>
            </w: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35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E32E1"/>
                <w:w w:val="88"/>
              </w:rPr>
              <w:t>36</w:t>
            </w:r>
          </w:p>
        </w:tc>
        <w:tc>
          <w:tcPr>
            <w:tcW w:w="0" w:type="dxa"/>
            <w:vAlign w:val="bottom"/>
          </w:tcPr>
          <w:p>
            <w:pPr>
              <w:spacing w:after="0"/>
              <w:rPr>
                <w:sz w:val="1"/>
                <w:szCs w:val="1"/>
                <w:color w:val="auto"/>
              </w:rPr>
            </w:pPr>
          </w:p>
        </w:tc>
      </w:tr>
      <w:tr>
        <w:trPr>
          <w:trHeight w:val="515"/>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E32E1"/>
            </w:tcBorders>
          </w:tcPr>
          <w:p>
            <w:pPr>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2.01.</w:t>
            </w:r>
          </w:p>
        </w:tc>
        <w:tc>
          <w:tcPr>
            <w:tcW w:w="1820" w:type="dxa"/>
            <w:vAlign w:val="bottom"/>
            <w:tcBorders>
              <w:bottom w:val="single" w:sz="8" w:color="auto"/>
            </w:tcBorders>
            <w:gridSpan w:val="21"/>
          </w:tcPr>
          <w:p>
            <w:pPr>
              <w:spacing w:after="0" w:line="194" w:lineRule="exact"/>
              <w:rPr>
                <w:sz w:val="20"/>
                <w:szCs w:val="20"/>
                <w:color w:val="auto"/>
              </w:rPr>
            </w:pPr>
            <w:r>
              <w:rPr>
                <w:rFonts w:ascii="Times New Roman" w:cs="Times New Roman" w:eastAsia="Times New Roman" w:hAnsi="Times New Roman"/>
                <w:sz w:val="18"/>
                <w:szCs w:val="18"/>
                <w:color w:val="auto"/>
                <w:w w:val="99"/>
              </w:rPr>
              <w:t>Revolving Commitments</w:t>
            </w:r>
          </w:p>
        </w:tc>
        <w:tc>
          <w:tcPr>
            <w:tcW w:w="5000" w:type="dxa"/>
            <w:vAlign w:val="bottom"/>
            <w:gridSpan w:val="14"/>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Requests for Borrowings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37</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1680" w:type="dxa"/>
            <w:vAlign w:val="bottom"/>
            <w:tcBorders>
              <w:top w:val="single" w:sz="8" w:color="auto"/>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[Intentionally Omitted]</w:t>
            </w:r>
          </w:p>
        </w:tc>
        <w:tc>
          <w:tcPr>
            <w:tcW w:w="120" w:type="dxa"/>
            <w:vAlign w:val="bottom"/>
            <w:tcBorders>
              <w:top w:val="single" w:sz="8" w:color="auto"/>
            </w:tcBorders>
            <w:gridSpan w:val="3"/>
          </w:tcPr>
          <w:p>
            <w:pPr>
              <w:spacing w:after="0"/>
              <w:rPr>
                <w:sz w:val="18"/>
                <w:szCs w:val="18"/>
                <w:color w:val="auto"/>
              </w:rPr>
            </w:pPr>
          </w:p>
        </w:tc>
        <w:tc>
          <w:tcPr>
            <w:tcW w:w="502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37</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1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Swingline Loans</w:t>
            </w:r>
          </w:p>
        </w:tc>
        <w:tc>
          <w:tcPr>
            <w:tcW w:w="5600" w:type="dxa"/>
            <w:vAlign w:val="bottom"/>
            <w:gridSpan w:val="2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37</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12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Letters of Credit</w:t>
            </w:r>
          </w:p>
        </w:tc>
        <w:tc>
          <w:tcPr>
            <w:tcW w:w="5620" w:type="dxa"/>
            <w:vAlign w:val="bottom"/>
            <w:gridSpan w:val="26"/>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39</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170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Funding of Borrowings</w:t>
            </w:r>
          </w:p>
        </w:tc>
        <w:tc>
          <w:tcPr>
            <w:tcW w:w="5120" w:type="dxa"/>
            <w:vAlign w:val="bottom"/>
            <w:gridSpan w:val="17"/>
          </w:tcPr>
          <w:p>
            <w:pPr>
              <w:spacing w:after="0"/>
              <w:rPr>
                <w:sz w:val="18"/>
                <w:szCs w:val="18"/>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43</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39</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12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Interest Elections</w:t>
            </w:r>
          </w:p>
        </w:tc>
        <w:tc>
          <w:tcPr>
            <w:tcW w:w="5560" w:type="dxa"/>
            <w:vAlign w:val="bottom"/>
            <w:gridSpan w:val="2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44</w:t>
            </w:r>
          </w:p>
        </w:tc>
        <w:tc>
          <w:tcPr>
            <w:tcW w:w="0" w:type="dxa"/>
            <w:vAlign w:val="bottom"/>
          </w:tcPr>
          <w:p>
            <w:pPr>
              <w:spacing w:after="0"/>
              <w:rPr>
                <w:sz w:val="1"/>
                <w:szCs w:val="1"/>
                <w:color w:val="auto"/>
              </w:rPr>
            </w:pPr>
          </w:p>
        </w:tc>
      </w:tr>
      <w:tr>
        <w:trPr>
          <w:trHeight w:val="210"/>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2.09.</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Termination and Reduction of Revolving Commitments; Increase in Revolving</w:t>
            </w:r>
          </w:p>
        </w:tc>
        <w:tc>
          <w:tcPr>
            <w:tcW w:w="3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45</w:t>
            </w:r>
          </w:p>
        </w:tc>
        <w:tc>
          <w:tcPr>
            <w:tcW w:w="0" w:type="dxa"/>
            <w:vAlign w:val="bottom"/>
          </w:tcPr>
          <w:p>
            <w:pPr>
              <w:spacing w:after="0"/>
              <w:rPr>
                <w:sz w:val="1"/>
                <w:szCs w:val="1"/>
                <w:color w:val="auto"/>
              </w:rPr>
            </w:pPr>
          </w:p>
        </w:tc>
      </w:tr>
      <w:tr>
        <w:trPr>
          <w:trHeight w:val="169"/>
        </w:trPr>
        <w:tc>
          <w:tcPr>
            <w:tcW w:w="1960" w:type="dxa"/>
            <w:vAlign w:val="bottom"/>
            <w:vMerge w:val="continue"/>
          </w:tcPr>
          <w:p>
            <w:pPr>
              <w:spacing w:after="0"/>
              <w:rPr>
                <w:sz w:val="14"/>
                <w:szCs w:val="14"/>
                <w:color w:val="auto"/>
              </w:rPr>
            </w:pPr>
          </w:p>
        </w:tc>
        <w:tc>
          <w:tcPr>
            <w:tcW w:w="5700" w:type="dxa"/>
            <w:vAlign w:val="bottom"/>
            <w:tcBorders>
              <w:top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auto"/>
              </w:rPr>
              <w:t>Commitments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286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w w:val="99"/>
              </w:rPr>
              <w:t>Repayment of Loans; Evidence of Debt</w:t>
            </w:r>
          </w:p>
        </w:tc>
        <w:tc>
          <w:tcPr>
            <w:tcW w:w="3960" w:type="dxa"/>
            <w:vAlign w:val="bottom"/>
            <w:gridSpan w:val="7"/>
          </w:tcPr>
          <w:p>
            <w:pPr>
              <w:spacing w:after="0"/>
              <w:rPr>
                <w:sz w:val="18"/>
                <w:szCs w:val="18"/>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46</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47</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Prepayment of Loans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47</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Fees</w:t>
            </w:r>
          </w:p>
        </w:tc>
        <w:tc>
          <w:tcPr>
            <w:tcW w:w="1200" w:type="dxa"/>
            <w:vAlign w:val="bottom"/>
            <w:tcBorders>
              <w:top w:val="single" w:sz="8" w:color="auto"/>
            </w:tcBorders>
            <w:gridSpan w:val="13"/>
          </w:tcPr>
          <w:p>
            <w:pPr>
              <w:spacing w:after="0"/>
              <w:rPr>
                <w:sz w:val="18"/>
                <w:szCs w:val="18"/>
                <w:color w:val="auto"/>
              </w:rPr>
            </w:pPr>
          </w:p>
        </w:tc>
        <w:tc>
          <w:tcPr>
            <w:tcW w:w="5280" w:type="dxa"/>
            <w:vAlign w:val="bottom"/>
            <w:gridSpan w:val="21"/>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48</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184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9"/>
              </w:rPr>
              <w:t>Alternate Rate of Interest</w:t>
            </w:r>
          </w:p>
        </w:tc>
        <w:tc>
          <w:tcPr>
            <w:tcW w:w="4980" w:type="dxa"/>
            <w:vAlign w:val="bottom"/>
            <w:gridSpan w:val="13"/>
          </w:tcPr>
          <w:p>
            <w:pPr>
              <w:spacing w:after="0"/>
              <w:rPr>
                <w:sz w:val="18"/>
                <w:szCs w:val="18"/>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49</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50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11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Increased Costs</w:t>
            </w:r>
          </w:p>
        </w:tc>
        <w:tc>
          <w:tcPr>
            <w:tcW w:w="5680" w:type="dxa"/>
            <w:vAlign w:val="bottom"/>
            <w:gridSpan w:val="27"/>
          </w:tcPr>
          <w:p>
            <w:pPr>
              <w:spacing w:after="0"/>
              <w:rPr>
                <w:sz w:val="18"/>
                <w:szCs w:val="18"/>
                <w:color w:val="auto"/>
              </w:rPr>
            </w:pP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51</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52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Break Funding Payments</w:t>
            </w:r>
          </w:p>
        </w:tc>
        <w:tc>
          <w:tcPr>
            <w:tcW w:w="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52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E32E1"/>
                <w:w w:val="88"/>
              </w:rPr>
              <w:t>53</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182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rPr>
              <w:t>Taxes</w:t>
            </w:r>
          </w:p>
        </w:tc>
        <w:tc>
          <w:tcPr>
            <w:tcW w:w="500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E32E1"/>
            </w:tcBorders>
          </w:tcPr>
          <w:p>
            <w:pPr>
              <w:spacing w:after="0"/>
              <w:rPr>
                <w:sz w:val="20"/>
                <w:szCs w:val="20"/>
                <w:color w:val="auto"/>
              </w:rPr>
            </w:pPr>
            <w:r>
              <w:rPr>
                <w:rFonts w:ascii="Times New Roman" w:cs="Times New Roman" w:eastAsia="Times New Roman" w:hAnsi="Times New Roman"/>
                <w:sz w:val="18"/>
                <w:szCs w:val="18"/>
                <w:color w:val="auto"/>
                <w:w w:val="88"/>
              </w:rPr>
              <w:t>53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Payments Generally; Allocation of Proceeds; Sharing of Set-offs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56</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4660" w:type="dxa"/>
            <w:vAlign w:val="bottom"/>
            <w:tcBorders>
              <w:top w:val="single" w:sz="8" w:color="auto"/>
            </w:tcBorders>
            <w:gridSpan w:val="33"/>
          </w:tcPr>
          <w:p>
            <w:pPr>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1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58</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140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Defaulting Lenders</w:t>
            </w:r>
          </w:p>
        </w:tc>
        <w:tc>
          <w:tcPr>
            <w:tcW w:w="2100" w:type="dxa"/>
            <w:vAlign w:val="bottom"/>
            <w:tcBorders>
              <w:top w:val="single" w:sz="8" w:color="auto"/>
            </w:tcBorders>
            <w:gridSpan w:val="19"/>
          </w:tcPr>
          <w:p>
            <w:pPr>
              <w:spacing w:after="0"/>
              <w:rPr>
                <w:sz w:val="18"/>
                <w:szCs w:val="18"/>
                <w:color w:val="auto"/>
              </w:rPr>
            </w:pPr>
          </w:p>
        </w:tc>
        <w:tc>
          <w:tcPr>
            <w:tcW w:w="33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59</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Returned Payments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660" w:type="dxa"/>
            <w:vAlign w:val="bottom"/>
            <w:gridSpan w:val="7"/>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2940" w:type="dxa"/>
            <w:vAlign w:val="bottom"/>
            <w:tcBorders>
              <w:bottom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w w:val="99"/>
              </w:rPr>
              <w:t>Banking Services and Swap Agreements</w:t>
            </w:r>
          </w:p>
        </w:tc>
        <w:tc>
          <w:tcPr>
            <w:tcW w:w="388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61</w:t>
            </w:r>
          </w:p>
        </w:tc>
        <w:tc>
          <w:tcPr>
            <w:tcW w:w="0" w:type="dxa"/>
            <w:vAlign w:val="bottom"/>
          </w:tcPr>
          <w:p>
            <w:pPr>
              <w:spacing w:after="0"/>
              <w:rPr>
                <w:sz w:val="1"/>
                <w:szCs w:val="1"/>
                <w:color w:val="auto"/>
              </w:rPr>
            </w:pPr>
          </w:p>
        </w:tc>
      </w:tr>
      <w:tr>
        <w:trPr>
          <w:trHeight w:val="502"/>
        </w:trPr>
        <w:tc>
          <w:tcPr>
            <w:tcW w:w="878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3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3.01.</w:t>
            </w:r>
          </w:p>
        </w:tc>
        <w:tc>
          <w:tcPr>
            <w:tcW w:w="682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auto"/>
              </w:rPr>
              <w:t>Organization; Powers</w:t>
            </w:r>
          </w:p>
        </w:tc>
        <w:tc>
          <w:tcPr>
            <w:tcW w:w="38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820" w:type="dxa"/>
            <w:vAlign w:val="bottom"/>
            <w:gridSpan w:val="10"/>
            <w:shd w:val="clear" w:color="auto" w:fill="000000"/>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1380" w:type="dxa"/>
            <w:vAlign w:val="bottom"/>
            <w:gridSpan w:val="20"/>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2100" w:type="dxa"/>
            <w:vAlign w:val="bottom"/>
            <w:gridSpan w:val="22"/>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6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62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Properties</w:t>
            </w:r>
          </w:p>
        </w:tc>
        <w:tc>
          <w:tcPr>
            <w:tcW w:w="2900" w:type="dxa"/>
            <w:vAlign w:val="bottom"/>
            <w:tcBorders>
              <w:top w:val="single" w:sz="8" w:color="auto"/>
            </w:tcBorders>
            <w:gridSpan w:val="27"/>
          </w:tcPr>
          <w:p>
            <w:pPr>
              <w:spacing w:after="0"/>
              <w:rPr>
                <w:sz w:val="18"/>
                <w:szCs w:val="18"/>
                <w:color w:val="auto"/>
              </w:rPr>
            </w:pPr>
          </w:p>
        </w:tc>
        <w:tc>
          <w:tcPr>
            <w:tcW w:w="3180" w:type="dxa"/>
            <w:vAlign w:val="bottom"/>
            <w:gridSpan w:val="3"/>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62</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63</w:t>
            </w:r>
          </w:p>
        </w:tc>
        <w:tc>
          <w:tcPr>
            <w:tcW w:w="0" w:type="dxa"/>
            <w:vAlign w:val="bottom"/>
          </w:tcPr>
          <w:p>
            <w:pPr>
              <w:spacing w:after="0"/>
              <w:rPr>
                <w:sz w:val="1"/>
                <w:szCs w:val="1"/>
                <w:color w:val="auto"/>
              </w:rPr>
            </w:pPr>
          </w:p>
        </w:tc>
      </w:tr>
    </w:tbl>
    <w:p>
      <w:pPr>
        <w:sectPr>
          <w:pgSz w:w="11900" w:h="16838" w:orient="portrait"/>
          <w:cols w:equalWidth="0" w:num="1">
            <w:col w:w="10099"/>
          </w:cols>
          <w:pgMar w:left="360" w:top="1440" w:right="1440" w:bottom="1440" w:gutter="0" w:footer="0" w:header="0"/>
        </w:sectPr>
      </w:pPr>
    </w:p>
    <w:bookmarkStart w:id="44" w:name="page45"/>
    <w:bookmarkEnd w:id="44"/>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3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w:t>
            </w:r>
          </w:p>
        </w:tc>
        <w:tc>
          <w:tcPr>
            <w:tcW w:w="378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w w:val="99"/>
              </w:rPr>
              <w:t>Compliance with Laws and Agreements; No Default</w:t>
            </w:r>
          </w:p>
        </w:tc>
        <w:tc>
          <w:tcPr>
            <w:tcW w:w="302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w:t>
            </w:r>
          </w:p>
        </w:tc>
        <w:tc>
          <w:tcPr>
            <w:tcW w:w="20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Investment Company Status</w:t>
            </w:r>
          </w:p>
        </w:tc>
        <w:tc>
          <w:tcPr>
            <w:tcW w:w="4740" w:type="dxa"/>
            <w:vAlign w:val="bottom"/>
            <w:gridSpan w:val="12"/>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63</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64</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Taxes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64</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ERISA</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64</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6"/>
              </w:rPr>
              <w:t>Disclosure</w:t>
            </w:r>
          </w:p>
        </w:tc>
        <w:tc>
          <w:tcPr>
            <w:tcW w:w="6040" w:type="dxa"/>
            <w:vAlign w:val="bottom"/>
            <w:gridSpan w:val="26"/>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3.12.</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Material Agreements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3.13.</w:t>
            </w:r>
          </w:p>
        </w:tc>
        <w:tc>
          <w:tcPr>
            <w:tcW w:w="6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5"/>
              </w:rPr>
              <w:t>Solvency</w:t>
            </w:r>
          </w:p>
        </w:tc>
        <w:tc>
          <w:tcPr>
            <w:tcW w:w="840" w:type="dxa"/>
            <w:vAlign w:val="bottom"/>
            <w:tcBorders>
              <w:top w:val="single" w:sz="8" w:color="auto"/>
            </w:tcBorders>
            <w:gridSpan w:val="8"/>
          </w:tcPr>
          <w:p>
            <w:pPr>
              <w:spacing w:after="0"/>
              <w:rPr>
                <w:sz w:val="18"/>
                <w:szCs w:val="18"/>
                <w:color w:val="auto"/>
              </w:rPr>
            </w:pPr>
          </w:p>
        </w:tc>
        <w:tc>
          <w:tcPr>
            <w:tcW w:w="5300" w:type="dxa"/>
            <w:vAlign w:val="bottom"/>
            <w:gridSpan w:val="2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65</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3.15.</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65</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3.16.</w:t>
            </w:r>
          </w:p>
        </w:tc>
        <w:tc>
          <w:tcPr>
            <w:tcW w:w="222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4580" w:type="dxa"/>
            <w:vAlign w:val="bottom"/>
            <w:gridSpan w:val="9"/>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auto"/>
                <w:w w:val="88"/>
              </w:rPr>
              <w:t>65</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w:t>
            </w:r>
          </w:p>
        </w:tc>
        <w:tc>
          <w:tcPr>
            <w:tcW w:w="210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Employment Matters</w:t>
            </w:r>
          </w:p>
        </w:tc>
        <w:tc>
          <w:tcPr>
            <w:tcW w:w="4700" w:type="dxa"/>
            <w:vAlign w:val="bottom"/>
            <w:gridSpan w:val="11"/>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3.18.</w:t>
            </w:r>
          </w:p>
        </w:tc>
        <w:tc>
          <w:tcPr>
            <w:tcW w:w="142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7"/>
              </w:rPr>
              <w:t>Margin Regulations</w:t>
            </w:r>
          </w:p>
        </w:tc>
        <w:tc>
          <w:tcPr>
            <w:tcW w:w="80" w:type="dxa"/>
            <w:vAlign w:val="bottom"/>
            <w:tcBorders>
              <w:top w:val="single" w:sz="8" w:color="auto"/>
            </w:tcBorders>
          </w:tcPr>
          <w:p>
            <w:pPr>
              <w:spacing w:after="0"/>
              <w:rPr>
                <w:sz w:val="18"/>
                <w:szCs w:val="18"/>
                <w:color w:val="auto"/>
              </w:rPr>
            </w:pPr>
          </w:p>
        </w:tc>
        <w:tc>
          <w:tcPr>
            <w:tcW w:w="5300" w:type="dxa"/>
            <w:vAlign w:val="bottom"/>
            <w:gridSpan w:val="2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3.19.</w:t>
            </w:r>
          </w:p>
        </w:tc>
        <w:tc>
          <w:tcPr>
            <w:tcW w:w="11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7"/>
              </w:rPr>
              <w:t>Use of Proceeds</w:t>
            </w:r>
          </w:p>
        </w:tc>
        <w:tc>
          <w:tcPr>
            <w:tcW w:w="5640" w:type="dxa"/>
            <w:vAlign w:val="bottom"/>
            <w:gridSpan w:val="23"/>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3.20.</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No Burdensome Restrictions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3.21.</w:t>
            </w:r>
          </w:p>
        </w:tc>
        <w:tc>
          <w:tcPr>
            <w:tcW w:w="270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4100" w:type="dxa"/>
            <w:vAlign w:val="bottom"/>
            <w:gridSpan w:val="6"/>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65</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66</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3.22.</w:t>
            </w:r>
          </w:p>
        </w:tc>
        <w:tc>
          <w:tcPr>
            <w:tcW w:w="218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8"/>
              </w:rPr>
              <w:t>Affected Financial Institutions</w:t>
            </w:r>
          </w:p>
        </w:tc>
        <w:tc>
          <w:tcPr>
            <w:tcW w:w="4620" w:type="dxa"/>
            <w:vAlign w:val="bottom"/>
            <w:gridSpan w:val="10"/>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65</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66</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3.23.</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Plan Assets; Prohibited Transactions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66</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3.24.</w:t>
            </w:r>
          </w:p>
        </w:tc>
        <w:tc>
          <w:tcPr>
            <w:tcW w:w="262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rPr>
              <w:t>Data Security and Privacy.</w:t>
            </w:r>
          </w:p>
        </w:tc>
        <w:tc>
          <w:tcPr>
            <w:tcW w:w="41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66</w:t>
            </w:r>
          </w:p>
        </w:tc>
      </w:tr>
      <w:tr>
        <w:trPr>
          <w:trHeight w:val="502"/>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67</w:t>
            </w:r>
          </w:p>
        </w:tc>
      </w:tr>
      <w:tr>
        <w:trPr>
          <w:trHeight w:val="194"/>
        </w:trPr>
        <w:tc>
          <w:tcPr>
            <w:tcW w:w="1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4.01.</w:t>
            </w:r>
          </w:p>
        </w:tc>
        <w:tc>
          <w:tcPr>
            <w:tcW w:w="6800" w:type="dxa"/>
            <w:vAlign w:val="bottom"/>
            <w:gridSpan w:val="31"/>
          </w:tcPr>
          <w:p>
            <w:pPr>
              <w:spacing w:after="0" w:line="194" w:lineRule="exact"/>
              <w:rPr>
                <w:sz w:val="20"/>
                <w:szCs w:val="20"/>
                <w:color w:val="auto"/>
              </w:rPr>
            </w:pPr>
            <w:r>
              <w:rPr>
                <w:rFonts w:ascii="Times New Roman" w:cs="Times New Roman" w:eastAsia="Times New Roman" w:hAnsi="Times New Roman"/>
                <w:sz w:val="18"/>
                <w:szCs w:val="18"/>
                <w:color w:val="auto"/>
              </w:rPr>
              <w:t>Effective Date</w:t>
            </w:r>
          </w:p>
        </w:tc>
        <w:tc>
          <w:tcPr>
            <w:tcW w:w="38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67</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Each Credit Event</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69</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2"/>
        </w:trPr>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70</w:t>
            </w:r>
          </w:p>
        </w:tc>
      </w:tr>
      <w:tr>
        <w:trPr>
          <w:trHeight w:val="194"/>
        </w:trPr>
        <w:tc>
          <w:tcPr>
            <w:tcW w:w="1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5.01.</w:t>
            </w:r>
          </w:p>
        </w:tc>
        <w:tc>
          <w:tcPr>
            <w:tcW w:w="3160" w:type="dxa"/>
            <w:vAlign w:val="bottom"/>
            <w:tcBorders>
              <w:bottom w:val="single" w:sz="8" w:color="auto"/>
            </w:tcBorders>
            <w:gridSpan w:val="27"/>
          </w:tcPr>
          <w:p>
            <w:pPr>
              <w:spacing w:after="0" w:line="194" w:lineRule="exact"/>
              <w:rPr>
                <w:sz w:val="20"/>
                <w:szCs w:val="20"/>
                <w:color w:val="auto"/>
              </w:rPr>
            </w:pPr>
            <w:r>
              <w:rPr>
                <w:rFonts w:ascii="Times New Roman" w:cs="Times New Roman" w:eastAsia="Times New Roman" w:hAnsi="Times New Roman"/>
                <w:sz w:val="18"/>
                <w:szCs w:val="18"/>
                <w:color w:val="auto"/>
                <w:w w:val="99"/>
              </w:rPr>
              <w:t>Financial Statements and Other Information</w:t>
            </w:r>
          </w:p>
        </w:tc>
        <w:tc>
          <w:tcPr>
            <w:tcW w:w="364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70</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w:t>
            </w:r>
          </w:p>
        </w:tc>
        <w:tc>
          <w:tcPr>
            <w:tcW w:w="192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8"/>
              </w:rPr>
              <w:t>Notices of Material Events</w:t>
            </w:r>
          </w:p>
        </w:tc>
        <w:tc>
          <w:tcPr>
            <w:tcW w:w="4880" w:type="dxa"/>
            <w:vAlign w:val="bottom"/>
            <w:gridSpan w:val="14"/>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71</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72</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72</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w:t>
            </w:r>
          </w:p>
        </w:tc>
        <w:tc>
          <w:tcPr>
            <w:tcW w:w="170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Payment of Obligations</w:t>
            </w:r>
          </w:p>
        </w:tc>
        <w:tc>
          <w:tcPr>
            <w:tcW w:w="560" w:type="dxa"/>
            <w:vAlign w:val="bottom"/>
            <w:tcBorders>
              <w:top w:val="single" w:sz="8" w:color="auto"/>
            </w:tcBorders>
            <w:gridSpan w:val="11"/>
          </w:tcPr>
          <w:p>
            <w:pPr>
              <w:spacing w:after="0"/>
              <w:rPr>
                <w:sz w:val="18"/>
                <w:szCs w:val="18"/>
                <w:color w:val="auto"/>
              </w:rPr>
            </w:pPr>
          </w:p>
        </w:tc>
        <w:tc>
          <w:tcPr>
            <w:tcW w:w="4540" w:type="dxa"/>
            <w:vAlign w:val="bottom"/>
            <w:gridSpan w:val="8"/>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72</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73</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73</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w:t>
            </w:r>
          </w:p>
        </w:tc>
        <w:tc>
          <w:tcPr>
            <w:tcW w:w="116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7"/>
              </w:rPr>
              <w:t>Use of Proceeds</w:t>
            </w:r>
          </w:p>
        </w:tc>
        <w:tc>
          <w:tcPr>
            <w:tcW w:w="3220" w:type="dxa"/>
            <w:vAlign w:val="bottom"/>
            <w:tcBorders>
              <w:top w:val="single" w:sz="8" w:color="auto"/>
            </w:tcBorders>
            <w:gridSpan w:val="21"/>
          </w:tcPr>
          <w:p>
            <w:pPr>
              <w:spacing w:after="0"/>
              <w:rPr>
                <w:sz w:val="18"/>
                <w:szCs w:val="18"/>
                <w:color w:val="auto"/>
              </w:rPr>
            </w:pPr>
          </w:p>
        </w:tc>
        <w:tc>
          <w:tcPr>
            <w:tcW w:w="2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w:t>
            </w:r>
          </w:p>
        </w:tc>
        <w:tc>
          <w:tcPr>
            <w:tcW w:w="17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Accuracy of Information</w:t>
            </w:r>
          </w:p>
        </w:tc>
        <w:tc>
          <w:tcPr>
            <w:tcW w:w="5020" w:type="dxa"/>
            <w:vAlign w:val="bottom"/>
            <w:gridSpan w:val="18"/>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73</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74</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Casualty and Condemnation</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74</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w:t>
            </w:r>
          </w:p>
        </w:tc>
        <w:tc>
          <w:tcPr>
            <w:tcW w:w="130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7"/>
              </w:rPr>
              <w:t>Depository Banks</w:t>
            </w:r>
          </w:p>
        </w:tc>
        <w:tc>
          <w:tcPr>
            <w:tcW w:w="760" w:type="dxa"/>
            <w:vAlign w:val="bottom"/>
            <w:tcBorders>
              <w:top w:val="single" w:sz="8" w:color="auto"/>
            </w:tcBorders>
            <w:gridSpan w:val="10"/>
          </w:tcPr>
          <w:p>
            <w:pPr>
              <w:spacing w:after="0"/>
              <w:rPr>
                <w:sz w:val="18"/>
                <w:szCs w:val="18"/>
                <w:color w:val="auto"/>
              </w:rPr>
            </w:pPr>
          </w:p>
        </w:tc>
        <w:tc>
          <w:tcPr>
            <w:tcW w:w="474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74</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Subsidiary Guarantors; Additional Collateral; Further Assurances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74</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w:t>
            </w:r>
          </w:p>
        </w:tc>
        <w:tc>
          <w:tcPr>
            <w:tcW w:w="470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Data Security and Privacy.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75</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5.15.</w:t>
            </w:r>
          </w:p>
        </w:tc>
        <w:tc>
          <w:tcPr>
            <w:tcW w:w="196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8"/>
              </w:rPr>
              <w:t>Post-Closing Requirements</w:t>
            </w:r>
          </w:p>
        </w:tc>
        <w:tc>
          <w:tcPr>
            <w:tcW w:w="484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76</w:t>
            </w: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E32E1"/>
                <w:w w:val="99"/>
              </w:rPr>
              <w:t>SECTION 5.16.</w:t>
            </w:r>
          </w:p>
        </w:tc>
        <w:tc>
          <w:tcPr>
            <w:tcW w:w="800" w:type="dxa"/>
            <w:vAlign w:val="bottom"/>
          </w:tcPr>
          <w:p>
            <w:pPr>
              <w:spacing w:after="0"/>
              <w:rPr>
                <w:sz w:val="18"/>
                <w:szCs w:val="18"/>
                <w:color w:val="auto"/>
              </w:rPr>
            </w:pP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Unrestricted Subsidiaries</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76</w:t>
            </w:r>
          </w:p>
        </w:tc>
      </w:tr>
      <w:tr>
        <w:trPr>
          <w:trHeight w:val="20"/>
        </w:trPr>
        <w:tc>
          <w:tcPr>
            <w:tcW w:w="1180" w:type="dxa"/>
            <w:vAlign w:val="bottom"/>
            <w:shd w:val="clear" w:color="auto" w:fill="0E32E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540" w:type="dxa"/>
            <w:vAlign w:val="bottom"/>
            <w:tcBorders>
              <w:left w:val="single" w:sz="8" w:color="0E32E1"/>
            </w:tcBorders>
            <w:gridSpan w:val="5"/>
            <w:shd w:val="clear" w:color="auto" w:fill="0E32E1"/>
          </w:tcPr>
          <w:p>
            <w:pPr>
              <w:spacing w:after="0" w:line="20" w:lineRule="exact"/>
              <w:rPr>
                <w:sz w:val="1"/>
                <w:szCs w:val="1"/>
                <w:color w:val="auto"/>
              </w:rPr>
            </w:pPr>
          </w:p>
        </w:tc>
        <w:tc>
          <w:tcPr>
            <w:tcW w:w="880" w:type="dxa"/>
            <w:vAlign w:val="bottom"/>
            <w:gridSpan w:val="8"/>
            <w:shd w:val="clear" w:color="auto" w:fill="0E32E1"/>
          </w:tcPr>
          <w:p>
            <w:pPr>
              <w:spacing w:after="0" w:line="20" w:lineRule="exact"/>
              <w:rPr>
                <w:sz w:val="1"/>
                <w:szCs w:val="1"/>
                <w:color w:val="auto"/>
              </w:rPr>
            </w:pPr>
          </w:p>
        </w:tc>
        <w:tc>
          <w:tcPr>
            <w:tcW w:w="500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r>
      <w:tr>
        <w:trPr>
          <w:trHeight w:val="466"/>
        </w:trPr>
        <w:tc>
          <w:tcPr>
            <w:tcW w:w="8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76</w:t>
            </w:r>
          </w:p>
        </w:tc>
        <w:tc>
          <w:tcPr>
            <w:tcW w:w="18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77</w:t>
            </w:r>
          </w:p>
        </w:tc>
      </w:tr>
      <w:tr>
        <w:trPr>
          <w:trHeight w:val="210"/>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w:t>
            </w:r>
          </w:p>
        </w:tc>
        <w:tc>
          <w:tcPr>
            <w:tcW w:w="6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EE2724"/>
                <w:strike w:val="1"/>
                <w:w w:val="88"/>
              </w:rPr>
              <w:t>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77</w:t>
            </w:r>
          </w:p>
        </w:tc>
      </w:tr>
      <w:tr>
        <w:trPr>
          <w:trHeight w:val="209"/>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Liens</w:t>
            </w:r>
          </w:p>
        </w:tc>
        <w:tc>
          <w:tcPr>
            <w:tcW w:w="5880" w:type="dxa"/>
            <w:vAlign w:val="bottom"/>
            <w:gridSpan w:val="2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auto"/>
                <w:w w:val="88"/>
              </w:rPr>
              <w:t>78</w:t>
            </w:r>
          </w:p>
        </w:tc>
      </w:tr>
      <w:tr>
        <w:trPr>
          <w:trHeight w:val="20"/>
        </w:trPr>
        <w:tc>
          <w:tcPr>
            <w:tcW w:w="1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0099"/>
          </w:cols>
          <w:pgMar w:left="360" w:top="1440" w:right="1440" w:bottom="1440" w:gutter="0" w:footer="0" w:header="0"/>
        </w:sectPr>
      </w:pPr>
    </w:p>
    <w:bookmarkStart w:id="45" w:name="page46"/>
    <w:bookmarkEnd w:id="45"/>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6.03.</w:t>
            </w:r>
          </w:p>
        </w:tc>
        <w:tc>
          <w:tcPr>
            <w:tcW w:w="650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auto"/>
              </w:rPr>
              <w:t>Fundamental Changes</w:t>
            </w:r>
          </w:p>
        </w:tc>
        <w:tc>
          <w:tcPr>
            <w:tcW w:w="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79</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E32E1"/>
              </w:rPr>
              <w:t>80</w:t>
            </w:r>
          </w:p>
        </w:tc>
        <w:tc>
          <w:tcPr>
            <w:tcW w:w="0" w:type="dxa"/>
            <w:vAlign w:val="bottom"/>
          </w:tcPr>
          <w:p>
            <w:pPr>
              <w:spacing w:after="0" w:line="20" w:lineRule="exact"/>
              <w:rPr>
                <w:sz w:val="1"/>
                <w:szCs w:val="1"/>
                <w:color w:val="auto"/>
              </w:rPr>
            </w:pPr>
          </w:p>
        </w:tc>
      </w:tr>
      <w:tr>
        <w:trPr>
          <w:trHeight w:val="174"/>
        </w:trPr>
        <w:tc>
          <w:tcPr>
            <w:tcW w:w="1960" w:type="dxa"/>
            <w:vAlign w:val="bottom"/>
            <w:vMerge w:val="continue"/>
          </w:tcPr>
          <w:p>
            <w:pPr>
              <w:spacing w:after="0"/>
              <w:rPr>
                <w:sz w:val="15"/>
                <w:szCs w:val="15"/>
                <w:color w:val="auto"/>
              </w:rPr>
            </w:pPr>
          </w:p>
        </w:tc>
        <w:tc>
          <w:tcPr>
            <w:tcW w:w="6500" w:type="dxa"/>
            <w:vAlign w:val="bottom"/>
            <w:gridSpan w:val="3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70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4360" w:type="dxa"/>
            <w:vAlign w:val="bottom"/>
            <w:tcBorders>
              <w:top w:val="single" w:sz="8" w:color="auto"/>
            </w:tcBorders>
            <w:gridSpan w:val="29"/>
          </w:tcPr>
          <w:p>
            <w:pPr>
              <w:spacing w:after="0"/>
              <w:rPr>
                <w:sz w:val="20"/>
                <w:szCs w:val="20"/>
                <w:color w:val="auto"/>
              </w:rPr>
            </w:pPr>
            <w:r>
              <w:rPr>
                <w:rFonts w:ascii="Times New Roman" w:cs="Times New Roman" w:eastAsia="Times New Roman" w:hAnsi="Times New Roman"/>
                <w:sz w:val="18"/>
                <w:szCs w:val="18"/>
                <w:color w:val="auto"/>
              </w:rPr>
              <w:t>Asset Sales</w:t>
            </w:r>
          </w:p>
        </w:tc>
        <w:tc>
          <w:tcPr>
            <w:tcW w:w="2140" w:type="dxa"/>
            <w:vAlign w:val="bottom"/>
            <w:gridSpan w:val="3"/>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82</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83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84</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138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Swap Agreements</w:t>
            </w:r>
          </w:p>
        </w:tc>
        <w:tc>
          <w:tcPr>
            <w:tcW w:w="1000" w:type="dxa"/>
            <w:vAlign w:val="bottom"/>
            <w:tcBorders>
              <w:top w:val="single" w:sz="8" w:color="auto"/>
            </w:tcBorders>
            <w:gridSpan w:val="12"/>
          </w:tcPr>
          <w:p>
            <w:pPr>
              <w:spacing w:after="0"/>
              <w:rPr>
                <w:sz w:val="18"/>
                <w:szCs w:val="18"/>
                <w:color w:val="auto"/>
              </w:rPr>
            </w:pPr>
          </w:p>
        </w:tc>
        <w:tc>
          <w:tcPr>
            <w:tcW w:w="4120" w:type="dxa"/>
            <w:vAlign w:val="bottom"/>
            <w:gridSpan w:val="11"/>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83</w:t>
            </w:r>
          </w:p>
        </w:tc>
        <w:tc>
          <w:tcPr>
            <w:tcW w:w="18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84</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2020" w:type="dxa"/>
            <w:vAlign w:val="bottom"/>
            <w:tcBorders>
              <w:top w:val="single" w:sz="8" w:color="auto"/>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Transactions with Affiliates</w:t>
            </w:r>
          </w:p>
        </w:tc>
        <w:tc>
          <w:tcPr>
            <w:tcW w:w="2000" w:type="dxa"/>
            <w:vAlign w:val="bottom"/>
            <w:tcBorders>
              <w:top w:val="single" w:sz="8" w:color="auto"/>
            </w:tcBorders>
            <w:gridSpan w:val="9"/>
          </w:tcPr>
          <w:p>
            <w:pPr>
              <w:spacing w:after="0"/>
              <w:rPr>
                <w:sz w:val="18"/>
                <w:szCs w:val="18"/>
                <w:color w:val="auto"/>
              </w:rPr>
            </w:pPr>
          </w:p>
        </w:tc>
        <w:tc>
          <w:tcPr>
            <w:tcW w:w="2480" w:type="dxa"/>
            <w:vAlign w:val="bottom"/>
            <w:gridSpan w:val="5"/>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85</w:t>
            </w:r>
          </w:p>
        </w:tc>
        <w:tc>
          <w:tcPr>
            <w:tcW w:w="18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17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Restrictive Agreements</w:t>
            </w:r>
          </w:p>
        </w:tc>
        <w:tc>
          <w:tcPr>
            <w:tcW w:w="4780" w:type="dxa"/>
            <w:vAlign w:val="bottom"/>
            <w:gridSpan w:val="17"/>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85</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Amendment of Material Documents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85</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86</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1480" w:type="dxa"/>
            <w:vAlign w:val="bottom"/>
            <w:tcBorders>
              <w:top w:val="single" w:sz="8" w:color="auto"/>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Financial Covenants</w:t>
            </w:r>
          </w:p>
        </w:tc>
        <w:tc>
          <w:tcPr>
            <w:tcW w:w="1120" w:type="dxa"/>
            <w:vAlign w:val="bottom"/>
            <w:tcBorders>
              <w:top w:val="single" w:sz="8" w:color="auto"/>
            </w:tcBorders>
            <w:gridSpan w:val="11"/>
          </w:tcPr>
          <w:p>
            <w:pPr>
              <w:spacing w:after="0"/>
              <w:rPr>
                <w:sz w:val="18"/>
                <w:szCs w:val="18"/>
                <w:color w:val="auto"/>
              </w:rPr>
            </w:pPr>
          </w:p>
        </w:tc>
        <w:tc>
          <w:tcPr>
            <w:tcW w:w="3900" w:type="dxa"/>
            <w:vAlign w:val="bottom"/>
            <w:gridSpan w:val="10"/>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85</w:t>
            </w:r>
          </w:p>
        </w:tc>
        <w:tc>
          <w:tcPr>
            <w:tcW w:w="18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4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86</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4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89</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Authorization and Action</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89</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90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56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8"/>
                <w:szCs w:val="18"/>
                <w:color w:val="auto"/>
                <w:w w:val="99"/>
              </w:rPr>
              <w:t>Administrative Agent’s Reliance, Limitation of Liability, Indemnification, Etc.</w:t>
            </w:r>
          </w:p>
        </w:tc>
        <w:tc>
          <w:tcPr>
            <w:tcW w:w="820" w:type="dxa"/>
            <w:vAlign w:val="bottom"/>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91</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20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Posting of Communications</w:t>
            </w:r>
          </w:p>
        </w:tc>
        <w:tc>
          <w:tcPr>
            <w:tcW w:w="4480" w:type="dxa"/>
            <w:vAlign w:val="bottom"/>
            <w:gridSpan w:val="14"/>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92</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282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9"/>
              </w:rPr>
              <w:t>The Administrative Agent Individually</w:t>
            </w:r>
          </w:p>
        </w:tc>
        <w:tc>
          <w:tcPr>
            <w:tcW w:w="3680" w:type="dxa"/>
            <w:vAlign w:val="bottom"/>
            <w:gridSpan w:val="9"/>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93</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23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9"/>
              </w:rPr>
              <w:t>Successor Administrative Agent</w:t>
            </w:r>
          </w:p>
        </w:tc>
        <w:tc>
          <w:tcPr>
            <w:tcW w:w="4160" w:type="dxa"/>
            <w:vAlign w:val="bottom"/>
            <w:gridSpan w:val="12"/>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93</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354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w w:val="99"/>
              </w:rPr>
              <w:t>Acknowledgments of Lenders and Issuing Banks</w:t>
            </w:r>
          </w:p>
        </w:tc>
        <w:tc>
          <w:tcPr>
            <w:tcW w:w="2960" w:type="dxa"/>
            <w:vAlign w:val="bottom"/>
            <w:gridSpan w:val="8"/>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94</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Collateral Matters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96</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97</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10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Credit Bidding</w:t>
            </w:r>
          </w:p>
        </w:tc>
        <w:tc>
          <w:tcPr>
            <w:tcW w:w="220" w:type="dxa"/>
            <w:vAlign w:val="bottom"/>
            <w:tcBorders>
              <w:top w:val="single" w:sz="8" w:color="auto"/>
            </w:tcBorders>
            <w:gridSpan w:val="2"/>
          </w:tcPr>
          <w:p>
            <w:pPr>
              <w:spacing w:after="0"/>
              <w:rPr>
                <w:sz w:val="18"/>
                <w:szCs w:val="18"/>
                <w:color w:val="auto"/>
              </w:rPr>
            </w:pPr>
          </w:p>
        </w:tc>
        <w:tc>
          <w:tcPr>
            <w:tcW w:w="5200" w:type="dxa"/>
            <w:vAlign w:val="bottom"/>
            <w:gridSpan w:val="24"/>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96</w:t>
            </w:r>
          </w:p>
        </w:tc>
        <w:tc>
          <w:tcPr>
            <w:tcW w:w="18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17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Certain ERISA Matters</w:t>
            </w:r>
          </w:p>
        </w:tc>
        <w:tc>
          <w:tcPr>
            <w:tcW w:w="4800" w:type="dxa"/>
            <w:vAlign w:val="bottom"/>
            <w:gridSpan w:val="18"/>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97</w:t>
            </w:r>
          </w:p>
        </w:tc>
        <w:tc>
          <w:tcPr>
            <w:tcW w:w="1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88"/>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4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99</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100</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Notices</w:t>
            </w:r>
          </w:p>
        </w:tc>
        <w:tc>
          <w:tcPr>
            <w:tcW w:w="5940" w:type="dxa"/>
            <w:vAlign w:val="bottom"/>
            <w:gridSpan w:val="31"/>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9"/>
              </w:rPr>
              <w:t>99</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100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Waivers; Amendments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102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Expenses; Limitation of Liability; Indemnity; Etc</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104</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172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Successors and Assigns</w:t>
            </w:r>
          </w:p>
        </w:tc>
        <w:tc>
          <w:tcPr>
            <w:tcW w:w="1840" w:type="dxa"/>
            <w:vAlign w:val="bottom"/>
            <w:tcBorders>
              <w:top w:val="single" w:sz="8" w:color="auto"/>
            </w:tcBorders>
            <w:gridSpan w:val="10"/>
          </w:tcPr>
          <w:p>
            <w:pPr>
              <w:spacing w:after="0"/>
              <w:rPr>
                <w:sz w:val="18"/>
                <w:szCs w:val="18"/>
                <w:color w:val="auto"/>
              </w:rPr>
            </w:pPr>
          </w:p>
        </w:tc>
        <w:tc>
          <w:tcPr>
            <w:tcW w:w="2940" w:type="dxa"/>
            <w:vAlign w:val="bottom"/>
            <w:gridSpan w:val="7"/>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105</w:t>
            </w:r>
          </w:p>
        </w:tc>
        <w:tc>
          <w:tcPr>
            <w:tcW w:w="26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106</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Survival</w:t>
            </w:r>
          </w:p>
        </w:tc>
        <w:tc>
          <w:tcPr>
            <w:tcW w:w="5880" w:type="dxa"/>
            <w:vAlign w:val="bottom"/>
            <w:gridSpan w:val="30"/>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108</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109</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108</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109</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Severability</w:t>
            </w:r>
          </w:p>
        </w:tc>
        <w:tc>
          <w:tcPr>
            <w:tcW w:w="3600" w:type="dxa"/>
            <w:vAlign w:val="bottom"/>
            <w:tcBorders>
              <w:top w:val="single" w:sz="8" w:color="auto"/>
            </w:tcBorders>
            <w:gridSpan w:val="25"/>
          </w:tcPr>
          <w:p>
            <w:pPr>
              <w:spacing w:after="0"/>
              <w:rPr>
                <w:sz w:val="18"/>
                <w:szCs w:val="18"/>
                <w:color w:val="auto"/>
              </w:rPr>
            </w:pPr>
          </w:p>
        </w:tc>
        <w:tc>
          <w:tcPr>
            <w:tcW w:w="2020" w:type="dxa"/>
            <w:vAlign w:val="bottom"/>
            <w:gridSpan w:val="2"/>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109</w:t>
            </w:r>
          </w:p>
        </w:tc>
        <w:tc>
          <w:tcPr>
            <w:tcW w:w="26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Right of Setoff</w:t>
            </w:r>
          </w:p>
        </w:tc>
        <w:tc>
          <w:tcPr>
            <w:tcW w:w="5420" w:type="dxa"/>
            <w:vAlign w:val="bottom"/>
            <w:gridSpan w:val="26"/>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109</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110</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4320" w:type="dxa"/>
            <w:vAlign w:val="bottom"/>
            <w:tcBorders>
              <w:bottom w:val="single" w:sz="8" w:color="auto"/>
            </w:tcBorders>
            <w:gridSpan w:val="28"/>
          </w:tcPr>
          <w:p>
            <w:pPr>
              <w:spacing w:after="0"/>
              <w:rPr>
                <w:sz w:val="20"/>
                <w:szCs w:val="20"/>
                <w:color w:val="auto"/>
              </w:rPr>
            </w:pPr>
            <w:r>
              <w:rPr>
                <w:rFonts w:ascii="Times New Roman" w:cs="Times New Roman" w:eastAsia="Times New Roman" w:hAnsi="Times New Roman"/>
                <w:sz w:val="18"/>
                <w:szCs w:val="18"/>
                <w:color w:val="auto"/>
                <w:w w:val="99"/>
              </w:rPr>
              <w:t>Governing Law; Jurisdiction; Consent to Service of Process</w:t>
            </w:r>
          </w:p>
        </w:tc>
        <w:tc>
          <w:tcPr>
            <w:tcW w:w="2180" w:type="dxa"/>
            <w:vAlign w:val="bottom"/>
            <w:gridSpan w:val="4"/>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109</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111</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20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7"/>
              </w:rPr>
              <w:t>WAIVER OF JURY TRIAL</w:t>
            </w:r>
          </w:p>
        </w:tc>
        <w:tc>
          <w:tcPr>
            <w:tcW w:w="4460" w:type="dxa"/>
            <w:vAlign w:val="bottom"/>
            <w:gridSpan w:val="13"/>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110</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Headings</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112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11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Confidentiality</w:t>
            </w:r>
          </w:p>
        </w:tc>
        <w:tc>
          <w:tcPr>
            <w:tcW w:w="5400" w:type="dxa"/>
            <w:vAlign w:val="bottom"/>
            <w:gridSpan w:val="25"/>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111</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112</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Several Obligations; Nonreliance; Violation of Law</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144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6"/>
              </w:rPr>
              <w:t>USA PATRIOT Act</w:t>
            </w:r>
          </w:p>
        </w:tc>
        <w:tc>
          <w:tcPr>
            <w:tcW w:w="2280" w:type="dxa"/>
            <w:vAlign w:val="bottom"/>
            <w:tcBorders>
              <w:top w:val="single" w:sz="8" w:color="auto"/>
            </w:tcBorders>
            <w:gridSpan w:val="16"/>
          </w:tcPr>
          <w:p>
            <w:pPr>
              <w:spacing w:after="0"/>
              <w:rPr>
                <w:sz w:val="18"/>
                <w:szCs w:val="18"/>
                <w:color w:val="auto"/>
              </w:rPr>
            </w:pPr>
          </w:p>
        </w:tc>
        <w:tc>
          <w:tcPr>
            <w:tcW w:w="2780" w:type="dxa"/>
            <w:vAlign w:val="bottom"/>
            <w:gridSpan w:val="6"/>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Disclosure</w:t>
            </w:r>
          </w:p>
        </w:tc>
        <w:tc>
          <w:tcPr>
            <w:tcW w:w="5680" w:type="dxa"/>
            <w:vAlign w:val="bottom"/>
            <w:gridSpan w:val="28"/>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20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Appointment for Perfection</w:t>
            </w:r>
          </w:p>
        </w:tc>
        <w:tc>
          <w:tcPr>
            <w:tcW w:w="4500" w:type="dxa"/>
            <w:vAlign w:val="bottom"/>
            <w:gridSpan w:val="15"/>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Interest Rate Limitation</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170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8"/>
              </w:rPr>
              <w:t>No Fiduciary Duty, etc.</w:t>
            </w:r>
          </w:p>
        </w:tc>
        <w:tc>
          <w:tcPr>
            <w:tcW w:w="20" w:type="dxa"/>
            <w:vAlign w:val="bottom"/>
            <w:tcBorders>
              <w:top w:val="single" w:sz="8" w:color="auto"/>
            </w:tcBorders>
          </w:tcPr>
          <w:p>
            <w:pPr>
              <w:spacing w:after="0"/>
              <w:rPr>
                <w:sz w:val="18"/>
                <w:szCs w:val="18"/>
                <w:color w:val="auto"/>
              </w:rPr>
            </w:pPr>
          </w:p>
        </w:tc>
        <w:tc>
          <w:tcPr>
            <w:tcW w:w="4780" w:type="dxa"/>
            <w:vAlign w:val="bottom"/>
            <w:gridSpan w:val="17"/>
          </w:tcPr>
          <w:p>
            <w:pPr>
              <w:spacing w:after="0"/>
              <w:rPr>
                <w:sz w:val="18"/>
                <w:szCs w:val="18"/>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112</w:t>
            </w:r>
          </w:p>
        </w:tc>
        <w:tc>
          <w:tcPr>
            <w:tcW w:w="26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88"/>
              </w:rPr>
              <w:t>113</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65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Marketing Consent</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EE2724"/>
                <w:strike w:val="1"/>
                <w:w w:val="96"/>
              </w:rPr>
              <w:t>113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8"/>
              </w:rPr>
              <w:t>114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99"/>
          </w:cols>
          <w:pgMar w:left="360" w:top="1440" w:right="1440" w:bottom="1440" w:gutter="0" w:footer="0" w:header="0"/>
        </w:sectPr>
      </w:pPr>
    </w:p>
    <w:bookmarkStart w:id="46" w:name="page47"/>
    <w:bookmarkEnd w:id="46"/>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9.20.</w:t>
            </w:r>
          </w:p>
        </w:tc>
        <w:tc>
          <w:tcPr>
            <w:tcW w:w="54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w w:val="99"/>
              </w:rPr>
              <w:t>Acknowledgment and Consent to Bail-In of Affected Financial Institutions</w:t>
            </w:r>
          </w:p>
        </w:tc>
        <w:tc>
          <w:tcPr>
            <w:tcW w:w="1380" w:type="dxa"/>
            <w:vAlign w:val="bottom"/>
            <w:vMerge w:val="restart"/>
          </w:tcPr>
          <w:p>
            <w:pPr>
              <w:spacing w:after="0"/>
              <w:rPr>
                <w:sz w:val="2"/>
                <w:szCs w:val="2"/>
                <w:color w:val="auto"/>
              </w:rPr>
            </w:pPr>
          </w:p>
        </w:tc>
        <w:tc>
          <w:tcPr>
            <w:tcW w:w="4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E32E1"/>
                <w:w w:val="88"/>
              </w:rPr>
              <w:t>114</w:t>
            </w:r>
          </w:p>
        </w:tc>
        <w:tc>
          <w:tcPr>
            <w:tcW w:w="0" w:type="dxa"/>
            <w:vAlign w:val="bottom"/>
          </w:tcPr>
          <w:p>
            <w:pPr>
              <w:spacing w:after="0" w:line="20" w:lineRule="exact"/>
              <w:rPr>
                <w:sz w:val="1"/>
                <w:szCs w:val="1"/>
                <w:color w:val="auto"/>
              </w:rPr>
            </w:pPr>
          </w:p>
        </w:tc>
      </w:tr>
      <w:tr>
        <w:trPr>
          <w:trHeight w:val="179"/>
        </w:trPr>
        <w:tc>
          <w:tcPr>
            <w:tcW w:w="1960" w:type="dxa"/>
            <w:vAlign w:val="bottom"/>
            <w:vMerge w:val="continue"/>
          </w:tcPr>
          <w:p>
            <w:pPr>
              <w:spacing w:after="0"/>
              <w:rPr>
                <w:sz w:val="15"/>
                <w:szCs w:val="15"/>
                <w:color w:val="auto"/>
              </w:rPr>
            </w:pPr>
          </w:p>
        </w:tc>
        <w:tc>
          <w:tcPr>
            <w:tcW w:w="5400" w:type="dxa"/>
            <w:vAlign w:val="bottom"/>
            <w:tcBorders>
              <w:bottom w:val="single" w:sz="8" w:color="auto"/>
            </w:tcBorders>
            <w:gridSpan w:val="13"/>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60" w:type="dxa"/>
            <w:vAlign w:val="bottom"/>
            <w:tcBorders>
              <w:bottom w:val="single" w:sz="8" w:color="0E32E1"/>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ARTICLE X Loan Guaranty</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114</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115</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Guaranty</w:t>
            </w:r>
          </w:p>
        </w:tc>
        <w:tc>
          <w:tcPr>
            <w:tcW w:w="6100" w:type="dxa"/>
            <w:vAlign w:val="bottom"/>
            <w:gridSpan w:val="13"/>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114</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115</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Guaranty of Payment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116</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12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Defenses Waived</w:t>
            </w:r>
          </w:p>
        </w:tc>
        <w:tc>
          <w:tcPr>
            <w:tcW w:w="2320" w:type="dxa"/>
            <w:vAlign w:val="bottom"/>
            <w:tcBorders>
              <w:top w:val="single" w:sz="8" w:color="auto"/>
            </w:tcBorders>
            <w:gridSpan w:val="6"/>
          </w:tcPr>
          <w:p>
            <w:pPr>
              <w:spacing w:after="0"/>
              <w:rPr>
                <w:sz w:val="18"/>
                <w:szCs w:val="18"/>
                <w:color w:val="auto"/>
              </w:rPr>
            </w:pPr>
          </w:p>
        </w:tc>
        <w:tc>
          <w:tcPr>
            <w:tcW w:w="3200" w:type="dxa"/>
            <w:vAlign w:val="bottom"/>
            <w:gridSpan w:val="3"/>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115</w:t>
            </w:r>
          </w:p>
        </w:tc>
        <w:tc>
          <w:tcPr>
            <w:tcW w:w="26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116</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16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Rights of Subrogation</w:t>
            </w:r>
          </w:p>
        </w:tc>
        <w:tc>
          <w:tcPr>
            <w:tcW w:w="5180" w:type="dxa"/>
            <w:vAlign w:val="bottom"/>
            <w:gridSpan w:val="6"/>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115</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117</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Reinstatement; Stay of Acceleration</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117</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26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Information</w:t>
            </w:r>
          </w:p>
        </w:tc>
        <w:tc>
          <w:tcPr>
            <w:tcW w:w="4180" w:type="dxa"/>
            <w:vAlign w:val="bottom"/>
            <w:gridSpan w:val="4"/>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116</w:t>
            </w:r>
          </w:p>
        </w:tc>
        <w:tc>
          <w:tcPr>
            <w:tcW w:w="26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20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Release of Loan Guarantors</w:t>
            </w:r>
          </w:p>
        </w:tc>
        <w:tc>
          <w:tcPr>
            <w:tcW w:w="4760" w:type="dxa"/>
            <w:vAlign w:val="bottom"/>
            <w:gridSpan w:val="5"/>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116</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117</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[Reserved].</w:t>
            </w:r>
          </w:p>
        </w:tc>
        <w:tc>
          <w:tcPr>
            <w:tcW w:w="5920" w:type="dxa"/>
            <w:vAlign w:val="bottom"/>
            <w:gridSpan w:val="11"/>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116</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117</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Maximum Liability</w:t>
            </w:r>
          </w:p>
        </w:tc>
        <w:tc>
          <w:tcPr>
            <w:tcW w:w="5360" w:type="dxa"/>
            <w:vAlign w:val="bottom"/>
            <w:gridSpan w:val="8"/>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116</w:t>
            </w:r>
          </w:p>
        </w:tc>
        <w:tc>
          <w:tcPr>
            <w:tcW w:w="2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118</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6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Liability Cumulative</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E32E1"/>
                <w:w w:val="88"/>
              </w:rPr>
              <w:t>118</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Keepwell</w:t>
            </w:r>
          </w:p>
        </w:tc>
        <w:tc>
          <w:tcPr>
            <w:tcW w:w="840" w:type="dxa"/>
            <w:vAlign w:val="bottom"/>
            <w:tcBorders>
              <w:top w:val="single" w:sz="8" w:color="auto"/>
            </w:tcBorders>
            <w:gridSpan w:val="5"/>
          </w:tcPr>
          <w:p>
            <w:pPr>
              <w:spacing w:after="0"/>
              <w:rPr>
                <w:sz w:val="18"/>
                <w:szCs w:val="18"/>
                <w:color w:val="auto"/>
              </w:rPr>
            </w:pPr>
          </w:p>
        </w:tc>
        <w:tc>
          <w:tcPr>
            <w:tcW w:w="5240" w:type="dxa"/>
            <w:vAlign w:val="bottom"/>
            <w:gridSpan w:val="7"/>
          </w:tcPr>
          <w:p>
            <w:pPr>
              <w:spacing w:after="0"/>
              <w:rPr>
                <w:sz w:val="18"/>
                <w:szCs w:val="18"/>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EE2724"/>
                <w:strike w:val="1"/>
                <w:w w:val="88"/>
              </w:rPr>
              <w:t>117</w:t>
            </w:r>
          </w:p>
        </w:tc>
        <w:tc>
          <w:tcPr>
            <w:tcW w:w="26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8"/>
                <w:szCs w:val="18"/>
                <w:color w:val="0E32E1"/>
                <w:w w:val="88"/>
              </w:rPr>
              <w:t>118</w:t>
            </w:r>
          </w:p>
        </w:tc>
        <w:tc>
          <w:tcPr>
            <w:tcW w:w="0" w:type="dxa"/>
            <w:vAlign w:val="bottom"/>
          </w:tcPr>
          <w:p>
            <w:pPr>
              <w:spacing w:after="0"/>
              <w:rPr>
                <w:sz w:val="1"/>
                <w:szCs w:val="1"/>
                <w:color w:val="auto"/>
              </w:rPr>
            </w:pPr>
          </w:p>
        </w:tc>
      </w:tr>
    </w:tbl>
    <w:p>
      <w:pPr>
        <w:sectPr>
          <w:pgSz w:w="11900" w:h="16838" w:orient="portrait"/>
          <w:cols w:equalWidth="0" w:num="1">
            <w:col w:w="10099"/>
          </w:cols>
          <w:pgMar w:left="360" w:top="1440" w:right="1440"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2.06 – Existing Letters of Credit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3.05 – Properties, etc.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3.12 – Material Agreements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3.14 – Insurance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3.15 – Capitalization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5.15 – Post-Closing Requirements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6.01 – Existing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6.02 – Existing Liens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6.04 – Existing Investments</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6.10 – Existing Restrictions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A –</w:t>
      </w:r>
      <w:r>
        <w:rPr>
          <w:sz w:val="20"/>
          <w:szCs w:val="20"/>
          <w:color w:val="auto"/>
        </w:rPr>
        <w:tab/>
      </w:r>
      <w:r>
        <w:rPr>
          <w:rFonts w:ascii="Times New Roman" w:cs="Times New Roman" w:eastAsia="Times New Roman" w:hAnsi="Times New Roman"/>
          <w:sz w:val="19"/>
          <w:szCs w:val="19"/>
          <w:color w:val="auto"/>
        </w:rPr>
        <w:t>Assignment and Assumption</w:t>
      </w:r>
    </w:p>
    <w:p>
      <w:pPr>
        <w:spacing w:after="0" w:line="2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B –</w:t>
        <w:tab/>
        <w:t>[Reserved]</w:t>
      </w:r>
    </w:p>
    <w:p>
      <w:pPr>
        <w:spacing w:after="0" w:line="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Exhibit C-1 –</w:t>
      </w:r>
      <w:r>
        <w:rPr>
          <w:sz w:val="20"/>
          <w:szCs w:val="20"/>
          <w:color w:val="auto"/>
        </w:rPr>
        <w:tab/>
      </w:r>
      <w:r>
        <w:rPr>
          <w:rFonts w:ascii="Times New Roman" w:cs="Times New Roman" w:eastAsia="Times New Roman" w:hAnsi="Times New Roman"/>
          <w:sz w:val="19"/>
          <w:szCs w:val="19"/>
          <w:color w:val="auto"/>
        </w:rPr>
        <w:t>Borrowing Request</w:t>
      </w:r>
    </w:p>
    <w:p>
      <w:pPr>
        <w:spacing w:after="0" w:line="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Exhibit C-2 –</w:t>
      </w:r>
      <w:r>
        <w:rPr>
          <w:sz w:val="20"/>
          <w:szCs w:val="20"/>
          <w:color w:val="auto"/>
        </w:rPr>
        <w:tab/>
      </w:r>
      <w:r>
        <w:rPr>
          <w:rFonts w:ascii="Times New Roman" w:cs="Times New Roman" w:eastAsia="Times New Roman" w:hAnsi="Times New Roman"/>
          <w:sz w:val="19"/>
          <w:szCs w:val="19"/>
          <w:color w:val="auto"/>
        </w:rPr>
        <w:t>Interest Election Request</w:t>
      </w:r>
    </w:p>
    <w:p>
      <w:pPr>
        <w:spacing w:after="0" w:line="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Exhibit D-1 –</w:t>
      </w:r>
      <w:r>
        <w:rPr>
          <w:sz w:val="20"/>
          <w:szCs w:val="20"/>
          <w:color w:val="auto"/>
        </w:rPr>
        <w:tab/>
      </w:r>
      <w:r>
        <w:rPr>
          <w:rFonts w:ascii="Times New Roman" w:cs="Times New Roman" w:eastAsia="Times New Roman" w:hAnsi="Times New Roman"/>
          <w:sz w:val="19"/>
          <w:szCs w:val="19"/>
          <w:color w:val="auto"/>
        </w:rPr>
        <w:t>U.S. Tax Compliance Certificate (For Foreign Lenders That Are Not Partnerships For U.S. Federal Income Tax Purposes)</w:t>
      </w:r>
    </w:p>
    <w:p>
      <w:pPr>
        <w:spacing w:after="0" w:line="6" w:lineRule="exact"/>
        <w:rPr>
          <w:sz w:val="20"/>
          <w:szCs w:val="20"/>
          <w:color w:val="auto"/>
        </w:rPr>
      </w:pPr>
    </w:p>
    <w:p>
      <w:pPr>
        <w:ind w:left="1300" w:right="2360" w:hanging="1295"/>
        <w:spacing w:after="0" w:line="250" w:lineRule="auto"/>
        <w:tabs>
          <w:tab w:leader="none" w:pos="1280" w:val="left"/>
        </w:tabs>
        <w:rPr>
          <w:sz w:val="20"/>
          <w:szCs w:val="20"/>
          <w:color w:val="auto"/>
        </w:rPr>
      </w:pPr>
      <w:r>
        <w:rPr>
          <w:rFonts w:ascii="Times New Roman" w:cs="Times New Roman" w:eastAsia="Times New Roman" w:hAnsi="Times New Roman"/>
          <w:sz w:val="20"/>
          <w:szCs w:val="20"/>
          <w:color w:val="auto"/>
        </w:rPr>
        <w:t>Exhibit D-2 –</w:t>
        <w:tab/>
        <w:t>U.S. Tax Compliance Certificate (For Foreign Participants That Are Not Partnerships For U.S. Federal Income Tax Purposes)</w:t>
      </w: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Exhibit D-3 –</w:t>
      </w:r>
      <w:r>
        <w:rPr>
          <w:sz w:val="20"/>
          <w:szCs w:val="20"/>
          <w:color w:val="auto"/>
        </w:rPr>
        <w:tab/>
      </w:r>
      <w:r>
        <w:rPr>
          <w:rFonts w:ascii="Times New Roman" w:cs="Times New Roman" w:eastAsia="Times New Roman" w:hAnsi="Times New Roman"/>
          <w:sz w:val="19"/>
          <w:szCs w:val="19"/>
          <w:color w:val="auto"/>
        </w:rPr>
        <w:t>U.S. Tax Compliance Certificate (For Foreign Participants That Are Partnerships For U.S.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Exhibit D-4 –</w:t>
      </w:r>
      <w:r>
        <w:rPr>
          <w:sz w:val="20"/>
          <w:szCs w:val="20"/>
          <w:color w:val="auto"/>
        </w:rPr>
        <w:tab/>
      </w:r>
      <w:r>
        <w:rPr>
          <w:rFonts w:ascii="Times New Roman" w:cs="Times New Roman" w:eastAsia="Times New Roman" w:hAnsi="Times New Roman"/>
          <w:sz w:val="19"/>
          <w:szCs w:val="19"/>
          <w:color w:val="auto"/>
        </w:rPr>
        <w:t>U.S. Tax Compliance Certificate (For Foreign Lenders That Are Partnerships For U.S.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E –</w:t>
      </w:r>
      <w:r>
        <w:rPr>
          <w:sz w:val="20"/>
          <w:szCs w:val="20"/>
          <w:color w:val="auto"/>
        </w:rPr>
        <w:tab/>
      </w:r>
      <w:r>
        <w:rPr>
          <w:rFonts w:ascii="Times New Roman" w:cs="Times New Roman" w:eastAsia="Times New Roman" w:hAnsi="Times New Roman"/>
          <w:sz w:val="19"/>
          <w:szCs w:val="19"/>
          <w:color w:val="auto"/>
        </w:rPr>
        <w:t>Compliance Certificate</w:t>
      </w:r>
    </w:p>
    <w:p>
      <w:pPr>
        <w:spacing w:after="0" w:line="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F –</w:t>
      </w:r>
      <w:r>
        <w:rPr>
          <w:sz w:val="20"/>
          <w:szCs w:val="20"/>
          <w:color w:val="auto"/>
        </w:rPr>
        <w:tab/>
      </w:r>
      <w:r>
        <w:rPr>
          <w:rFonts w:ascii="Times New Roman" w:cs="Times New Roman" w:eastAsia="Times New Roman" w:hAnsi="Times New Roman"/>
          <w:sz w:val="19"/>
          <w:szCs w:val="19"/>
          <w:color w:val="auto"/>
        </w:rPr>
        <w:t>Joinder Agreement</w:t>
      </w:r>
    </w:p>
    <w:p>
      <w:pPr>
        <w:sectPr>
          <w:pgSz w:w="11900" w:h="16838" w:orient="portrait"/>
          <w:cols w:equalWidth="0" w:num="1">
            <w:col w:w="10980"/>
          </w:cols>
          <w:pgMar w:left="320" w:top="1422" w:right="59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CREDIT AGREEMENT (as it may be amended, restated, supplemented or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September 26, 2023, among NERDWALLET, INC., a Delaware corporation, as the Borrower, the other Loan Parties party hereto, the Lenders party hereto, and JPMORGAN CHASE BANK, N.A., as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parties hereto agree as follows: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010000"/>
        </w:rPr>
        <w:t>ARTICLE I</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10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1.01.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whether such Loan, or the Loans comprising such Borrowing, is bearing interest at a rate determined by reference to the Alternate Base Rate.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“Account” has the meaning assigned to such term in the Security Agreement.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“Account Debtor” means any Person obligated on an Account.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xml:space="preserve">” means any transaction, or any series of related transactions, consummated on or after the Effective Date, by which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Covenant Period</w:t>
      </w:r>
      <w:r>
        <w:rPr>
          <w:rFonts w:ascii="Times New Roman" w:cs="Times New Roman" w:eastAsia="Times New Roman" w:hAnsi="Times New Roman"/>
          <w:sz w:val="19"/>
          <w:szCs w:val="19"/>
          <w:color w:val="auto"/>
        </w:rPr>
        <w:t>” has the meaning assigned to such term in Section 6.12.</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SOFR</w:t>
      </w:r>
      <w:r>
        <w:rPr>
          <w:rFonts w:ascii="Times New Roman" w:cs="Times New Roman" w:eastAsia="Times New Roman" w:hAnsi="Times New Roman"/>
          <w:sz w:val="19"/>
          <w:szCs w:val="19"/>
          <w:color w:val="auto"/>
        </w:rPr>
        <w:t xml:space="preserve">” means, with respect to any RFR Borrowing, an interest rate per annum equal to (a) Daily Simple SOFR,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(b) 0.10%;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if the Adjusted Daily Simple SOFR as so determined would be less than the Floor, such rate shall be deemed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equal to the Floor for the purposes of this Agreement.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 Rate</w:t>
      </w:r>
      <w:r>
        <w:rPr>
          <w:rFonts w:ascii="Times New Roman" w:cs="Times New Roman" w:eastAsia="Times New Roman" w:hAnsi="Times New Roman"/>
          <w:sz w:val="19"/>
          <w:szCs w:val="19"/>
          <w:color w:val="auto"/>
        </w:rPr>
        <w:t xml:space="preserve">” means, with respect to any Term Benchmark Borrowing for any Interest Period or for any ABR Borrowing based on the Adjusted Term SOFR Rate, an interest rate per annum equal to (a) the Term SOFR Rate for such Interest Period, plus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 shall be deemed to be equal to the Floor for the purposes of this Agreement.</w:t>
      </w:r>
    </w:p>
    <w:p>
      <w:pPr>
        <w:spacing w:after="0" w:line="18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JPMorgan Chase Bank, N.A. (or any of its designated branch offices or affiliates), in its capacity as administrative agent for the Lenders hereunder.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14"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specified Person.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Agent-Related Person</w:t>
      </w:r>
      <w:r>
        <w:rPr>
          <w:rFonts w:ascii="Times New Roman" w:cs="Times New Roman" w:eastAsia="Times New Roman" w:hAnsi="Times New Roman"/>
          <w:sz w:val="19"/>
          <w:szCs w:val="19"/>
          <w:color w:val="auto"/>
        </w:rPr>
        <w:t>” has the meaning assigned to such term in Section 9.03(d).</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type w:val="continuous"/>
        </w:sectPr>
      </w:pPr>
    </w:p>
    <w:bookmarkStart w:id="49" w:name="page50"/>
    <w:bookmarkEnd w:id="49"/>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Revolving Exposure</w:t>
      </w:r>
      <w:r>
        <w:rPr>
          <w:rFonts w:ascii="Times New Roman" w:cs="Times New Roman" w:eastAsia="Times New Roman" w:hAnsi="Times New Roman"/>
          <w:sz w:val="19"/>
          <w:szCs w:val="19"/>
          <w:color w:val="auto"/>
        </w:rPr>
        <w:t>” means, at any time, the aggregate Revolving Exposure of all the Lenders at such time.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xml:space="preserve">” means, for any day, a rate per annum equal to the greatest of (a) the Prime Rate in effect on such day, (b) the NYFRB Rate in effect on such day plus ½ of 1%, and (c) the Adjusted Term SOFR Rate for a one-month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has the meaning assigned to such term in Section 9.06(b).</w:t>
      </w:r>
    </w:p>
    <w:p>
      <w:pPr>
        <w:spacing w:after="0" w:line="22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any jurisdiction applicable to the Borrower or any of its Affiliates from time to time concerning or relating to bribery or corruption.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has the meaning assigned to such term in Section 8.03(c).</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accordance with Section 2.20, so long as any Lender shall be a Defaulting Lender, such Defaulting Lender’s Revolving Commitment shall be disregarded in the calculations above.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Rate</w:t>
      </w:r>
      <w:r>
        <w:rPr>
          <w:rFonts w:ascii="Times New Roman" w:cs="Times New Roman" w:eastAsia="Times New Roman" w:hAnsi="Times New Roman"/>
          <w:sz w:val="19"/>
          <w:szCs w:val="19"/>
          <w:color w:val="auto"/>
        </w:rPr>
        <w:t xml:space="preserve">” means, for any day, with respect to any ABR Loan, Term Benchmark Loan or RFR Loan, or with respect to the commitment fees payable hereunder, as the case may be, the applicable rate per annum set forth below under the caption “ABR Spread”, “Term Benchmark and RFR Spread” or “Commitment Fee Rate”, as the case may be, based upon the Borrower’s Total Net Leverage Ratio as of the most recent determination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until the delivery to the Administrative Agent of the Financial Statements pursuant to Section 5.01(a) or</w:t>
      </w:r>
    </w:p>
    <w:p>
      <w:pPr>
        <w:spacing w:after="0" w:line="2" w:lineRule="exact"/>
        <w:rPr>
          <w:sz w:val="20"/>
          <w:szCs w:val="20"/>
          <w:color w:val="auto"/>
        </w:rPr>
      </w:pPr>
    </w:p>
    <w:p>
      <w:pPr>
        <w:ind w:firstLine="8"/>
        <w:spacing w:after="0" w:line="264" w:lineRule="auto"/>
        <w:tabs>
          <w:tab w:leader="none" w:pos="29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first fiscal quarter ending after the Effective Date, the “Applicable Rate” shall be the applicable rates per annum set forth below in Category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50" w:name="page51"/>
    <w:bookmarkEnd w:id="5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680" w:type="dxa"/>
            <w:vAlign w:val="bottom"/>
            <w:tcBorders>
              <w:top w:val="single" w:sz="8" w:color="auto"/>
              <w:left w:val="single" w:sz="8" w:color="auto"/>
              <w:right w:val="single" w:sz="8" w:color="auto"/>
            </w:tcBorders>
            <w:gridSpan w:val="4"/>
            <w:shd w:val="clear" w:color="auto" w:fill="D9D9D9"/>
          </w:tcPr>
          <w:p>
            <w:pPr>
              <w:ind w:left="60"/>
              <w:spacing w:after="0"/>
              <w:rPr>
                <w:sz w:val="20"/>
                <w:szCs w:val="20"/>
                <w:color w:val="auto"/>
              </w:rPr>
            </w:pPr>
            <w:r>
              <w:rPr>
                <w:rFonts w:ascii="Times New Roman" w:cs="Times New Roman" w:eastAsia="Times New Roman" w:hAnsi="Times New Roman"/>
                <w:sz w:val="19"/>
                <w:szCs w:val="19"/>
                <w:color w:val="auto"/>
              </w:rPr>
              <w:t>Total Net Leverage Ratio</w:t>
            </w:r>
          </w:p>
        </w:tc>
        <w:tc>
          <w:tcPr>
            <w:tcW w:w="2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ABR Spread</w:t>
            </w:r>
          </w:p>
        </w:tc>
        <w:tc>
          <w:tcPr>
            <w:tcW w:w="2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8"/>
              </w:rPr>
              <w:t>Term Benchmark</w:t>
            </w:r>
          </w:p>
        </w:tc>
        <w:tc>
          <w:tcPr>
            <w:tcW w:w="2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Commitment Fee Rate</w:t>
            </w:r>
          </w:p>
        </w:tc>
      </w:tr>
      <w:tr>
        <w:trPr>
          <w:trHeight w:val="244"/>
        </w:trPr>
        <w:tc>
          <w:tcPr>
            <w:tcW w:w="920" w:type="dxa"/>
            <w:vAlign w:val="bottom"/>
            <w:tcBorders>
              <w:left w:val="single" w:sz="8" w:color="auto"/>
            </w:tcBorders>
            <w:shd w:val="clear" w:color="auto" w:fill="D9D9D9"/>
          </w:tcPr>
          <w:p>
            <w:pPr>
              <w:spacing w:after="0"/>
              <w:rPr>
                <w:sz w:val="21"/>
                <w:szCs w:val="21"/>
                <w:color w:val="auto"/>
              </w:rPr>
            </w:pPr>
          </w:p>
        </w:tc>
        <w:tc>
          <w:tcPr>
            <w:tcW w:w="84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900" w:type="dxa"/>
            <w:vAlign w:val="bottom"/>
            <w:tcBorders>
              <w:right w:val="single" w:sz="8" w:color="auto"/>
            </w:tcBorders>
            <w:shd w:val="clear" w:color="auto" w:fill="D9D9D9"/>
          </w:tcPr>
          <w:p>
            <w:pPr>
              <w:spacing w:after="0"/>
              <w:rPr>
                <w:sz w:val="21"/>
                <w:szCs w:val="21"/>
                <w:color w:val="auto"/>
              </w:rPr>
            </w:pPr>
          </w:p>
        </w:tc>
        <w:tc>
          <w:tcPr>
            <w:tcW w:w="2620" w:type="dxa"/>
            <w:vAlign w:val="bottom"/>
            <w:tcBorders>
              <w:right w:val="single" w:sz="8" w:color="auto"/>
            </w:tcBorders>
            <w:shd w:val="clear" w:color="auto" w:fill="D9D9D9"/>
          </w:tcPr>
          <w:p>
            <w:pPr>
              <w:spacing w:after="0"/>
              <w:rPr>
                <w:sz w:val="21"/>
                <w:szCs w:val="21"/>
                <w:color w:val="auto"/>
              </w:rPr>
            </w:pPr>
          </w:p>
        </w:tc>
        <w:tc>
          <w:tcPr>
            <w:tcW w:w="26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8"/>
              </w:rPr>
              <w:t>and RFR Spread</w:t>
            </w:r>
          </w:p>
        </w:tc>
        <w:tc>
          <w:tcPr>
            <w:tcW w:w="2660" w:type="dxa"/>
            <w:vAlign w:val="bottom"/>
            <w:tcBorders>
              <w:right w:val="single" w:sz="8" w:color="auto"/>
            </w:tcBorders>
            <w:shd w:val="clear" w:color="auto" w:fill="D9D9D9"/>
          </w:tcPr>
          <w:p>
            <w:pPr>
              <w:spacing w:after="0"/>
              <w:rPr>
                <w:sz w:val="21"/>
                <w:szCs w:val="21"/>
                <w:color w:val="auto"/>
              </w:rPr>
            </w:pPr>
          </w:p>
        </w:tc>
      </w:tr>
      <w:tr>
        <w:trPr>
          <w:trHeight w:val="255"/>
        </w:trPr>
        <w:tc>
          <w:tcPr>
            <w:tcW w:w="920" w:type="dxa"/>
            <w:vAlign w:val="bottom"/>
            <w:tcBorders>
              <w:left w:val="single" w:sz="8" w:color="auto"/>
              <w:bottom w:val="single" w:sz="8" w:color="auto"/>
            </w:tcBorders>
            <w:shd w:val="clear" w:color="auto" w:fill="D9D9D9"/>
          </w:tcPr>
          <w:p>
            <w:pPr>
              <w:spacing w:after="0"/>
              <w:rPr>
                <w:sz w:val="22"/>
                <w:szCs w:val="22"/>
                <w:color w:val="auto"/>
              </w:rPr>
            </w:pPr>
          </w:p>
        </w:tc>
        <w:tc>
          <w:tcPr>
            <w:tcW w:w="840" w:type="dxa"/>
            <w:vAlign w:val="bottom"/>
            <w:tcBorders>
              <w:bottom w:val="single" w:sz="8" w:color="auto"/>
            </w:tcBorders>
            <w:shd w:val="clear" w:color="auto" w:fill="D9D9D9"/>
          </w:tcPr>
          <w:p>
            <w:pPr>
              <w:spacing w:after="0"/>
              <w:rPr>
                <w:sz w:val="22"/>
                <w:szCs w:val="22"/>
                <w:color w:val="auto"/>
              </w:rPr>
            </w:pPr>
          </w:p>
        </w:tc>
        <w:tc>
          <w:tcPr>
            <w:tcW w:w="20" w:type="dxa"/>
            <w:vAlign w:val="bottom"/>
            <w:tcBorders>
              <w:bottom w:val="single" w:sz="8" w:color="auto"/>
            </w:tcBorders>
            <w:shd w:val="clear" w:color="auto" w:fill="D9D9D9"/>
          </w:tcPr>
          <w:p>
            <w:pPr>
              <w:spacing w:after="0"/>
              <w:rPr>
                <w:sz w:val="22"/>
                <w:szCs w:val="22"/>
                <w:color w:val="auto"/>
              </w:rPr>
            </w:pPr>
          </w:p>
        </w:tc>
        <w:tc>
          <w:tcPr>
            <w:tcW w:w="900" w:type="dxa"/>
            <w:vAlign w:val="bottom"/>
            <w:tcBorders>
              <w:bottom w:val="single" w:sz="8" w:color="auto"/>
              <w:right w:val="single" w:sz="8" w:color="auto"/>
            </w:tcBorders>
            <w:shd w:val="clear" w:color="auto" w:fill="D9D9D9"/>
          </w:tcPr>
          <w:p>
            <w:pPr>
              <w:spacing w:after="0"/>
              <w:rPr>
                <w:sz w:val="22"/>
                <w:szCs w:val="22"/>
                <w:color w:val="auto"/>
              </w:rPr>
            </w:pPr>
          </w:p>
        </w:tc>
        <w:tc>
          <w:tcPr>
            <w:tcW w:w="2620" w:type="dxa"/>
            <w:vAlign w:val="bottom"/>
            <w:tcBorders>
              <w:bottom w:val="single" w:sz="8" w:color="auto"/>
              <w:right w:val="single" w:sz="8" w:color="auto"/>
            </w:tcBorders>
            <w:shd w:val="clear" w:color="auto" w:fill="D9D9D9"/>
          </w:tcPr>
          <w:p>
            <w:pPr>
              <w:spacing w:after="0"/>
              <w:rPr>
                <w:sz w:val="22"/>
                <w:szCs w:val="22"/>
                <w:color w:val="auto"/>
              </w:rPr>
            </w:pPr>
          </w:p>
        </w:tc>
        <w:tc>
          <w:tcPr>
            <w:tcW w:w="2660" w:type="dxa"/>
            <w:vAlign w:val="bottom"/>
            <w:tcBorders>
              <w:bottom w:val="single" w:sz="8" w:color="auto"/>
              <w:right w:val="single" w:sz="8" w:color="auto"/>
            </w:tcBorders>
            <w:shd w:val="clear" w:color="auto" w:fill="D9D9D9"/>
          </w:tcPr>
          <w:p>
            <w:pPr>
              <w:spacing w:after="0"/>
              <w:rPr>
                <w:sz w:val="22"/>
                <w:szCs w:val="22"/>
                <w:color w:val="auto"/>
              </w:rPr>
            </w:pPr>
          </w:p>
        </w:tc>
        <w:tc>
          <w:tcPr>
            <w:tcW w:w="266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196"/>
        </w:trPr>
        <w:tc>
          <w:tcPr>
            <w:tcW w:w="920" w:type="dxa"/>
            <w:vAlign w:val="bottom"/>
            <w:tcBorders>
              <w:lef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
              <w:spacing w:after="0" w:line="196" w:lineRule="exact"/>
              <w:rPr>
                <w:sz w:val="20"/>
                <w:szCs w:val="20"/>
                <w:color w:val="auto"/>
              </w:rPr>
            </w:pPr>
            <w:r>
              <w:rPr>
                <w:rFonts w:ascii="Times New Roman" w:cs="Times New Roman" w:eastAsia="Times New Roman" w:hAnsi="Times New Roman"/>
                <w:sz w:val="19"/>
                <w:szCs w:val="19"/>
                <w:color w:val="auto"/>
              </w:rPr>
              <w:t>Category 1</w:t>
            </w:r>
          </w:p>
        </w:tc>
        <w:tc>
          <w:tcPr>
            <w:tcW w:w="9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1.75%</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2.75%</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0.35%</w:t>
            </w:r>
          </w:p>
        </w:tc>
      </w:tr>
      <w:tr>
        <w:trPr>
          <w:trHeight w:val="252"/>
        </w:trPr>
        <w:tc>
          <w:tcPr>
            <w:tcW w:w="268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9"/>
                <w:szCs w:val="19"/>
                <w:color w:val="auto"/>
                <w:w w:val="98"/>
              </w:rPr>
              <w:t>≥ 2.00 to 1.00</w:t>
            </w:r>
          </w:p>
        </w:tc>
        <w:tc>
          <w:tcPr>
            <w:tcW w:w="262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r>
      <w:tr>
        <w:trPr>
          <w:trHeight w:val="39"/>
        </w:trPr>
        <w:tc>
          <w:tcPr>
            <w:tcW w:w="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r>
      <w:tr>
        <w:trPr>
          <w:trHeight w:val="196"/>
        </w:trPr>
        <w:tc>
          <w:tcPr>
            <w:tcW w:w="920" w:type="dxa"/>
            <w:vAlign w:val="bottom"/>
            <w:tcBorders>
              <w:left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rPr>
              <w:t>Category 2</w:t>
            </w:r>
          </w:p>
        </w:tc>
        <w:tc>
          <w:tcPr>
            <w:tcW w:w="920" w:type="dxa"/>
            <w:vAlign w:val="bottom"/>
            <w:tcBorders>
              <w:right w:val="single" w:sz="8" w:color="auto"/>
            </w:tcBorders>
            <w:gridSpan w:val="2"/>
          </w:tcPr>
          <w:p>
            <w:pPr>
              <w:spacing w:after="0"/>
              <w:rPr>
                <w:sz w:val="17"/>
                <w:szCs w:val="17"/>
                <w:color w:val="auto"/>
              </w:rPr>
            </w:pPr>
          </w:p>
        </w:tc>
        <w:tc>
          <w:tcPr>
            <w:tcW w:w="26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1.50%</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2.50%</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0.30%</w:t>
            </w:r>
          </w:p>
        </w:tc>
      </w:tr>
      <w:tr>
        <w:trPr>
          <w:trHeight w:val="237"/>
        </w:trPr>
        <w:tc>
          <w:tcPr>
            <w:tcW w:w="2680" w:type="dxa"/>
            <w:vAlign w:val="bottom"/>
            <w:tcBorders>
              <w:left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9"/>
                <w:szCs w:val="19"/>
                <w:color w:val="auto"/>
                <w:w w:val="99"/>
              </w:rPr>
              <w:t>≥ 1.00 to 1.00 but</w:t>
            </w:r>
          </w:p>
        </w:tc>
        <w:tc>
          <w:tcPr>
            <w:tcW w:w="262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r>
      <w:tr>
        <w:trPr>
          <w:trHeight w:val="244"/>
        </w:trPr>
        <w:tc>
          <w:tcPr>
            <w:tcW w:w="2680" w:type="dxa"/>
            <w:vAlign w:val="bottom"/>
            <w:tcBorders>
              <w:left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9"/>
                <w:szCs w:val="19"/>
                <w:color w:val="auto"/>
                <w:w w:val="99"/>
              </w:rPr>
              <w:t>&lt; 2.00 to 1.00</w:t>
            </w:r>
          </w:p>
        </w:tc>
        <w:tc>
          <w:tcPr>
            <w:tcW w:w="262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r>
      <w:tr>
        <w:trPr>
          <w:trHeight w:val="25"/>
        </w:trPr>
        <w:tc>
          <w:tcPr>
            <w:tcW w:w="9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r>
        <w:trPr>
          <w:trHeight w:val="196"/>
        </w:trPr>
        <w:tc>
          <w:tcPr>
            <w:tcW w:w="920" w:type="dxa"/>
            <w:vAlign w:val="bottom"/>
            <w:tcBorders>
              <w:left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
              <w:spacing w:after="0" w:line="196" w:lineRule="exact"/>
              <w:rPr>
                <w:sz w:val="20"/>
                <w:szCs w:val="20"/>
                <w:color w:val="auto"/>
              </w:rPr>
            </w:pPr>
            <w:r>
              <w:rPr>
                <w:rFonts w:ascii="Times New Roman" w:cs="Times New Roman" w:eastAsia="Times New Roman" w:hAnsi="Times New Roman"/>
                <w:sz w:val="19"/>
                <w:szCs w:val="19"/>
                <w:color w:val="auto"/>
              </w:rPr>
              <w:t>Category 3</w:t>
            </w:r>
          </w:p>
        </w:tc>
        <w:tc>
          <w:tcPr>
            <w:tcW w:w="9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1.25%</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2.25%</w:t>
            </w:r>
          </w:p>
        </w:tc>
        <w:tc>
          <w:tcPr>
            <w:tcW w:w="26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w w:val="97"/>
              </w:rPr>
              <w:t>0.25%</w:t>
            </w:r>
          </w:p>
        </w:tc>
      </w:tr>
      <w:tr>
        <w:trPr>
          <w:trHeight w:val="252"/>
        </w:trPr>
        <w:tc>
          <w:tcPr>
            <w:tcW w:w="2680" w:type="dxa"/>
            <w:vAlign w:val="bottom"/>
            <w:tcBorders>
              <w:left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9"/>
                <w:szCs w:val="19"/>
                <w:color w:val="auto"/>
                <w:w w:val="99"/>
              </w:rPr>
              <w:t>&lt; 1.00 to 1.00</w:t>
            </w:r>
          </w:p>
        </w:tc>
        <w:tc>
          <w:tcPr>
            <w:tcW w:w="262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r>
      <w:tr>
        <w:trPr>
          <w:trHeight w:val="38"/>
        </w:trPr>
        <w:tc>
          <w:tcPr>
            <w:tcW w:w="920" w:type="dxa"/>
            <w:vAlign w:val="bottom"/>
            <w:tcBorders>
              <w:left w:val="single" w:sz="8" w:color="auto"/>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r>
    </w:tbl>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For purposes of the foregoing, (a) the Applicable Rate shall be determined as of the end of each fiscal quarter of the Borrower, based upon the Financial Statements delivered pursuant to Section 5.01(a) or (b) for such fiscal quarter and (b) each change in the Applicable Rate resulting from a change in the Total Net Leverage Ratio shall be effective during the period commencing on and including the date that is three (3) Business Days after the date of delivery to the Administrative Agent of such Financial Statements indicating such change and ending on the date immediately preceding the effective date of the next such change,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option of the Administrative Agent or at the request of the Required Lenders, if the Borrower fails to deliver the annual or quarterly Financial Statements required to be delivered by it pursuant to Section 5.01(a) or (b), the Total Net Leverage Ratio shall be deemed to be in Category 1 during the period from the expiration of the time for delivery thereof until such consolidated financial statements are delivered.</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If at any time the Administrative Agent or the Borrower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 has the meaning assigned to such term in Section 8.03(a).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has the meaning assigned to such term in Section 9.04(b).</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means (a) JPMorgan Chase Bank, N.A., in its capacity as left lead arranger and a joint bookrunner hereunder, and (b) MUFG Bank, Ltd. and Silicon Valley Bank, a division of First-Citizens Bank &amp; Trust Company, in each case, in its capacity as a joint lead arranger and joint bookrunner hereunder.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any other form (including electronic records generated by the use of an electronic platform) approved by the Administrative Agent.</w:t>
      </w:r>
    </w:p>
    <w:p>
      <w:pPr>
        <w:spacing w:after="0" w:line="16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the period from and including the Effective Date to but excluding the earlier of the Revolving Credit Maturity Date and the date of termination of the Revolving Commitments.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51" w:name="page52"/>
    <w:bookmarkEnd w:id="51"/>
    <w:p>
      <w:pPr>
        <w:jc w:val="both"/>
        <w:spacing w:after="0" w:line="280" w:lineRule="auto"/>
        <w:rPr>
          <w:sz w:val="20"/>
          <w:szCs w:val="20"/>
          <w:color w:val="auto"/>
        </w:rPr>
      </w:pPr>
      <w:r>
        <w:rPr>
          <w:rFonts w:ascii="Times New Roman" w:cs="Times New Roman" w:eastAsia="Times New Roman" w:hAnsi="Times New Roman"/>
          <w:sz w:val="19"/>
          <w:szCs w:val="19"/>
          <w:color w:val="auto"/>
        </w:rPr>
        <w:t>calculated pursuant to this Agreement as of such date and not including, for the avoidance of doubt, any tenor for such Benchmark that is then-removed from the definition of “Interest Period” pursuant to Section 2.14(e).</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Services</w:t>
      </w:r>
      <w:r>
        <w:rPr>
          <w:rFonts w:ascii="Times New Roman" w:cs="Times New Roman" w:eastAsia="Times New Roman" w:hAnsi="Times New Roman"/>
          <w:sz w:val="19"/>
          <w:szCs w:val="19"/>
          <w:color w:val="auto"/>
        </w:rPr>
        <w:t xml:space="preserve">” means each and any of the following bank services provided to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by the Administrative Agent, any Lender or any of their respective Affiliates (or any Person that was a Lender or an Affiliate of a Lender at the time incurred), including any such services existing on the Effective Date with a Lender or an Affiliate of a Lender: (a) credit cards for commercial customers (including, without limitation, “commercial credit cards” and purchasing cards), (b) stored value cards, (c) merchant processing services,</w:t>
      </w:r>
    </w:p>
    <w:p>
      <w:pPr>
        <w:spacing w:after="0" w:line="2" w:lineRule="exact"/>
        <w:rPr>
          <w:sz w:val="20"/>
          <w:szCs w:val="20"/>
          <w:color w:val="auto"/>
        </w:rPr>
      </w:pPr>
    </w:p>
    <w:p>
      <w:pPr>
        <w:jc w:val="both"/>
        <w:ind w:firstLine="8"/>
        <w:spacing w:after="0" w:line="258" w:lineRule="auto"/>
        <w:tabs>
          <w:tab w:leader="none" w:pos="32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currency transactions and (e) treasury management services (including, without limitation, controlled disbursement, automated clearinghouse transactions, return items, any direct debit scheme or arrangement, overdrafts and interstate depository network services, fraud management, positive pay, receivables and cash pooling services).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Services Obligations</w:t>
      </w:r>
      <w:r>
        <w:rPr>
          <w:rFonts w:ascii="Times New Roman" w:cs="Times New Roman" w:eastAsia="Times New Roman" w:hAnsi="Times New Roman"/>
          <w:sz w:val="19"/>
          <w:szCs w:val="19"/>
          <w:color w:val="auto"/>
        </w:rPr>
        <w:t xml:space="preserve">” means any and all obligations of the Loan Parties 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whether absolute or contingent and howsoever and whensoever created, arising, evidenced or acquired (including all renewals, extensions and modifications thereof and substitutions therefor) in connection with Banking Services.</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Title 11 of the United States Code entitled “Bankruptcy,” as now and hereafter in effect, or any successor thereto, as hereafter amended.</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(i) RFR Loan, Daily Simple SOFR or (ii) Term Benchmark Loan, the Term SOFR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the related Benchmark Replacement Date have occurred with respect to the Term SOFR Rate or Daily Simple SOFR, as applicable, or the then-current Benchmark, then “Benchmark” means the applicable Benchmark Replacement to the extent that such Benchmark Replacement has replaced such prior benchmark rate pursuant to Section 2.14(b).</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for any Available Tenor, the first alternative set forth in the order below that can be determined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for the applicable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52" w:name="page53"/>
    <w:bookmarkEnd w:id="52"/>
    <w:p>
      <w:pPr>
        <w:ind w:left="1720" w:hanging="416"/>
        <w:spacing w:after="0"/>
        <w:tabs>
          <w:tab w:leader="none" w:pos="1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Adjusted Daily Simple SOFR; or</w:t>
      </w:r>
    </w:p>
    <w:p>
      <w:pPr>
        <w:spacing w:after="0" w:line="227" w:lineRule="exact"/>
        <w:rPr>
          <w:rFonts w:ascii="Times New Roman" w:cs="Times New Roman" w:eastAsia="Times New Roman" w:hAnsi="Times New Roman"/>
          <w:sz w:val="19"/>
          <w:szCs w:val="19"/>
          <w:color w:val="auto"/>
        </w:rPr>
      </w:pPr>
    </w:p>
    <w:p>
      <w:pPr>
        <w:jc w:val="both"/>
        <w:ind w:left="660" w:firstLine="644"/>
        <w:spacing w:after="0" w:line="273" w:lineRule="auto"/>
        <w:tabs>
          <w:tab w:leader="none" w:pos="17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w:t>
      </w:r>
    </w:p>
    <w:p>
      <w:pPr>
        <w:spacing w:after="0" w:line="1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(in consultation with the Borrower)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spacing w:after="0" w:line="20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with respect to any Benchmark, the earliest to occur of the following events with respect to such then-current Benchmark:</w:t>
      </w:r>
    </w:p>
    <w:p>
      <w:pPr>
        <w:spacing w:after="0" w:line="152" w:lineRule="exact"/>
        <w:rPr>
          <w:sz w:val="20"/>
          <w:szCs w:val="20"/>
          <w:color w:val="auto"/>
        </w:rPr>
      </w:pPr>
    </w:p>
    <w:p>
      <w:pPr>
        <w:jc w:val="both"/>
        <w:ind w:left="660" w:firstLine="644"/>
        <w:spacing w:after="0" w:line="261" w:lineRule="auto"/>
        <w:tabs>
          <w:tab w:leader="none" w:pos="180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3" w:lineRule="exact"/>
        <w:rPr>
          <w:rFonts w:ascii="Times New Roman" w:cs="Times New Roman" w:eastAsia="Times New Roman" w:hAnsi="Times New Roman"/>
          <w:sz w:val="19"/>
          <w:szCs w:val="19"/>
          <w:color w:val="auto"/>
        </w:rPr>
      </w:pPr>
    </w:p>
    <w:p>
      <w:pPr>
        <w:ind w:left="660" w:firstLine="644"/>
        <w:spacing w:after="0" w:line="265" w:lineRule="auto"/>
        <w:tabs>
          <w:tab w:leader="none" w:pos="175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first date on which such Benchmark (or the published component used in the calculation thereof) has been determined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53" w:name="page54"/>
    <w:bookmarkEnd w:id="53"/>
    <w:p>
      <w:pPr>
        <w:jc w:val="both"/>
        <w:ind w:left="660"/>
        <w:spacing w:after="0" w:line="256" w:lineRule="auto"/>
        <w:rPr>
          <w:sz w:val="20"/>
          <w:szCs w:val="20"/>
          <w:color w:val="auto"/>
        </w:rPr>
      </w:pPr>
      <w:r>
        <w:rPr>
          <w:rFonts w:ascii="Times New Roman" w:cs="Times New Roman" w:eastAsia="Times New Roman" w:hAnsi="Times New Roman"/>
          <w:sz w:val="19"/>
          <w:szCs w:val="19"/>
          <w:color w:val="auto"/>
        </w:rPr>
        <w:t xml:space="preserve">announced by the regulatory supervisor for the administrator of such Benchmark (or such component thereof) to be no longer 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Benchmark, the occurrence of one or more of the following events with respect to such then-current Benchmark:</w:t>
      </w:r>
    </w:p>
    <w:p>
      <w:pPr>
        <w:spacing w:after="0" w:line="165" w:lineRule="exact"/>
        <w:rPr>
          <w:sz w:val="20"/>
          <w:szCs w:val="20"/>
          <w:color w:val="auto"/>
        </w:rPr>
      </w:pPr>
    </w:p>
    <w:p>
      <w:pPr>
        <w:jc w:val="both"/>
        <w:ind w:left="660" w:firstLine="644"/>
        <w:spacing w:after="0" w:line="256" w:lineRule="auto"/>
        <w:tabs>
          <w:tab w:leader="none" w:pos="177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73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5" w:lineRule="exact"/>
        <w:rPr>
          <w:rFonts w:ascii="Times New Roman" w:cs="Times New Roman" w:eastAsia="Times New Roman" w:hAnsi="Times New Roman"/>
          <w:sz w:val="19"/>
          <w:szCs w:val="19"/>
          <w:color w:val="auto"/>
        </w:rPr>
      </w:pPr>
    </w:p>
    <w:p>
      <w:pPr>
        <w:jc w:val="both"/>
        <w:ind w:left="660" w:firstLine="644"/>
        <w:spacing w:after="0" w:line="266" w:lineRule="auto"/>
        <w:tabs>
          <w:tab w:leader="none" w:pos="173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or control as required by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Section 3(3) of ERISA) that is subject to Title I of ERISA, (b) a “plan” as defined in and subject to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1841(k)) of such party.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means NERDWALLET, INC., a Delaware corporation.</w:t>
      </w:r>
    </w:p>
    <w:p>
      <w:pPr>
        <w:spacing w:after="0" w:line="21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(a) Revolving Loans of the same Type, made, converted or continued on the same date and, in the case of Term Benchmark Loans, as to which a single Interest Period is in effect or (b) a Swingline Loan.</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Borrowing in accordance with Section 2.03, which shall be substantially in the form attached hereto as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 xml:space="preserve"> or any other form approved by the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Burdensome Restrictions</w:t>
      </w:r>
      <w:r>
        <w:rPr>
          <w:rFonts w:ascii="Times New Roman" w:cs="Times New Roman" w:eastAsia="Times New Roman" w:hAnsi="Times New Roman"/>
          <w:sz w:val="19"/>
          <w:szCs w:val="19"/>
          <w:color w:val="auto"/>
        </w:rPr>
        <w:t>” means any consensual encumbrance or restriction of the type described in clause (a) or (b) of Section 6.10.</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xml:space="preserve">” means, without duplication, any expenditure or commitment to expend money for any purchase or other acquisition of any asset which would be classified as a fixed or capital asset on a consolidated balance sheet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prepared in accordance with GAAP.</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or (b) the Borrower shall cease to own, free and clear of all Liens (other than Liens permitted under Section 6.02) or other encumbrances, 100% of the outstanding Equity Interests of each of the Subsidiary Guarantors on a fully diluted basis, other than (x) pursuant to transactions permitted by this Agreement where 100% of the Equity Interests of such Subsidiary Guarantor are sold or (y) pursuant to a transaction expressly permitted under Section 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rules,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has the meaning assigned to such term in Section 9.17.</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Chase</w:t>
      </w:r>
      <w:r>
        <w:rPr>
          <w:rFonts w:ascii="Times New Roman" w:cs="Times New Roman" w:eastAsia="Times New Roman" w:hAnsi="Times New Roman"/>
          <w:sz w:val="19"/>
          <w:szCs w:val="19"/>
          <w:color w:val="auto"/>
        </w:rPr>
        <w:t>” means JPMorgan Chase Bank, N.A., a national banking association, in its individual capacity, and its successors.</w:t>
      </w:r>
    </w:p>
    <w:p>
      <w:pPr>
        <w:spacing w:after="0" w:line="227"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when used in reference to any Loan or Borrowing, refers to whether such Loan, or the Loans comprising such Borrowing, are Revolving Loans or Swingline Loans.</w:t>
      </w:r>
    </w:p>
    <w:p>
      <w:pPr>
        <w:spacing w:after="0" w:line="17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CME Term SOFR Administrator</w:t>
      </w:r>
      <w:r>
        <w:rPr>
          <w:rFonts w:ascii="Times New Roman" w:cs="Times New Roman" w:eastAsia="Times New Roman" w:hAnsi="Times New Roman"/>
          <w:sz w:val="19"/>
          <w:szCs w:val="19"/>
          <w:color w:val="auto"/>
        </w:rPr>
        <w:t>” means CME Group Benchmark Administration Limited as administrator of the forward-looking term SOFR (or a successor administrator).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from time to time.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any and all property owned, leased or operated by a Person covered by the Collateral Documents and any and all other property (other than any Excluded Assets) of any Loan Party, now existing or hereafter acquired, that may at any time be, become or be intended to be, subject to a security interest or Lien in favor of the Administrative Agent, on behalf of itself and the other Secured Parties, to secure the Secured Obligations.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means, collectively, the Security Agreement and all other agreements, instruments and documents executed, delivered or otherwise prepared in connection with this Agreement that are intended to create, perfect or evidence Liens to secure the Secured Obligations, including, without limitation,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any Loan Party and delivered to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means the Schedule attached hereto identified as such.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statute.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has the meaning assigned to such term in Section 8.03(c).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Sensitive Information</w:t>
      </w:r>
      <w:r>
        <w:rPr>
          <w:rFonts w:ascii="Times New Roman" w:cs="Times New Roman" w:eastAsia="Times New Roman" w:hAnsi="Times New Roman"/>
          <w:sz w:val="19"/>
          <w:szCs w:val="19"/>
          <w:color w:val="auto"/>
        </w:rPr>
        <w:t>” has the meaning assigned to such term in Section 3.24(c).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means a certificate of a Financial Officer in substantially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xml:space="preserve">” means with respect to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a consolidated basis, for any period,</w:t>
      </w:r>
    </w:p>
    <w:p>
      <w:pPr>
        <w:spacing w:after="0" w:line="227" w:lineRule="exact"/>
        <w:rPr>
          <w:sz w:val="20"/>
          <w:szCs w:val="20"/>
          <w:color w:val="auto"/>
        </w:rPr>
      </w:pPr>
    </w:p>
    <w:p>
      <w:pPr>
        <w:ind w:left="1060" w:hanging="404"/>
        <w:spacing w:after="0"/>
        <w:tabs>
          <w:tab w:leader="none" w:pos="10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Net Income for such period,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firstLine="656"/>
        <w:spacing w:after="0" w:line="265" w:lineRule="auto"/>
        <w:tabs>
          <w:tab w:leader="none" w:pos="109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without duplication, of the following amounts for such period but solely to the extent deducted in calculating Consolidated Net Income (other than in the case of clause (b)(xviii)) for such period of:</w:t>
      </w:r>
    </w:p>
    <w:p>
      <w:pPr>
        <w:spacing w:after="0" w:line="179" w:lineRule="exact"/>
        <w:rPr>
          <w:rFonts w:ascii="Times New Roman" w:cs="Times New Roman" w:eastAsia="Times New Roman" w:hAnsi="Times New Roman"/>
          <w:sz w:val="19"/>
          <w:szCs w:val="19"/>
          <w:color w:val="auto"/>
        </w:rPr>
      </w:pPr>
    </w:p>
    <w:p>
      <w:pPr>
        <w:ind w:left="1680" w:hanging="376"/>
        <w:spacing w:after="0"/>
        <w:tabs>
          <w:tab w:leader="none" w:pos="168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Interest Expense;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expenses for Taxes based on income net of tax refunds;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left="1780" w:hanging="476"/>
        <w:spacing w:after="0"/>
        <w:tabs>
          <w:tab w:leader="none" w:pos="178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total depreciation expense;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left="1760" w:hanging="456"/>
        <w:spacing w:after="0"/>
        <w:tabs>
          <w:tab w:leader="none" w:pos="17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total amortization expense (including, without limitation, amortization of intangibles from purchase price accounting); </w:t>
      </w:r>
      <w:r>
        <w:rPr>
          <w:rFonts w:ascii="Times New Roman" w:cs="Times New Roman" w:eastAsia="Times New Roman" w:hAnsi="Times New Roman"/>
          <w:sz w:val="19"/>
          <w:szCs w:val="19"/>
          <w:u w:val="single" w:color="auto"/>
          <w:color w:val="auto"/>
        </w:rPr>
        <w:t>plus</w:t>
      </w:r>
    </w:p>
    <w:p>
      <w:pPr>
        <w:spacing w:after="0" w:line="213"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stock based compensation expense;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left="660" w:firstLine="644"/>
        <w:spacing w:after="0" w:line="280" w:lineRule="auto"/>
        <w:tabs>
          <w:tab w:leader="none" w:pos="1881"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exchange, transaction or performance losses relating to any foreign currency hedging transactions or currency fluctuations; </w:t>
      </w:r>
      <w:r>
        <w:rPr>
          <w:rFonts w:ascii="Times New Roman" w:cs="Times New Roman" w:eastAsia="Times New Roman" w:hAnsi="Times New Roman"/>
          <w:sz w:val="19"/>
          <w:szCs w:val="19"/>
          <w:u w:val="single" w:color="auto"/>
          <w:color w:val="auto"/>
        </w:rPr>
        <w:t>plus</w:t>
      </w:r>
    </w:p>
    <w:p>
      <w:pPr>
        <w:spacing w:after="0" w:line="165" w:lineRule="exact"/>
        <w:rPr>
          <w:rFonts w:ascii="Times New Roman" w:cs="Times New Roman" w:eastAsia="Times New Roman" w:hAnsi="Times New Roman"/>
          <w:sz w:val="19"/>
          <w:szCs w:val="19"/>
          <w:color w:val="auto"/>
        </w:rPr>
      </w:pPr>
    </w:p>
    <w:p>
      <w:pPr>
        <w:jc w:val="both"/>
        <w:ind w:left="660" w:firstLine="644"/>
        <w:spacing w:after="0" w:line="256" w:lineRule="auto"/>
        <w:tabs>
          <w:tab w:leader="none" w:pos="1876"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costs, fees and expenses in connection with the execution and delivery of this Agreement and the other Loan Documents and any amendments or other modifications thereto, in each case to the extent incurred within six (6) months after the Effective Date or the effectiveness of such amendment or other modification (or such later time period as approved in writing by the Administrative Agent in its sole discretion); </w:t>
      </w:r>
      <w:r>
        <w:rPr>
          <w:rFonts w:ascii="Times New Roman" w:cs="Times New Roman" w:eastAsia="Times New Roman" w:hAnsi="Times New Roman"/>
          <w:sz w:val="19"/>
          <w:szCs w:val="19"/>
          <w:u w:val="single" w:color="auto"/>
          <w:color w:val="auto"/>
        </w:rPr>
        <w:t>plus</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56" w:lineRule="auto"/>
        <w:tabs>
          <w:tab w:leader="none" w:pos="1999"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one-time costs, fees, and expenses in connection with Permitted Acquisitions, investments, dispositions, issuances or repurchases of Equity Interests, or the incurrence, amendment or waiver of Indebtedness (in each case permitted hereunder), in each case, whether or not consummated; provided that, any amounts described in this clause (b)(viii) with respect to transactions that are not consummated shall not exceed $5,000,000 in the aggregate for any period; </w:t>
      </w:r>
      <w:r>
        <w:rPr>
          <w:rFonts w:ascii="Times New Roman" w:cs="Times New Roman" w:eastAsia="Times New Roman" w:hAnsi="Times New Roman"/>
          <w:sz w:val="19"/>
          <w:szCs w:val="19"/>
          <w:u w:val="single" w:color="auto"/>
          <w:color w:val="auto"/>
        </w:rPr>
        <w:t>plus</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7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w:t>
      </w:r>
      <w:r>
        <w:rPr>
          <w:rFonts w:ascii="Times New Roman" w:cs="Times New Roman" w:eastAsia="Times New Roman" w:hAnsi="Times New Roman"/>
          <w:sz w:val="19"/>
          <w:szCs w:val="19"/>
          <w:u w:val="single" w:color="auto"/>
          <w:color w:val="auto"/>
        </w:rPr>
        <w:t>plus</w:t>
      </w:r>
    </w:p>
    <w:p>
      <w:pPr>
        <w:spacing w:after="0" w:line="170" w:lineRule="exact"/>
        <w:rPr>
          <w:rFonts w:ascii="Times New Roman" w:cs="Times New Roman" w:eastAsia="Times New Roman" w:hAnsi="Times New Roman"/>
          <w:sz w:val="19"/>
          <w:szCs w:val="19"/>
          <w:color w:val="auto"/>
        </w:rPr>
      </w:pPr>
    </w:p>
    <w:p>
      <w:pPr>
        <w:ind w:left="660" w:firstLine="644"/>
        <w:spacing w:after="0" w:line="280" w:lineRule="auto"/>
        <w:tabs>
          <w:tab w:leader="none" w:pos="1757"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charges for goodwill and other intangible write-offs and write-downs in connection with Permitted Acquisitions or otherwise; </w:t>
      </w:r>
      <w:r>
        <w:rPr>
          <w:rFonts w:ascii="Times New Roman" w:cs="Times New Roman" w:eastAsia="Times New Roman" w:hAnsi="Times New Roman"/>
          <w:sz w:val="19"/>
          <w:szCs w:val="19"/>
          <w:u w:val="single" w:color="auto"/>
          <w:color w:val="auto"/>
        </w:rPr>
        <w:t>plus</w:t>
      </w:r>
    </w:p>
    <w:p>
      <w:pPr>
        <w:spacing w:after="0" w:line="165"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778"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restructuring charge, accrual or reserve, integration cost or other business optimization expense, including any restructuring costs incurred in connection with acquisitions, mergers or consolidations after the Effective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aggregate amount when taken together with any amounts in clause (b)(xii) below, not to exceed fifteen percent (15%) of Consolidated EBITDA in any period;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57" w:name="page58"/>
    <w:bookmarkEnd w:id="57"/>
    <w:p>
      <w:pPr>
        <w:jc w:val="both"/>
        <w:ind w:left="4" w:firstLine="644"/>
        <w:spacing w:after="0" w:line="266" w:lineRule="auto"/>
        <w:tabs>
          <w:tab w:leader="none" w:pos="1175"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any extraordinary, unusual or non-recurring non-cash expenses or non-cash charges and (B) any non-recurring expenses or charges in an aggregate amount, when taken together with any amounts in clause (b)(xi) above, not to exceed fifteen percent (15%) of Consolidated EBITDA in any period; </w:t>
      </w:r>
      <w:r>
        <w:rPr>
          <w:rFonts w:ascii="Times New Roman" w:cs="Times New Roman" w:eastAsia="Times New Roman" w:hAnsi="Times New Roman"/>
          <w:sz w:val="19"/>
          <w:szCs w:val="19"/>
          <w:u w:val="single" w:color="auto"/>
          <w:color w:val="auto"/>
        </w:rPr>
        <w:t>plus</w:t>
      </w:r>
    </w:p>
    <w:p>
      <w:pPr>
        <w:spacing w:after="0" w:line="164" w:lineRule="exact"/>
        <w:rPr>
          <w:rFonts w:ascii="Times New Roman" w:cs="Times New Roman" w:eastAsia="Times New Roman" w:hAnsi="Times New Roman"/>
          <w:sz w:val="19"/>
          <w:szCs w:val="19"/>
          <w:color w:val="auto"/>
        </w:rPr>
      </w:pPr>
    </w:p>
    <w:p>
      <w:pPr>
        <w:jc w:val="both"/>
        <w:ind w:left="4" w:firstLine="644"/>
        <w:spacing w:after="0" w:line="266" w:lineRule="auto"/>
        <w:tabs>
          <w:tab w:leader="none" w:pos="122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noncash items reducing Consolidated Net Income (excluding any such noncash item to the extent that it represents an accrual or reserve for potential cash items in any future period or amortization of a prepaid cash item that was paid in a prior period) approved by the Administrative Agent in writing as an ‘add-back’ to Consolidated EBITDA; </w:t>
      </w:r>
      <w:r>
        <w:rPr>
          <w:rFonts w:ascii="Times New Roman" w:cs="Times New Roman" w:eastAsia="Times New Roman" w:hAnsi="Times New Roman"/>
          <w:sz w:val="19"/>
          <w:szCs w:val="19"/>
          <w:u w:val="single" w:color="auto"/>
          <w:color w:val="auto"/>
        </w:rPr>
        <w:t>plus</w:t>
      </w:r>
    </w:p>
    <w:p>
      <w:pPr>
        <w:spacing w:after="0" w:line="178" w:lineRule="exact"/>
        <w:rPr>
          <w:rFonts w:ascii="Times New Roman" w:cs="Times New Roman" w:eastAsia="Times New Roman" w:hAnsi="Times New Roman"/>
          <w:sz w:val="19"/>
          <w:szCs w:val="19"/>
          <w:color w:val="auto"/>
        </w:rPr>
      </w:pPr>
    </w:p>
    <w:p>
      <w:pPr>
        <w:jc w:val="both"/>
        <w:ind w:left="4" w:firstLine="644"/>
        <w:spacing w:after="0" w:line="255" w:lineRule="auto"/>
        <w:tabs>
          <w:tab w:leader="none" w:pos="1276"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any loss incurred during such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recovery is not received in cash within one year of the date of the underlying loss, such amount will be deducted from Consolidated EBITDA for the subsequent period; </w:t>
      </w:r>
      <w:r>
        <w:rPr>
          <w:rFonts w:ascii="Times New Roman" w:cs="Times New Roman" w:eastAsia="Times New Roman" w:hAnsi="Times New Roman"/>
          <w:sz w:val="19"/>
          <w:szCs w:val="19"/>
          <w:u w:val="single" w:color="auto"/>
          <w:color w:val="auto"/>
        </w:rPr>
        <w:t>plus</w:t>
      </w:r>
    </w:p>
    <w:p>
      <w:pPr>
        <w:spacing w:after="0" w:line="189" w:lineRule="exact"/>
        <w:rPr>
          <w:rFonts w:ascii="Times New Roman" w:cs="Times New Roman" w:eastAsia="Times New Roman" w:hAnsi="Times New Roman"/>
          <w:sz w:val="19"/>
          <w:szCs w:val="19"/>
          <w:color w:val="auto"/>
        </w:rPr>
      </w:pPr>
    </w:p>
    <w:p>
      <w:pPr>
        <w:jc w:val="both"/>
        <w:ind w:left="4" w:firstLine="644"/>
        <w:spacing w:after="0" w:line="255" w:lineRule="auto"/>
        <w:tabs>
          <w:tab w:leader="none" w:pos="1264"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expenses and payments that are covered by indemnification or purchase price adjustment provisions in any agreement entered into by a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connection with any proposed or actual Permitted Acquisition and for which (A) the indemnitor or counterparty has assumed coverage in writing and (B) the Borrower reasonably expects to receive such expenses and payments within one year from the date of calculation;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expenses and payments are not received in cash within one year of the date of the underlying loss, such amount will be deducted from Consolidated EBITDA for the subsequent period; </w:t>
      </w:r>
      <w:r>
        <w:rPr>
          <w:rFonts w:ascii="Times New Roman" w:cs="Times New Roman" w:eastAsia="Times New Roman" w:hAnsi="Times New Roman"/>
          <w:sz w:val="19"/>
          <w:szCs w:val="19"/>
          <w:u w:val="single" w:color="auto"/>
          <w:color w:val="auto"/>
        </w:rPr>
        <w:t>plus</w:t>
      </w:r>
    </w:p>
    <w:p>
      <w:pPr>
        <w:spacing w:after="0" w:line="189" w:lineRule="exact"/>
        <w:rPr>
          <w:rFonts w:ascii="Times New Roman" w:cs="Times New Roman" w:eastAsia="Times New Roman" w:hAnsi="Times New Roman"/>
          <w:sz w:val="19"/>
          <w:szCs w:val="19"/>
          <w:color w:val="auto"/>
        </w:rPr>
      </w:pPr>
    </w:p>
    <w:p>
      <w:pPr>
        <w:ind w:left="4" w:right="20" w:firstLine="644"/>
        <w:spacing w:after="0" w:line="280" w:lineRule="auto"/>
        <w:tabs>
          <w:tab w:leader="none" w:pos="1213"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expense deducted in calculating Consolidated Net Income and actually reimbursed in cash by third parties (other than a Group Member); </w:t>
      </w:r>
      <w:r>
        <w:rPr>
          <w:rFonts w:ascii="Times New Roman" w:cs="Times New Roman" w:eastAsia="Times New Roman" w:hAnsi="Times New Roman"/>
          <w:sz w:val="19"/>
          <w:szCs w:val="19"/>
          <w:u w:val="single" w:color="auto"/>
          <w:color w:val="auto"/>
        </w:rPr>
        <w:t>plus</w:t>
      </w:r>
    </w:p>
    <w:p>
      <w:pPr>
        <w:spacing w:after="0" w:line="151" w:lineRule="exact"/>
        <w:rPr>
          <w:rFonts w:ascii="Times New Roman" w:cs="Times New Roman" w:eastAsia="Times New Roman" w:hAnsi="Times New Roman"/>
          <w:sz w:val="19"/>
          <w:szCs w:val="19"/>
          <w:color w:val="auto"/>
        </w:rPr>
      </w:pPr>
    </w:p>
    <w:p>
      <w:pPr>
        <w:jc w:val="both"/>
        <w:ind w:left="4" w:firstLine="644"/>
        <w:spacing w:after="0" w:line="266" w:lineRule="auto"/>
        <w:tabs>
          <w:tab w:leader="none" w:pos="1331"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earn-out obligations, other contingent consideration obligations, stay-bonuses or similar payments, seller debt or other deferred purchase price payments, in each case, contingent or otherwise, incurred in connection with any Permitted Acquisition, to the extent such payments are permitted under this Agreement and expensed under GAAP standards; </w:t>
      </w:r>
      <w:r>
        <w:rPr>
          <w:rFonts w:ascii="Times New Roman" w:cs="Times New Roman" w:eastAsia="Times New Roman" w:hAnsi="Times New Roman"/>
          <w:sz w:val="19"/>
          <w:szCs w:val="19"/>
          <w:u w:val="single" w:color="auto"/>
          <w:color w:val="auto"/>
        </w:rPr>
        <w:t>plus</w:t>
      </w:r>
    </w:p>
    <w:p>
      <w:pPr>
        <w:spacing w:after="0" w:line="178" w:lineRule="exact"/>
        <w:rPr>
          <w:rFonts w:ascii="Times New Roman" w:cs="Times New Roman" w:eastAsia="Times New Roman" w:hAnsi="Times New Roman"/>
          <w:sz w:val="19"/>
          <w:szCs w:val="19"/>
          <w:color w:val="auto"/>
        </w:rPr>
      </w:pPr>
    </w:p>
    <w:p>
      <w:pPr>
        <w:jc w:val="both"/>
        <w:ind w:left="4" w:firstLine="644"/>
        <w:spacing w:after="0" w:line="251" w:lineRule="auto"/>
        <w:tabs>
          <w:tab w:leader="none" w:pos="140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not to exceed $4,000,000 in any period; provided that (x) such actions have actually been taken within six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w:t>
      </w:r>
      <w:r>
        <w:rPr>
          <w:rFonts w:ascii="Times New Roman" w:cs="Times New Roman" w:eastAsia="Times New Roman" w:hAnsi="Times New Roman"/>
          <w:sz w:val="19"/>
          <w:szCs w:val="19"/>
          <w:u w:val="single" w:color="auto"/>
          <w:color w:val="auto"/>
        </w:rPr>
        <w:t>plus</w:t>
      </w:r>
    </w:p>
    <w:p>
      <w:pPr>
        <w:spacing w:after="0" w:line="198" w:lineRule="exact"/>
        <w:rPr>
          <w:rFonts w:ascii="Times New Roman" w:cs="Times New Roman" w:eastAsia="Times New Roman" w:hAnsi="Times New Roman"/>
          <w:sz w:val="19"/>
          <w:szCs w:val="19"/>
          <w:color w:val="auto"/>
        </w:rPr>
      </w:pPr>
    </w:p>
    <w:p>
      <w:pPr>
        <w:ind w:left="1204" w:hanging="556"/>
        <w:spacing w:after="0"/>
        <w:tabs>
          <w:tab w:leader="none" w:pos="1204"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unusual or non-recurring non-cash write-downs of capitalized software development costs and other fixed assets; </w:t>
      </w:r>
      <w:r>
        <w:rPr>
          <w:rFonts w:ascii="Times New Roman" w:cs="Times New Roman" w:eastAsia="Times New Roman" w:hAnsi="Times New Roman"/>
          <w:sz w:val="19"/>
          <w:szCs w:val="19"/>
          <w:u w:val="single" w:color="auto"/>
          <w:color w:val="auto"/>
        </w:rPr>
        <w:t>minus</w:t>
      </w:r>
    </w:p>
    <w:p>
      <w:pPr>
        <w:spacing w:after="0" w:line="227" w:lineRule="exact"/>
        <w:rPr>
          <w:rFonts w:ascii="Times New Roman" w:cs="Times New Roman" w:eastAsia="Times New Roman" w:hAnsi="Times New Roman"/>
          <w:sz w:val="19"/>
          <w:szCs w:val="19"/>
          <w:color w:val="auto"/>
        </w:rPr>
      </w:pPr>
    </w:p>
    <w:p>
      <w:pPr>
        <w:ind w:left="404" w:hanging="404"/>
        <w:spacing w:after="0"/>
        <w:tabs>
          <w:tab w:leader="none" w:pos="40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without duplication of the amounts for such period of</w:t>
      </w:r>
    </w:p>
    <w:p>
      <w:pPr>
        <w:spacing w:after="0" w:line="227" w:lineRule="exact"/>
        <w:rPr>
          <w:rFonts w:ascii="Times New Roman" w:cs="Times New Roman" w:eastAsia="Times New Roman" w:hAnsi="Times New Roman"/>
          <w:sz w:val="19"/>
          <w:szCs w:val="19"/>
          <w:color w:val="auto"/>
        </w:rPr>
      </w:pPr>
    </w:p>
    <w:p>
      <w:pPr>
        <w:ind w:left="1024" w:hanging="376"/>
        <w:spacing w:after="0"/>
        <w:tabs>
          <w:tab w:leader="none" w:pos="102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income;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84"/>
          </w:cols>
          <w:pgMar w:left="976" w:top="1409" w:right="339" w:bottom="1440" w:gutter="0" w:footer="0" w:header="0"/>
        </w:sectPr>
      </w:pPr>
    </w:p>
    <w:bookmarkStart w:id="58" w:name="page59"/>
    <w:bookmarkEnd w:id="58"/>
    <w:p>
      <w:pPr>
        <w:ind w:left="1720" w:hanging="416"/>
        <w:spacing w:after="0"/>
        <w:tabs>
          <w:tab w:leader="none" w:pos="17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capitalized software development costs; </w:t>
      </w:r>
      <w:r>
        <w:rPr>
          <w:rFonts w:ascii="Times New Roman" w:cs="Times New Roman" w:eastAsia="Times New Roman" w:hAnsi="Times New Roman"/>
          <w:sz w:val="19"/>
          <w:szCs w:val="19"/>
          <w:u w:val="single" w:color="auto"/>
          <w:color w:val="auto"/>
        </w:rPr>
        <w:t>plus</w:t>
      </w:r>
    </w:p>
    <w:p>
      <w:pPr>
        <w:spacing w:after="0" w:line="227" w:lineRule="exact"/>
        <w:rPr>
          <w:rFonts w:ascii="Times New Roman" w:cs="Times New Roman" w:eastAsia="Times New Roman" w:hAnsi="Times New Roman"/>
          <w:sz w:val="19"/>
          <w:szCs w:val="19"/>
          <w:color w:val="auto"/>
        </w:rPr>
      </w:pPr>
    </w:p>
    <w:p>
      <w:pPr>
        <w:ind w:left="660" w:firstLine="644"/>
        <w:spacing w:after="0" w:line="280" w:lineRule="auto"/>
        <w:tabs>
          <w:tab w:leader="none" w:pos="190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items increasing Consolidated Net Income for such period (excluding any such noncash item to the extent it represents the reversal of an accrual or reserve for potential cash item in any prior period); </w:t>
      </w:r>
      <w:r>
        <w:rPr>
          <w:rFonts w:ascii="Times New Roman" w:cs="Times New Roman" w:eastAsia="Times New Roman" w:hAnsi="Times New Roman"/>
          <w:sz w:val="19"/>
          <w:szCs w:val="19"/>
          <w:u w:val="single" w:color="auto"/>
          <w:color w:val="auto"/>
        </w:rPr>
        <w:t>plus</w:t>
      </w:r>
    </w:p>
    <w:p>
      <w:pPr>
        <w:spacing w:after="0" w:line="151" w:lineRule="exact"/>
        <w:rPr>
          <w:rFonts w:ascii="Times New Roman" w:cs="Times New Roman" w:eastAsia="Times New Roman" w:hAnsi="Times New Roman"/>
          <w:sz w:val="19"/>
          <w:szCs w:val="19"/>
          <w:color w:val="auto"/>
        </w:rPr>
      </w:pPr>
    </w:p>
    <w:p>
      <w:pPr>
        <w:ind w:left="1760" w:hanging="456"/>
        <w:spacing w:after="0"/>
        <w:tabs>
          <w:tab w:leader="none" w:pos="17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extraordinary, unusual or non-recurring gains.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Charges</w:t>
      </w:r>
      <w:r>
        <w:rPr>
          <w:rFonts w:ascii="Times New Roman" w:cs="Times New Roman" w:eastAsia="Times New Roman" w:hAnsi="Times New Roman"/>
          <w:sz w:val="19"/>
          <w:szCs w:val="19"/>
          <w:color w:val="auto"/>
        </w:rPr>
        <w:t xml:space="preserve">” means, for any period, without duplication, the sum of cash Consolidated Interest Expense,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scheduled principal payments on Indebtedness (other than any earn-out obligations, seller debt or other deferred purchase price payments, but including Capital Leases),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expense for taxes paid in cash,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Restricted Payments paid in cash (other than Restricted Payments permitted pursuant to Section 6.08(a)(v)), in each case, for such period, and all calculated for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a consolidated basis in accordance with GAAP.</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xml:space="preserve">” means, for any period, total interest expense (including that attributable to Capital Lease Obligations)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for such period with respect to all outstanding Indebtedness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a consolidated basis for such period in accordance with GAAP.</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for any period, the consolidated net income (or loss) determined for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from the calculation of “Consolidated Net Income” (a) the income (or deficit) of any such Person accrued prior to the date it becomes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the Borrower or is merged into or consolidated with the Borrower or any of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(b) the income (or deficit) of any such Person (other than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the Borrower) in which the Borrower or any of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has an ownership interest, except to the extent that any such income is </w:t>
      </w: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auto"/>
        </w:rPr>
        <w:t xml:space="preserve"> actually received by the Borrower or any of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the form of dividends or similar distributions </w:t>
      </w:r>
      <w:r>
        <w:rPr>
          <w:rFonts w:ascii="Times New Roman" w:cs="Times New Roman" w:eastAsia="Times New Roman" w:hAnsi="Times New Roman"/>
          <w:sz w:val="19"/>
          <w:szCs w:val="19"/>
          <w:color w:val="0000FF"/>
        </w:rPr>
        <w:t>and (ii) in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case of an Unrestricted Subsidiary, paid from the proceeds of earned income of such Unrestricted Subsidiary</w:t>
      </w:r>
      <w:r>
        <w:rPr>
          <w:rFonts w:ascii="Times New Roman" w:cs="Times New Roman" w:eastAsia="Times New Roman" w:hAnsi="Times New Roman"/>
          <w:sz w:val="19"/>
          <w:szCs w:val="19"/>
          <w:color w:val="000000"/>
        </w:rPr>
        <w:t>, and (c) the undistributed earnings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of the Borrower to the extent that the declaration or payment of dividends or similar distributions by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is not at the time permitted by the terms of any contractual obligation (other than under any Loan Document) or Requirement of Law applicable to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6430010</wp:posOffset>
            </wp:positionH>
            <wp:positionV relativeFrom="paragraph">
              <wp:posOffset>-601980</wp:posOffset>
            </wp:positionV>
            <wp:extent cx="705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 cy="8890"/>
                    </a:xfrm>
                    <a:prstGeom prst="rect">
                      <a:avLst/>
                    </a:prstGeom>
                    <a:noFill/>
                  </pic:spPr>
                </pic:pic>
              </a:graphicData>
            </a:graphic>
          </wp:anchor>
        </w:drawing>
      </w:r>
    </w:p>
    <w:p>
      <w:pPr>
        <w:spacing w:after="0" w:line="17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Assets</w:t>
      </w:r>
      <w:r>
        <w:rPr>
          <w:rFonts w:ascii="Times New Roman" w:cs="Times New Roman" w:eastAsia="Times New Roman" w:hAnsi="Times New Roman"/>
          <w:sz w:val="19"/>
          <w:szCs w:val="19"/>
          <w:color w:val="auto"/>
        </w:rPr>
        <w:t xml:space="preserve">” means, at any date, total assets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calculated in accordance with GAAP on a consolidated basis as of such date.</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Indebtedness</w:t>
      </w:r>
      <w:r>
        <w:rPr>
          <w:rFonts w:ascii="Times New Roman" w:cs="Times New Roman" w:eastAsia="Times New Roman" w:hAnsi="Times New Roman"/>
          <w:sz w:val="19"/>
          <w:szCs w:val="19"/>
          <w:color w:val="auto"/>
        </w:rPr>
        <w:t xml:space="preserve">” means, at any date, the aggregate principal amount of total Indebtedness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on a consolidated basis, determined for the Borrower and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on a consolidated basis at such date, 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accordance with GAAP;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no earn-outs shall be included in Consolidated Total Indebtedness unless earned, due and owing.</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have meanings correlative thereto.</w:t>
      </w:r>
    </w:p>
    <w:p>
      <w:pPr>
        <w:spacing w:after="0" w:line="1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Corresponding Tenor</w:t>
      </w:r>
      <w:r>
        <w:rPr>
          <w:rFonts w:ascii="Times New Roman" w:cs="Times New Roman" w:eastAsia="Times New Roman" w:hAnsi="Times New Roman"/>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227" w:lineRule="exact"/>
        <w:rPr>
          <w:sz w:val="20"/>
          <w:szCs w:val="20"/>
          <w:color w:val="auto"/>
        </w:rPr>
      </w:pPr>
    </w:p>
    <w:p>
      <w:pPr>
        <w:ind w:left="1020" w:hanging="364"/>
        <w:spacing w:after="0"/>
        <w:tabs>
          <w:tab w:leader="none" w:pos="10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27"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13" w:lineRule="exact"/>
        <w:rPr>
          <w:rFonts w:ascii="Times New Roman" w:cs="Times New Roman" w:eastAsia="Times New Roman" w:hAnsi="Times New Roman"/>
          <w:sz w:val="19"/>
          <w:szCs w:val="19"/>
          <w:color w:val="auto"/>
        </w:rPr>
      </w:pPr>
    </w:p>
    <w:p>
      <w:pPr>
        <w:ind w:left="660" w:right="2580" w:hanging="4"/>
        <w:spacing w:after="0" w:line="489" w:lineRule="auto"/>
        <w:tabs>
          <w:tab w:leader="none" w:pos="113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 382.2(b).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has the meaning assigned to such term in Section 9.21.</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Party</w:t>
      </w:r>
      <w:r>
        <w:rPr>
          <w:rFonts w:ascii="Times New Roman" w:cs="Times New Roman" w:eastAsia="Times New Roman" w:hAnsi="Times New Roman"/>
          <w:sz w:val="19"/>
          <w:szCs w:val="19"/>
          <w:color w:val="auto"/>
        </w:rPr>
        <w:t>” means the Administrative Agent, the Issuing Bank, the Swingline Lender or any other Lender.</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that is five (5) U.S. Government Securities Business Days prior to (i) if such SOFR Rate Day is a U.S. Government Securities Business Day, such SOFR Rate Day or</w:t>
      </w:r>
    </w:p>
    <w:p>
      <w:pPr>
        <w:spacing w:after="0" w:line="1" w:lineRule="exact"/>
        <w:rPr>
          <w:sz w:val="20"/>
          <w:szCs w:val="20"/>
          <w:color w:val="auto"/>
        </w:rPr>
      </w:pPr>
    </w:p>
    <w:p>
      <w:pPr>
        <w:jc w:val="both"/>
        <w:ind w:firstLine="8"/>
        <w:spacing w:after="0" w:line="254" w:lineRule="auto"/>
        <w:tabs>
          <w:tab w:leader="none" w:pos="31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Data Protection Laws</w:t>
      </w:r>
      <w:r>
        <w:rPr>
          <w:rFonts w:ascii="Times New Roman" w:cs="Times New Roman" w:eastAsia="Times New Roman" w:hAnsi="Times New Roman"/>
          <w:sz w:val="19"/>
          <w:szCs w:val="19"/>
          <w:color w:val="auto"/>
        </w:rPr>
        <w:t>” means all applicable laws, in multiple jurisdictions worldwide, that relate to (i) the confidentiality, processing, privacy, security, protection, transfer or trans-border data flow of Personal Data, personally-identifiable information or customer information, or (ii) electronic data privacy; whether such laws are in place as of the Effective Date or come into effect during the term.</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09"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xml:space="preserv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such Person), including any sale, assignment, transfer or other disposal, with or without recourse, of any notes or accounts receivable or any rights and claims associated therewith.</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Stock</w:t>
      </w:r>
      <w:r>
        <w:rPr>
          <w:rFonts w:ascii="Times New Roman" w:cs="Times New Roman" w:eastAsia="Times New Roman" w:hAnsi="Times New Roman"/>
          <w:sz w:val="19"/>
          <w:szCs w:val="19"/>
          <w:color w:val="auto"/>
        </w:rPr>
        <w:t xml:space="preserve">” means any Equity Interest that, by its terms (or by the terms of any security into which it is convertible, or for which it is exchangeable, in each case at the option of the holder thereof), or upon the happening of any event (other than a Change in Control or similar event), matures or is mandatorily redeemable, pursuant to a sinking fund obligation or otherwise, or redeemable at the option of the holder thereof, in whole or in part, on or prior to the date that is 91 days after Revolving Credit Maturity Date. The amount of Disqualified Stock deemed to be outstanding at any time for purposes of this Agreement will be the maximum amount that the Loan Parties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may become obligated to pay upon maturity of, or pursuant to any mandatory redemption provisions of, such Disqualified Stock or portion thereof, plus accrued dividends. Notwithstanding the preceding sentence, any Equity Interests that would constitute Disqualified Stock solely because the holders of the Equity Interests have the right to be paid upon liquidation, dissolution, winding up or pursuant to such other applicable statutory or regulatory obligations of the issuer of such Equity Interests will not constitute Disqualified Stock if the terms of such Equity Interests provide that such payments may not be made with respect to such Equity Interests unless such payments are made after Payment in Full of the Secured Obligations.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xml:space="preserve">” means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organized under the laws of a jurisdiction located in the United States of America other than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substantially all of the assets of which consist of the Equity Interests (or Equity Interests and Indebtedness) of “controlled foreign corporations” within the meaning of Section 957 of the Code.</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ECP</w:t>
      </w:r>
      <w:r>
        <w:rPr>
          <w:rFonts w:ascii="Times New Roman" w:cs="Times New Roman" w:eastAsia="Times New Roman" w:hAnsi="Times New Roman"/>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the date on which the conditions specified in Section 4.01 are satisfied (or waived in accordance with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9.02).</w:t>
      </w:r>
    </w:p>
    <w:p>
      <w:pPr>
        <w:spacing w:after="0" w:line="20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System</w:t>
      </w:r>
      <w:r>
        <w:rPr>
          <w:rFonts w:ascii="Times New Roman" w:cs="Times New Roman" w:eastAsia="Times New Roman" w:hAnsi="Times New Roman"/>
          <w:sz w:val="19"/>
          <w:szCs w:val="19"/>
          <w:color w:val="auto"/>
        </w:rPr>
        <w:t>” means any electronic system, including e-mail, e-fax, web portal access for the Borrower and any other Internet or extranet-based site, whether such electronic system is owned, operated or hosted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61" w:name="page62"/>
    <w:bookmarkEnd w:id="61"/>
    <w:p>
      <w:pPr>
        <w:jc w:val="both"/>
        <w:ind w:right="20"/>
        <w:spacing w:after="0" w:line="280" w:lineRule="auto"/>
        <w:rPr>
          <w:sz w:val="20"/>
          <w:szCs w:val="20"/>
          <w:color w:val="auto"/>
        </w:rPr>
      </w:pPr>
      <w:r>
        <w:rPr>
          <w:rFonts w:ascii="Times New Roman" w:cs="Times New Roman" w:eastAsia="Times New Roman" w:hAnsi="Times New Roman"/>
          <w:sz w:val="19"/>
          <w:szCs w:val="19"/>
          <w:color w:val="auto"/>
        </w:rPr>
        <w:t>by the Administrative Agent or the Issuing Bank and any of its respective Related Parties or any other Person, providing for access to data protected by passcodes or other security system.</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xml:space="preserve">” means any liability, contingent or otherwise (including any liability for damages, costs of environmental remediation, fines, penalties or indemnities),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6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from time to time, and the rules and regulations promulgated thereunder.</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that is not waived; (c) the filing pursuant to Section 412(c) of the Code or Section 302(c) of ERISA of an application for a waiver of the minimum funding standard with respect to any Plan; (d) the incurrence by the Borrower or any ERISA Affiliate of any material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material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any material Withdrawal Liability or a determination that a Multiemployer Plan is, or is expected to be, insolvent or in critical status, within the meaning of Title IV of ERISA.</w:t>
      </w:r>
    </w:p>
    <w:p>
      <w:pPr>
        <w:spacing w:after="0" w:line="20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has the meaning assigned to such term in Article VII.</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Assets</w:t>
      </w:r>
      <w:r>
        <w:rPr>
          <w:rFonts w:ascii="Times New Roman" w:cs="Times New Roman" w:eastAsia="Times New Roman" w:hAnsi="Times New Roman"/>
          <w:sz w:val="19"/>
          <w:szCs w:val="19"/>
          <w:color w:val="auto"/>
        </w:rPr>
        <w:t>” has the meaning assigned to such term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9"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2" w:lineRule="exact"/>
        <w:rPr>
          <w:sz w:val="20"/>
          <w:szCs w:val="20"/>
          <w:color w:val="auto"/>
        </w:rPr>
      </w:pPr>
    </w:p>
    <w:p>
      <w:pPr>
        <w:jc w:val="both"/>
        <w:ind w:firstLine="8"/>
        <w:spacing w:after="0" w:line="251" w:lineRule="auto"/>
        <w:tabs>
          <w:tab w:leader="none" w:pos="28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2.17(f) and (d) any withholding Taxes imposed under FATCA.</w:t>
      </w:r>
    </w:p>
    <w:p>
      <w:pPr>
        <w:spacing w:after="0" w:line="18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Letter of Credit</w:t>
      </w:r>
      <w:r>
        <w:rPr>
          <w:rFonts w:ascii="Times New Roman" w:cs="Times New Roman" w:eastAsia="Times New Roman" w:hAnsi="Times New Roman"/>
          <w:sz w:val="19"/>
          <w:szCs w:val="19"/>
          <w:color w:val="auto"/>
        </w:rPr>
        <w:t xml:space="preserve">” means each letter of credit issued prior to the Effective Date by a Person that shall be an Issuing Bank and listed on </w:t>
      </w:r>
      <w:r>
        <w:rPr>
          <w:rFonts w:ascii="Times New Roman" w:cs="Times New Roman" w:eastAsia="Times New Roman" w:hAnsi="Times New Roman"/>
          <w:sz w:val="19"/>
          <w:szCs w:val="19"/>
          <w:u w:val="single" w:color="auto"/>
          <w:color w:val="auto"/>
        </w:rPr>
        <w:t>Schedule 2.06</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Federal Funds Effective Rate as so determined would be less than zero, such rate shall be deemed to be zero for the purposes of this Agreement.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Reserve Board</w:t>
      </w:r>
      <w:r>
        <w:rPr>
          <w:rFonts w:ascii="Times New Roman" w:cs="Times New Roman" w:eastAsia="Times New Roman" w:hAnsi="Times New Roman"/>
          <w:sz w:val="19"/>
          <w:szCs w:val="19"/>
          <w:color w:val="auto"/>
        </w:rPr>
        <w:t>” means the Board of Governors of the Federal Reserve System of the United States of America.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has the meaning assigned to such term in Section 5.01.</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xml:space="preserve">” means, for any period, the ratio of (a) Consolidated EBITDA for such period,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Unfinanced Capital Expenditures for such period, to (b) Consolidated Fixed Charges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the benchmark rate floor, if any, provided in this Agreement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zero.</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 if the Borrower is a U.S. Person, a Lender that is not a U.S. Person, and (b) if the Borrower is not a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a Lender that is resident or organized under the laws of a jurisdiction other than that in which the Borrower is resident for tax purposes.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xml:space="preserve">” means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which is not a Domestic Subsidiary.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Account</w:t>
      </w:r>
      <w:r>
        <w:rPr>
          <w:rFonts w:ascii="Times New Roman" w:cs="Times New Roman" w:eastAsia="Times New Roman" w:hAnsi="Times New Roman"/>
          <w:sz w:val="19"/>
          <w:szCs w:val="19"/>
          <w:color w:val="auto"/>
        </w:rPr>
        <w:t>” has the meaning assigned to such term in Section 4.01(h).</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GDPR</w:t>
      </w:r>
      <w:r>
        <w:rPr>
          <w:rFonts w:ascii="Times New Roman" w:cs="Times New Roman" w:eastAsia="Times New Roman" w:hAnsi="Times New Roman"/>
          <w:sz w:val="19"/>
          <w:szCs w:val="19"/>
          <w:color w:val="auto"/>
        </w:rPr>
        <w:t>” means the EU General Data Protection Regulation EU/2016/679 and any laws implementing or supplementing the GDPR.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 xml:space="preserve">” means (i) with respect to the Borrower, the Specified Ancillary Obligations and (ii) with respect to any Subsidiary Guarantor, the Secured Obligations, and, in each case, all costs and expenses including, without limitation, all court costs and 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the Borrower, any Loan Guarantor or any other guarantor of all or any part of the Secured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9"/>
          <w:szCs w:val="19"/>
          <w:color w:val="auto"/>
        </w:rPr>
        <w:t>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Hostile Acquisition</w:t>
      </w:r>
      <w:r>
        <w:rPr>
          <w:rFonts w:ascii="Times New Roman" w:cs="Times New Roman" w:eastAsia="Times New Roman" w:hAnsi="Times New Roman"/>
          <w:sz w:val="19"/>
          <w:szCs w:val="19"/>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Facility Amendment</w:t>
      </w:r>
      <w:r>
        <w:rPr>
          <w:rFonts w:ascii="Times New Roman" w:cs="Times New Roman" w:eastAsia="Times New Roman" w:hAnsi="Times New Roman"/>
          <w:sz w:val="19"/>
          <w:szCs w:val="19"/>
          <w:color w:val="auto"/>
        </w:rPr>
        <w:t>” has the meaning assigned to such term in Section 2.09.</w:t>
      </w:r>
    </w:p>
    <w:p>
      <w:pPr>
        <w:spacing w:after="0" w:line="21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demand guarantees and similar independent undertakings, (j) all obligations, contingent or otherwise, of such Person in respect of bankers’ acceptances, (k) obligations under any earn-out (which for all purposes of this Agreement shall be valued at the maximum potential amount payable with respect to each such earn-out), (l) any other Off-Balance Sheet Liability, (m) Disqualified Stock of such Person and (n)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has the meaning assigned to such term in Section 9.03(c).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has the meaning assigned to such term in Section 9.04(b).</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has the meaning assigned to such term in Section 9.12.</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 Memorandum</w:t>
      </w:r>
      <w:r>
        <w:rPr>
          <w:rFonts w:ascii="Times New Roman" w:cs="Times New Roman" w:eastAsia="Times New Roman" w:hAnsi="Times New Roman"/>
          <w:sz w:val="19"/>
          <w:szCs w:val="19"/>
          <w:color w:val="auto"/>
        </w:rPr>
        <w:t>” means the Lender Presentation dated August 10, 2023 relating to the Borrower and the Transactions.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has the meaning assigned to such term in the Security Agreement.</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Borrowing in accordance with Section 2.08, which shall be substantially in the form attached as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 xml:space="preserve"> hereto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(other than a Swingline Loan), the first day of each calendar quarter and the Revolving Credit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Revolving Credit Maturity Date,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Credit Maturity Date, and (d) with respect to any Swingline Loan, the day that such Loan is required to be repaid and the Revolving Credit Maturity Date.</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with respect to any Term Benchmark Borrowing, the period commencing on the date of such Borrowing and ending on the numerically corresponding day in the calendar month that is one (1), three (3) or six (6) months thereafter (in each case, subject to the availability for the Benchmark applicable to the relevant Loan or Revolving Commitment), as the Borrower may elect;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in the case of any Borrowing other than a Swingline Loan, shall be the effective date of the most recent conversion or continuation of such Borrowing.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Inventory</w:t>
      </w:r>
      <w:r>
        <w:rPr>
          <w:rFonts w:ascii="Times New Roman" w:cs="Times New Roman" w:eastAsia="Times New Roman" w:hAnsi="Times New Roman"/>
          <w:sz w:val="19"/>
          <w:szCs w:val="19"/>
          <w:color w:val="auto"/>
        </w:rPr>
        <w:t>” has the meaning assigned to such term in the Security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individually and collectively, each of Chase, in its capacity as the issuer of Letters of Credit hereunder (including its Existing Letter of Credit), Silicon Valley Bank, a division of First-Citizens Bank &amp; Trust Company, in its capacity as the issuer of its Existing Letter of Credit, and any other Lender from time to time designated by the Borrower as an Issuing Bank, with the consent of such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 Sublimit</w:t>
      </w:r>
      <w:r>
        <w:rPr>
          <w:rFonts w:ascii="Times New Roman" w:cs="Times New Roman" w:eastAsia="Times New Roman" w:hAnsi="Times New Roman"/>
          <w:sz w:val="19"/>
          <w:szCs w:val="19"/>
          <w:color w:val="auto"/>
        </w:rPr>
        <w:t xml:space="preserve">” means, as of the Effective Date, (i) $10,000,000, in the case of Chase and (ii) in the case of any other Issuing Bank, such amount as shall be designated to the Administrative Agent and the Borrower in writing by such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Issuing Bank shall be permitted at any time to increase or reduce its Issuing Bank Sublimit upon providing five (5) days’ prior written notice thereof to the Administrative Agent and the Borrower.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Joinder Agreement</w:t>
      </w:r>
      <w:r>
        <w:rPr>
          <w:rFonts w:ascii="Times New Roman" w:cs="Times New Roman" w:eastAsia="Times New Roman" w:hAnsi="Times New Roman"/>
          <w:sz w:val="19"/>
          <w:szCs w:val="19"/>
          <w:color w:val="auto"/>
        </w:rPr>
        <w:t xml:space="preserve">” means a Joinder Agreement in substantially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Collateral Account</w:t>
      </w:r>
      <w:r>
        <w:rPr>
          <w:rFonts w:ascii="Times New Roman" w:cs="Times New Roman" w:eastAsia="Times New Roman" w:hAnsi="Times New Roman"/>
          <w:sz w:val="19"/>
          <w:szCs w:val="19"/>
          <w:color w:val="auto"/>
        </w:rPr>
        <w:t>” has the meaning assigned to such term in Section 2.06(j).</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means any payment made by an Issuing Bank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xml:space="preserve">” means at any time, the sum of (a) the aggregate undrawn amount of all outstanding Letters of Credit at such time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color w:val="auto"/>
        </w:rPr>
        <w:t xml:space="preserve"> (b) the aggregate amount of all LC Disbursements that have not yet been reimbursed by or on behalf of the Borrower at such time. The LC Exposure of any Lender at any time shall be its Applicable Percentage of the aggregate LC Exposure at such time.</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means, as of any date of determination, a Person listed on the </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xml:space="preserve"> (or, if the Revolving Commitments have terminated or expired, a Person holding Revolving Exposure),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has the meaning assigned to such term in Section 9.03(b).</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Agreement</w:t>
      </w:r>
      <w:r>
        <w:rPr>
          <w:rFonts w:ascii="Times New Roman" w:cs="Times New Roman" w:eastAsia="Times New Roman" w:hAnsi="Times New Roman"/>
          <w:sz w:val="19"/>
          <w:szCs w:val="19"/>
          <w:color w:val="auto"/>
        </w:rPr>
        <w:t>” has the meaning assigned to such term in Section 2.06(b).</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means the letters of credit issued pursuant to this Agreement, including each Existing Letter of Credit, and the term “</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any one of them or each of them singularly, as the context may require.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means any losses, claims (including intraparty claims), demands, damages or liabilities of any kind.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Acquisition</w:t>
      </w:r>
      <w:r>
        <w:rPr>
          <w:rFonts w:ascii="Times New Roman" w:cs="Times New Roman" w:eastAsia="Times New Roman" w:hAnsi="Times New Roman"/>
          <w:sz w:val="19"/>
          <w:szCs w:val="19"/>
          <w:color w:val="auto"/>
        </w:rPr>
        <w:t xml:space="preserve">” means any Acquisition that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the consummation of any such Acquisition shall not have occurred within one hundred twenty (120) days following the signing of the applicable contractual commitment, such Acquisition shall no longer constitute a Limited Condition Acquisition for any purpose.</w:t>
      </w:r>
    </w:p>
    <w:p>
      <w:pPr>
        <w:spacing w:after="0" w:line="17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Liquidity</w:t>
      </w:r>
      <w:r>
        <w:rPr>
          <w:rFonts w:ascii="Times New Roman" w:cs="Times New Roman" w:eastAsia="Times New Roman" w:hAnsi="Times New Roman"/>
          <w:sz w:val="19"/>
          <w:szCs w:val="19"/>
          <w:color w:val="auto"/>
        </w:rPr>
        <w:t>” means, as of any date of determination, the sum of (a) Qualified Cash plus (b) so long as no Default or Event of Default exists, (i) the aggregate amount of Revolving Commitments less (ii) the aggregate amount of Revolving Exposure.</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collectively, this Agreement, each promissory note issued pursuant to this Agreement, each Letter of Credit Agreement, each Collateral Document, each Compliance Certificate, the Loan Guaranty and each other agreement, fee letter,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5" w:right="339" w:bottom="1440" w:gutter="0" w:footer="0" w:header="0"/>
        </w:sectPr>
      </w:pPr>
    </w:p>
    <w:bookmarkStart w:id="67" w:name="page68"/>
    <w:bookmarkEnd w:id="67"/>
    <w:p>
      <w:pPr>
        <w:jc w:val="both"/>
        <w:spacing w:after="0" w:line="280" w:lineRule="auto"/>
        <w:rPr>
          <w:sz w:val="20"/>
          <w:szCs w:val="20"/>
          <w:color w:val="auto"/>
        </w:rPr>
      </w:pPr>
      <w:r>
        <w:rPr>
          <w:rFonts w:ascii="Times New Roman" w:cs="Times New Roman" w:eastAsia="Times New Roman" w:hAnsi="Times New Roman"/>
          <w:sz w:val="19"/>
          <w:szCs w:val="19"/>
          <w:color w:val="auto"/>
        </w:rPr>
        <w:t>supplements or other modifications thereto, and shall refer to this Agreement or such Loan Document as the same may be in effect at any and all times such reference becomes operative.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Guarantor</w:t>
      </w:r>
      <w:r>
        <w:rPr>
          <w:rFonts w:ascii="Times New Roman" w:cs="Times New Roman" w:eastAsia="Times New Roman" w:hAnsi="Times New Roman"/>
          <w:sz w:val="19"/>
          <w:szCs w:val="19"/>
          <w:color w:val="auto"/>
        </w:rPr>
        <w:t>” means each Loan Party.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Guaranty</w:t>
      </w:r>
      <w:r>
        <w:rPr>
          <w:rFonts w:ascii="Times New Roman" w:cs="Times New Roman" w:eastAsia="Times New Roman" w:hAnsi="Times New Roman"/>
          <w:sz w:val="19"/>
          <w:szCs w:val="19"/>
          <w:color w:val="auto"/>
        </w:rPr>
        <w:t>” means Article X of this Agreement.</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means, collectively, the Borrower and the Subsidiary Guarantors and their successors and assigns, and the term “Loan Party” shall mean any one of them or all of them individually, as the context may require.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and advances made by the Lenders to the Borrower pursuant to this Agreement, including Swingline Loans.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means margin stock within the meaning of Regulations T, U and X, as applicable.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means any Permitted Acquisition having total consideration in excess of $30,000,000.</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xml:space="preserve">” means a material adverse effect on (a) the business, assets, operations or financial condition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taken as a whole, (b) the ability of any Loan Party to perform any of its Obligations,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Agreement</w:t>
      </w:r>
      <w:r>
        <w:rPr>
          <w:rFonts w:ascii="Times New Roman" w:cs="Times New Roman" w:eastAsia="Times New Roman" w:hAnsi="Times New Roman"/>
          <w:sz w:val="19"/>
          <w:szCs w:val="19"/>
          <w:color w:val="auto"/>
        </w:rPr>
        <w:t>” means, with respect to any Person, each contract to which such Person is a party as to which the breach, nonperformance, termination, cancellation or failure to renew by any party thereto would reasonably be expected to result in a Material Adverse Effect.</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Domestic Subsidiary</w:t>
      </w:r>
      <w:r>
        <w:rPr>
          <w:rFonts w:ascii="Times New Roman" w:cs="Times New Roman" w:eastAsia="Times New Roman" w:hAnsi="Times New Roman"/>
          <w:sz w:val="19"/>
          <w:szCs w:val="19"/>
          <w:color w:val="auto"/>
        </w:rPr>
        <w:t xml:space="preserve">” means each Domestic Subsidiary (i) which, as of the end of the most recent fiscal quarter of the Borrower, for the period of four consecutive fiscal quarters then ended, for which financial statements have been delivered (or are required to have been delivered) pursuant to Section 5.01(a) or (b) (or, if prior to the date of the delivery of the first financial statements to be delivered pursuant to Section 5.01(a) or (b), the most recent financial statements referred to in Section 3.04(a)), contributed greater than ten percent (10%) of Consolidated EBITDA for such period or (ii) which contributed greater than ten percent (10%) of Consolidated Total Assets as of the end of such most recent fiscal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any time the aggregate amount of Consolidated EBITDA or Consolidated Total Assets attributable to all Domestic Subsidiaries that are not Material Domestic Subsidiaries exceeds twenty percent (20%) Consolidated EBITDA for any such period or twenty percent (20%) of Consolidated Total Assets as of the end of any such fiscal quarter, the Borrower (or, in the event the Borrower has failed to do so within ten (10) days, the Administrative Agent) shall designate sufficient Domestic Subsidiaries as “Material Domestic Subsidiaries” to eliminate such excess, and such designated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shall for all purposes of this Agreement constitute Material Domestic Subsidiaries.</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xml:space="preserve">” means Indebtedness (other than the Loans and Letters of Credit), or obligations in respect of one or more Swap Agreements, of any one or more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an aggregate principal amount exceeding $10,000,000. For purposes of determining Material Indebtedness, the “principal amount” of the obligations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respect of any Swap Agreement at any time shall be the maximum aggregate amount (giving effect to any netting agreements) that the Borrower or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would be required to pay if such Swap Agreement were terminated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Intellectual Property</w:t>
      </w:r>
      <w:r>
        <w:rPr>
          <w:rFonts w:ascii="Times New Roman" w:cs="Times New Roman" w:eastAsia="Times New Roman" w:hAnsi="Times New Roman"/>
          <w:sz w:val="19"/>
          <w:szCs w:val="19"/>
          <w:color w:val="auto"/>
        </w:rPr>
        <w:t>” has the meaning assigned to such term in the Security Agreement.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has the meaning assigned to such term in Section 9.17.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9"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MUFG</w:t>
      </w:r>
      <w:r>
        <w:rPr>
          <w:rFonts w:ascii="Times New Roman" w:cs="Times New Roman" w:eastAsia="Times New Roman" w:hAnsi="Times New Roman"/>
          <w:sz w:val="19"/>
          <w:szCs w:val="19"/>
          <w:color w:val="auto"/>
        </w:rPr>
        <w:t>” means MUFG Bank, Ltd., in its individual capacity, and its successors.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“Next Door” means Next Door Lending LLC, a Michigan limited liability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has the meaning assigned to such term in Section 9.02(d).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w:t>
      </w:r>
      <w:r>
        <w:rPr>
          <w:rFonts w:ascii="Times New Roman" w:cs="Times New Roman" w:eastAsia="Times New Roman" w:hAnsi="Times New Roman"/>
          <w:sz w:val="19"/>
          <w:szCs w:val="19"/>
          <w:color w:val="auto"/>
        </w:rPr>
        <w:t>” means the Federal Reserve Bank of New York.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 Rate</w:t>
      </w:r>
      <w:r>
        <w:rPr>
          <w:rFonts w:ascii="Times New Roman" w:cs="Times New Roman" w:eastAsia="Times New Roman" w:hAnsi="Times New Roman"/>
          <w:sz w:val="19"/>
          <w:szCs w:val="19"/>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NYFRB’s Website</w:t>
      </w:r>
      <w:r>
        <w:rPr>
          <w:rFonts w:ascii="Times New Roman" w:cs="Times New Roman" w:eastAsia="Times New Roman" w:hAnsi="Times New Roman"/>
          <w:sz w:val="19"/>
          <w:szCs w:val="19"/>
          <w:color w:val="auto"/>
        </w:rPr>
        <w:t>” means the website of the NYFRB at http://www.newyorkfed.org, or any successor source.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Obligated Party</w:t>
      </w:r>
      <w:r>
        <w:rPr>
          <w:rFonts w:ascii="Times New Roman" w:cs="Times New Roman" w:eastAsia="Times New Roman" w:hAnsi="Times New Roman"/>
          <w:sz w:val="19"/>
          <w:szCs w:val="19"/>
          <w:color w:val="auto"/>
        </w:rPr>
        <w:t>” has the meaning assigned to such term in Section 10.02.</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means the Office of Foreign Assets Control of the United States Department of the Treasury.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Off-Balance Sheet Liability</w:t>
      </w:r>
      <w:r>
        <w:rPr>
          <w:rFonts w:ascii="Times New Roman" w:cs="Times New Roman" w:eastAsia="Times New Roman" w:hAnsi="Times New Roman"/>
          <w:sz w:val="19"/>
          <w:szCs w:val="19"/>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Original Indebtedness</w:t>
      </w:r>
      <w:r>
        <w:rPr>
          <w:rFonts w:ascii="Times New Roman" w:cs="Times New Roman" w:eastAsia="Times New Roman" w:hAnsi="Times New Roman"/>
          <w:sz w:val="19"/>
          <w:szCs w:val="19"/>
          <w:color w:val="auto"/>
        </w:rPr>
        <w:t>” has the meaning assigned to such term in Section 6.01(f).</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69" w:name="page70"/>
    <w:bookmarkEnd w:id="69"/>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Bank Funding Rate</w:t>
      </w:r>
      <w:r>
        <w:rPr>
          <w:rFonts w:ascii="Times New Roman" w:cs="Times New Roman" w:eastAsia="Times New Roman" w:hAnsi="Times New Roman"/>
          <w:sz w:val="19"/>
          <w:szCs w:val="19"/>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Paid in Full</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103% of the LC Exposure as of the date of such payment),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Revolving Commitments, and (vi) the termination of the Swap Agreement Obligations and the Banking Services Obligations or entering into other arrangements satisfactory to the Secured Parties counterparties thereto.</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with respect to any Lender, any Person as to which such Lender is, directly or indirectly, a subsidiary.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has the meaning assigned to such term in Section 9.04(c).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has the meaning assigned to such term in Section 9.04(c).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has the meaning assigned to such term in Section 8.06(c).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has the meaning assigned to such term in Section 8.06(c).</w:t>
      </w:r>
    </w:p>
    <w:p>
      <w:pPr>
        <w:spacing w:after="0" w:line="2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means any Acquisition by any Loan Party in a transaction that satisfies each of the following requirements:</w:t>
      </w:r>
    </w:p>
    <w:p>
      <w:pPr>
        <w:spacing w:after="0" w:line="227" w:lineRule="exact"/>
        <w:rPr>
          <w:sz w:val="20"/>
          <w:szCs w:val="20"/>
          <w:color w:val="auto"/>
        </w:rPr>
      </w:pPr>
    </w:p>
    <w:p>
      <w:pPr>
        <w:ind w:left="1700" w:hanging="396"/>
        <w:spacing w:after="0"/>
        <w:tabs>
          <w:tab w:leader="none" w:pos="1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Acquisition is not a Hostile Acquisition;</w:t>
      </w:r>
    </w:p>
    <w:p>
      <w:pPr>
        <w:spacing w:after="0" w:line="227"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74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acquired in connection with such Acquisition is not engaged, directly or indirectly, in any line of business other than the businesses in which the Loan Parties are engaged on the Effective Date and any business activities that are substantially similar or reasonably related or incidental thereto;</w:t>
      </w:r>
    </w:p>
    <w:p>
      <w:pPr>
        <w:spacing w:after="0" w:line="186" w:lineRule="exact"/>
        <w:rPr>
          <w:rFonts w:ascii="Times New Roman" w:cs="Times New Roman" w:eastAsia="Times New Roman" w:hAnsi="Times New Roman"/>
          <w:sz w:val="19"/>
          <w:szCs w:val="19"/>
          <w:color w:val="auto"/>
        </w:rPr>
      </w:pPr>
    </w:p>
    <w:p>
      <w:pPr>
        <w:ind w:left="660" w:right="20" w:firstLine="644"/>
        <w:spacing w:after="0" w:line="280" w:lineRule="auto"/>
        <w:tabs>
          <w:tab w:leader="none" w:pos="176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 immediately before and after giving effect (including giving effect on a pro forma basis) to such Acquisition and any Indebtedness incurred or assumed in connection therewith,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9" w:right="339" w:bottom="1440" w:gutter="0" w:footer="0" w:header="0"/>
        </w:sectPr>
      </w:pPr>
    </w:p>
    <w:bookmarkStart w:id="70" w:name="page71"/>
    <w:bookmarkEnd w:id="70"/>
    <w:p>
      <w:pPr>
        <w:jc w:val="both"/>
        <w:ind w:left="-460" w:firstLine="644"/>
        <w:spacing w:after="0" w:line="251" w:lineRule="auto"/>
        <w:tabs>
          <w:tab w:leader="none" w:pos="69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available, but not less than ten (10) Business Days prior to such Acquisition, the Borrower has provided the Administrative Agent (i) notice of such Acquisition, (ii) a copy of all business and financial information reasonably requested by the Administrative Agent including pro forma financial statements and statements of cash flow and (iii) a due diligence quality of earnings report conducted by a firm of independent public accountants of recognized national standing or any other accounting firm reasonably satisfactory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(x) solely with respect to any Acquisition involving cash consideration of less than $30,000,000, the information and other deliverables described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shall only be required to the extent such information is available and within the Borrower’s possession or control and (y) solely with respect to any Acquisition involving cash consideration of less than $30,000,000, the due diligence quality of earnings report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shall only be required to the extent obtained by the Borrower;</w:t>
      </w:r>
    </w:p>
    <w:p>
      <w:pPr>
        <w:spacing w:after="0" w:line="198" w:lineRule="exact"/>
        <w:rPr>
          <w:rFonts w:ascii="Times New Roman" w:cs="Times New Roman" w:eastAsia="Times New Roman" w:hAnsi="Times New Roman"/>
          <w:sz w:val="19"/>
          <w:szCs w:val="19"/>
          <w:color w:val="auto"/>
        </w:rPr>
      </w:pPr>
    </w:p>
    <w:p>
      <w:pPr>
        <w:jc w:val="both"/>
        <w:ind w:left="-460" w:firstLine="644"/>
        <w:spacing w:after="0" w:line="254" w:lineRule="auto"/>
        <w:tabs>
          <w:tab w:leader="none" w:pos="64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Acquisition is an acquisition of the Equity Interests of a Person that will not become a Loan Party hereunder or of assets by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the aggregate consideration paid or payable (including without limitation, all transaction costs, any management fees, assumed Indebtedness and liabilities incurred, assumed or reflected on a consolidated balance sheet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after giving effect to such Acquisition and the maximum amount (to the extent such maximum amount is stated, and if not stated, then the reasonably anticipated amount) of all earn-out obligations and other deferred payments) in respect of such Acquisition, when taken together with the aggregate consideration paid in respect of all other such Permitted Acquisitions, does not exceed $30,000,000 during the term of this Agreement;</w:t>
      </w:r>
    </w:p>
    <w:p>
      <w:pPr>
        <w:spacing w:after="0" w:line="190" w:lineRule="exact"/>
        <w:rPr>
          <w:rFonts w:ascii="Times New Roman" w:cs="Times New Roman" w:eastAsia="Times New Roman" w:hAnsi="Times New Roman"/>
          <w:sz w:val="19"/>
          <w:szCs w:val="19"/>
          <w:color w:val="auto"/>
        </w:rPr>
      </w:pPr>
    </w:p>
    <w:p>
      <w:pPr>
        <w:jc w:val="both"/>
        <w:ind w:left="-460" w:firstLine="644"/>
        <w:spacing w:after="0" w:line="256" w:lineRule="auto"/>
        <w:tabs>
          <w:tab w:leader="none" w:pos="59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prior to and after giving effect (including giving effect on a pro forma basis) to such Acquisition and the Loans (if any) requested to be made in connection therewith, (i) the Total Net Leverage Ratio shall not be greater than 0.25x less than the then applicable level required under Section 6.12(a) and (ii) the Borrower shall be in pro forma compliance with the financial covenants in Section 6.12 (after giving effect to any Adjusted Covenant Period, if applicable);</w:t>
      </w:r>
    </w:p>
    <w:p>
      <w:pPr>
        <w:spacing w:after="0" w:line="188" w:lineRule="exact"/>
        <w:rPr>
          <w:rFonts w:ascii="Times New Roman" w:cs="Times New Roman" w:eastAsia="Times New Roman" w:hAnsi="Times New Roman"/>
          <w:sz w:val="19"/>
          <w:szCs w:val="19"/>
          <w:color w:val="auto"/>
        </w:rPr>
      </w:pPr>
    </w:p>
    <w:p>
      <w:pPr>
        <w:ind w:left="600" w:hanging="416"/>
        <w:spacing w:after="0"/>
        <w:tabs>
          <w:tab w:leader="none" w:pos="6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7" w:lineRule="exact"/>
        <w:rPr>
          <w:rFonts w:ascii="Times New Roman" w:cs="Times New Roman" w:eastAsia="Times New Roman" w:hAnsi="Times New Roman"/>
          <w:sz w:val="19"/>
          <w:szCs w:val="19"/>
          <w:color w:val="auto"/>
        </w:rPr>
      </w:pPr>
    </w:p>
    <w:p>
      <w:pPr>
        <w:ind w:left="600" w:hanging="416"/>
        <w:spacing w:after="0"/>
        <w:tabs>
          <w:tab w:leader="none" w:pos="6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Acquisition is an acquisition of assets, such Acquisition is structured so that a Loan Party shall acquire such assets;</w:t>
      </w:r>
    </w:p>
    <w:p>
      <w:pPr>
        <w:spacing w:after="0" w:line="227" w:lineRule="exact"/>
        <w:rPr>
          <w:rFonts w:ascii="Times New Roman" w:cs="Times New Roman" w:eastAsia="Times New Roman" w:hAnsi="Times New Roman"/>
          <w:sz w:val="19"/>
          <w:szCs w:val="19"/>
          <w:color w:val="auto"/>
        </w:rPr>
      </w:pPr>
    </w:p>
    <w:p>
      <w:pPr>
        <w:ind w:left="560" w:hanging="376"/>
        <w:spacing w:after="0"/>
        <w:tabs>
          <w:tab w:leader="none" w:pos="5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Acquisition is an acquisition of Equity Interests, such Acquisition will not result in any violation of Regulation U;</w:t>
      </w:r>
    </w:p>
    <w:p>
      <w:pPr>
        <w:spacing w:after="0" w:line="213" w:lineRule="exact"/>
        <w:rPr>
          <w:rFonts w:ascii="Times New Roman" w:cs="Times New Roman" w:eastAsia="Times New Roman" w:hAnsi="Times New Roman"/>
          <w:sz w:val="19"/>
          <w:szCs w:val="19"/>
          <w:color w:val="auto"/>
        </w:rPr>
      </w:pPr>
    </w:p>
    <w:p>
      <w:pPr>
        <w:ind w:left="-460" w:right="20" w:firstLine="644"/>
        <w:spacing w:after="0" w:line="280" w:lineRule="auto"/>
        <w:tabs>
          <w:tab w:leader="none" w:pos="61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Acquisition involves a merger or a consolidation involving any Loan Party, such Loan Party shall be the surviving entity (provided that any such merger or consolidation involving the Borrower shall result in the Borrower as the surviving entity);</w:t>
      </w:r>
    </w:p>
    <w:p>
      <w:pPr>
        <w:spacing w:after="0" w:line="165" w:lineRule="exact"/>
        <w:rPr>
          <w:rFonts w:ascii="Times New Roman" w:cs="Times New Roman" w:eastAsia="Times New Roman" w:hAnsi="Times New Roman"/>
          <w:sz w:val="19"/>
          <w:szCs w:val="19"/>
          <w:color w:val="auto"/>
        </w:rPr>
      </w:pPr>
    </w:p>
    <w:p>
      <w:pPr>
        <w:jc w:val="both"/>
        <w:ind w:left="-460" w:firstLine="644"/>
        <w:spacing w:after="0" w:line="266" w:lineRule="auto"/>
        <w:tabs>
          <w:tab w:leader="none" w:pos="68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shall, as a result of or in connection with any such Acquisition, assume or incur any direct or contingent liabilities (whether relating to environmental, tax, litigation, or other matters) that could reasonably be expected to result in the existence or incurrence of a Material Adverse Effect;</w:t>
      </w:r>
    </w:p>
    <w:p>
      <w:pPr>
        <w:spacing w:after="0" w:line="164" w:lineRule="exact"/>
        <w:rPr>
          <w:rFonts w:ascii="Times New Roman" w:cs="Times New Roman" w:eastAsia="Times New Roman" w:hAnsi="Times New Roman"/>
          <w:sz w:val="19"/>
          <w:szCs w:val="19"/>
          <w:color w:val="auto"/>
        </w:rPr>
      </w:pPr>
    </w:p>
    <w:p>
      <w:pPr>
        <w:ind w:left="560" w:hanging="376"/>
        <w:spacing w:after="0"/>
        <w:tabs>
          <w:tab w:leader="none" w:pos="5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7" w:lineRule="exact"/>
        <w:rPr>
          <w:rFonts w:ascii="Times New Roman" w:cs="Times New Roman" w:eastAsia="Times New Roman" w:hAnsi="Times New Roman"/>
          <w:sz w:val="19"/>
          <w:szCs w:val="19"/>
          <w:color w:val="auto"/>
        </w:rPr>
      </w:pPr>
    </w:p>
    <w:p>
      <w:pPr>
        <w:ind w:left="-460" w:firstLine="644"/>
        <w:spacing w:after="0" w:line="280" w:lineRule="auto"/>
        <w:tabs>
          <w:tab w:leader="none" w:pos="72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actions required to be taken with respect to any newly acquired or formed Subsidiary of a Loan Party required under Section 5.13 shall have been taken; and</w:t>
      </w:r>
    </w:p>
    <w:p>
      <w:pPr>
        <w:spacing w:after="0" w:line="165" w:lineRule="exact"/>
        <w:rPr>
          <w:rFonts w:ascii="Times New Roman" w:cs="Times New Roman" w:eastAsia="Times New Roman" w:hAnsi="Times New Roman"/>
          <w:sz w:val="19"/>
          <w:szCs w:val="19"/>
          <w:color w:val="auto"/>
        </w:rPr>
      </w:pPr>
    </w:p>
    <w:p>
      <w:pPr>
        <w:ind w:left="-460" w:firstLine="644"/>
        <w:spacing w:after="0" w:line="280" w:lineRule="auto"/>
        <w:tabs>
          <w:tab w:leader="none" w:pos="61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delivered to the Administrative Agent the final executed documentation relating to such Acquisition promptly, but in any event within five (5) Business Days, following the consummation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120"/>
          </w:cols>
          <w:pgMar w:left="1440" w:top="140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Encumbrances</w:t>
      </w:r>
      <w:r>
        <w:rPr>
          <w:rFonts w:ascii="Times New Roman" w:cs="Times New Roman" w:eastAsia="Times New Roman" w:hAnsi="Times New Roman"/>
          <w:sz w:val="19"/>
          <w:szCs w:val="19"/>
          <w:color w:val="auto"/>
        </w:rPr>
        <w:t>” means:</w:t>
      </w:r>
    </w:p>
    <w:p>
      <w:pPr>
        <w:spacing w:after="0" w:line="227" w:lineRule="exact"/>
        <w:rPr>
          <w:sz w:val="20"/>
          <w:szCs w:val="20"/>
          <w:color w:val="auto"/>
        </w:rPr>
      </w:pPr>
    </w:p>
    <w:p>
      <w:pPr>
        <w:ind w:left="1040" w:hanging="396"/>
        <w:spacing w:after="0"/>
        <w:tabs>
          <w:tab w:leader="none" w:pos="10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imposed by law for Taxes that are not yet due or are being contested in compliance with Section 5.04;</w:t>
      </w:r>
    </w:p>
    <w:p>
      <w:pPr>
        <w:spacing w:after="0" w:line="227" w:lineRule="exact"/>
        <w:rPr>
          <w:rFonts w:ascii="Times New Roman" w:cs="Times New Roman" w:eastAsia="Times New Roman" w:hAnsi="Times New Roman"/>
          <w:sz w:val="19"/>
          <w:szCs w:val="19"/>
          <w:color w:val="auto"/>
        </w:rPr>
      </w:pPr>
    </w:p>
    <w:p>
      <w:pPr>
        <w:jc w:val="both"/>
        <w:ind w:firstLine="644"/>
        <w:spacing w:after="0" w:line="258" w:lineRule="auto"/>
        <w:tabs>
          <w:tab w:leader="none" w:pos="112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carriers’, warehousemen’s, landlords’, suppliers’,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86" w:lineRule="exact"/>
        <w:rPr>
          <w:rFonts w:ascii="Times New Roman" w:cs="Times New Roman" w:eastAsia="Times New Roman" w:hAnsi="Times New Roman"/>
          <w:sz w:val="19"/>
          <w:szCs w:val="19"/>
          <w:color w:val="auto"/>
        </w:rPr>
      </w:pPr>
    </w:p>
    <w:p>
      <w:pPr>
        <w:ind w:firstLine="644"/>
        <w:spacing w:after="0" w:line="280" w:lineRule="auto"/>
        <w:tabs>
          <w:tab w:leader="none" w:pos="112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made in the ordinary course of business in compliance with workers’ compensation, unemployment insurance and other social security laws or regulations;</w:t>
      </w:r>
    </w:p>
    <w:p>
      <w:pPr>
        <w:spacing w:after="0" w:line="165" w:lineRule="exact"/>
        <w:rPr>
          <w:rFonts w:ascii="Times New Roman" w:cs="Times New Roman" w:eastAsia="Times New Roman" w:hAnsi="Times New Roman"/>
          <w:sz w:val="19"/>
          <w:szCs w:val="19"/>
          <w:color w:val="auto"/>
        </w:rPr>
      </w:pPr>
    </w:p>
    <w:p>
      <w:pPr>
        <w:jc w:val="both"/>
        <w:ind w:firstLine="644"/>
        <w:spacing w:after="0" w:line="258" w:lineRule="auto"/>
        <w:tabs>
          <w:tab w:leader="none" w:pos="126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leases, statutory obligations, surety and appeal bonds, performance bonds and other obligations of a like nature, in each case in the ordinary course of business or deposits made in connection with Permitted Acquisitions;</w:t>
      </w:r>
    </w:p>
    <w:p>
      <w:pPr>
        <w:spacing w:after="0" w:line="186" w:lineRule="exact"/>
        <w:rPr>
          <w:rFonts w:ascii="Times New Roman" w:cs="Times New Roman" w:eastAsia="Times New Roman" w:hAnsi="Times New Roman"/>
          <w:sz w:val="19"/>
          <w:szCs w:val="19"/>
          <w:color w:val="auto"/>
        </w:rPr>
      </w:pPr>
    </w:p>
    <w:p>
      <w:pPr>
        <w:ind w:left="1040" w:hanging="396"/>
        <w:spacing w:after="0"/>
        <w:tabs>
          <w:tab w:leader="none" w:pos="10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judgment Liens in respect of judgments that do not constitute an Event of Default under clause (k) of Article VII; and</w:t>
      </w:r>
    </w:p>
    <w:p>
      <w:pPr>
        <w:spacing w:after="0" w:line="227" w:lineRule="exact"/>
        <w:rPr>
          <w:rFonts w:ascii="Times New Roman" w:cs="Times New Roman" w:eastAsia="Times New Roman" w:hAnsi="Times New Roman"/>
          <w:sz w:val="19"/>
          <w:szCs w:val="19"/>
          <w:color w:val="auto"/>
        </w:rPr>
      </w:pPr>
    </w:p>
    <w:p>
      <w:pPr>
        <w:jc w:val="both"/>
        <w:ind w:firstLine="644"/>
        <w:spacing w:after="0" w:line="258" w:lineRule="auto"/>
        <w:tabs>
          <w:tab w:leader="none" w:pos="110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8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“Permitted Encumbrances” shall not include any Lien securing Indebtedness, except with respect to clause (e)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Holders</w:t>
      </w:r>
      <w:r>
        <w:rPr>
          <w:rFonts w:ascii="Times New Roman" w:cs="Times New Roman" w:eastAsia="Times New Roman" w:hAnsi="Times New Roman"/>
          <w:sz w:val="19"/>
          <w:szCs w:val="19"/>
          <w:color w:val="auto"/>
        </w:rPr>
        <w:t>” means Tim Chen and his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Investments</w:t>
      </w:r>
      <w:r>
        <w:rPr>
          <w:rFonts w:ascii="Times New Roman" w:cs="Times New Roman" w:eastAsia="Times New Roman" w:hAnsi="Times New Roman"/>
          <w:sz w:val="19"/>
          <w:szCs w:val="19"/>
          <w:color w:val="auto"/>
        </w:rPr>
        <w:t>” means:</w:t>
      </w:r>
    </w:p>
    <w:p>
      <w:pPr>
        <w:spacing w:after="0" w:line="214" w:lineRule="exact"/>
        <w:rPr>
          <w:sz w:val="20"/>
          <w:szCs w:val="20"/>
          <w:color w:val="auto"/>
        </w:rPr>
      </w:pPr>
    </w:p>
    <w:p>
      <w:pPr>
        <w:jc w:val="both"/>
        <w:ind w:firstLine="644"/>
        <w:spacing w:after="0" w:line="266" w:lineRule="auto"/>
        <w:tabs>
          <w:tab w:leader="none" w:pos="107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78" w:lineRule="exact"/>
        <w:rPr>
          <w:rFonts w:ascii="Times New Roman" w:cs="Times New Roman" w:eastAsia="Times New Roman" w:hAnsi="Times New Roman"/>
          <w:sz w:val="19"/>
          <w:szCs w:val="19"/>
          <w:color w:val="auto"/>
        </w:rPr>
      </w:pPr>
    </w:p>
    <w:p>
      <w:pPr>
        <w:jc w:val="both"/>
        <w:ind w:firstLine="644"/>
        <w:spacing w:after="0" w:line="258" w:lineRule="auto"/>
        <w:tabs>
          <w:tab w:leader="none" w:pos="1083"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 from the date of acquisition;</w:t>
      </w:r>
    </w:p>
    <w:p>
      <w:pPr>
        <w:spacing w:after="0" w:line="186" w:lineRule="exact"/>
        <w:rPr>
          <w:rFonts w:ascii="Times New Roman" w:cs="Times New Roman" w:eastAsia="Times New Roman" w:hAnsi="Times New Roman"/>
          <w:sz w:val="19"/>
          <w:szCs w:val="19"/>
          <w:color w:val="auto"/>
        </w:rPr>
      </w:pPr>
    </w:p>
    <w:p>
      <w:pPr>
        <w:jc w:val="both"/>
        <w:ind w:firstLine="644"/>
        <w:spacing w:after="0" w:line="261" w:lineRule="auto"/>
        <w:tabs>
          <w:tab w:leader="none" w:pos="116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certificates of deposit, eurodollar time deposits, overnight bank deposits, bankers’ acceptances and time deposits maturing within 12 months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70" w:lineRule="exact"/>
        <w:rPr>
          <w:rFonts w:ascii="Times New Roman" w:cs="Times New Roman" w:eastAsia="Times New Roman" w:hAnsi="Times New Roman"/>
          <w:sz w:val="19"/>
          <w:szCs w:val="19"/>
          <w:color w:val="auto"/>
        </w:rPr>
      </w:pPr>
    </w:p>
    <w:p>
      <w:pPr>
        <w:ind w:right="20" w:firstLine="644"/>
        <w:spacing w:after="0" w:line="280" w:lineRule="auto"/>
        <w:tabs>
          <w:tab w:leader="none" w:pos="109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fully collateralized repurchase obligations with a term of not more than 30 days for securities described in clause (a) above and entered into with a financial institution satisfying the criteria described in clause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580"/>
          </w:cols>
          <w:pgMar w:left="980" w:top="1409" w:right="339" w:bottom="1440" w:gutter="0" w:footer="0" w:header="0"/>
        </w:sectPr>
      </w:pPr>
    </w:p>
    <w:bookmarkStart w:id="72" w:name="page73"/>
    <w:bookmarkEnd w:id="72"/>
    <w:p>
      <w:pPr>
        <w:jc w:val="both"/>
        <w:ind w:left="660" w:firstLine="644"/>
        <w:spacing w:after="0" w:line="256" w:lineRule="auto"/>
        <w:tabs>
          <w:tab w:leader="none" w:pos="189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88" w:lineRule="exact"/>
        <w:rPr>
          <w:rFonts w:ascii="Times New Roman" w:cs="Times New Roman" w:eastAsia="Times New Roman" w:hAnsi="Times New Roman"/>
          <w:sz w:val="19"/>
          <w:szCs w:val="19"/>
          <w:color w:val="auto"/>
        </w:rPr>
      </w:pPr>
    </w:p>
    <w:p>
      <w:pPr>
        <w:jc w:val="both"/>
        <w:ind w:left="660" w:firstLine="644"/>
        <w:spacing w:after="0" w:line="266" w:lineRule="auto"/>
        <w:tabs>
          <w:tab w:leader="none" w:pos="168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or similar funds that either (x) invest exclusively in assets satisfying the requirements of clauses (a) through (g) of this definition, or (y) (i) comply with the criteria set forth in Securities and Exchange Commission Rule 2a-7 under the Investment Company Act of 1940, (ii) are rated AAA by S&amp;P and Aaa by Moody’s and (iii) have portfolio assets of at least $5,000,000,000; and</w:t>
      </w:r>
    </w:p>
    <w:p>
      <w:pPr>
        <w:spacing w:after="0" w:line="178"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87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organized or having its principal place of business outside the United States, investments denominated in the currency of the jurisdiction in which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is organized or has its principal place of business which are similar and of comparable credit quality to the items specified in clauses (a) through (f) above;.</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Personal Data</w:t>
      </w:r>
      <w:r>
        <w:rPr>
          <w:rFonts w:ascii="Times New Roman" w:cs="Times New Roman" w:eastAsia="Times New Roman" w:hAnsi="Times New Roman"/>
          <w:sz w:val="19"/>
          <w:szCs w:val="19"/>
          <w:color w:val="auto"/>
        </w:rPr>
        <w:t>” means data or information pertaining to an individual that is regulated or protected by one or more of the Data Protection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Laws.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Asset Regulations</w:t>
      </w:r>
      <w:r>
        <w:rPr>
          <w:rFonts w:ascii="Times New Roman" w:cs="Times New Roman" w:eastAsia="Times New Roman" w:hAnsi="Times New Roman"/>
          <w:sz w:val="19"/>
          <w:szCs w:val="19"/>
          <w:color w:val="auto"/>
        </w:rPr>
        <w:t>” means 29 CFR § 2510.3-101, as modified by Section 3(42) of ERISA, as amended from time to time.</w:t>
      </w:r>
    </w:p>
    <w:p>
      <w:pPr>
        <w:spacing w:after="0" w:line="21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spacing w:after="0" w:line="1" w:lineRule="exact"/>
        <w:rPr>
          <w:sz w:val="20"/>
          <w:szCs w:val="20"/>
          <w:color w:val="auto"/>
        </w:rPr>
      </w:pPr>
    </w:p>
    <w:p>
      <w:pPr>
        <w:jc w:val="both"/>
        <w:ind w:firstLine="8"/>
        <w:spacing w:after="0" w:line="258" w:lineRule="auto"/>
        <w:tabs>
          <w:tab w:leader="none" w:pos="48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Privacy Agreements</w:t>
      </w:r>
      <w:r>
        <w:rPr>
          <w:rFonts w:ascii="Times New Roman" w:cs="Times New Roman" w:eastAsia="Times New Roman" w:hAnsi="Times New Roman"/>
          <w:sz w:val="19"/>
          <w:szCs w:val="19"/>
          <w:color w:val="auto"/>
        </w:rPr>
        <w:t>” has the meaning assigned to such term in Section 3.24(a).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Privacy Policies</w:t>
      </w:r>
      <w:r>
        <w:rPr>
          <w:rFonts w:ascii="Times New Roman" w:cs="Times New Roman" w:eastAsia="Times New Roman" w:hAnsi="Times New Roman"/>
          <w:sz w:val="19"/>
          <w:szCs w:val="19"/>
          <w:color w:val="auto"/>
        </w:rPr>
        <w:t>” has the meaning assigned to such term in Section 3.24(b).</w:t>
      </w:r>
    </w:p>
    <w:p>
      <w:pPr>
        <w:spacing w:after="0" w:line="227"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means any claim, litigation, investigation, action, suit, arbitration or administrative, judicial or regulatory action or proceeding in any jurisdiction.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Projections</w:t>
      </w:r>
      <w:r>
        <w:rPr>
          <w:rFonts w:ascii="Times New Roman" w:cs="Times New Roman" w:eastAsia="Times New Roman" w:hAnsi="Times New Roman"/>
          <w:sz w:val="19"/>
          <w:szCs w:val="19"/>
          <w:color w:val="auto"/>
        </w:rPr>
        <w:t>” has the meaning assigned to such term in Section 5.01(e).</w:t>
      </w:r>
    </w:p>
    <w:p>
      <w:pPr>
        <w:spacing w:after="0" w:line="214"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has the meaning assigned to such term in Section 9.21.</w:t>
      </w:r>
    </w:p>
    <w:p>
      <w:pPr>
        <w:spacing w:after="0" w:line="20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Cash</w:t>
      </w:r>
      <w:r>
        <w:rPr>
          <w:rFonts w:ascii="Times New Roman" w:cs="Times New Roman" w:eastAsia="Times New Roman" w:hAnsi="Times New Roman"/>
          <w:sz w:val="19"/>
          <w:szCs w:val="19"/>
          <w:color w:val="auto"/>
        </w:rPr>
        <w:t>” means, as of any date of determination, the aggregate amount of unrestricted cash and Permitted Investments of the Loan Parties maintained in an account with Chase or that is subject to a customary springing control agreement in favor of the Administrative Agent.</w:t>
      </w:r>
    </w:p>
    <w:p>
      <w:pPr>
        <w:spacing w:after="0" w:line="1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Recipient</w:t>
      </w:r>
      <w:r>
        <w:rPr>
          <w:rFonts w:ascii="Times New Roman" w:cs="Times New Roman" w:eastAsia="Times New Roman" w:hAnsi="Times New Roman"/>
          <w:sz w:val="19"/>
          <w:szCs w:val="19"/>
          <w:color w:val="auto"/>
        </w:rPr>
        <w:t>” means, as applicable, (a) the Administrative Agent, (b) any Lender and (c) any Issuing Bank, or any combination thereof (as the context requires).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U.S. Government Securities Business Days prior to such setting or (3) if such Benchmark is none of the Term SOFR Rate or Daily Simple SOFR, the time determined by the Administrative Agent in its reasonable discretion.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Refinance Indebtedness</w:t>
      </w:r>
      <w:r>
        <w:rPr>
          <w:rFonts w:ascii="Times New Roman" w:cs="Times New Roman" w:eastAsia="Times New Roman" w:hAnsi="Times New Roman"/>
          <w:sz w:val="19"/>
          <w:szCs w:val="19"/>
          <w:color w:val="auto"/>
        </w:rPr>
        <w:t>” has the meaning assigned to such term in Section 6.01(f).</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has the meaning assigned to such term in Section 9.04(b).</w:t>
      </w:r>
    </w:p>
    <w:p>
      <w:pPr>
        <w:spacing w:after="0" w:line="214"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D</w:t>
      </w:r>
      <w:r>
        <w:rPr>
          <w:rFonts w:ascii="Times New Roman" w:cs="Times New Roman" w:eastAsia="Times New Roman" w:hAnsi="Times New Roman"/>
          <w:sz w:val="19"/>
          <w:szCs w:val="19"/>
          <w:color w:val="auto"/>
        </w:rPr>
        <w:t>” means Regulation D of the Federal Reserve Board, as in effect from time to time and all official rulings and interpretations thereunder or thereof.</w:t>
      </w:r>
    </w:p>
    <w:p>
      <w:pPr>
        <w:spacing w:after="0" w:line="16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T</w:t>
      </w:r>
      <w:r>
        <w:rPr>
          <w:rFonts w:ascii="Times New Roman" w:cs="Times New Roman" w:eastAsia="Times New Roman" w:hAnsi="Times New Roman"/>
          <w:sz w:val="19"/>
          <w:szCs w:val="19"/>
          <w:color w:val="auto"/>
        </w:rPr>
        <w:t>” means Regulation T of the Federal Reserve Board, as in effect from time to time and all official rulings and interpretations thereunder or thereof.</w:t>
      </w:r>
    </w:p>
    <w:p>
      <w:pPr>
        <w:spacing w:after="0" w:line="165"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means Regulation U of the Federal Reserve Board, as in effect from time to time and all official rulings and interpretations thereunder or thereof.</w:t>
      </w:r>
    </w:p>
    <w:p>
      <w:pPr>
        <w:spacing w:after="0" w:line="17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X</w:t>
      </w:r>
      <w:r>
        <w:rPr>
          <w:rFonts w:ascii="Times New Roman" w:cs="Times New Roman" w:eastAsia="Times New Roman" w:hAnsi="Times New Roman"/>
          <w:sz w:val="19"/>
          <w:szCs w:val="19"/>
          <w:color w:val="auto"/>
        </w:rPr>
        <w:t>” means Regulation X of the Federal Reserve Board, as in effect from time to time and all official rulings and interpretations thereunder or thereof.</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5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means any releasing, spilling, leaking, pumping, pouring, emitting, emptying, discharging, injecting, escaping, leaching, migrating, disposing, or dumping of any substance into the environment.</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Federal Reserve Board and/or the NYFRB, or a committee officially endorsed or convened by the Federal Reserve Board and/or the NYFRB or, in each case, any successor thereto.</w:t>
      </w:r>
    </w:p>
    <w:p>
      <w:pPr>
        <w:spacing w:after="0" w:line="165"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Rate</w:t>
      </w:r>
      <w:r>
        <w:rPr>
          <w:rFonts w:ascii="Times New Roman" w:cs="Times New Roman" w:eastAsia="Times New Roman" w:hAnsi="Times New Roman"/>
          <w:sz w:val="19"/>
          <w:szCs w:val="19"/>
          <w:color w:val="auto"/>
        </w:rPr>
        <w:t>” means (i) with respect to any Term Benchmark Borrowing, the Adjusted Term SOFR Rate, and (ii) with respect to any RFR Borrowing, Adjusted Daily Simple SOFR,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9" w:right="339" w:bottom="1440" w:gutter="0" w:footer="0" w:header="0"/>
        </w:sectPr>
      </w:pPr>
    </w:p>
    <w:bookmarkStart w:id="74" w:name="page75"/>
    <w:bookmarkEnd w:id="74"/>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subject to Section 2.20: (a) at any time prior to the earlier of the Loans becoming due and payable pursuant to Article VII or the Revolving Commitments terminating or expiring, Lenders having Revolving Exposures and Unfunded Revolving Commitments representing more than 50% of the sum of the Aggregate Revolving Exposure and aggregate Unfunded Revolving Commitments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solely for purposes of declaring the Loans to be due and payable pursuant to Article VII, the Unfunded Revolving Commitment of each Lender shall be deemed to be zero in determining the Required Lenders; and (b) for all purposes after the Loans become due and payable pursuant to Article VII or the Revolving Commitments expire or terminate, Lenders having Revolving Exposures representing more than 50% of the sum of the Aggregate Revolving Exposure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be determined on the basis of its Revolving Exposure excluding such excess amount.</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the president, Financial Officer or other executive officer of the Borrower.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xml:space="preserve">” means, as the case may be, (i) any dividend or other distribution (whether in cash, securities or other property) with respect to any Equity Interests in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payment (whether in cash, securities or other property), including any sinking fund or similar deposit, on account of the purchase, redemption, retirement, acquisition, cancellation or termination of any such Equity Interests in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option, warrant or other right to acquire any such Equity Interests in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(ii) the payment of any management, advisory, transaction services, monitoring, bonus or similar fees, howsoever designated, or the payment of any costs, expenses and indemnities under any management, advisory, monitoring or similar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“Restricted Subsidiary” means, at any time, any Subsidiary other than an Unrestricted Subsidiary.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Commitment</w:t>
      </w:r>
      <w:r>
        <w:rPr>
          <w:rFonts w:ascii="Times New Roman" w:cs="Times New Roman" w:eastAsia="Times New Roman" w:hAnsi="Times New Roman"/>
          <w:sz w:val="19"/>
          <w:szCs w:val="19"/>
          <w:color w:val="auto"/>
        </w:rPr>
        <w:t xml:space="preserve">” means, with respect to each Lender, the amount set forth on the </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xml:space="preserve"> opposite such Lender’s name as a “Revolving Commitment”, or in the Assignment and Assumption or other documentation or record (as such term is defined in Section 9-102(a)(70) of the New York UCC) as provided in Section 9.04(b)(ii)(C), pursuant to which such Lender shall have assumed its Revolving Commitment pursuant to the terms hereof, as applicable, as such Revolving Commitment may be reduced or increased from time to time pursuant to (a) Section 2.09 and (b) assignments by or to such Lender pursuant to Section 9.04;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no time shall the Revolving Exposure of any Lender exceed its Revolving Commitment. The initial aggregate amount of the Lenders’ Revolving Commitments is $125,000,000.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Maturity Date</w:t>
      </w:r>
      <w:r>
        <w:rPr>
          <w:rFonts w:ascii="Times New Roman" w:cs="Times New Roman" w:eastAsia="Times New Roman" w:hAnsi="Times New Roman"/>
          <w:sz w:val="19"/>
          <w:szCs w:val="19"/>
          <w:color w:val="auto"/>
        </w:rPr>
        <w:t>” means September 26, 2028 (if the same is a Business Day, or if not then the immediately next succeeding Business Day), or any earlier date on which the Revolving Commitments are reduced to zero or otherwise terminated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09" w:right="339" w:bottom="1440" w:gutter="0" w:footer="0" w:header="0"/>
        </w:sectPr>
      </w:pPr>
    </w:p>
    <w:bookmarkStart w:id="75" w:name="page76"/>
    <w:bookmarkEnd w:id="75"/>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Exposure</w:t>
      </w:r>
      <w:r>
        <w:rPr>
          <w:rFonts w:ascii="Times New Roman" w:cs="Times New Roman" w:eastAsia="Times New Roman" w:hAnsi="Times New Roman"/>
          <w:sz w:val="19"/>
          <w:szCs w:val="19"/>
          <w:color w:val="auto"/>
        </w:rPr>
        <w:t>” means, with respect to any Lender, at any time, the sum of the aggregate outstanding principal amount (in Dollars) of such Lender’s Revolving Loans and its LC Exposure and its Swingline Exposure at such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Loan</w:t>
      </w:r>
      <w:r>
        <w:rPr>
          <w:rFonts w:ascii="Times New Roman" w:cs="Times New Roman" w:eastAsia="Times New Roman" w:hAnsi="Times New Roman"/>
          <w:sz w:val="19"/>
          <w:szCs w:val="19"/>
          <w:color w:val="auto"/>
        </w:rPr>
        <w:t>” means a Loan made pursuant to Section 2.01.</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Adjusted Daily Simple SOFR (excluding, for the avoidance of doubt, any ABR Loan or Borrowing).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Standard &amp; Poor’s Rating Services, a Standard &amp; Poor’s Financial Services LLC business.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has the meaning assigned to such term in Section 6.06.</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region or territory which is itself the subject of any comprehensive Sanctions (at the time of this Agreement, the so-called Donetsk People’s Republic, the so-called Luhansk People’s Republic, the Crimea, Zaporizhzhia and Kherson Regions of Ukraine, Cuba, Iran, North Korea and Syria).</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xml:space="preserve">” means, at any time, any Person subject of any Sanctions, including (a) any Person listed in any Sanctions-related list of designated Persons maintained by the U.S. government, including by OFAC, the U.S. Department of State or the U.S. Department of Commerce, or by the United Nations Security Council, the European Union, any European Union member state, His Majesty’s Treasury of the United Kingdom or other relevant sanctions authority </w:t>
      </w:r>
      <w:r>
        <w:rPr>
          <w:rFonts w:ascii="Times New Roman" w:cs="Times New Roman" w:eastAsia="Times New Roman" w:hAnsi="Times New Roman"/>
          <w:sz w:val="19"/>
          <w:szCs w:val="19"/>
          <w:u w:val="single" w:color="auto"/>
          <w:color w:val="auto"/>
        </w:rPr>
        <w:t>in any country in which the Borrower has operations</w:t>
      </w:r>
      <w:r>
        <w:rPr>
          <w:rFonts w:ascii="Times New Roman" w:cs="Times New Roman" w:eastAsia="Times New Roman" w:hAnsi="Times New Roman"/>
          <w:sz w:val="19"/>
          <w:szCs w:val="19"/>
          <w:color w:val="auto"/>
        </w:rPr>
        <w:t>, (b) any Person located,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Sanctions).</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applicable laws and regulations relating to economic or financial sanctions, or trade embargoes imposed, administered or enforced from time to time by (a) the U.S. government, including those administered by OFAC, the U.S. Department of State or the U.S. Department of Commerce, or (b) the United Nations Security Council, the European Union, any European Union member state or His Majesty’s Treasury of the United Kingdom or other relevant sanctions authority in any country in which the Borrower has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of the U.S.</w:t>
      </w:r>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xml:space="preserve">” means all Obligations, together with all Banking Services Obligations and Swap Agreement Obligations owing by the Loan Parties or any of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to one or more Lenders or their respective Affiliates or to any person that was a Lender or Affiliate of a Lender at the time incurred;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9"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9"/>
          <w:szCs w:val="19"/>
          <w:color w:val="auto"/>
        </w:rPr>
        <w:t>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Program</w:t>
      </w:r>
      <w:r>
        <w:rPr>
          <w:rFonts w:ascii="Times New Roman" w:cs="Times New Roman" w:eastAsia="Times New Roman" w:hAnsi="Times New Roman"/>
          <w:sz w:val="19"/>
          <w:szCs w:val="19"/>
          <w:color w:val="auto"/>
        </w:rPr>
        <w:t>” has the meaning assigned to such term in Section 3.24(c).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 Repurchase</w:t>
      </w:r>
      <w:r>
        <w:rPr>
          <w:rFonts w:ascii="Times New Roman" w:cs="Times New Roman" w:eastAsia="Times New Roman" w:hAnsi="Times New Roman"/>
          <w:sz w:val="19"/>
          <w:szCs w:val="19"/>
          <w:color w:val="auto"/>
        </w:rPr>
        <w:t>” has the meaning assigned to such term in Section 6.08(a)(iv).</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 Administrator.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NYFRB (or a successor administrator of the secured overnight financing rate).</w:t>
      </w:r>
    </w:p>
    <w:p>
      <w:pPr>
        <w:spacing w:after="0" w:line="2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Administrator’s Website</w:t>
      </w:r>
      <w:r>
        <w:rPr>
          <w:rFonts w:ascii="Times New Roman" w:cs="Times New Roman" w:eastAsia="Times New Roman" w:hAnsi="Times New Roman"/>
          <w:sz w:val="19"/>
          <w:szCs w:val="19"/>
          <w:color w:val="auto"/>
        </w:rPr>
        <w:t>” means the NYFRB’s Website, currently at http://www.newyorkfed.org, or any successor source for the secured overnight financing rate identified as such by the SOFR Administrator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has the meaning assigned to such term under the definition of Daily Simple SOFR.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Ancillary Obligations</w:t>
      </w:r>
      <w:r>
        <w:rPr>
          <w:rFonts w:ascii="Times New Roman" w:cs="Times New Roman" w:eastAsia="Times New Roman" w:hAnsi="Times New Roman"/>
          <w:sz w:val="19"/>
          <w:szCs w:val="19"/>
          <w:color w:val="auto"/>
        </w:rPr>
        <w:t xml:space="preserve">” means all obligations and liabilities (including interest and fees accruing during the pendency of any bankruptcy, insolvency, receivership or other similar proceeding, regardless of whether allowed or allowable in such proceeding) of any of the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existing on the Effective Date or arising thereafter, direct or indirect, joint or several, absolute or contingent, matured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unmatured, liquidated or unliquidated, secured or unsecured, arising by contract, operation of law or otherwise, to the Lenders or any of their Affiliates in respect of any Swap Agreement Obligations or any Banking Services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Statement</w:t>
      </w:r>
      <w:r>
        <w:rPr>
          <w:rFonts w:ascii="Times New Roman" w:cs="Times New Roman" w:eastAsia="Times New Roman" w:hAnsi="Times New Roman"/>
          <w:sz w:val="19"/>
          <w:szCs w:val="19"/>
          <w:color w:val="auto"/>
        </w:rPr>
        <w:t>” has the meaning assigned to such term in Section 2.18(f).</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Subordinated Indebtedness</w:t>
      </w:r>
      <w:r>
        <w:rPr>
          <w:rFonts w:ascii="Times New Roman" w:cs="Times New Roman" w:eastAsia="Times New Roman" w:hAnsi="Times New Roman"/>
          <w:sz w:val="19"/>
          <w:szCs w:val="19"/>
          <w:color w:val="auto"/>
        </w:rPr>
        <w:t>” of a Person means any Indebtedness of such Person, the payment of which is subordinated to payment of the Secured Obligations to the written satisfaction of the Administrative Agent.</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direct or indirect subsidiary of the Borrower or of any other Loan Party, as applicable.</w:t>
      </w:r>
    </w:p>
    <w:p>
      <w:pPr>
        <w:spacing w:after="0" w:line="22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means the Borrower’s Material Domestic Subsidiaries party hereto as Subsidiary Guarantors as of the Effective Date and any other Material Domestic Subsidiary that becomes a party to this Agreement pursuant to a Joinder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has the meaning assigned to such term in Section 9.21.</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SVB</w:t>
      </w:r>
      <w:r>
        <w:rPr>
          <w:rFonts w:ascii="Times New Roman" w:cs="Times New Roman" w:eastAsia="Times New Roman" w:hAnsi="Times New Roman"/>
          <w:sz w:val="19"/>
          <w:szCs w:val="19"/>
          <w:color w:val="auto"/>
        </w:rPr>
        <w:t>” means Silicon Valley Bank, a division of First-Citizens Bank &amp; Trust Company, in its individual capacity,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09" w:right="339" w:bottom="1440" w:gutter="0" w:footer="0" w:header="0"/>
        </w:sectPr>
      </w:pPr>
    </w:p>
    <w:bookmarkStart w:id="77" w:name="page78"/>
    <w:bookmarkEnd w:id="77"/>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Borrower or the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shall be a Swap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 Obligations</w:t>
      </w:r>
      <w:r>
        <w:rPr>
          <w:rFonts w:ascii="Times New Roman" w:cs="Times New Roman" w:eastAsia="Times New Roman" w:hAnsi="Times New Roman"/>
          <w:sz w:val="19"/>
          <w:szCs w:val="19"/>
          <w:color w:val="auto"/>
        </w:rPr>
        <w:t xml:space="preserve">” means any and all obligations of the Loan Parties and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whether absolute or contingent and howsoever and whensoever created, arising, evidenced or acquired (including all renewals, extensions and modifications thereof and substitutions therefor), under (a) any Swap Agreement permitted hereunder with the Administrative Agent, a Lender or an Affiliate of the Administrative Agent or a Lender (or any Person that was a Lender or an Affiliate of a Lender at the time incurred), and (b) any cancellations, buy backs, reversals, terminations or assignments of any Swap Agreement transaction permitted hereunder with the Administrative Agent, a Lender or an Affiliate of the Administrative Agent or a Lender (or any Person that was a Lender or an Affiliate of a Lender at the time incurred).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w:t>
      </w:r>
      <w:r>
        <w:rPr>
          <w:rFonts w:ascii="Times New Roman" w:cs="Times New Roman" w:eastAsia="Times New Roman" w:hAnsi="Times New Roman"/>
          <w:sz w:val="19"/>
          <w:szCs w:val="19"/>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w:t>
      </w:r>
    </w:p>
    <w:p>
      <w:pPr>
        <w:spacing w:after="0" w:line="2" w:lineRule="exact"/>
        <w:rPr>
          <w:sz w:val="20"/>
          <w:szCs w:val="20"/>
          <w:color w:val="auto"/>
        </w:rPr>
      </w:pPr>
    </w:p>
    <w:p>
      <w:pPr>
        <w:ind w:right="20" w:firstLine="8"/>
        <w:spacing w:after="0" w:line="264" w:lineRule="auto"/>
        <w:tabs>
          <w:tab w:leader="none" w:pos="268"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means Chase (or any of its designated branch offices or affiliates), in its capacity as lender of Swingline Loans hereunder. Any consent required of the Administrative Agent or the Issuing Bank shall be deemed to be required of the Swingline Lender and any consent given by Chase in its capacity as Administrative Agent or Issuing Bank shall be deemed given by Chase in its capacity as Swingline Lender as well.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w:t>
      </w:r>
      <w:r>
        <w:rPr>
          <w:rFonts w:ascii="Times New Roman" w:cs="Times New Roman" w:eastAsia="Times New Roman" w:hAnsi="Times New Roman"/>
          <w:sz w:val="19"/>
          <w:szCs w:val="19"/>
          <w:color w:val="auto"/>
        </w:rPr>
        <w:t>” means a Loan made pursuant to Section 2.05.</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or the Loans comprising such Borrowing, bear interest at a rate determined by reference to the Adjusted Term SOFR Rate.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Determination Day</w:t>
      </w:r>
      <w:r>
        <w:rPr>
          <w:rFonts w:ascii="Times New Roman" w:cs="Times New Roman" w:eastAsia="Times New Roman" w:hAnsi="Times New Roman"/>
          <w:sz w:val="19"/>
          <w:szCs w:val="19"/>
          <w:color w:val="auto"/>
        </w:rPr>
        <w:t>” has the meaning assigned to such term under the definition of Term SOFR Reference Rate.</w:t>
      </w:r>
    </w:p>
    <w:p>
      <w:pPr>
        <w:spacing w:after="0" w:line="227"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Rate</w:t>
      </w:r>
      <w:r>
        <w:rPr>
          <w:rFonts w:ascii="Times New Roman" w:cs="Times New Roman" w:eastAsia="Times New Roman" w:hAnsi="Times New Roman"/>
          <w:sz w:val="19"/>
          <w:szCs w:val="19"/>
          <w:color w:val="auto"/>
        </w:rPr>
        <w:t>” means, with respect to any Term Benchmark Borrowing and for any tenor comparable to the applicable Interest Period, the Term SOFR Reference Rate at approximately 5:00 a.m., Chicago time, two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09" w:right="339" w:bottom="1440" w:gutter="0" w:footer="0" w:header="0"/>
        </w:sectPr>
      </w:pPr>
    </w:p>
    <w:bookmarkStart w:id="78" w:name="page79"/>
    <w:bookmarkEnd w:id="78"/>
    <w:p>
      <w:pPr>
        <w:jc w:val="both"/>
        <w:ind w:right="20"/>
        <w:spacing w:after="0" w:line="280" w:lineRule="auto"/>
        <w:rPr>
          <w:sz w:val="20"/>
          <w:szCs w:val="20"/>
          <w:color w:val="auto"/>
        </w:rPr>
      </w:pPr>
      <w:r>
        <w:rPr>
          <w:rFonts w:ascii="Times New Roman" w:cs="Times New Roman" w:eastAsia="Times New Roman" w:hAnsi="Times New Roman"/>
          <w:sz w:val="19"/>
          <w:szCs w:val="19"/>
          <w:color w:val="auto"/>
        </w:rPr>
        <w:t>Government Securities Business Days prior to the commencement of such tenor comparable to the applicable Interest Period, as such rate is published by the CME Term SOFR Administrator.</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for any day and time (such day, the “</w:t>
      </w:r>
      <w:r>
        <w:rPr>
          <w:rFonts w:ascii="Times New Roman" w:cs="Times New Roman" w:eastAsia="Times New Roman" w:hAnsi="Times New Roman"/>
          <w:sz w:val="19"/>
          <w:szCs w:val="19"/>
          <w:u w:val="single" w:color="auto"/>
          <w:color w:val="auto"/>
        </w:rPr>
        <w:t>Term SOFR Determination Day</w:t>
      </w:r>
      <w:r>
        <w:rPr>
          <w:rFonts w:ascii="Times New Roman" w:cs="Times New Roman" w:eastAsia="Times New Roman" w:hAnsi="Times New Roman"/>
          <w:sz w:val="19"/>
          <w:szCs w:val="19"/>
          <w:color w:val="auto"/>
        </w:rPr>
        <w:t>”), with respect to any Term Benchmark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xml:space="preserve">” means, on any date, the ratio of (a) Consolidated Total Indebtedness on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Qualified Cash, in an amount not to exceed $25,000,000, to (b) Consolidated EBITDA for the period of four consecutive fiscal quarters ended on or most recently prior to such date.</w:t>
      </w:r>
    </w:p>
    <w:p>
      <w:pPr>
        <w:spacing w:after="0" w:line="18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6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comprising such Borrowing, is determined by reference to the Adjusted Term SOFR Rate, the Adjusted Daily Simple SOFR or the Alternate Base Rate.</w:t>
      </w:r>
    </w:p>
    <w:p>
      <w:pPr>
        <w:spacing w:after="0" w:line="15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Institutions</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Unfinanced Capital Expenditures</w:t>
      </w:r>
      <w:r>
        <w:rPr>
          <w:rFonts w:ascii="Times New Roman" w:cs="Times New Roman" w:eastAsia="Times New Roman" w:hAnsi="Times New Roman"/>
          <w:sz w:val="19"/>
          <w:szCs w:val="19"/>
          <w:color w:val="auto"/>
        </w:rPr>
        <w:t xml:space="preserve">” means, for any period, Capital Expenditures for maintenance purposes made during such period which are not financed from the proceeds of any Indebtedness (other than the Revolving Loans; it being understood and agreed that, to the extent any such Capital Expenditures are financed with Revolving Loans, such Capital Expenditures shall be deemed Unfinanced Capital Expenditures), but in any event excluding capitalized software development expenses that are deducted from Consolidated EBITDA, calculated for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on a consolidated basis for such period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09" w:right="339" w:bottom="1440" w:gutter="0" w:footer="0" w:header="0"/>
        </w:sectPr>
      </w:pPr>
    </w:p>
    <w:bookmarkStart w:id="79" w:name="page80"/>
    <w:bookmarkEnd w:id="79"/>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Unfunded Revolving Commitment</w:t>
      </w:r>
      <w:r>
        <w:rPr>
          <w:rFonts w:ascii="Times New Roman" w:cs="Times New Roman" w:eastAsia="Times New Roman" w:hAnsi="Times New Roman"/>
          <w:sz w:val="19"/>
          <w:szCs w:val="19"/>
          <w:color w:val="auto"/>
        </w:rPr>
        <w:t xml:space="preserve">” means, with respect to each Lender at any time, the Revolving Commitment of such Lender at such time,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its Revolving Exposure at such time.</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Unliquidated Obligations</w:t>
      </w:r>
      <w:r>
        <w:rPr>
          <w:rFonts w:ascii="Times New Roman" w:cs="Times New Roman" w:eastAsia="Times New Roman" w:hAnsi="Times New Roman"/>
          <w:sz w:val="19"/>
          <w:szCs w:val="19"/>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“Unrestricted Subsidiary” means Next Door.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means the United States of America.</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 “United States person” within the meaning of Section 7701(a)(30) of the Code.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Special Resolution Regime</w:t>
      </w:r>
      <w:r>
        <w:rPr>
          <w:rFonts w:ascii="Times New Roman" w:cs="Times New Roman" w:eastAsia="Times New Roman" w:hAnsi="Times New Roman"/>
          <w:sz w:val="19"/>
          <w:szCs w:val="19"/>
          <w:color w:val="auto"/>
        </w:rPr>
        <w:t>” has the meaning assigned to such term in Section 9.21.</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has the meaning assigned to such term in Section 2.17(f)(ii)(B)(3).</w:t>
      </w:r>
    </w:p>
    <w:p>
      <w:pPr>
        <w:spacing w:after="0" w:line="22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means the Uniting and Strengthening America by Providing Appropriate Tools Required to Intercept and Obstruct Terrorism Act of 2001.</w:t>
      </w:r>
    </w:p>
    <w:p>
      <w:pPr>
        <w:spacing w:after="0" w:line="16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means liability to a Multiemployer Plan as a result of a complete or partial withdrawal from such Multiemployer Plan, as such terms are defined in Part I of Subtitle E of Title IV of ERISA.</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u w:val="single" w:color="auto"/>
          <w:color w:val="000000"/>
        </w:rPr>
        <w:t>Classification of Loans and Borrowings</w:t>
      </w:r>
      <w:r>
        <w:rPr>
          <w:rFonts w:ascii="Times New Roman" w:cs="Times New Roman" w:eastAsia="Times New Roman" w:hAnsi="Times New Roman"/>
          <w:sz w:val="19"/>
          <w:szCs w:val="19"/>
          <w:color w:val="000000"/>
        </w:rPr>
        <w:t>. For purposes of this Agreement, Loans may be classified and referred to by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Class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“Revolving Loan”) or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Loan”) or by Class and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Revolving Loan”). Borrowings also may be classified and referred to by Class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“Revolving Borrowing”) or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Borrowing”) or by Class and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Revolving Borrowing”).</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1.03. </w:t>
      </w:r>
      <w:r>
        <w:rPr>
          <w:rFonts w:ascii="Times New Roman" w:cs="Times New Roman" w:eastAsia="Times New Roman" w:hAnsi="Times New Roman"/>
          <w:sz w:val="19"/>
          <w:szCs w:val="19"/>
          <w:u w:val="single" w:color="auto"/>
          <w:color w:val="000000"/>
        </w:rPr>
        <w:t>Terms Generally</w:t>
      </w:r>
      <w:r>
        <w:rPr>
          <w:rFonts w:ascii="Times New Roman" w:cs="Times New Roman" w:eastAsia="Times New Roman" w:hAnsi="Times New Roman"/>
          <w:sz w:val="19"/>
          <w:szCs w:val="19"/>
          <w:color w:val="000000"/>
        </w:rPr>
        <w:t>. The definitions of terms herein shall apply equally to the singular and plural forms of the terms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09" w:right="339" w:bottom="1440" w:gutter="0" w:footer="0" w:header="0"/>
        </w:sectPr>
      </w:pPr>
    </w:p>
    <w:bookmarkStart w:id="80" w:name="page81"/>
    <w:bookmarkEnd w:id="80"/>
    <w:p>
      <w:pPr>
        <w:jc w:val="both"/>
        <w:spacing w:after="0" w:line="252" w:lineRule="auto"/>
        <w:rPr>
          <w:sz w:val="20"/>
          <w:szCs w:val="20"/>
          <w:color w:val="auto"/>
        </w:rPr>
      </w:pPr>
      <w:r>
        <w:rPr>
          <w:rFonts w:ascii="Times New Roman" w:cs="Times New Roman" w:eastAsia="Times New Roman" w:hAnsi="Times New Roman"/>
          <w:sz w:val="19"/>
          <w:szCs w:val="19"/>
          <w:color w:val="auto"/>
        </w:rPr>
        <w:t>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1.04.</w:t>
      </w:r>
      <w:r>
        <w:rPr>
          <w:sz w:val="20"/>
          <w:szCs w:val="20"/>
          <w:color w:val="auto"/>
        </w:rPr>
        <w:tab/>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0" w:lineRule="auto"/>
        <w:tabs>
          <w:tab w:leader="none" w:pos="1098"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or Financial Accounting Standard having a similar result or effect) to value any Indebtedness or other liabilities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at “fair value”, as defined therein and (ii) without giving effect to any treatment of Indebtedness in respect of convertible debt instruments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04"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72"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19"/>
          <w:szCs w:val="19"/>
          <w:u w:val="single" w:color="auto"/>
          <w:color w:val="auto"/>
        </w:rPr>
        <w:t>FAS 842”</w:t>
      </w:r>
      <w:r>
        <w:rPr>
          <w:rFonts w:ascii="Times New Roman" w:cs="Times New Roman" w:eastAsia="Times New Roman" w:hAnsi="Times New Roman"/>
          <w:sz w:val="19"/>
          <w:szCs w:val="19"/>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1.05.</w:t>
      </w:r>
      <w:r>
        <w:rPr>
          <w:sz w:val="20"/>
          <w:szCs w:val="20"/>
          <w:color w:val="auto"/>
        </w:rPr>
        <w:tab/>
      </w:r>
      <w:r>
        <w:rPr>
          <w:rFonts w:ascii="Times New Roman" w:cs="Times New Roman" w:eastAsia="Times New Roman" w:hAnsi="Times New Roman"/>
          <w:sz w:val="18"/>
          <w:szCs w:val="18"/>
          <w:u w:val="single" w:color="auto"/>
          <w:color w:val="auto"/>
        </w:rPr>
        <w:t>Pro Forma Adjustments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65" w:lineRule="auto"/>
        <w:tabs>
          <w:tab w:leader="none" w:pos="1078" w:val="left"/>
        </w:tabs>
        <w:numPr>
          <w:ilvl w:val="0"/>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To the extent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 makes any acquisition permitted pursuant to Section 6.04 or Disposition of assets outside the ordinary course of business permitted by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9" w:right="339" w:bottom="1440" w:gutter="0" w:footer="0" w:header="0"/>
        </w:sectPr>
      </w:pPr>
    </w:p>
    <w:bookmarkStart w:id="81" w:name="page82"/>
    <w:bookmarkEnd w:id="81"/>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during the period of four fiscal quarters of the Borrower most recently ended or (b) consummates any transaction that requires any pro forma calculation as a condition thereto or in connection therewith under the terms of this Agreement, then, in each </w:t>
      </w:r>
      <w:r>
        <w:rPr>
          <w:rFonts w:ascii="Times New Roman" w:cs="Times New Roman" w:eastAsia="Times New Roman" w:hAnsi="Times New Roman"/>
          <w:sz w:val="19"/>
          <w:szCs w:val="19"/>
          <w:u w:val="single" w:color="auto"/>
          <w:color w:val="auto"/>
        </w:rPr>
        <w:t>case</w:t>
      </w:r>
      <w:r>
        <w:rPr>
          <w:rFonts w:ascii="Times New Roman" w:cs="Times New Roman" w:eastAsia="Times New Roman" w:hAnsi="Times New Roman"/>
          <w:sz w:val="19"/>
          <w:szCs w:val="19"/>
          <w:color w:val="auto"/>
        </w:rPr>
        <w:t>, (i) the Total Net Leverage Ratio, but not the Fixed Charge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such Disposition or such other transaction (and any related incurrence, repayment or assumption of Indebtedness) had occurred in the first day of such four-quarter period, (ii) unless otherwise expressly required hereunder, such pro forma calculation shall be determined by reference to the financial statements for the period of four consecutive fiscal quarters ended on or most recently prior to such calculation for which financial statements have been delivered (or are required to have been delivered) to the Administrative Agent pursuant to Section 5.01(a) or (b) (or, if prior to the date of the delivery of the first financial statements to be delivered pursuant to Section 5.01(a) or (b), the most recent financial statements referred to in Section 3.04(a)) and (iii) any such calculation made by reference to, or requiring pro forma compliance with, any of the financial covenants shall be made by reference to the applicable financial covenant levels required under Section 6.12 for the quarter during which such acquisition, 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 Agreement to the contrary, to the extent any Indebtedness is incurred or assumed in connection with any transaction permitted hereunder, any pro forma determination of the Total Net Leverage Ratio or compliance with the financial covenants required to be made under this Agreement in connection with such transaction shall be made without including the proceeds of such incurred or assumed Indebtedness as unrestricted cash.</w:t>
      </w:r>
    </w:p>
    <w:p>
      <w:pPr>
        <w:spacing w:after="0" w:line="180" w:lineRule="exact"/>
        <w:rPr>
          <w:sz w:val="20"/>
          <w:szCs w:val="20"/>
          <w:color w:val="auto"/>
        </w:rPr>
      </w:pPr>
    </w:p>
    <w:p>
      <w:pPr>
        <w:ind w:left="1060" w:hanging="404"/>
        <w:spacing w:after="0"/>
        <w:tabs>
          <w:tab w:leader="none" w:pos="1060"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connection with any action being taken in connection with a Limited Condition Acquisition, for purposes of:</w:t>
      </w:r>
    </w:p>
    <w:p>
      <w:pPr>
        <w:spacing w:after="0" w:line="227" w:lineRule="exact"/>
        <w:rPr>
          <w:rFonts w:ascii="Times New Roman" w:cs="Times New Roman" w:eastAsia="Times New Roman" w:hAnsi="Times New Roman"/>
          <w:sz w:val="19"/>
          <w:szCs w:val="19"/>
          <w:color w:val="010000"/>
        </w:rPr>
      </w:pPr>
    </w:p>
    <w:p>
      <w:pPr>
        <w:ind w:firstLine="1304"/>
        <w:spacing w:after="0" w:line="280" w:lineRule="auto"/>
        <w:tabs>
          <w:tab w:leader="none" w:pos="173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determining compliance with any provision of this Agreement which requires the calculation of any financial ratio or test, including the Total Net Leverage Ratio and Fixed Charge Coverage Ratio;</w:t>
      </w:r>
    </w:p>
    <w:p>
      <w:pPr>
        <w:spacing w:after="0" w:line="165" w:lineRule="exact"/>
        <w:rPr>
          <w:rFonts w:ascii="Times New Roman" w:cs="Times New Roman" w:eastAsia="Times New Roman" w:hAnsi="Times New Roman"/>
          <w:sz w:val="19"/>
          <w:szCs w:val="19"/>
          <w:color w:val="010000"/>
        </w:rPr>
      </w:pPr>
    </w:p>
    <w:p>
      <w:pPr>
        <w:ind w:firstLine="1304"/>
        <w:spacing w:after="0" w:line="280" w:lineRule="auto"/>
        <w:tabs>
          <w:tab w:leader="none" w:pos="1778"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testing availability under baskets set forth in this Agreement (including baskets measured as a percentage of Consolidated EBITDA or Consolidated Total Assets); or</w:t>
      </w:r>
    </w:p>
    <w:p>
      <w:pPr>
        <w:spacing w:after="0" w:line="151"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determining the existence of any Default or Event of Default (other than with respect to Section 4.02),</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in each case, at the option of the Borrower (the Borrower’s election to exercise such option in connection with any Limited Condition Acquisition, an “LCA Election”), the date of determination of whether any such action is permitted hereunder (including if the applicable tests for a Permitted Acquisition are satisfied) shall be deemed to be the date the definitive agreement for such Limited Condition Acquisition is entered into (the “LCA Test Date”), and if, after giving pro forma effect to the Limited Condition Acquisition, the Borrower or any of its Restricted Subsidiaries would have been permitted to take such action on the relevant LCA Test Date in compliance with such ratio, test or basket or other provision, such ratio, test or basket shall be deemed to have been complied with; provided, however, that notwithstanding the foregoing and/or any LCA Election, no Event of Default pursuant to clauses (a), (b), (h) or (i) of Article VII shall be continuing immediately prior to or after giving effect to the consummation of any Limited Condition Acquisition on the date of such consummation. For the avoidance of doubt, if the Borrower has made an LCA Election and any of the ratios, tests or baskets or other provision for which compliance was determined or tested as of the LCA Test Date would have failed to have been satisfied as a result of fluctuations in any such ratio, test or basket or other provision, including due to fluctuations in Consolidated EBITDA, Consolidated Interest Expense or Consolidated Total Assets, at or prior to the consummation of the relevant transaction or action, such baskets, tests or ratios will not be deemed to have failed to have been satisfied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09"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9"/>
          <w:szCs w:val="19"/>
          <w:color w:val="auto"/>
        </w:rPr>
        <w:t>such fluctuations. If the Borrower has made an LCA Election for any Limited Condition Acquisition, then in connection with any event or transaction occurring after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 “Subsequent Transaction”) 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both (i) assuming such Limited Condition Acquisition and the other transactions in connection therewith have been consummated and (ii) assuming such Limited Condition Acquisition and the other transactions in connection therewith have not been consummated.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010000"/>
        </w:rPr>
        <w:t xml:space="preserve">SECTION 1.06. </w:t>
      </w:r>
      <w:r>
        <w:rPr>
          <w:rFonts w:ascii="Times New Roman" w:cs="Times New Roman" w:eastAsia="Times New Roman" w:hAnsi="Times New Roman"/>
          <w:sz w:val="19"/>
          <w:szCs w:val="19"/>
          <w:u w:val="single" w:color="auto"/>
          <w:color w:val="000000"/>
        </w:rPr>
        <w:t>Status of Obligations</w:t>
      </w:r>
      <w:r>
        <w:rPr>
          <w:rFonts w:ascii="Times New Roman" w:cs="Times New Roman" w:eastAsia="Times New Roman" w:hAnsi="Times New Roman"/>
          <w:sz w:val="19"/>
          <w:szCs w:val="19"/>
          <w:color w:val="000000"/>
        </w:rPr>
        <w:t>. In the event that the Borrower or any other Loan Party shall at any time issue or have outstanding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9"/>
          <w:szCs w:val="19"/>
          <w:color w:val="010000"/>
        </w:rPr>
        <w:t xml:space="preserve">SECTION 1.07. </w:t>
      </w:r>
      <w:r>
        <w:rPr>
          <w:rFonts w:ascii="Times New Roman" w:cs="Times New Roman" w:eastAsia="Times New Roman" w:hAnsi="Times New Roman"/>
          <w:sz w:val="19"/>
          <w:szCs w:val="19"/>
          <w:u w:val="single" w:color="auto"/>
          <w:color w:val="000000"/>
        </w:rPr>
        <w:t>Interest Rates; Benchmark Notification</w:t>
      </w:r>
      <w:r>
        <w:rPr>
          <w:rFonts w:ascii="Times New Roman" w:cs="Times New Roman" w:eastAsia="Times New Roman" w:hAnsi="Times New Roman"/>
          <w:sz w:val="19"/>
          <w:szCs w:val="19"/>
          <w:color w:val="000000"/>
        </w:rPr>
        <w:t>. The interest rate on a Loan may be derived from an interest rate benchmark that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1.08. </w:t>
      </w:r>
      <w:r>
        <w:rPr>
          <w:rFonts w:ascii="Times New Roman" w:cs="Times New Roman" w:eastAsia="Times New Roman" w:hAnsi="Times New Roman"/>
          <w:sz w:val="19"/>
          <w:szCs w:val="19"/>
          <w:u w:val="single" w:color="auto"/>
          <w:color w:val="000000"/>
        </w:rPr>
        <w:t>Letter of Credit Amounts</w:t>
      </w:r>
      <w:r>
        <w:rPr>
          <w:rFonts w:ascii="Times New Roman" w:cs="Times New Roman" w:eastAsia="Times New Roman" w:hAnsi="Times New Roman"/>
          <w:sz w:val="19"/>
          <w:szCs w:val="19"/>
          <w:color w:val="000000"/>
        </w:rPr>
        <w:t>. Unless otherwise specified herein, the amount of a Letter of Credit at any time shall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deemed to be the stated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9"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9"/>
          <w:szCs w:val="19"/>
          <w:color w:val="auto"/>
        </w:rPr>
        <w:t>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1.09. </w:t>
      </w:r>
      <w:r>
        <w:rPr>
          <w:rFonts w:ascii="Times New Roman" w:cs="Times New Roman" w:eastAsia="Times New Roman" w:hAnsi="Times New Roman"/>
          <w:sz w:val="19"/>
          <w:szCs w:val="19"/>
          <w:u w:val="single" w:color="auto"/>
          <w:color w:val="000000"/>
        </w:rPr>
        <w:t>Divisions</w:t>
      </w:r>
      <w:r>
        <w:rPr>
          <w:rFonts w:ascii="Times New Roman" w:cs="Times New Roman" w:eastAsia="Times New Roman" w:hAnsi="Times New Roman"/>
          <w:sz w:val="19"/>
          <w:szCs w:val="19"/>
          <w:color w:val="000000"/>
        </w:rPr>
        <w:t>. For all purposes under the Loan Documents, in connection with any division or plan of division under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Credits</w:t>
      </w:r>
    </w:p>
    <w:p>
      <w:pPr>
        <w:spacing w:after="0" w:line="1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2.01. </w:t>
      </w:r>
      <w:r>
        <w:rPr>
          <w:rFonts w:ascii="Times New Roman" w:cs="Times New Roman" w:eastAsia="Times New Roman" w:hAnsi="Times New Roman"/>
          <w:sz w:val="19"/>
          <w:szCs w:val="19"/>
          <w:u w:val="single" w:color="auto"/>
          <w:color w:val="000000"/>
        </w:rPr>
        <w:t>Revolving Commitments</w:t>
      </w:r>
      <w:r>
        <w:rPr>
          <w:rFonts w:ascii="Times New Roman" w:cs="Times New Roman" w:eastAsia="Times New Roman" w:hAnsi="Times New Roman"/>
          <w:sz w:val="19"/>
          <w:szCs w:val="19"/>
          <w:color w:val="000000"/>
        </w:rPr>
        <w:t>. Subject to the terms and conditions set forth herein, each Lender severally (and not jointly)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agrees to make Revolving Loans in dollars to the Borrower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 subject to the terms and conditions set forth herein, the Borrower may borrow, prepay and reborrow Revolving Loans.</w:t>
      </w:r>
    </w:p>
    <w:p>
      <w:pPr>
        <w:spacing w:after="0" w:line="19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56"/>
        <w:spacing w:after="0" w:line="255" w:lineRule="auto"/>
        <w:tabs>
          <w:tab w:leader="none" w:pos="1101" w:val="left"/>
        </w:tabs>
        <w:numPr>
          <w:ilvl w:val="0"/>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Commitments of the Lenders are several and no Lender shall be responsible for any other Lender’s failure to make Loans as required. Any Swingline Loan shall be made in accordance with the procedures set forth in Section 2.05.</w:t>
      </w:r>
    </w:p>
    <w:p>
      <w:pPr>
        <w:spacing w:after="0" w:line="189"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39" w:val="left"/>
        </w:tabs>
        <w:numPr>
          <w:ilvl w:val="0"/>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Section 2.14,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89"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64" w:val="left"/>
        </w:tabs>
        <w:numPr>
          <w:ilvl w:val="0"/>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At the commencement of each Interest Period for any Term Benchmark Borrowing, such Borrowing shall be in an aggregate amount that is an integral multiple of $100,000 and not less than $500,000. At the time that each ABR Borrowing or RFR Borrowing is made, such Borrowing shall be in an aggregate amount that is an integral multiple of $100,000 and not less than $200,000;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$50,000 and not less than $250,000. Borrowings of more than one Type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9" w:right="339" w:bottom="1440" w:gutter="0" w:footer="0" w:header="0"/>
        </w:sectPr>
      </w:pPr>
    </w:p>
    <w:bookmarkStart w:id="84" w:name="page85"/>
    <w:bookmarkEnd w:id="84"/>
    <w:p>
      <w:pPr>
        <w:spacing w:after="0" w:line="280" w:lineRule="auto"/>
        <w:rPr>
          <w:sz w:val="20"/>
          <w:szCs w:val="20"/>
          <w:color w:val="auto"/>
        </w:rPr>
      </w:pPr>
      <w:r>
        <w:rPr>
          <w:rFonts w:ascii="Times New Roman" w:cs="Times New Roman" w:eastAsia="Times New Roman" w:hAnsi="Times New Roman"/>
          <w:sz w:val="19"/>
          <w:szCs w:val="19"/>
          <w:color w:val="auto"/>
        </w:rPr>
        <w:t xml:space="preserve">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a total of seven (7) Term Benchmark Borrowings and RFR Borrowings outstanding.</w:t>
      </w:r>
    </w:p>
    <w:p>
      <w:pPr>
        <w:spacing w:after="0" w:line="165" w:lineRule="exact"/>
        <w:rPr>
          <w:sz w:val="20"/>
          <w:szCs w:val="20"/>
          <w:color w:val="auto"/>
        </w:rPr>
      </w:pPr>
    </w:p>
    <w:p>
      <w:pPr>
        <w:ind w:firstLine="656"/>
        <w:spacing w:after="0" w:line="265" w:lineRule="auto"/>
        <w:tabs>
          <w:tab w:leader="none" w:pos="1174" w:val="left"/>
        </w:tabs>
        <w:numPr>
          <w:ilvl w:val="0"/>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179" w:lineRule="exact"/>
        <w:rPr>
          <w:rFonts w:ascii="Times New Roman" w:cs="Times New Roman" w:eastAsia="Times New Roman" w:hAnsi="Times New Roman"/>
          <w:sz w:val="19"/>
          <w:szCs w:val="19"/>
          <w:color w:val="010000"/>
        </w:rPr>
      </w:pPr>
    </w:p>
    <w:p>
      <w:pPr>
        <w:jc w:val="both"/>
        <w:ind w:firstLine="656"/>
        <w:spacing w:after="0" w:line="261" w:lineRule="auto"/>
        <w:tabs>
          <w:tab w:leader="none" w:pos="1064" w:val="left"/>
        </w:tabs>
        <w:numPr>
          <w:ilvl w:val="0"/>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the Borrower directs the Administrative Agent or the Lenders to remit the proceeds of any Loans hereunder to a Person other than the Borrower, in each such case, the Borrower hereby acknowledges and agrees that (i) all Loans constitute direct obligations of the Borrower, (ii) all Loans are made for the account of the Borrower and (iii) the deposit of the proceeds of the Loans as so provided directly benefits the Borrower.</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2.03. </w:t>
      </w:r>
      <w:r>
        <w:rPr>
          <w:rFonts w:ascii="Times New Roman" w:cs="Times New Roman" w:eastAsia="Times New Roman" w:hAnsi="Times New Roman"/>
          <w:sz w:val="19"/>
          <w:szCs w:val="19"/>
          <w:u w:val="single" w:color="auto"/>
          <w:color w:val="000000"/>
        </w:rPr>
        <w:t>Requests for Borrowings</w:t>
      </w:r>
      <w:r>
        <w:rPr>
          <w:rFonts w:ascii="Times New Roman" w:cs="Times New Roman" w:eastAsia="Times New Roman" w:hAnsi="Times New Roman"/>
          <w:sz w:val="19"/>
          <w:szCs w:val="19"/>
          <w:color w:val="000000"/>
        </w:rPr>
        <w:t>. To request a Borrowing, the Borrower shall notify the Administrative Agent of such request by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submitting a Borrowing Request signed by a Responsible Officer of the Borrower or through any Electronic System, if arrangements for doing so have been approved by the Administrative Agent, (a) in the case of a Term Benchmark Borrowing, not later than 10:00 a.m., New York City time, three U.S. Government Securities Business Days before the date of the proposed Borrowing or (b) in the case of an ABR Borrowing, not later than 11:00 a.m., New York City time, on the date of the proposed Borrowing;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any such notice of an ABR Revolving Borrowing to finance the reimbursement of an LC Disbursement as contemplated by Section 2.06(e) may be given not later than 9:00 a.m., New York City time, on the date of the proposed Borrowing. Each such Borrowing Request shall be irrevocable. Each such Borrowing Request shall specify the following information in compliance with Section 2.02:</w:t>
      </w:r>
    </w:p>
    <w:p>
      <w:pPr>
        <w:spacing w:after="0" w:line="189" w:lineRule="exact"/>
        <w:rPr>
          <w:sz w:val="20"/>
          <w:szCs w:val="20"/>
          <w:color w:val="auto"/>
        </w:rPr>
      </w:pPr>
    </w:p>
    <w:p>
      <w:pPr>
        <w:ind w:left="1680" w:hanging="376"/>
        <w:spacing w:after="0"/>
        <w:tabs>
          <w:tab w:leader="none" w:pos="1680"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aggregate principal amount of the requested Borrowing;</w:t>
      </w:r>
    </w:p>
    <w:p>
      <w:pPr>
        <w:spacing w:after="0" w:line="227"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date of such Borrowing, which shall be a Business Day;</w:t>
      </w:r>
    </w:p>
    <w:p>
      <w:pPr>
        <w:spacing w:after="0" w:line="213"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whether such Borrowing is to be an ABR Borrowing or a Term Benchmark Borrowing;</w:t>
      </w:r>
    </w:p>
    <w:p>
      <w:pPr>
        <w:spacing w:after="0" w:line="227" w:lineRule="exact"/>
        <w:rPr>
          <w:rFonts w:ascii="Times New Roman" w:cs="Times New Roman" w:eastAsia="Times New Roman" w:hAnsi="Times New Roman"/>
          <w:sz w:val="19"/>
          <w:szCs w:val="19"/>
          <w:color w:val="010000"/>
        </w:rPr>
      </w:pPr>
    </w:p>
    <w:p>
      <w:pPr>
        <w:ind w:left="660" w:firstLine="644"/>
        <w:spacing w:after="0" w:line="280" w:lineRule="auto"/>
        <w:tabs>
          <w:tab w:leader="none" w:pos="1848"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Term Benchmark Borrowing, the initial Interest Period to be applicable thereto, which shall be a period contemplated by the definition of the term “Interest Period”; and</w:t>
      </w:r>
    </w:p>
    <w:p>
      <w:pPr>
        <w:spacing w:after="0" w:line="165" w:lineRule="exact"/>
        <w:rPr>
          <w:rFonts w:ascii="Times New Roman" w:cs="Times New Roman" w:eastAsia="Times New Roman" w:hAnsi="Times New Roman"/>
          <w:sz w:val="19"/>
          <w:szCs w:val="19"/>
          <w:color w:val="010000"/>
        </w:rPr>
      </w:pPr>
    </w:p>
    <w:p>
      <w:pPr>
        <w:ind w:left="660" w:firstLine="644"/>
        <w:spacing w:after="0" w:line="280" w:lineRule="auto"/>
        <w:tabs>
          <w:tab w:leader="none" w:pos="1856"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location and number of the Borrower’s account to which funds are to be disbursed, which shall comply with the requirements of Section 2.07, and a breakdown of the separate wires comprising such Borrowing.</w:t>
      </w:r>
    </w:p>
    <w:p>
      <w:pPr>
        <w:spacing w:after="0" w:line="152"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9"/>
          <w:szCs w:val="19"/>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1" w:lineRule="exact"/>
        <w:rPr>
          <w:sz w:val="20"/>
          <w:szCs w:val="20"/>
          <w:color w:val="auto"/>
        </w:rPr>
      </w:pPr>
    </w:p>
    <w:p>
      <w:pPr>
        <w:jc w:val="both"/>
        <w:ind w:left="1300"/>
        <w:spacing w:after="0" w:line="280" w:lineRule="auto"/>
        <w:rPr>
          <w:sz w:val="20"/>
          <w:szCs w:val="20"/>
          <w:color w:val="auto"/>
        </w:rPr>
      </w:pPr>
      <w:r>
        <w:rPr>
          <w:rFonts w:ascii="Times New Roman" w:cs="Times New Roman" w:eastAsia="Times New Roman" w:hAnsi="Times New Roman"/>
          <w:sz w:val="19"/>
          <w:szCs w:val="19"/>
          <w:color w:val="auto"/>
        </w:rPr>
        <w:t>Notwithstanding the foregoing, in no event shall the Borrower be permitted to request an RFR Loan (it being understood and agreed that Adjusted Daily Simple SOFR shall only apply to the extent provided in Sections 2.14(a) and 2.14(f)).</w:t>
      </w:r>
    </w:p>
    <w:p>
      <w:pPr>
        <w:spacing w:after="0" w:line="16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2.04.</w:t>
      </w:r>
      <w:r>
        <w:rPr>
          <w:rFonts w:ascii="Times New Roman" w:cs="Times New Roman" w:eastAsia="Times New Roman" w:hAnsi="Times New Roman"/>
          <w:sz w:val="19"/>
          <w:szCs w:val="19"/>
          <w:color w:val="auto"/>
        </w:rPr>
        <w:tab/>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2.05.</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85" w:name="page86"/>
    <w:bookmarkEnd w:id="85"/>
    <w:p>
      <w:pPr>
        <w:jc w:val="both"/>
        <w:ind w:firstLine="656"/>
        <w:spacing w:after="0" w:line="250" w:lineRule="auto"/>
        <w:tabs>
          <w:tab w:leader="none" w:pos="1119"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the terms and conditions set forth herein, from time to time during the Availability Period, the Swingline Lender shall, following request therefore by the Borrower, make Swingline Loans in dollars to the Borrower, in an aggregate principal amount at any time outstanding that will not result in (i) the aggregate principal amount of outstanding Swingline Loans exceeding $10,000,000, (ii) the Swingline Lender’s Revolving Exposure exceeding its Revolving Commitment, or (iii) the Aggregate Revolving Exposure exceeding the aggregate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submit a written notice to the Administrative Agent of such request by fax or through any Electronic System, if arrangements for doing so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Lenders) by 2:00 p.m., New York City time, on the requested date of such Swingline Loan.</w:t>
      </w:r>
    </w:p>
    <w:p>
      <w:pPr>
        <w:spacing w:after="0" w:line="204"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77"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Swingline Lender may by written notice given to the Administrative Agent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11:00 a.m., New York City time, on a Business Day no later than 4:00 p.m., New York City time on such Business Day and if received after 11:00 a.m., New York City time, “on a Business Day” shall mean no later than 9:00 a.m., New York City time on the immediately succeeding Business Day), to pay to the Administrative Agent in dollars,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in dollars of immediately available funds, in the same manner as provided in Section 2.07 with respect to Revolving Loans made by such Lender (and Section 2.07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09" w:right="339" w:bottom="1440" w:gutter="0" w:footer="0" w:header="0"/>
        </w:sectPr>
      </w:pPr>
    </w:p>
    <w:bookmarkStart w:id="86" w:name="page87"/>
    <w:bookmarkEnd w:id="86"/>
    <w:p>
      <w:pPr>
        <w:jc w:val="both"/>
        <w:ind w:firstLine="656"/>
        <w:spacing w:after="0" w:line="251" w:lineRule="auto"/>
        <w:tabs>
          <w:tab w:leader="none" w:pos="1050"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98"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67"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2.05(c) above.</w:t>
      </w:r>
    </w:p>
    <w:p>
      <w:pPr>
        <w:spacing w:after="0" w:line="17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2.06.</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6"/>
        <w:spacing w:after="0" w:line="266" w:lineRule="auto"/>
        <w:tabs>
          <w:tab w:leader="none" w:pos="1101"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Subject to the terms and conditions set forth herein, the Borrower may request the Issuing Bank to issue Letters of Credit denominated in dollars as the applicant thereof for the support of its 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obligations, in a form reasonably acceptable to the Issuing Bank, at any time and from time to time during the Availability Period. Each Existing Letter of Credit is deemed issued hereunder.</w:t>
      </w:r>
    </w:p>
    <w:p>
      <w:pPr>
        <w:spacing w:after="0" w:line="178"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98"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Issuance, Amendment, Extension; Certain Conditions</w:t>
      </w:r>
      <w:r>
        <w:rPr>
          <w:rFonts w:ascii="Times New Roman" w:cs="Times New Roman" w:eastAsia="Times New Roman" w:hAnsi="Times New Roman"/>
          <w:sz w:val="19"/>
          <w:szCs w:val="19"/>
          <w:color w:val="auto"/>
        </w:rPr>
        <w:t>. To request the issuance of a Letter of Credit (or the amendment or extension of an outstanding Letter of Credit), the Borrower shall hand deliver or fax (or transmit through any Electronic System, if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19"/>
          <w:szCs w:val="19"/>
          <w:u w:val="single" w:color="auto"/>
          <w:color w:val="auto"/>
        </w:rPr>
        <w:t>Letter of Credit Agreement</w:t>
      </w:r>
      <w:r>
        <w:rPr>
          <w:rFonts w:ascii="Times New Roman" w:cs="Times New Roman" w:eastAsia="Times New Roman" w:hAnsi="Times New Roman"/>
          <w:sz w:val="19"/>
          <w:szCs w:val="19"/>
          <w:color w:val="auto"/>
        </w:rPr>
        <w:t>”).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aggregate LC Exposure shall not exceed $10,000,000, (ii) no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09" w:right="339" w:bottom="1440" w:gutter="0" w:footer="0" w:header="0"/>
        </w:sectPr>
      </w:pPr>
    </w:p>
    <w:bookmarkStart w:id="87" w:name="page88"/>
    <w:bookmarkEnd w:id="87"/>
    <w:p>
      <w:pPr>
        <w:spacing w:after="0" w:line="280" w:lineRule="auto"/>
        <w:rPr>
          <w:sz w:val="20"/>
          <w:szCs w:val="20"/>
          <w:color w:val="auto"/>
        </w:rPr>
      </w:pPr>
      <w:r>
        <w:rPr>
          <w:rFonts w:ascii="Times New Roman" w:cs="Times New Roman" w:eastAsia="Times New Roman" w:hAnsi="Times New Roman"/>
          <w:sz w:val="19"/>
          <w:szCs w:val="19"/>
          <w:color w:val="auto"/>
        </w:rPr>
        <w:t>Agreement, and shall not affect the Issuing Bank Sublimit of any other Issuing Bank, subject to the limitations set forth in clauses (i) through (iii) of this Section 2.06(b).</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Issuing Bank shall not be under any obligation to issue any Letter of Credit if:</w:t>
      </w:r>
    </w:p>
    <w:p>
      <w:pPr>
        <w:spacing w:after="0" w:line="214" w:lineRule="exact"/>
        <w:rPr>
          <w:sz w:val="20"/>
          <w:szCs w:val="20"/>
          <w:color w:val="auto"/>
        </w:rPr>
      </w:pPr>
    </w:p>
    <w:p>
      <w:pPr>
        <w:jc w:val="both"/>
        <w:ind w:firstLine="1304"/>
        <w:spacing w:after="0" w:line="254" w:lineRule="auto"/>
        <w:tabs>
          <w:tab w:leader="none" w:pos="1690" w:val="left"/>
        </w:tabs>
        <w:numPr>
          <w:ilvl w:val="1"/>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the Issuing Bank from issuing such Letter of Credit, or request that the Issuing Bank refrain from issuing such Letter of Credit, or any Requirement of Law relating to the Issuing Bank or any request or directive (whether or not having the force of law) from any Governmental Authority with jurisdiction over the Issuing Bank shall prohibit, the issuance of letters of credit generally or such Letter of Credit in particular, or any such order, judgment, decree, Requirement of Law, request or directive shall impose upon the Issuing Bank with respect to such Letter of Credit any restriction, reserve or capital or liquidity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w:t>
      </w:r>
    </w:p>
    <w:p>
      <w:pPr>
        <w:spacing w:after="0" w:line="188"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1"/>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issuance of such Letter of Credit would violate one or more policies of the Issuing Bank applicable to letters of credit</w:t>
      </w:r>
    </w:p>
    <w:p>
      <w:pPr>
        <w:spacing w:after="0" w:line="2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generally.</w:t>
      </w:r>
    </w:p>
    <w:p>
      <w:pPr>
        <w:spacing w:after="0" w:line="198"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74"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tenor may provide for the extension thereof for additional one-year periods (which shall in no event extend beyond the date referred to in clause (ii) above).</w:t>
      </w:r>
    </w:p>
    <w:p>
      <w:pPr>
        <w:spacing w:after="0" w:line="192"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098"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By the issuance of a Letter of Credit (or an amendment to a Letter of Credit increasing the amount or extending the term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including after the Revolving Credit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200"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087"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the Issuing Bank shall make any LC Disbursement in respect of a Letter of Credit, the Borrower shall reimburse such LC Disbursement by paying to the Administrative Agent an amount equal to such LC Disbursement not later than 11:00 a.m., New York City time, on (i) the Business Day that the Borrower receives notice of such LC Disbursement, if such notice is received prior to 9:00 a.m., New York City time, on the day of receipt, or (ii) the Business Day immediately following the day that the Borrower receives such notice, if such notice is received after 9:00 a.m., New York City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greater than or equal to $1,000,000, the Borrower may, subject to the conditions to borrowing set forth herein, request in accordance with Section 2.03 or 2.05 that such payment be financed with an ABR Revolving Borrowing or Swingline Loan in an equivalent amount of such LC Disbursement and, to the extent so financed,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09" w:right="339" w:bottom="1440" w:gutter="0" w:footer="0" w:header="0"/>
        </w:sectPr>
      </w:pPr>
    </w:p>
    <w:bookmarkStart w:id="88" w:name="page89"/>
    <w:bookmarkEnd w:id="88"/>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w:t>
      </w:r>
    </w:p>
    <w:p>
      <w:pPr>
        <w:spacing w:after="0" w:line="200" w:lineRule="exact"/>
        <w:rPr>
          <w:sz w:val="20"/>
          <w:szCs w:val="20"/>
          <w:color w:val="auto"/>
        </w:rPr>
      </w:pPr>
    </w:p>
    <w:p>
      <w:pPr>
        <w:jc w:val="both"/>
        <w:ind w:firstLine="656"/>
        <w:spacing w:after="0" w:line="250" w:lineRule="auto"/>
        <w:tabs>
          <w:tab w:leader="none" w:pos="1039"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84"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Disbursement Procedures</w:t>
      </w:r>
      <w:r>
        <w:rPr>
          <w:rFonts w:ascii="Times New Roman" w:cs="Times New Roman" w:eastAsia="Times New Roman" w:hAnsi="Times New Roman"/>
          <w:sz w:val="19"/>
          <w:szCs w:val="19"/>
          <w:color w:val="auto"/>
        </w:rPr>
        <w:t xml:space="preserve">. The Issuing Bank for any Letter of Credit shall, within the time allowed by applicable law or the specific terms of such Letter of Credit following its receipt thereof, examine all documents purporting to represent a demand for payment under a Letter of Credit. The Issuing Bank shall promptly after such examination notify the Administrative Agent and the Borrower by telephone (confirmed by fax or through Electronic Systems) of such demand for payment and whether the Issuing Bank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notice need not be given prior to payment by the Issuing Bank and any failure to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09" w:right="339" w:bottom="1440" w:gutter="0" w:footer="0" w:header="0"/>
        </w:sectPr>
      </w:pPr>
    </w:p>
    <w:bookmarkStart w:id="89" w:name="page90"/>
    <w:bookmarkEnd w:id="89"/>
    <w:p>
      <w:pPr>
        <w:spacing w:after="0" w:line="280" w:lineRule="auto"/>
        <w:rPr>
          <w:sz w:val="20"/>
          <w:szCs w:val="20"/>
          <w:color w:val="auto"/>
        </w:rPr>
      </w:pPr>
      <w:r>
        <w:rPr>
          <w:rFonts w:ascii="Times New Roman" w:cs="Times New Roman" w:eastAsia="Times New Roman" w:hAnsi="Times New Roman"/>
          <w:sz w:val="19"/>
          <w:szCs w:val="19"/>
          <w:color w:val="auto"/>
        </w:rPr>
        <w:t>or delay in giving such notice shall not relieve the Borrower of its obligation to reimburse the Issuing Bank and the Lenders with respect to any such LC Disbursement.</w:t>
      </w:r>
    </w:p>
    <w:p>
      <w:pPr>
        <w:spacing w:after="0" w:line="165" w:lineRule="exact"/>
        <w:rPr>
          <w:sz w:val="20"/>
          <w:szCs w:val="20"/>
          <w:color w:val="auto"/>
        </w:rPr>
      </w:pPr>
    </w:p>
    <w:p>
      <w:pPr>
        <w:jc w:val="both"/>
        <w:ind w:firstLine="656"/>
        <w:spacing w:after="0" w:line="251" w:lineRule="auto"/>
        <w:tabs>
          <w:tab w:leader="none" w:pos="1233"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Interim Interest</w:t>
      </w:r>
      <w:r>
        <w:rPr>
          <w:rFonts w:ascii="Times New Roman" w:cs="Times New Roman" w:eastAsia="Times New Roman" w:hAnsi="Times New Roman"/>
          <w:sz w:val="19"/>
          <w:szCs w:val="19"/>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97"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Replacement and Resignation of the Issuing Bank</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743" w:val="left"/>
        </w:tabs>
        <w:numPr>
          <w:ilvl w:val="1"/>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the replaced Issuing Bank under this Agreement with respect to Letters of Credit to be issued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9" w:lineRule="exact"/>
        <w:rPr>
          <w:rFonts w:ascii="Times New Roman" w:cs="Times New Roman" w:eastAsia="Times New Roman" w:hAnsi="Times New Roman"/>
          <w:sz w:val="19"/>
          <w:szCs w:val="19"/>
          <w:color w:val="010000"/>
        </w:rPr>
      </w:pPr>
    </w:p>
    <w:p>
      <w:pPr>
        <w:jc w:val="both"/>
        <w:ind w:right="20" w:firstLine="1304"/>
        <w:spacing w:after="0" w:line="258" w:lineRule="auto"/>
        <w:tabs>
          <w:tab w:leader="none" w:pos="1754" w:val="left"/>
        </w:tabs>
        <w:numPr>
          <w:ilvl w:val="1"/>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the appointment and acceptance of a successor Issuing Bank, the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86"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42"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19"/>
          <w:szCs w:val="19"/>
          <w:u w:val="single" w:color="auto"/>
          <w:color w:val="auto"/>
        </w:rPr>
        <w:t>LC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Collateral Account</w:t>
      </w:r>
      <w:r>
        <w:rPr>
          <w:rFonts w:ascii="Times New Roman" w:cs="Times New Roman" w:eastAsia="Times New Roman" w:hAnsi="Times New Roman"/>
          <w:sz w:val="19"/>
          <w:szCs w:val="19"/>
          <w:color w:val="auto"/>
        </w:rPr>
        <w:t xml:space="preserve">”), an amount in cash in dollars equal to 103% of the amount of the LC Exposure as of such date plus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into the LC Collateral Account an amount in cash equal to 103% of such LC Exposure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09" w:right="339" w:bottom="1440" w:gutter="0" w:footer="0" w:header="0"/>
        </w:sectPr>
      </w:pPr>
    </w:p>
    <w:bookmarkStart w:id="90" w:name="page91"/>
    <w:bookmarkEnd w:id="90"/>
    <w:p>
      <w:pPr>
        <w:jc w:val="both"/>
        <w:spacing w:after="0" w:line="251" w:lineRule="auto"/>
        <w:rPr>
          <w:sz w:val="20"/>
          <w:szCs w:val="20"/>
          <w:color w:val="auto"/>
        </w:rPr>
      </w:pPr>
      <w:r>
        <w:rPr>
          <w:rFonts w:ascii="Times New Roman" w:cs="Times New Roman" w:eastAsia="Times New Roman" w:hAnsi="Times New Roman"/>
          <w:sz w:val="19"/>
          <w:szCs w:val="19"/>
          <w:color w:val="auto"/>
        </w:rPr>
        <w:t>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198" w:lineRule="exact"/>
        <w:rPr>
          <w:sz w:val="20"/>
          <w:szCs w:val="20"/>
          <w:color w:val="auto"/>
        </w:rPr>
      </w:pPr>
    </w:p>
    <w:p>
      <w:pPr>
        <w:jc w:val="both"/>
        <w:ind w:firstLine="656"/>
        <w:spacing w:after="0" w:line="251" w:lineRule="auto"/>
        <w:tabs>
          <w:tab w:leader="none" w:pos="1098"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Issuing Bank Reports to the Administrative Agent</w:t>
      </w:r>
      <w:r>
        <w:rPr>
          <w:rFonts w:ascii="Times New Roman" w:cs="Times New Roman" w:eastAsia="Times New Roman" w:hAnsi="Times New Roman"/>
          <w:sz w:val="19"/>
          <w:szCs w:val="19"/>
          <w:color w:val="auto"/>
        </w:rPr>
        <w:t>. In the event Chase is not the only Issuing Bank, and unless otherwise agreed by the Administrative Agent, each Issuing Bank other than Chase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0"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164"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Letters of Credit Issued for Account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Notwithstanding that a Letter of Credit issued or outstanding hereunder supports any obligations of, or is for the account of,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states that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is the “account party,” “applicant,” “customer,” “instructing party,” or the like of or for such Letter of Credit, and without derogating from any rights of the applicable Issuing Bank (whether arising by contract, at law, in equity or otherwise) against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respect of such Letter of Credit. The Borrower hereby acknowledges that the issuance of such Letters of Credit for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inures to the benefit of the Borrower, and that the Borrower’s business derives substantial benefits from the businesses of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w:t>
      </w:r>
    </w:p>
    <w:p>
      <w:pPr>
        <w:spacing w:after="0" w:line="19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2.07.</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121" w:val="left"/>
        </w:tabs>
        <w:numPr>
          <w:ilvl w:val="0"/>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Lender shall make each Loan to be made by such Lender hereunder on the proposed date thereof solely by wire transfer of immediately available funds by 1:00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Swingline Loans shall be made as provided in Section 2.05. The Administrative Agent will make such Loans available to the Borrower by promptly crediting the funds so received in the aforesaid account of the Administrative Agent to the Funding Account(s);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ABR Revolving Loans made to finance the reimbursement of an LC Disbursement as provided in Section 2.06(e) shall be remitted by the Administrative Agent to the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09" w:right="339" w:bottom="1440" w:gutter="0" w:footer="0" w:header="0"/>
        </w:sectPr>
      </w:pPr>
    </w:p>
    <w:bookmarkStart w:id="91" w:name="page92"/>
    <w:bookmarkEnd w:id="91"/>
    <w:p>
      <w:pPr>
        <w:jc w:val="both"/>
        <w:ind w:firstLine="656"/>
        <w:spacing w:after="0" w:line="252" w:lineRule="auto"/>
        <w:tabs>
          <w:tab w:leader="none" w:pos="1131"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19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2.08.</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656"/>
        <w:spacing w:after="0" w:line="254" w:lineRule="auto"/>
        <w:tabs>
          <w:tab w:leader="none" w:pos="1096"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92"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10"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Interest Election Request shall be irrevocable. Notwithstanding any contrary provision herein, this Section shall not be construed to permit the Borrower to (i) elect an Interest Period for Term Benchmark Loans that does not comply with Section 2.02(d), or (ii) elect Adjusted Daily Simple SOFR (it being understood and agreed that Adjusted Daily Simple SOFR shall only apply to the extent provided in Sections 2.14(a) and 2.14(f)).</w:t>
      </w:r>
    </w:p>
    <w:p>
      <w:pPr>
        <w:spacing w:after="0" w:line="188" w:lineRule="exact"/>
        <w:rPr>
          <w:rFonts w:ascii="Times New Roman" w:cs="Times New Roman" w:eastAsia="Times New Roman" w:hAnsi="Times New Roman"/>
          <w:sz w:val="19"/>
          <w:szCs w:val="19"/>
          <w:color w:val="010000"/>
        </w:rPr>
      </w:pPr>
    </w:p>
    <w:p>
      <w:pPr>
        <w:ind w:right="20" w:firstLine="656"/>
        <w:spacing w:after="0" w:line="265" w:lineRule="auto"/>
        <w:tabs>
          <w:tab w:leader="none" w:pos="1072"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Interest Election Request (including requests submitted through any Electronic System) shall specify the following information in compliance with Section 2.02:</w:t>
      </w:r>
    </w:p>
    <w:p>
      <w:pPr>
        <w:spacing w:after="0" w:line="179" w:lineRule="exact"/>
        <w:rPr>
          <w:rFonts w:ascii="Times New Roman" w:cs="Times New Roman" w:eastAsia="Times New Roman" w:hAnsi="Times New Roman"/>
          <w:sz w:val="19"/>
          <w:szCs w:val="19"/>
          <w:color w:val="010000"/>
        </w:rPr>
      </w:pPr>
    </w:p>
    <w:p>
      <w:pPr>
        <w:jc w:val="both"/>
        <w:ind w:left="660" w:firstLine="644"/>
        <w:spacing w:after="0" w:line="266" w:lineRule="auto"/>
        <w:tabs>
          <w:tab w:leader="none" w:pos="1771"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8"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213"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whether the resulting Borrowing is to be an ABR Borrowing or a Term Benchmark Borrowing;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09" w:right="339" w:bottom="1440" w:gutter="0" w:footer="0" w:header="0"/>
        </w:sectPr>
      </w:pPr>
    </w:p>
    <w:bookmarkStart w:id="92" w:name="page93"/>
    <w:bookmarkEnd w:id="92"/>
    <w:p>
      <w:pPr>
        <w:ind w:left="660" w:firstLine="644"/>
        <w:spacing w:after="0" w:line="280" w:lineRule="auto"/>
        <w:tabs>
          <w:tab w:leader="none" w:pos="1784"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5" w:lineRule="exact"/>
        <w:rPr>
          <w:sz w:val="20"/>
          <w:szCs w:val="20"/>
          <w:color w:val="auto"/>
        </w:rPr>
      </w:pPr>
    </w:p>
    <w:p>
      <w:pPr>
        <w:ind w:left="1300"/>
        <w:spacing w:after="0" w:line="265" w:lineRule="auto"/>
        <w:rPr>
          <w:sz w:val="20"/>
          <w:szCs w:val="20"/>
          <w:color w:val="auto"/>
        </w:rPr>
      </w:pPr>
      <w:r>
        <w:rPr>
          <w:rFonts w:ascii="Times New Roman" w:cs="Times New Roman" w:eastAsia="Times New Roman" w:hAnsi="Times New Roman"/>
          <w:sz w:val="19"/>
          <w:szCs w:val="19"/>
          <w:color w:val="auto"/>
        </w:rPr>
        <w:t>If any such Interest Election Request requests a Term Benchmark Borrowing but does not specify an Interest Period, then the Borrower shall be deemed to have selected an Interest Period of one month’s duration.</w:t>
      </w:r>
    </w:p>
    <w:p>
      <w:pPr>
        <w:spacing w:after="0" w:line="179" w:lineRule="exact"/>
        <w:rPr>
          <w:sz w:val="20"/>
          <w:szCs w:val="20"/>
          <w:color w:val="auto"/>
        </w:rPr>
      </w:pPr>
    </w:p>
    <w:p>
      <w:pPr>
        <w:ind w:firstLine="656"/>
        <w:spacing w:after="0" w:line="280" w:lineRule="auto"/>
        <w:tabs>
          <w:tab w:leader="none" w:pos="1096"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following receipt of an Interest Election Request, the Administrative Agent shall advise each Lender of the details thereof and of such Lender’s portion of each resulting Borrowing.</w:t>
      </w:r>
    </w:p>
    <w:p>
      <w:pPr>
        <w:spacing w:after="0" w:line="165"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53"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and RFR Borrowing shall be converted to an ABR Borrowing at the end of the Interest Period applicable thereto (or immediately in the case of an RFR Borrowing).</w:t>
      </w:r>
    </w:p>
    <w:p>
      <w:pPr>
        <w:spacing w:after="0" w:line="17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2.09.</w:t>
      </w:r>
      <w:r>
        <w:rPr>
          <w:sz w:val="20"/>
          <w:szCs w:val="20"/>
          <w:color w:val="auto"/>
        </w:rPr>
        <w:tab/>
      </w:r>
      <w:r>
        <w:rPr>
          <w:rFonts w:ascii="Times New Roman" w:cs="Times New Roman" w:eastAsia="Times New Roman" w:hAnsi="Times New Roman"/>
          <w:sz w:val="18"/>
          <w:szCs w:val="18"/>
          <w:u w:val="single" w:color="auto"/>
          <w:color w:val="auto"/>
        </w:rPr>
        <w:t>Termination and Reduction of Revolving Commitments; Increase in Revolving Commitments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60" w:hanging="404"/>
        <w:spacing w:after="0"/>
        <w:tabs>
          <w:tab w:leader="none" w:pos="10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previously terminated, all the Revolving Commitments shall terminate on the Revolving Credit Maturity Date.</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at any time terminate the Revolving Commitments upon the Payment in Full of the Secured Obligations.</w:t>
      </w:r>
    </w:p>
    <w:p>
      <w:pPr>
        <w:spacing w:after="0" w:line="227"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09"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at any time and from time to time reduce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Revolving Commitments shall be in an amount that is an integral multiple of $500,000 and not less than $1,000,000 and (ii) the Borrower shall not terminate or reduce the Revolving Commitments if, after giving effect to any concurrent prepayment of the Revolving Loans in accordance with Section 2.11, (x) the Aggregate Revolving Exposure would exceed the aggregate Revolving Commitments or (y) the Revolving Exposure of any Lender would exceed the Revolving Commitment of such Lender.</w:t>
      </w:r>
    </w:p>
    <w:p>
      <w:pPr>
        <w:spacing w:after="0" w:line="189"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17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Revolving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97"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95"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the right to increase the Revolving Commitments by obtaining additional Revolving Commitments, either from one or more of the Lenders or another lending institution (other than any Ineligible Institution), provided that (i) any such request for an increase shall be in a minimum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09"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9"/>
          <w:szCs w:val="19"/>
          <w:color w:val="auto"/>
        </w:rPr>
        <w:t>$10,000,000, (ii) the Borrower may make a maximum of four (4) such requests during the term of this Agreement, (iii) after giving effect thereto, the sum of the total of the additional Revolving Commitments does not exceed $75,000,000, (iv) the Administrative Agent, the Swingline Lender and the Issuing Bank have approved the identity of any such new Lender, such approvals not to be unreasonably withheld, conditioned or delayed,</w:t>
      </w:r>
    </w:p>
    <w:p>
      <w:pPr>
        <w:spacing w:after="0" w:line="1" w:lineRule="exact"/>
        <w:rPr>
          <w:sz w:val="20"/>
          <w:szCs w:val="20"/>
          <w:color w:val="auto"/>
        </w:rPr>
      </w:pPr>
    </w:p>
    <w:p>
      <w:pPr>
        <w:jc w:val="both"/>
        <w:ind w:right="20" w:firstLine="8"/>
        <w:spacing w:after="0" w:line="255" w:lineRule="auto"/>
        <w:tabs>
          <w:tab w:leader="none" w:pos="285"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new Lender assumes all of the rights and obligations of a “Lender” hereunder, and (vi) the procedures described in Section 2.09(f) have been satisfied. Nothing contained in this Section 2.09 shall constitute, or otherwise be deemed to be, a commitment on the part of any Lender to increase its Revolving Commitment hereunder at any time.</w:t>
      </w:r>
    </w:p>
    <w:p>
      <w:pPr>
        <w:spacing w:after="0" w:line="188"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1"/>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a condition precedent to such an increase of the Revolving Commitments, the Borrower shall deliver to the Administrative Agent</w:t>
      </w:r>
    </w:p>
    <w:p>
      <w:pPr>
        <w:spacing w:after="0" w:line="25" w:lineRule="exact"/>
        <w:rPr>
          <w:rFonts w:ascii="Times New Roman" w:cs="Times New Roman" w:eastAsia="Times New Roman" w:hAnsi="Times New Roman"/>
          <w:sz w:val="19"/>
          <w:szCs w:val="19"/>
          <w:color w:val="010000"/>
        </w:rPr>
      </w:pPr>
    </w:p>
    <w:p>
      <w:pPr>
        <w:jc w:val="both"/>
        <w:ind w:firstLine="8"/>
        <w:spacing w:after="0" w:line="249" w:lineRule="auto"/>
        <w:tabs>
          <w:tab w:leader="none" w:pos="233"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each Loan Party signed by an authorized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Article III and the other Loan Documents are true and correct in all material respects, except to the extent that such representations and warranties specifically refer to an earlier date, in which case they are true and correct as of such earlier date, (2) no Default or Event of Default exists and (3) the Borrower is in compliance (on a pro forma basis) with the covenants contained in Section 6.12 (which calculations shall assume that such increase of the Revolving Commitments is fully drawn) and (ii) legal opinions and documents consistent with those delivered on the Effective Date, to the extent reasonably requested by the Administrative Agent.</w:t>
      </w:r>
    </w:p>
    <w:p>
      <w:pPr>
        <w:spacing w:after="0" w:line="193" w:lineRule="exact"/>
        <w:rPr>
          <w:rFonts w:ascii="Times New Roman" w:cs="Times New Roman" w:eastAsia="Times New Roman" w:hAnsi="Times New Roman"/>
          <w:sz w:val="19"/>
          <w:szCs w:val="19"/>
          <w:color w:val="auto"/>
        </w:rPr>
      </w:pPr>
    </w:p>
    <w:p>
      <w:pPr>
        <w:jc w:val="both"/>
        <w:ind w:firstLine="656"/>
        <w:spacing w:after="0" w:line="252" w:lineRule="auto"/>
        <w:tabs>
          <w:tab w:leader="none" w:pos="1153"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On the effective date of any such increase,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in the Revolving Commitments (with such reborrowing to consist of the Types of Revolving Loans, with related Interest Periods if applicable, specified by the Borrower to the Administrative Agent). The deemed payments made pursuant to clause (ii) of the immediately preceding sentence shall be accompanied by payment of all accrued interest on the amount prepaid and, to the extent applicable, shall be subject to indemnification by the Borrower pursuant to the provisions of Section 2.16. Any increase in the Revolving Commitments shall be on the same terms and subject to the same conditions as the then existing Revolving Commitments.</w:t>
      </w:r>
    </w:p>
    <w:p>
      <w:pPr>
        <w:spacing w:after="0" w:line="190" w:lineRule="exact"/>
        <w:rPr>
          <w:rFonts w:ascii="Times New Roman" w:cs="Times New Roman" w:eastAsia="Times New Roman" w:hAnsi="Times New Roman"/>
          <w:sz w:val="19"/>
          <w:szCs w:val="19"/>
          <w:color w:val="010000"/>
        </w:rPr>
      </w:pPr>
    </w:p>
    <w:p>
      <w:pPr>
        <w:jc w:val="both"/>
        <w:ind w:firstLine="656"/>
        <w:spacing w:after="0" w:line="267" w:lineRule="auto"/>
        <w:tabs>
          <w:tab w:leader="none" w:pos="1084"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the foregoing conditions, any increase in the Revolving Commitments may be made hereunder pursuant to an amendment or restatement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of this Agreement and, as appropriate, the other Loan Documents, executed by the Borrower, each Lender participating in such increase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increase in the Revolving Commitments. Within a reasonable time after the effective date of any increase, the Administrative Agent shall, and is hereby authorized and directed to, revise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such increase and shall distribute such revised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each of the Lenders and the Borrower, whereupon such revised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shall replace the old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become part of this Agreement.</w:t>
      </w:r>
    </w:p>
    <w:p>
      <w:pPr>
        <w:spacing w:after="0" w:line="182" w:lineRule="exact"/>
        <w:rPr>
          <w:rFonts w:ascii="Times New Roman" w:cs="Times New Roman" w:eastAsia="Times New Roman" w:hAnsi="Times New Roman"/>
          <w:sz w:val="18"/>
          <w:szCs w:val="18"/>
          <w:color w:val="010000"/>
        </w:rPr>
      </w:pPr>
    </w:p>
    <w:p>
      <w:pPr>
        <w:jc w:val="both"/>
        <w:ind w:firstLine="656"/>
        <w:spacing w:after="0" w:line="256" w:lineRule="auto"/>
        <w:tabs>
          <w:tab w:leader="none" w:pos="1029"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connection with any increase of the Revolving Commitments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0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color w:val="auto"/>
        </w:rPr>
        <w:t>with applicable “know your customer” and anti-money laundering rules and regulations, including without limitation, the USA PATRIOT Act.</w:t>
      </w:r>
    </w:p>
    <w:p>
      <w:pPr>
        <w:spacing w:after="0" w:line="22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2.10.</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39" w:lineRule="auto"/>
        <w:tabs>
          <w:tab w:leader="none" w:pos="1093"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hereby unconditionally promises to pay in dollars (i) to the Administrative Agent for the account of each Lender the then unpaid principal amount of each Revolving Loan on the Revolving Credit Maturity Date, and (ii) to the Swingline Lender the then unpaid principal amount of each Swingline Loan on the earlier of the Revolving Credit Maturity Date and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Business Day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204" w:lineRule="exact"/>
        <w:rPr>
          <w:rFonts w:ascii="Times New Roman" w:cs="Times New Roman" w:eastAsia="Times New Roman" w:hAnsi="Times New Roman"/>
          <w:sz w:val="19"/>
          <w:szCs w:val="19"/>
          <w:color w:val="010000"/>
        </w:rPr>
      </w:pPr>
    </w:p>
    <w:p>
      <w:pPr>
        <w:jc w:val="both"/>
        <w:ind w:right="20" w:firstLine="656"/>
        <w:spacing w:after="0" w:line="258" w:lineRule="auto"/>
        <w:tabs>
          <w:tab w:leader="none" w:pos="1071"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6"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115"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8"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32"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entries made in the accounts maintained pursuant to paragraph (b) or (c)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of the existence and amounts of the obligations recorded therein absent manifest error;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accounts or any error therein shall not in any manner affect the Obligations.</w:t>
      </w:r>
    </w:p>
    <w:p>
      <w:pPr>
        <w:spacing w:after="0" w:line="178"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45"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may request that Loans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2.11.</w:t>
      </w:r>
      <w:r>
        <w:rPr>
          <w:sz w:val="20"/>
          <w:szCs w:val="20"/>
          <w:color w:val="auto"/>
        </w:rPr>
        <w:tab/>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65" w:lineRule="auto"/>
        <w:tabs>
          <w:tab w:leader="none" w:pos="1101"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the right at any time and from time to time to prepay any Borrowing in whole or in part, subject to prior notice in accordance with paragraph (c) of this Section and, if applicable, payment of any break funding expenses under Section 2.16.</w:t>
      </w:r>
    </w:p>
    <w:p>
      <w:pPr>
        <w:spacing w:after="0" w:line="179"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70"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and on such occasion that the Aggregate Revolving Exposure exceeds the aggregate Revolving Commitments, the Borrower shall prepay the Revolving Loans, LC Exposure and/or Swingline Loans (or, if no such Borrowings are outstanding, deposit cash collateral in the LC Collateral Account in an aggregate amount equal to such excess, in accordance with Section 2.06(j)) in an aggregate principal amount sufficient to cause the aggregate principal amount of all Revolving Exposures to be less than or equal to the aggregate Revolving Commitments.</w:t>
      </w:r>
    </w:p>
    <w:p>
      <w:pPr>
        <w:spacing w:after="0" w:line="189" w:lineRule="exact"/>
        <w:rPr>
          <w:rFonts w:ascii="Times New Roman" w:cs="Times New Roman" w:eastAsia="Times New Roman" w:hAnsi="Times New Roman"/>
          <w:sz w:val="19"/>
          <w:szCs w:val="19"/>
          <w:color w:val="010000"/>
        </w:rPr>
      </w:pPr>
    </w:p>
    <w:p>
      <w:pPr>
        <w:jc w:val="both"/>
        <w:ind w:firstLine="656"/>
        <w:spacing w:after="0" w:line="261" w:lineRule="auto"/>
        <w:tabs>
          <w:tab w:leader="none" w:pos="1079"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notify the Administrative Agent (and, in the case of prepayment of a Swingline Loan, the Swingline Lender) by fax or through any Electronic System, if arrangements for doing so have been approved by the Administrative Agent, of any prepayment under this Section: (i) in the case of prepayment of a Term Benchmark Borrowing, not later than 10:00 a.m., New York City time, three (3) U.S. Government Securities Business Days before the date of prepayment, (ii) in the case of an RFR Borrowing, not later than 10:00 a.m.,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09" w:right="339" w:bottom="1440" w:gutter="0" w:footer="0" w:header="0"/>
        </w:sectPr>
      </w:pPr>
    </w:p>
    <w:bookmarkStart w:id="95" w:name="page96"/>
    <w:bookmarkEnd w:id="95"/>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time, five (5) U.S. Government Securities Business Days before the date of prepayment, (iii) in the case of prepayment of an ABR Revolving Borrowing (other than a Swingline Loan), not later than 10:00 a.m., New York City time, on the date of prepayment or (iv) in the case of prepayment of a Swingline Loan,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(or, in the case of any RFR Loan, in such amount that would be permitted in the case of an advance of an ABR Revolving Borrowing as provided in Section 2.02), except as necessary to apply fully the required amount of a mandatory prepayment. Each voluntary prepayment of a Borrowing shall be applied to such Loans in such amounts, at the discretion of the Borrower. Each mandatory prepayment made pursuant to Section 2.11(b) shall be applied ratably to all outstanding Loans. Prepayments shall be accompanied by (i) accrued interest to the extent required by Section 2.13 and (ii) break funding payments pursuant to Section 2.16.</w:t>
      </w:r>
    </w:p>
    <w:p>
      <w:pPr>
        <w:spacing w:after="0" w:line="17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56"/>
        <w:spacing w:after="0" w:line="252" w:lineRule="auto"/>
        <w:tabs>
          <w:tab w:leader="none" w:pos="1070"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agrees to pay to the Administrative Agent a commitment fee for the account of each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provided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Commitment fees accrued through and including the last day of March, June, September and December of each year shall be payable in arrears on the fifteenth (15th) day following such last day of March, June, September and December and on the date on which the Revolving Commitments terminate, commencing on the first such date to occur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last day of each period but excluding the date on which the Revolving Commitments terminate).</w:t>
      </w:r>
    </w:p>
    <w:p>
      <w:pPr>
        <w:spacing w:after="0" w:line="190"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133"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agrees to pay (i) to the Administrative Agent for the account of each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 shall accrue at a rate per annum equal to 0.125% on the daily maximum stated amount then available to be drawn under each outstanding Letter of Credit,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or extension of any Letter of Credit and other processing fees, and other standard costs and charges, of the Issuing Bank relating to Letters of Credit as from time to time in effect. Participation fees and fronting fees accrued through and including the last day of each March, June, September and December of each year shall be payable on the fifteenth (15th) day following such last day of March, June, September and December, commencing on the first such date to occur after the Effective Date; provided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09"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9"/>
          <w:szCs w:val="19"/>
          <w:color w:val="auto"/>
        </w:rPr>
        <w:t>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Business Days after demand. All participation fees and fronting fees shall be computed on the basis of a year of 360 days and shall be payable for the actual number of days elapsed (including the first day but excluding the last day).</w:t>
      </w:r>
    </w:p>
    <w:p>
      <w:pPr>
        <w:spacing w:after="0" w:line="188" w:lineRule="exact"/>
        <w:rPr>
          <w:sz w:val="20"/>
          <w:szCs w:val="20"/>
          <w:color w:val="auto"/>
        </w:rPr>
      </w:pPr>
    </w:p>
    <w:p>
      <w:pPr>
        <w:ind w:firstLine="656"/>
        <w:spacing w:after="0" w:line="280" w:lineRule="auto"/>
        <w:tabs>
          <w:tab w:leader="none" w:pos="1062"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agrees to pay to the Administrative Agent, for its own account, fees payable in the amounts and at the times separately agreed upon between the Borrower and the Administrative Agent.</w:t>
      </w:r>
    </w:p>
    <w:p>
      <w:pPr>
        <w:spacing w:after="0" w:line="165"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49"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8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2.13.</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firstLine="656"/>
        <w:spacing w:after="0" w:line="280" w:lineRule="auto"/>
        <w:tabs>
          <w:tab w:leader="none" w:pos="1081"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Loans comprising each ABR Borrowing (including each Swingline Loan) shall bear interest at the Alternate Base Rate plus the Applicable Rate.</w:t>
      </w:r>
    </w:p>
    <w:p>
      <w:pPr>
        <w:spacing w:after="0" w:line="165" w:lineRule="exact"/>
        <w:rPr>
          <w:rFonts w:ascii="Times New Roman" w:cs="Times New Roman" w:eastAsia="Times New Roman" w:hAnsi="Times New Roman"/>
          <w:sz w:val="19"/>
          <w:szCs w:val="19"/>
          <w:color w:val="010000"/>
        </w:rPr>
      </w:pPr>
    </w:p>
    <w:p>
      <w:pPr>
        <w:ind w:firstLine="656"/>
        <w:spacing w:after="0" w:line="265" w:lineRule="auto"/>
        <w:tabs>
          <w:tab w:leader="none" w:pos="1058"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Loans comprising each Term Benchmark Borrowing shall bear interest at the Adjusted Term SOFR Rate for the Interest Period in effect for such Borrowing plus the Applicable Rate.</w:t>
      </w:r>
    </w:p>
    <w:p>
      <w:pPr>
        <w:spacing w:after="0" w:line="179"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RFR Loan shall bear interest at a rate per annum equal to the Adjusted Daily Simple SOFR plus the Applicable Rate.</w:t>
      </w:r>
    </w:p>
    <w:p>
      <w:pPr>
        <w:spacing w:after="0" w:line="227"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28"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the foregoing, (i) except as provided in the following clause (d)(ii),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or (ii) automatically, without any notice or other action from any party hereto, upon the occurrence of an Event of Default described in clause (a) of Article VII or with respect to the Borrower described in clause (h) or (i) of Article VII, then, in each case, (A) all Loans shall bear interest at a rate per annum equal to 2% plus the rate otherwise applicable to such Loans as provided in the preceding paragraphs of this Section and (B) in the case of any other amount outstanding hereunder, such amount shall accrue interest at a rate per annum equal to 2% plus the rate applicable to ABR Loans as provided in Section 2.13(a).</w:t>
      </w:r>
    </w:p>
    <w:p>
      <w:pPr>
        <w:spacing w:after="0" w:line="175"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58"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92"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21"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Any determination of the applicable Alternate Base Rate, Adjusted Term SOFR Rate, Term SOFR Rate, Adjusted Daily Simple SOFR or Daily Simple SOFR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09" w:right="339" w:bottom="1440" w:gutter="0" w:footer="0" w:header="0"/>
        </w:sectPr>
      </w:pPr>
    </w:p>
    <w:bookmarkStart w:id="97" w:name="page98"/>
    <w:bookmarkEnd w:id="97"/>
    <w:p>
      <w:pPr>
        <w:ind w:left="660"/>
        <w:spacing w:after="0"/>
        <w:tabs>
          <w:tab w:leader="none" w:pos="2040" w:val="left"/>
          <w:tab w:leader="none" w:pos="4360" w:val="left"/>
        </w:tabs>
        <w:rPr>
          <w:sz w:val="20"/>
          <w:szCs w:val="20"/>
          <w:color w:val="auto"/>
        </w:rPr>
      </w:pPr>
      <w:r>
        <w:rPr>
          <w:rFonts w:ascii="Times New Roman" w:cs="Times New Roman" w:eastAsia="Times New Roman" w:hAnsi="Times New Roman"/>
          <w:sz w:val="19"/>
          <w:szCs w:val="19"/>
          <w:color w:val="010000"/>
        </w:rPr>
        <w:t>SECTION 2.14.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010000"/>
        </w:rPr>
        <w:t>(a)</w:t>
      </w:r>
      <w:r>
        <w:rPr>
          <w:sz w:val="20"/>
          <w:szCs w:val="20"/>
          <w:color w:val="auto"/>
        </w:rPr>
        <w:tab/>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left="1060" w:hanging="404"/>
        <w:spacing w:after="0"/>
        <w:tabs>
          <w:tab w:leader="none" w:pos="1060"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clauses (b), (c), (d), (e) and (f) of this Section 2.14, if:</w:t>
      </w:r>
    </w:p>
    <w:p>
      <w:pPr>
        <w:spacing w:after="0" w:line="227" w:lineRule="exact"/>
        <w:rPr>
          <w:rFonts w:ascii="Times New Roman" w:cs="Times New Roman" w:eastAsia="Times New Roman" w:hAnsi="Times New Roman"/>
          <w:sz w:val="19"/>
          <w:szCs w:val="19"/>
          <w:color w:val="010000"/>
        </w:rPr>
      </w:pPr>
    </w:p>
    <w:p>
      <w:pPr>
        <w:ind w:left="1700" w:hanging="396"/>
        <w:spacing w:after="0"/>
        <w:tabs>
          <w:tab w:leader="none" w:pos="1700" w:val="left"/>
        </w:tabs>
        <w:numPr>
          <w:ilvl w:val="2"/>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reasonably determines (which determination shall be conclusive and binding absent manifest error)</w:t>
      </w:r>
    </w:p>
    <w:p>
      <w:pPr>
        <w:spacing w:after="0" w:line="17" w:lineRule="exact"/>
        <w:rPr>
          <w:rFonts w:ascii="Times New Roman" w:cs="Times New Roman" w:eastAsia="Times New Roman" w:hAnsi="Times New Roman"/>
          <w:sz w:val="19"/>
          <w:szCs w:val="19"/>
          <w:color w:val="010000"/>
        </w:rPr>
      </w:pPr>
    </w:p>
    <w:p>
      <w:pPr>
        <w:ind w:left="340" w:hanging="332"/>
        <w:spacing w:after="0"/>
        <w:tabs>
          <w:tab w:leader="none" w:pos="34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commencement of any Interest Period for a Term Benchmark Borrowing that adequate and reasonable means do not exist for</w:t>
      </w:r>
    </w:p>
    <w:p>
      <w:pPr>
        <w:spacing w:after="0" w:line="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ascertaining the Adjusted Term SOFR Rate (including, without limitation, because the Term SOFR Reference Rate is not available or published on a current basis), for such Interest Period or (B) at any time, that adequate and reasonable means do not exist for ascertaining the applicable Adjusted Daily Simple SOFR for an RFR Loan; or</w:t>
      </w:r>
    </w:p>
    <w:p>
      <w:pPr>
        <w:spacing w:after="0" w:line="185" w:lineRule="exact"/>
        <w:rPr>
          <w:sz w:val="20"/>
          <w:szCs w:val="20"/>
          <w:color w:val="auto"/>
        </w:rPr>
      </w:pPr>
    </w:p>
    <w:p>
      <w:pPr>
        <w:jc w:val="both"/>
        <w:ind w:firstLine="1304"/>
        <w:spacing w:after="0" w:line="255" w:lineRule="auto"/>
        <w:tabs>
          <w:tab w:leader="none" w:pos="1720" w:val="left"/>
        </w:tabs>
        <w:numPr>
          <w:ilvl w:val="0"/>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is advised by the Required Lenders that (A) prior to the commencement of any Interest Period for a Term Benchmark Borrowing, the Adjusted Term SOFR Rate for the applicable Interest Period will not adequately and fairly reflect the cost to such Lenders (or Lender) of making or maintaining their Loans (or Loan) included in such Borrowing for such Interest Period, or (B) at any time, the applicable Adjusted Daily Simple SOFR for an RFR Loan will not adequately and fairly reflect the cost to such Lenders (or Lender) of making or maintaining their Loans (or its Loan) included in such Borrowing;</w:t>
      </w:r>
    </w:p>
    <w:p>
      <w:pPr>
        <w:spacing w:after="0" w:line="18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Borrower and the Lenders through any Electronic System as provided in Section 9.01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(1) an RFR Borrowing so long as the Adjusted Daily Simple SOFR is not also the subject of Section 2.14(a)(i) or (ii) above or (2) an ABR Borrowing if the Adjusted Daily Simple SOFR also is the subject of Section 2.14(a)(i) or (ii) above, and (B) any outstanding RFR Borrowing shall be converted to an ABR Borrowing at such time.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Term Benchmark Loan shall on the last day of the Interest Period applicable to such Loan, be converted by the Administrative Agent to, and shall constitute, (x) an RFR Borrowing so long as the Adjusted Daily Simple SOFR is not also the subject of Section 2.14(a)(i) or (ii) above or (y) an ABR Loan if the Adjusted Daily Simple SOFR also is the subject of Section 2.14(a)(i) or (ii) above, on such day, and (2) any RFR Loan shall on and from such day be converted by the Administrative Agent to, and shall constitute, an ABR Loan.</w:t>
      </w:r>
    </w:p>
    <w:p>
      <w:pPr>
        <w:spacing w:after="0" w:line="198" w:lineRule="exact"/>
        <w:rPr>
          <w:sz w:val="20"/>
          <w:szCs w:val="20"/>
          <w:color w:val="auto"/>
        </w:rPr>
      </w:pPr>
    </w:p>
    <w:p>
      <w:pPr>
        <w:jc w:val="both"/>
        <w:ind w:firstLine="656"/>
        <w:spacing w:after="0" w:line="254" w:lineRule="auto"/>
        <w:tabs>
          <w:tab w:leader="none" w:pos="107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09"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9"/>
          <w:szCs w:val="19"/>
          <w:color w:val="auto"/>
        </w:rPr>
        <w:t>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2" w:lineRule="exact"/>
        <w:rPr>
          <w:sz w:val="20"/>
          <w:szCs w:val="20"/>
          <w:color w:val="auto"/>
        </w:rPr>
      </w:pPr>
    </w:p>
    <w:p>
      <w:pPr>
        <w:jc w:val="both"/>
        <w:ind w:firstLine="656"/>
        <w:spacing w:after="0" w:line="256" w:lineRule="auto"/>
        <w:tabs>
          <w:tab w:leader="none" w:pos="1051"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8" w:lineRule="exact"/>
        <w:rPr>
          <w:rFonts w:ascii="Times New Roman" w:cs="Times New Roman" w:eastAsia="Times New Roman" w:hAnsi="Times New Roman"/>
          <w:sz w:val="19"/>
          <w:szCs w:val="19"/>
          <w:color w:val="010000"/>
        </w:rPr>
      </w:pPr>
    </w:p>
    <w:p>
      <w:pPr>
        <w:ind w:left="1080" w:hanging="424"/>
        <w:spacing w:after="0"/>
        <w:tabs>
          <w:tab w:leader="none" w:pos="1080" w:val="left"/>
        </w:tabs>
        <w:numPr>
          <w:ilvl w:val="1"/>
          <w:numId w:val="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will promptly notify the Borrower and the Lenders of (i) any occurrence of a Benchmark Transition Event,</w:t>
      </w:r>
    </w:p>
    <w:p>
      <w:pPr>
        <w:spacing w:after="0" w:line="37" w:lineRule="exact"/>
        <w:rPr>
          <w:rFonts w:ascii="Times New Roman" w:cs="Times New Roman" w:eastAsia="Times New Roman" w:hAnsi="Times New Roman"/>
          <w:sz w:val="18"/>
          <w:szCs w:val="18"/>
          <w:color w:val="010000"/>
        </w:rPr>
      </w:pPr>
    </w:p>
    <w:p>
      <w:pPr>
        <w:jc w:val="both"/>
        <w:ind w:firstLine="8"/>
        <w:spacing w:after="0" w:line="251" w:lineRule="auto"/>
        <w:tabs>
          <w:tab w:leader="none" w:pos="30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implementation of any Benchmark Replacement, (iii) the effectiveness of any Benchmark Replacement Conforming Changes, (iv) 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1" w:lineRule="exact"/>
        <w:rPr>
          <w:rFonts w:ascii="Times New Roman" w:cs="Times New Roman" w:eastAsia="Times New Roman" w:hAnsi="Times New Roman"/>
          <w:sz w:val="19"/>
          <w:szCs w:val="19"/>
          <w:color w:val="auto"/>
        </w:rPr>
      </w:pPr>
    </w:p>
    <w:p>
      <w:pPr>
        <w:jc w:val="both"/>
        <w:ind w:firstLine="656"/>
        <w:spacing w:after="0" w:line="253" w:lineRule="auto"/>
        <w:tabs>
          <w:tab w:leader="none" w:pos="1155"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0" w:lineRule="exact"/>
        <w:rPr>
          <w:rFonts w:ascii="Times New Roman" w:cs="Times New Roman" w:eastAsia="Times New Roman" w:hAnsi="Times New Roman"/>
          <w:sz w:val="19"/>
          <w:szCs w:val="19"/>
          <w:color w:val="010000"/>
        </w:rPr>
      </w:pPr>
    </w:p>
    <w:p>
      <w:pPr>
        <w:ind w:left="1040" w:hanging="384"/>
        <w:spacing w:after="0"/>
        <w:tabs>
          <w:tab w:leader="none" w:pos="1040" w:val="left"/>
        </w:tabs>
        <w:numPr>
          <w:ilvl w:val="1"/>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the Borrower’s receipt of notice of the commencement of a Benchmark Unavailability Period with respect to any Relevant Rate,</w:t>
      </w:r>
    </w:p>
    <w:p>
      <w:pPr>
        <w:spacing w:after="0" w:line="37" w:lineRule="exact"/>
        <w:rPr>
          <w:rFonts w:ascii="Times New Roman" w:cs="Times New Roman" w:eastAsia="Times New Roman" w:hAnsi="Times New Roman"/>
          <w:sz w:val="18"/>
          <w:szCs w:val="18"/>
          <w:color w:val="010000"/>
        </w:rPr>
      </w:pPr>
    </w:p>
    <w:p>
      <w:pPr>
        <w:jc w:val="both"/>
        <w:ind w:firstLine="8"/>
        <w:spacing w:after="0" w:line="251" w:lineRule="auto"/>
        <w:tabs>
          <w:tab w:leader="none" w:pos="24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Term Benchmark Borrowing,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 an RFR Borrowing so long as the Adjusted Daily Simple SOFR is not the subject of a Benchmark Transition Event or (B) an ABR Borrowing if the Adjusted Daily Simple SOFR is the subject of a Benchmark Transition Event, and (ii) in the case of any outstanding RFR Borrowing, such Borrowing shall on and from such day be converted by the Administrative Agent to, and shall constitute, an ABR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09"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9"/>
          <w:szCs w:val="19"/>
          <w:color w:val="auto"/>
        </w:rPr>
        <w:t>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2.15.</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60" w:hanging="404"/>
        <w:spacing w:after="0"/>
        <w:tabs>
          <w:tab w:leader="none" w:pos="1060"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Change in Law shall:</w:t>
      </w:r>
    </w:p>
    <w:p>
      <w:pPr>
        <w:spacing w:after="0" w:line="213" w:lineRule="exact"/>
        <w:rPr>
          <w:rFonts w:ascii="Times New Roman" w:cs="Times New Roman" w:eastAsia="Times New Roman" w:hAnsi="Times New Roman"/>
          <w:sz w:val="19"/>
          <w:szCs w:val="19"/>
          <w:color w:val="010000"/>
        </w:rPr>
      </w:pPr>
    </w:p>
    <w:p>
      <w:pPr>
        <w:jc w:val="both"/>
        <w:ind w:left="660" w:firstLine="644"/>
        <w:spacing w:after="0" w:line="266" w:lineRule="auto"/>
        <w:tabs>
          <w:tab w:leader="none" w:pos="1718" w:val="left"/>
        </w:tabs>
        <w:numPr>
          <w:ilvl w:val="1"/>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or</w:t>
      </w:r>
    </w:p>
    <w:p>
      <w:pPr>
        <w:spacing w:after="0" w:line="178" w:lineRule="exact"/>
        <w:rPr>
          <w:rFonts w:ascii="Times New Roman" w:cs="Times New Roman" w:eastAsia="Times New Roman" w:hAnsi="Times New Roman"/>
          <w:sz w:val="19"/>
          <w:szCs w:val="19"/>
          <w:color w:val="010000"/>
        </w:rPr>
      </w:pPr>
    </w:p>
    <w:p>
      <w:pPr>
        <w:ind w:left="660" w:firstLine="644"/>
        <w:spacing w:after="0" w:line="280" w:lineRule="auto"/>
        <w:tabs>
          <w:tab w:leader="none" w:pos="1730" w:val="left"/>
        </w:tabs>
        <w:numPr>
          <w:ilvl w:val="1"/>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impose on any Lender or the Issuing Bank or the applicable interbank market any other condition, cost or expense (other than Taxes) affecting this Agreement or Loans made by such Lender or any Letter of Credit or participation therein; or</w:t>
      </w:r>
    </w:p>
    <w:p>
      <w:pPr>
        <w:spacing w:after="0" w:line="151" w:lineRule="exact"/>
        <w:rPr>
          <w:rFonts w:ascii="Times New Roman" w:cs="Times New Roman" w:eastAsia="Times New Roman" w:hAnsi="Times New Roman"/>
          <w:sz w:val="19"/>
          <w:szCs w:val="19"/>
          <w:color w:val="010000"/>
        </w:rPr>
      </w:pPr>
    </w:p>
    <w:p>
      <w:pPr>
        <w:jc w:val="both"/>
        <w:ind w:left="660" w:firstLine="644"/>
        <w:spacing w:after="0" w:line="266" w:lineRule="auto"/>
        <w:tabs>
          <w:tab w:leader="none" w:pos="1805" w:val="left"/>
        </w:tabs>
        <w:numPr>
          <w:ilvl w:val="1"/>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8"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the Issuing Bank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77" w:lineRule="exact"/>
        <w:rPr>
          <w:sz w:val="20"/>
          <w:szCs w:val="20"/>
          <w:color w:val="auto"/>
        </w:rPr>
      </w:pPr>
    </w:p>
    <w:p>
      <w:pPr>
        <w:jc w:val="both"/>
        <w:ind w:firstLine="656"/>
        <w:spacing w:after="0" w:line="253" w:lineRule="auto"/>
        <w:tabs>
          <w:tab w:leader="none" w:pos="1102"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or the Issuing Bank reasonably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95"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51"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09" w:right="339" w:bottom="1440" w:gutter="0" w:footer="0" w:header="0"/>
        </w:sectPr>
      </w:pPr>
    </w:p>
    <w:bookmarkStart w:id="100" w:name="page101"/>
    <w:bookmarkEnd w:id="100"/>
    <w:p>
      <w:pPr>
        <w:ind w:right="20"/>
        <w:spacing w:after="0" w:line="280" w:lineRule="auto"/>
        <w:rPr>
          <w:sz w:val="20"/>
          <w:szCs w:val="20"/>
          <w:color w:val="auto"/>
        </w:rPr>
      </w:pPr>
      <w:r>
        <w:rPr>
          <w:rFonts w:ascii="Times New Roman" w:cs="Times New Roman" w:eastAsia="Times New Roman" w:hAnsi="Times New Roman"/>
          <w:sz w:val="19"/>
          <w:szCs w:val="19"/>
          <w:color w:val="auto"/>
        </w:rPr>
        <w:t>shall pay such Lender or the Issuing Bank, as the case may be, the amount shown as due on any such certificate within ten (10) Business Days after receipt thereof.</w:t>
      </w:r>
    </w:p>
    <w:p>
      <w:pPr>
        <w:spacing w:after="0" w:line="165" w:lineRule="exact"/>
        <w:rPr>
          <w:sz w:val="20"/>
          <w:szCs w:val="20"/>
          <w:color w:val="auto"/>
        </w:rPr>
      </w:pPr>
    </w:p>
    <w:p>
      <w:pPr>
        <w:jc w:val="both"/>
        <w:ind w:firstLine="656"/>
        <w:spacing w:after="0" w:line="251" w:lineRule="auto"/>
        <w:tabs>
          <w:tab w:leader="none" w:pos="1075"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the Issuing Bank pursuant to this Section for any increased costs or reductions incurred more than 360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the Change in Law giving rise to such increased costs or reductions is retroactive, then the 360-day period referred to above shall be extended to include the period of retroactive effect thereof.</w:t>
      </w:r>
    </w:p>
    <w:p>
      <w:pPr>
        <w:spacing w:after="0" w:line="19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2.16.</w:t>
      </w:r>
      <w:r>
        <w:rPr>
          <w:sz w:val="20"/>
          <w:szCs w:val="20"/>
          <w:color w:val="auto"/>
        </w:rPr>
        <w:tab/>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091"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Loans that are not RFR Loans, in the event of (i) the payment of any principal of any Term Benchmark Loan other than on the last day of an Interest Period applicable thereto (including as a result of an Event of Default or as a result of any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or (iv) the assignment of any Term Benchmark Loan, in each case, other than on the last day of the Interest Period applicable thereto, as a result of a request by the Borrower pursuant to Section 2.19 or 9.02(d), then, in any such event, the Borrower shall compensate each Lender for the loss, cost and expense attributable to such event.</w:t>
      </w:r>
    </w:p>
    <w:p>
      <w:pPr>
        <w:spacing w:after="0" w:line="175"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63"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2.09(d) and is revoked in accordance therewith), or (iii) the assignment of any RFR Loan, in each case, other than on the Interest Payment Date applicable thereto, as a result of a request by the Borrower pursuant to Section 2.19 or 9.02(d), then, in any such event, the Borrower shall compensate each Lender for the loss, cost and expense attributable to such event.</w:t>
      </w:r>
    </w:p>
    <w:p>
      <w:pPr>
        <w:spacing w:after="0" w:line="192"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78"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ten (10) days after receipt thereof.</w:t>
      </w:r>
    </w:p>
    <w:p>
      <w:pPr>
        <w:spacing w:after="0" w:line="17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2.17.</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6"/>
        <w:spacing w:after="0" w:line="253" w:lineRule="auto"/>
        <w:tabs>
          <w:tab w:leader="none" w:pos="1114" w:val="left"/>
        </w:tabs>
        <w:numPr>
          <w:ilvl w:val="0"/>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Withholding of Taxes; Gross-Up; Payments Free of Taxes</w:t>
      </w:r>
      <w:r>
        <w:rPr>
          <w:rFonts w:ascii="Times New Roman" w:cs="Times New Roman" w:eastAsia="Times New Roman" w:hAnsi="Times New Roman"/>
          <w:sz w:val="19"/>
          <w:szCs w:val="19"/>
          <w:color w:val="auto"/>
        </w:rPr>
        <w:t>. Any and all payments by or on account of any obligation of any Loan Party under any Loan Document (including, without limitation, the Secured Obligations and Guaranteed Obligations of each Loan Party)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09" w:right="339" w:bottom="1440" w:gutter="0" w:footer="0" w:header="0"/>
        </w:sectPr>
      </w:pPr>
    </w:p>
    <w:bookmarkStart w:id="101" w:name="page102"/>
    <w:bookmarkEnd w:id="101"/>
    <w:p>
      <w:pPr>
        <w:ind w:firstLine="656"/>
        <w:spacing w:after="0" w:line="280" w:lineRule="auto"/>
        <w:tabs>
          <w:tab w:leader="none" w:pos="1111"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Other Taxes by Loan Parties</w:t>
      </w:r>
      <w:r>
        <w:rPr>
          <w:rFonts w:ascii="Times New Roman" w:cs="Times New Roman" w:eastAsia="Times New Roman" w:hAnsi="Times New Roman"/>
          <w:sz w:val="19"/>
          <w:szCs w:val="19"/>
          <w:color w:val="auto"/>
        </w:rPr>
        <w:t>. The Loan Parties shall timely pay to the relevant Governmental Authority in accordance with applicable law, or at the option of the Administrative Agent timely reimburse it for, Other Taxes.</w:t>
      </w:r>
    </w:p>
    <w:p>
      <w:pPr>
        <w:spacing w:after="0" w:line="165"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60"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Evidence of Payment</w:t>
      </w:r>
      <w:r>
        <w:rPr>
          <w:rFonts w:ascii="Times New Roman" w:cs="Times New Roman" w:eastAsia="Times New Roman" w:hAnsi="Times New Roman"/>
          <w:sz w:val="19"/>
          <w:szCs w:val="19"/>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8"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84"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76" w:lineRule="exact"/>
        <w:rPr>
          <w:rFonts w:ascii="Times New Roman" w:cs="Times New Roman" w:eastAsia="Times New Roman" w:hAnsi="Times New Roman"/>
          <w:sz w:val="19"/>
          <w:szCs w:val="19"/>
          <w:color w:val="010000"/>
        </w:rPr>
      </w:pPr>
    </w:p>
    <w:p>
      <w:pPr>
        <w:jc w:val="both"/>
        <w:ind w:firstLine="656"/>
        <w:spacing w:after="0" w:line="253" w:lineRule="auto"/>
        <w:tabs>
          <w:tab w:leader="none" w:pos="1047"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Each Lender shall severally indemnify the Administrative Agent, within ten (10) Business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0" w:lineRule="exact"/>
        <w:rPr>
          <w:rFonts w:ascii="Times New Roman" w:cs="Times New Roman" w:eastAsia="Times New Roman" w:hAnsi="Times New Roman"/>
          <w:sz w:val="19"/>
          <w:szCs w:val="19"/>
          <w:color w:val="010000"/>
        </w:rPr>
      </w:pPr>
    </w:p>
    <w:p>
      <w:pPr>
        <w:ind w:left="1040" w:hanging="384"/>
        <w:spacing w:after="0"/>
        <w:tabs>
          <w:tab w:leader="none" w:pos="1040" w:val="left"/>
        </w:tabs>
        <w:numPr>
          <w:ilvl w:val="0"/>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689"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9"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generality of the foregoing, in the event that the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09" w:right="339" w:bottom="1440" w:gutter="0" w:footer="0" w:header="0"/>
        </w:sectPr>
      </w:pPr>
    </w:p>
    <w:bookmarkStart w:id="102" w:name="page103"/>
    <w:bookmarkEnd w:id="102"/>
    <w:p>
      <w:pPr>
        <w:jc w:val="both"/>
        <w:ind w:firstLine="1304"/>
        <w:spacing w:after="0" w:line="266" w:lineRule="auto"/>
        <w:tabs>
          <w:tab w:leader="none" w:pos="1761"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64" w:lineRule="exact"/>
        <w:rPr>
          <w:rFonts w:ascii="Times New Roman" w:cs="Times New Roman" w:eastAsia="Times New Roman" w:hAnsi="Times New Roman"/>
          <w:sz w:val="19"/>
          <w:szCs w:val="19"/>
          <w:color w:val="010000"/>
        </w:rPr>
      </w:pPr>
    </w:p>
    <w:p>
      <w:pPr>
        <w:jc w:val="both"/>
        <w:ind w:firstLine="1304"/>
        <w:spacing w:after="0" w:line="261" w:lineRule="auto"/>
        <w:tabs>
          <w:tab w:leader="none" w:pos="1739"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3" w:lineRule="exact"/>
        <w:rPr>
          <w:rFonts w:ascii="Times New Roman" w:cs="Times New Roman" w:eastAsia="Times New Roman" w:hAnsi="Times New Roman"/>
          <w:sz w:val="19"/>
          <w:szCs w:val="19"/>
          <w:color w:val="010000"/>
        </w:rPr>
      </w:pPr>
    </w:p>
    <w:p>
      <w:pPr>
        <w:jc w:val="both"/>
        <w:ind w:left="1300" w:firstLine="652"/>
        <w:spacing w:after="0" w:line="254" w:lineRule="auto"/>
        <w:tabs>
          <w:tab w:leader="none" w:pos="2407" w:val="left"/>
        </w:tabs>
        <w:numPr>
          <w:ilvl w:val="1"/>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8" w:lineRule="exact"/>
        <w:rPr>
          <w:rFonts w:ascii="Times New Roman" w:cs="Times New Roman" w:eastAsia="Times New Roman" w:hAnsi="Times New Roman"/>
          <w:sz w:val="19"/>
          <w:szCs w:val="19"/>
          <w:color w:val="010000"/>
        </w:rPr>
      </w:pPr>
    </w:p>
    <w:p>
      <w:pPr>
        <w:ind w:left="1300" w:firstLine="652"/>
        <w:spacing w:after="0" w:line="280" w:lineRule="auto"/>
        <w:tabs>
          <w:tab w:leader="none" w:pos="2372" w:val="left"/>
        </w:tabs>
        <w:numPr>
          <w:ilvl w:val="1"/>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that its extension of credit will generate U.S. effectively connected income, an executed copy of IRS Form W-8ECI;</w:t>
      </w:r>
    </w:p>
    <w:p>
      <w:pPr>
        <w:spacing w:after="0" w:line="165" w:lineRule="exact"/>
        <w:rPr>
          <w:rFonts w:ascii="Times New Roman" w:cs="Times New Roman" w:eastAsia="Times New Roman" w:hAnsi="Times New Roman"/>
          <w:sz w:val="19"/>
          <w:szCs w:val="19"/>
          <w:color w:val="010000"/>
        </w:rPr>
      </w:pPr>
    </w:p>
    <w:p>
      <w:pPr>
        <w:jc w:val="both"/>
        <w:ind w:left="1300" w:firstLine="652"/>
        <w:spacing w:after="0" w:line="254" w:lineRule="auto"/>
        <w:tabs>
          <w:tab w:leader="none" w:pos="2383" w:val="left"/>
        </w:tabs>
        <w:numPr>
          <w:ilvl w:val="1"/>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D-1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19"/>
          <w:szCs w:val="19"/>
          <w:color w:val="010000"/>
        </w:rPr>
      </w:pPr>
    </w:p>
    <w:p>
      <w:pPr>
        <w:ind w:left="1300" w:firstLine="4"/>
        <w:spacing w:after="0" w:line="258" w:lineRule="auto"/>
        <w:tabs>
          <w:tab w:leader="none" w:pos="162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Code, or a “controlled foreign corporation” described in Section 881(c)(3)(C) of the Code (a “</w:t>
      </w:r>
      <w:r>
        <w:rPr>
          <w:rFonts w:ascii="Times New Roman" w:cs="Times New Roman" w:eastAsia="Times New Roman" w:hAnsi="Times New Roman"/>
          <w:sz w:val="19"/>
          <w:szCs w:val="19"/>
          <w:u w:val="single" w:color="auto"/>
          <w:color w:val="auto"/>
        </w:rPr>
        <w:t>U.S. Tax 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Certificate</w:t>
      </w:r>
      <w:r>
        <w:rPr>
          <w:rFonts w:ascii="Times New Roman" w:cs="Times New Roman" w:eastAsia="Times New Roman" w:hAnsi="Times New Roman"/>
          <w:sz w:val="19"/>
          <w:szCs w:val="19"/>
          <w:color w:val="auto"/>
        </w:rPr>
        <w:t>”) and (y) an executed copy of IRS Form W-8BEN or IRS Form W-8BEN-E, as applicable; or</w:t>
      </w:r>
    </w:p>
    <w:p>
      <w:pPr>
        <w:spacing w:after="0" w:line="185" w:lineRule="exact"/>
        <w:rPr>
          <w:rFonts w:ascii="Times New Roman" w:cs="Times New Roman" w:eastAsia="Times New Roman" w:hAnsi="Times New Roman"/>
          <w:sz w:val="19"/>
          <w:szCs w:val="19"/>
          <w:color w:val="auto"/>
        </w:rPr>
      </w:pPr>
    </w:p>
    <w:p>
      <w:pPr>
        <w:jc w:val="both"/>
        <w:ind w:left="1300" w:firstLine="652"/>
        <w:spacing w:after="0" w:line="254" w:lineRule="auto"/>
        <w:tabs>
          <w:tab w:leader="none" w:pos="2374" w:val="left"/>
        </w:tabs>
        <w:numPr>
          <w:ilvl w:val="1"/>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to the extent a Foreign Lender is not the beneficial owner, an executed copy of IRS Form W-8IMY, accompanied by IRS Form W-8ECI, IRS Form W-8BEN or IRS Form W-8BEN-E, as applicable, a U.S. Tax Compliance Certificate substantially in the form of </w:t>
      </w:r>
      <w:r>
        <w:rPr>
          <w:rFonts w:ascii="Times New Roman" w:cs="Times New Roman" w:eastAsia="Times New Roman" w:hAnsi="Times New Roman"/>
          <w:sz w:val="19"/>
          <w:szCs w:val="19"/>
          <w:u w:val="single" w:color="auto"/>
          <w:color w:val="auto"/>
        </w:rPr>
        <w:t>Exhibit D-2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D-3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D-4</w:t>
      </w:r>
      <w:r>
        <w:rPr>
          <w:rFonts w:ascii="Times New Roman" w:cs="Times New Roman" w:eastAsia="Times New Roman" w:hAnsi="Times New Roman"/>
          <w:sz w:val="19"/>
          <w:szCs w:val="19"/>
          <w:color w:val="auto"/>
        </w:rPr>
        <w:t xml:space="preserve"> on behalf of each such direct and indirect partner;</w:t>
      </w:r>
    </w:p>
    <w:p>
      <w:pPr>
        <w:spacing w:after="0" w:line="192" w:lineRule="exact"/>
        <w:rPr>
          <w:rFonts w:ascii="Times New Roman" w:cs="Times New Roman" w:eastAsia="Times New Roman" w:hAnsi="Times New Roman"/>
          <w:sz w:val="19"/>
          <w:szCs w:val="19"/>
          <w:color w:val="010000"/>
        </w:rPr>
      </w:pPr>
    </w:p>
    <w:p>
      <w:pPr>
        <w:jc w:val="both"/>
        <w:ind w:firstLine="1304"/>
        <w:spacing w:after="0" w:line="254" w:lineRule="auto"/>
        <w:tabs>
          <w:tab w:leader="none" w:pos="1739"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2" w:lineRule="exact"/>
        <w:rPr>
          <w:rFonts w:ascii="Times New Roman" w:cs="Times New Roman" w:eastAsia="Times New Roman" w:hAnsi="Times New Roman"/>
          <w:sz w:val="19"/>
          <w:szCs w:val="19"/>
          <w:color w:val="010000"/>
        </w:rPr>
      </w:pPr>
    </w:p>
    <w:p>
      <w:pPr>
        <w:jc w:val="both"/>
        <w:ind w:firstLine="1304"/>
        <w:spacing w:after="0" w:line="256" w:lineRule="auto"/>
        <w:tabs>
          <w:tab w:leader="none" w:pos="1815"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09" w:right="33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19"/>
          <w:szCs w:val="19"/>
          <w:color w:val="auto"/>
        </w:rPr>
        <w:t>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5" w:lineRule="exact"/>
        <w:rPr>
          <w:sz w:val="20"/>
          <w:szCs w:val="20"/>
          <w:color w:val="auto"/>
        </w:rPr>
      </w:pPr>
    </w:p>
    <w:p>
      <w:pPr>
        <w:jc w:val="both"/>
        <w:ind w:firstLine="656"/>
        <w:spacing w:after="0" w:line="250" w:lineRule="auto"/>
        <w:tabs>
          <w:tab w:leader="none" w:pos="1098" w:val="left"/>
        </w:tabs>
        <w:numPr>
          <w:ilvl w:val="0"/>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71" w:val="left"/>
        </w:tabs>
        <w:numPr>
          <w:ilvl w:val="0"/>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Each party’s obligations under this Section 2.17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w:t>
      </w:r>
    </w:p>
    <w:p>
      <w:pPr>
        <w:spacing w:after="0" w:line="164"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For purposes of this Section 2.17, the term “applicable law” includes FATCA.</w:t>
      </w:r>
    </w:p>
    <w:p>
      <w:pPr>
        <w:spacing w:after="0" w:line="22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2.18.</w:t>
      </w:r>
      <w:r>
        <w:rPr>
          <w:sz w:val="20"/>
          <w:szCs w:val="20"/>
          <w:color w:val="auto"/>
        </w:rPr>
        <w:tab/>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075"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Loan Party shall make each payment or prepayment required to be made by it hereunder (whether of principal, interest, fees or reimbursement of LC Disbursements, or of amounts payable under Sections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 Dearborn St., Chicago IL 60603,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09" w:right="339" w:bottom="1440" w:gutter="0" w:footer="0" w:header="0"/>
        </w:sectPr>
      </w:pPr>
    </w:p>
    <w:bookmarkStart w:id="104" w:name="page105"/>
    <w:bookmarkEnd w:id="104"/>
    <w:p>
      <w:pPr>
        <w:ind w:right="20"/>
        <w:spacing w:after="0" w:line="280" w:lineRule="auto"/>
        <w:rPr>
          <w:sz w:val="20"/>
          <w:szCs w:val="20"/>
          <w:color w:val="auto"/>
        </w:rPr>
      </w:pPr>
      <w:r>
        <w:rPr>
          <w:rFonts w:ascii="Times New Roman" w:cs="Times New Roman" w:eastAsia="Times New Roman" w:hAnsi="Times New Roman"/>
          <w:sz w:val="19"/>
          <w:szCs w:val="19"/>
          <w:color w:val="auto"/>
        </w:rPr>
        <w:t>succeeding Business Day, and, in the case of any payment accruing interest, interest thereon shall be payable for the period of such extension. All payments hereunder shall be made in dollars.</w:t>
      </w:r>
    </w:p>
    <w:p>
      <w:pPr>
        <w:spacing w:after="0" w:line="165" w:lineRule="exact"/>
        <w:rPr>
          <w:sz w:val="20"/>
          <w:szCs w:val="20"/>
          <w:color w:val="auto"/>
        </w:rPr>
      </w:pPr>
    </w:p>
    <w:p>
      <w:pPr>
        <w:jc w:val="both"/>
        <w:ind w:firstLine="656"/>
        <w:spacing w:after="0" w:line="264" w:lineRule="auto"/>
        <w:tabs>
          <w:tab w:leader="none" w:pos="1049"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in each case,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the Swingline Lender and the Issuing Bank from the Borrower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Loan Parties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2.22, ratably, and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of any other Secured Obligation due to the Administrative Agent or any Lender from the Borrower or any other Loan Party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thereto, or (ii) in the event, and only to the extent, that there are no outstanding ABR Loans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 xml:space="preserve">Notwithstanding the foregoing, Secured Obligations arising under Banking Services Obligations or Swap Agreement Obligations shall be excluded from the application described above and paid in clause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88" w:lineRule="exact"/>
        <w:rPr>
          <w:sz w:val="20"/>
          <w:szCs w:val="20"/>
          <w:color w:val="auto"/>
        </w:rPr>
      </w:pPr>
    </w:p>
    <w:p>
      <w:pPr>
        <w:jc w:val="both"/>
        <w:ind w:firstLine="656"/>
        <w:spacing w:after="0" w:line="251" w:lineRule="auto"/>
        <w:tabs>
          <w:tab w:leader="none" w:pos="1123"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99"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116"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09" w:right="3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sz w:val="20"/>
          <w:szCs w:val="20"/>
          <w:color w:val="auto"/>
        </w:rPr>
      </w:pPr>
    </w:p>
    <w:p>
      <w:pPr>
        <w:jc w:val="both"/>
        <w:ind w:firstLine="656"/>
        <w:spacing w:after="0" w:line="267" w:lineRule="auto"/>
        <w:tabs>
          <w:tab w:leader="none" w:pos="1075"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Administrative Agent shall have received, prior to any date on which any payment is due to the Administrative Agent for the account of the relevant Lenders or the Issuing Bank pursuant to the terms hereof or any other Loan Document (including any date that is fixed for prepayment by notice from the Borrower to the Administrative Agent pursuant to Section 2.11(f)),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82" w:lineRule="exact"/>
        <w:rPr>
          <w:rFonts w:ascii="Times New Roman" w:cs="Times New Roman" w:eastAsia="Times New Roman" w:hAnsi="Times New Roman"/>
          <w:sz w:val="18"/>
          <w:szCs w:val="18"/>
          <w:color w:val="010000"/>
        </w:rPr>
      </w:pPr>
    </w:p>
    <w:p>
      <w:pPr>
        <w:jc w:val="both"/>
        <w:ind w:firstLine="656"/>
        <w:spacing w:after="0" w:line="251" w:lineRule="auto"/>
        <w:tabs>
          <w:tab w:leader="none" w:pos="1037"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may from time to time provide the Borrower with account statements or invoices with respect to any of the Secured Obligations (the “</w:t>
      </w:r>
      <w:r>
        <w:rPr>
          <w:rFonts w:ascii="Times New Roman" w:cs="Times New Roman" w:eastAsia="Times New Roman" w:hAnsi="Times New Roman"/>
          <w:sz w:val="19"/>
          <w:szCs w:val="19"/>
          <w:u w:val="single" w:color="auto"/>
          <w:color w:val="auto"/>
        </w:rPr>
        <w:t>Statements</w:t>
      </w:r>
      <w:r>
        <w:rPr>
          <w:rFonts w:ascii="Times New Roman" w:cs="Times New Roman" w:eastAsia="Times New Roman" w:hAnsi="Times New Roman"/>
          <w:sz w:val="19"/>
          <w:szCs w:val="19"/>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9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2.19.</w:t>
      </w:r>
      <w:r>
        <w:rPr>
          <w:sz w:val="20"/>
          <w:szCs w:val="20"/>
          <w:color w:val="auto"/>
        </w:rPr>
        <w:tab/>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098" w:val="left"/>
        </w:tabs>
        <w:numPr>
          <w:ilvl w:val="0"/>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09" w:right="339" w:bottom="1440" w:gutter="0" w:footer="0" w:header="0"/>
        </w:sectPr>
      </w:pPr>
    </w:p>
    <w:bookmarkStart w:id="106" w:name="page107"/>
    <w:bookmarkEnd w:id="106"/>
    <w:p>
      <w:pPr>
        <w:jc w:val="both"/>
        <w:ind w:firstLine="656"/>
        <w:spacing w:after="0" w:line="250" w:lineRule="auto"/>
        <w:tabs>
          <w:tab w:leader="none" w:pos="1107" w:val="left"/>
        </w:tabs>
        <w:numPr>
          <w:ilvl w:val="0"/>
          <w:numId w:val="1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requests compensation under Section 2.15, or if the Borrower is required to pay any Indemnified Taxes or additional amounts to any Lender or any Governmental Authority for the account of any Lender pursuant to Section 2.17, if any Lender becomes a Defaulting Lender, or any Lender has refused to consent to any proposed amendment, modification, waiver, termination or consent with respect to any provision of this Agreement or any Loan Document that, pursuant to Section 9.02, requires the consent of all Lenders or each Lender affected thereby and with respect to which Lenders constituting the Required Lenders have consented to such proposed amendment, modification, waiver, termination or consent (such refusing Lender,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(other than any Ineligible Institution)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or payments required to be made pursuant to Section 2.17, such assignment will result in a reduction in such compensation or payments and (iv) in the case of any such assignment resulting from a Lender being a Non-Consenting Lender, such assignment shall occur no later than thirty (30) days following such Lender becoming a Non-Consenting Lender and the new Lender shall have consented to such proposed amendment, modification, waiver, termination or consent.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0"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9"/>
          <w:szCs w:val="19"/>
          <w:color w:val="010000"/>
        </w:rPr>
        <w:t>SECTION 2.20.</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 provision of this Agreement to the contrary, if any Lender becomes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Defaulting Lender, then the following provisions shall apply for so long as such Lender is a Defaulting Lender:</w:t>
      </w:r>
    </w:p>
    <w:p>
      <w:pPr>
        <w:spacing w:after="0" w:line="207" w:lineRule="exact"/>
        <w:rPr>
          <w:sz w:val="20"/>
          <w:szCs w:val="20"/>
          <w:color w:val="auto"/>
        </w:rPr>
      </w:pPr>
    </w:p>
    <w:p>
      <w:pPr>
        <w:ind w:left="1140" w:hanging="484"/>
        <w:spacing w:after="0"/>
        <w:tabs>
          <w:tab w:leader="none" w:pos="1140" w:val="left"/>
        </w:tabs>
        <w:numPr>
          <w:ilvl w:val="0"/>
          <w:numId w:val="10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fees shall cease to accrue on the unfunded portion of the Revolving Commitment of such Defaulting Lender pursuant to 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2.12(a);</w:t>
      </w:r>
    </w:p>
    <w:p>
      <w:pPr>
        <w:spacing w:after="0" w:line="212" w:lineRule="exact"/>
        <w:rPr>
          <w:sz w:val="20"/>
          <w:szCs w:val="20"/>
          <w:color w:val="auto"/>
        </w:rPr>
      </w:pPr>
    </w:p>
    <w:p>
      <w:pPr>
        <w:jc w:val="both"/>
        <w:ind w:firstLine="656"/>
        <w:spacing w:after="0" w:line="251" w:lineRule="auto"/>
        <w:tabs>
          <w:tab w:leader="none" w:pos="1121"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the Issuing Bank or Swingline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cash collateralize the LC Exposure with respect to such Defaulting Lender in accordance with this Section;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as the Borrower may request (so long as no Event of Default exists), to the funding of any Loan in respect of which such Defaulting Lender has failed to fund its portion thereof as required by this Agreement,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09" w:right="339" w:bottom="1440" w:gutter="0" w:footer="0" w:header="0"/>
        </w:sectPr>
      </w:pPr>
    </w:p>
    <w:bookmarkStart w:id="107" w:name="page108"/>
    <w:bookmarkEnd w:id="107"/>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80" w:lineRule="exact"/>
        <w:rPr>
          <w:sz w:val="20"/>
          <w:szCs w:val="20"/>
          <w:color w:val="auto"/>
        </w:rPr>
      </w:pPr>
    </w:p>
    <w:p>
      <w:pPr>
        <w:jc w:val="both"/>
        <w:ind w:firstLine="656"/>
        <w:spacing w:after="0" w:line="259" w:lineRule="auto"/>
        <w:tabs>
          <w:tab w:leader="none" w:pos="1095"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71"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Swingline Exposure or LC Exposure exists at the time such Lender becomes a Defaulting Lender then:</w:t>
      </w:r>
    </w:p>
    <w:p>
      <w:pPr>
        <w:spacing w:after="0" w:line="227" w:lineRule="exact"/>
        <w:rPr>
          <w:rFonts w:ascii="Times New Roman" w:cs="Times New Roman" w:eastAsia="Times New Roman" w:hAnsi="Times New Roman"/>
          <w:sz w:val="19"/>
          <w:szCs w:val="19"/>
          <w:color w:val="010000"/>
        </w:rPr>
      </w:pPr>
    </w:p>
    <w:p>
      <w:pPr>
        <w:jc w:val="both"/>
        <w:ind w:left="660" w:firstLine="644"/>
        <w:spacing w:after="0" w:line="255" w:lineRule="auto"/>
        <w:tabs>
          <w:tab w:leader="none" w:pos="1690"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89" w:lineRule="exact"/>
        <w:rPr>
          <w:rFonts w:ascii="Times New Roman" w:cs="Times New Roman" w:eastAsia="Times New Roman" w:hAnsi="Times New Roman"/>
          <w:sz w:val="19"/>
          <w:szCs w:val="19"/>
          <w:color w:val="010000"/>
        </w:rPr>
      </w:pPr>
    </w:p>
    <w:p>
      <w:pPr>
        <w:jc w:val="both"/>
        <w:ind w:left="660" w:firstLine="644"/>
        <w:spacing w:after="0" w:line="255" w:lineRule="auto"/>
        <w:tabs>
          <w:tab w:leader="none" w:pos="1771"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reallocation described in clause (i) above cannot, or can only partially, be effected, the Borrower shall within one (1) Business Day following notice by the Administrative Agent (x)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prepay such Swingline Exposure and (y)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9" w:lineRule="exact"/>
        <w:rPr>
          <w:rFonts w:ascii="Times New Roman" w:cs="Times New Roman" w:eastAsia="Times New Roman" w:hAnsi="Times New Roman"/>
          <w:sz w:val="19"/>
          <w:szCs w:val="19"/>
          <w:color w:val="010000"/>
        </w:rPr>
      </w:pPr>
    </w:p>
    <w:p>
      <w:pPr>
        <w:jc w:val="both"/>
        <w:ind w:left="660" w:firstLine="644"/>
        <w:spacing w:after="0" w:line="266" w:lineRule="auto"/>
        <w:tabs>
          <w:tab w:leader="none" w:pos="1820" w:val="left"/>
        </w:tabs>
        <w:numPr>
          <w:ilvl w:val="1"/>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09" w:right="339" w:bottom="1440" w:gutter="0" w:footer="0" w:header="0"/>
        </w:sectPr>
      </w:pPr>
    </w:p>
    <w:bookmarkStart w:id="108" w:name="page109"/>
    <w:bookmarkEnd w:id="108"/>
    <w:p>
      <w:pPr>
        <w:jc w:val="both"/>
        <w:ind w:left="660" w:right="20" w:firstLine="644"/>
        <w:spacing w:after="0" w:line="266" w:lineRule="auto"/>
        <w:tabs>
          <w:tab w:leader="none" w:pos="1826" w:val="left"/>
        </w:tabs>
        <w:numPr>
          <w:ilvl w:val="1"/>
          <w:numId w:val="1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64"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1"/>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w:t>
      </w:r>
    </w:p>
    <w:p>
      <w:pPr>
        <w:spacing w:after="0" w:line="37" w:lineRule="exact"/>
        <w:rPr>
          <w:rFonts w:ascii="Times New Roman" w:cs="Times New Roman" w:eastAsia="Times New Roman" w:hAnsi="Times New Roman"/>
          <w:sz w:val="18"/>
          <w:szCs w:val="18"/>
          <w:color w:val="010000"/>
        </w:rPr>
      </w:pPr>
    </w:p>
    <w:p>
      <w:pPr>
        <w:jc w:val="both"/>
        <w:ind w:left="660" w:hanging="4"/>
        <w:spacing w:after="0" w:line="258" w:lineRule="auto"/>
        <w:tabs>
          <w:tab w:leader="none" w:pos="88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85" w:lineRule="exact"/>
        <w:rPr>
          <w:sz w:val="20"/>
          <w:szCs w:val="20"/>
          <w:color w:val="auto"/>
        </w:rPr>
      </w:pPr>
    </w:p>
    <w:p>
      <w:pPr>
        <w:jc w:val="both"/>
        <w:ind w:firstLine="656"/>
        <w:spacing w:after="0" w:line="254" w:lineRule="auto"/>
        <w:tabs>
          <w:tab w:leader="none" w:pos="1053" w:val="left"/>
        </w:tabs>
        <w:numPr>
          <w:ilvl w:val="0"/>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7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9"/>
          <w:szCs w:val="19"/>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the event that each of the Administrative Agent, the Borrower,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010000"/>
        </w:rPr>
        <w:t xml:space="preserve">SECTION 2.21. </w:t>
      </w:r>
      <w:r>
        <w:rPr>
          <w:rFonts w:ascii="Times New Roman" w:cs="Times New Roman" w:eastAsia="Times New Roman" w:hAnsi="Times New Roman"/>
          <w:sz w:val="19"/>
          <w:szCs w:val="19"/>
          <w:u w:val="single" w:color="auto"/>
          <w:color w:val="000000"/>
        </w:rPr>
        <w:t>Returned Payments</w:t>
      </w:r>
      <w:r>
        <w:rPr>
          <w:rFonts w:ascii="Times New Roman" w:cs="Times New Roman" w:eastAsia="Times New Roman" w:hAnsi="Times New Roman"/>
          <w:sz w:val="19"/>
          <w:szCs w:val="19"/>
          <w:color w:val="000000"/>
        </w:rPr>
        <w:t>. If, after receipt of any payment which is applied to the payment of all or any part of the Obligations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2.22. </w:t>
      </w:r>
      <w:r>
        <w:rPr>
          <w:rFonts w:ascii="Times New Roman" w:cs="Times New Roman" w:eastAsia="Times New Roman" w:hAnsi="Times New Roman"/>
          <w:sz w:val="19"/>
          <w:szCs w:val="19"/>
          <w:u w:val="single" w:color="auto"/>
          <w:color w:val="000000"/>
        </w:rPr>
        <w:t>Banking Services and Swap Agreements</w:t>
      </w:r>
      <w:r>
        <w:rPr>
          <w:rFonts w:ascii="Times New Roman" w:cs="Times New Roman" w:eastAsia="Times New Roman" w:hAnsi="Times New Roman"/>
          <w:sz w:val="19"/>
          <w:szCs w:val="19"/>
          <w:color w:val="000000"/>
        </w:rPr>
        <w:t>. Each Lender or Affiliate thereof providing Banking Services for, or having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Swap Agreements with,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shall deliver to the Administrative Agent, promptly after entering into such Banking Services or Swap Agreements, written notice setting forth the aggregate amount of all Banking Services Obligations and Swap Agreement Obligations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09" w:right="339" w:bottom="1440" w:gutter="0" w:footer="0" w:header="0"/>
        </w:sectPr>
      </w:pPr>
    </w:p>
    <w:bookmarkStart w:id="109" w:name="page110"/>
    <w:bookmarkEnd w:id="109"/>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Chase or its Affiliate is the Administrative Agent, neither Chase nor any of its Affiliates providing Banking Services for, or having Swap Agreements with,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a Loan Party shall be required to provide any notice described in this Section 2.22 in respect of such Banking Services or Swap Agreements.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III</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u w:val="single" w:color="auto"/>
          <w:color w:val="auto"/>
        </w:rPr>
        <w:t>Representations and Warranties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Each Loan Party represents and warrants to the Lenders that (and where applicable, agrees):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3.01. </w:t>
      </w:r>
      <w:r>
        <w:rPr>
          <w:rFonts w:ascii="Times New Roman" w:cs="Times New Roman" w:eastAsia="Times New Roman" w:hAnsi="Times New Roman"/>
          <w:sz w:val="19"/>
          <w:szCs w:val="19"/>
          <w:u w:val="single" w:color="auto"/>
          <w:color w:val="000000"/>
        </w:rPr>
        <w:t>Organization; Powers</w:t>
      </w:r>
      <w:r>
        <w:rPr>
          <w:rFonts w:ascii="Times New Roman" w:cs="Times New Roman" w:eastAsia="Times New Roman" w:hAnsi="Times New Roman"/>
          <w:sz w:val="19"/>
          <w:szCs w:val="19"/>
          <w:color w:val="000000"/>
        </w:rPr>
        <w:t>. Each Loan Party and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is duly organized or formed, validly existing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3.02. </w:t>
      </w:r>
      <w:r>
        <w:rPr>
          <w:rFonts w:ascii="Times New Roman" w:cs="Times New Roman" w:eastAsia="Times New Roman" w:hAnsi="Times New Roman"/>
          <w:sz w:val="19"/>
          <w:szCs w:val="19"/>
          <w:u w:val="single" w:color="auto"/>
          <w:color w:val="000000"/>
        </w:rPr>
        <w:t>Authorization; Enforceability</w:t>
      </w:r>
      <w:r>
        <w:rPr>
          <w:rFonts w:ascii="Times New Roman" w:cs="Times New Roman" w:eastAsia="Times New Roman" w:hAnsi="Times New Roman"/>
          <w:sz w:val="19"/>
          <w:szCs w:val="19"/>
          <w:color w:val="000000"/>
        </w:rPr>
        <w:t>. The Transactions are within each Loan Party’s corporate or other organizational powers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3.03. </w:t>
      </w:r>
      <w:r>
        <w:rPr>
          <w:rFonts w:ascii="Times New Roman" w:cs="Times New Roman" w:eastAsia="Times New Roman" w:hAnsi="Times New Roman"/>
          <w:sz w:val="19"/>
          <w:szCs w:val="19"/>
          <w:u w:val="single" w:color="auto"/>
          <w:color w:val="000000"/>
        </w:rPr>
        <w:t>Governmental Approvals; No Conflicts</w:t>
      </w:r>
      <w:r>
        <w:rPr>
          <w:rFonts w:ascii="Times New Roman" w:cs="Times New Roman" w:eastAsia="Times New Roman" w:hAnsi="Times New Roman"/>
          <w:sz w:val="19"/>
          <w:szCs w:val="19"/>
          <w:color w:val="000000"/>
        </w:rPr>
        <w:t>. The Transactions (a) do not require any consent or approval of, registration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filing with, or any other action by, any Governmental Authority, except such as have been obtained or made and are in full force and effect and except for filings necessary to perfect Liens created pursuant to the Loan Documents, except where the failure to do so, individually or in the aggregate, could not reasonably be expected to result in a Material Adverse Effect, (b) will not violate any Requirement of Law applicable to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(c) will not violate or result in a default under any indenture, agreement or other instrument binding upon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or the assets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or give rise to a right thereunder to require any payment to be made by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except as could not, individually or in the aggregate, reasonably be expected to result in a Material Adverse Effect, and (d) will not result in the creation or imposition of, or other requirement to create, any Lien on any asset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except Liens created pursuant to the Loan Documents.</w:t>
      </w:r>
    </w:p>
    <w:p>
      <w:pPr>
        <w:spacing w:after="0" w:line="19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3.04.</w:t>
      </w:r>
      <w:r>
        <w:rPr>
          <w:sz w:val="20"/>
          <w:szCs w:val="20"/>
          <w:color w:val="auto"/>
        </w:rPr>
        <w:tab/>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75" w:lineRule="auto"/>
        <w:tabs>
          <w:tab w:leader="none" w:pos="1095"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has heretofore furnished to the Lenders its consolidated balance sheet and statements of income, stockholders equity and cash flows (i) as of and for the fiscal year ended December 31, 2022, reported on by Deloitte &amp; Touche LLP, independent public accountants, and (ii) as of and for the fiscal quarter and the portion of the fiscal year ended June 30, 2023, certified by its Financial Officer. Such financial statements present fairly, in all material respects, the financial position and results of operations and cash flows of the Borrower and its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09" w:right="339" w:bottom="1440" w:gutter="0" w:footer="0" w:header="0"/>
        </w:sectPr>
      </w:pPr>
    </w:p>
    <w:bookmarkStart w:id="110" w:name="page111"/>
    <w:bookmarkEnd w:id="110"/>
    <w:p>
      <w:pPr>
        <w:spacing w:after="0" w:line="280" w:lineRule="auto"/>
        <w:rPr>
          <w:sz w:val="20"/>
          <w:szCs w:val="20"/>
          <w:color w:val="auto"/>
        </w:rPr>
      </w:pPr>
      <w:r>
        <w:rPr>
          <w:rFonts w:ascii="Times New Roman" w:cs="Times New Roman" w:eastAsia="Times New Roman" w:hAnsi="Times New Roman"/>
          <w:sz w:val="19"/>
          <w:szCs w:val="19"/>
          <w:color w:val="auto"/>
        </w:rPr>
        <w:t>Subsidiaries as of such dates and for such periods in accordance with GAAP, subject to normal year end audit adjustments and the absence of footnotes in the case of the statements referred to in clause (ii) above.</w:t>
      </w:r>
    </w:p>
    <w:p>
      <w:pPr>
        <w:spacing w:after="0" w:line="165" w:lineRule="exact"/>
        <w:rPr>
          <w:sz w:val="20"/>
          <w:szCs w:val="20"/>
          <w:color w:val="auto"/>
        </w:rPr>
      </w:pPr>
    </w:p>
    <w:p>
      <w:pPr>
        <w:ind w:firstLine="656"/>
        <w:spacing w:after="0" w:line="265" w:lineRule="auto"/>
        <w:tabs>
          <w:tab w:leader="none" w:pos="1100" w:val="left"/>
        </w:tabs>
        <w:numPr>
          <w:ilvl w:val="0"/>
          <w:numId w:val="1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event, change or condition has occurred that has had, or could reasonably be expected to have, a Material Adverse Effect, since December 31, 2022.</w:t>
      </w:r>
    </w:p>
    <w:p>
      <w:pPr>
        <w:spacing w:after="0" w:line="17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3.05.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56"/>
        <w:spacing w:after="0" w:line="256" w:lineRule="auto"/>
        <w:tabs>
          <w:tab w:leader="none" w:pos="1071"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As of the date of this Agreement, </w:t>
      </w:r>
      <w:r>
        <w:rPr>
          <w:rFonts w:ascii="Times New Roman" w:cs="Times New Roman" w:eastAsia="Times New Roman" w:hAnsi="Times New Roman"/>
          <w:sz w:val="19"/>
          <w:szCs w:val="19"/>
          <w:u w:val="single" w:color="auto"/>
          <w:color w:val="auto"/>
        </w:rPr>
        <w:t>Schedule 3.05</w:t>
      </w:r>
      <w:r>
        <w:rPr>
          <w:rFonts w:ascii="Times New Roman" w:cs="Times New Roman" w:eastAsia="Times New Roman" w:hAnsi="Times New Roman"/>
          <w:sz w:val="19"/>
          <w:szCs w:val="19"/>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has good and indefeasible title to, or valid leasehold interests in, all of its real and personal property, free of all Liens other than those permitted by Section 6.02.</w:t>
      </w:r>
    </w:p>
    <w:p>
      <w:pPr>
        <w:spacing w:after="0" w:line="188"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69"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owns, or is licensed to use, all trademarks, tradenames, copyrights, patents and other intellectual property necessary to its business as currently conducted, and a correct and complete list of all U.S. registered Intellectual Property as of the date of this Agreement is set forth on </w:t>
      </w:r>
      <w:r>
        <w:rPr>
          <w:rFonts w:ascii="Times New Roman" w:cs="Times New Roman" w:eastAsia="Times New Roman" w:hAnsi="Times New Roman"/>
          <w:sz w:val="19"/>
          <w:szCs w:val="19"/>
          <w:u w:val="single" w:color="auto"/>
          <w:color w:val="auto"/>
        </w:rPr>
        <w:t>Schedule 3.05</w:t>
      </w:r>
      <w:r>
        <w:rPr>
          <w:rFonts w:ascii="Times New Roman" w:cs="Times New Roman" w:eastAsia="Times New Roman" w:hAnsi="Times New Roman"/>
          <w:sz w:val="19"/>
          <w:szCs w:val="19"/>
          <w:color w:val="auto"/>
        </w:rPr>
        <w:t xml:space="preserve">, and the use thereof by each Loan Party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the knowledge of such Loan Party or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does not infringe in any material respect upon the rights of any other Person, and each Loan Party’s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Subsidiary’s rights thereto are not subject to any licensing agreement or similar arrangement other than non-exclusive arrangements in the ordinary course of business or otherwise permitted hereby.</w:t>
      </w:r>
    </w:p>
    <w:p>
      <w:pPr>
        <w:spacing w:after="0" w:line="192"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36" w:val="left"/>
        </w:tabs>
        <w:numPr>
          <w:ilvl w:val="0"/>
          <w:numId w:val="10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All software and source code developed by 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either by their employee(s) or a third party on behalf of a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material to their business are either subject to written work-made-for-hire agreements or are owned by a Loan Party 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by operation of any Requirements of Law and, except as set forth on </w:t>
      </w:r>
      <w:r>
        <w:rPr>
          <w:rFonts w:ascii="Times New Roman" w:cs="Times New Roman" w:eastAsia="Times New Roman" w:hAnsi="Times New Roman"/>
          <w:sz w:val="19"/>
          <w:szCs w:val="19"/>
          <w:u w:val="single" w:color="auto"/>
          <w:color w:val="auto"/>
        </w:rPr>
        <w:t>Schedule 3.05</w:t>
      </w:r>
      <w:r>
        <w:rPr>
          <w:rFonts w:ascii="Times New Roman" w:cs="Times New Roman" w:eastAsia="Times New Roman" w:hAnsi="Times New Roman"/>
          <w:sz w:val="19"/>
          <w:szCs w:val="19"/>
          <w:color w:val="auto"/>
        </w:rPr>
        <w:t xml:space="preserve">, do not contain any source code or other materials subject to or licensed under an open source license in such a way that grants, or purports to grant, to any third party any rights or immunities under any software or source code developed by 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and material to their business.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3.06.</w:t>
      </w:r>
      <w:r>
        <w:rPr>
          <w:sz w:val="20"/>
          <w:szCs w:val="20"/>
          <w:color w:val="auto"/>
        </w:rPr>
        <w:tab/>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6" w:lineRule="auto"/>
        <w:tabs>
          <w:tab w:leader="none" w:pos="1052" w:val="left"/>
        </w:tabs>
        <w:numPr>
          <w:ilvl w:val="0"/>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There are no actions, suits or proceedings by or before any arbitrator or Governmental Authority pending against or, to the knowledge of any Loan Party, threatened against or affecting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 as to which there is a reasonable possibility of an adverse determination and that, if adversely determined, could reasonably be expected, individually or in the aggregate, to result in a Material Adverse Effect or (ii) that involve any Loan Document or the Transactions.</w:t>
      </w:r>
    </w:p>
    <w:p>
      <w:pPr>
        <w:spacing w:after="0" w:line="188"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38" w:val="left"/>
        </w:tabs>
        <w:numPr>
          <w:ilvl w:val="0"/>
          <w:numId w:val="11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 No Loan Party nor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has received notice of any claim with respect to any Environmental Liability or knows of any basis for any Environmental Liability and (ii) and except with respect to any other matters that, individually or in the aggregate, could not reasonably be expected to result in a Material Adverse Effect, no Loan Party nor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3.07. </w:t>
      </w:r>
      <w:r>
        <w:rPr>
          <w:rFonts w:ascii="Times New Roman" w:cs="Times New Roman" w:eastAsia="Times New Roman" w:hAnsi="Times New Roman"/>
          <w:sz w:val="19"/>
          <w:szCs w:val="19"/>
          <w:u w:val="single" w:color="auto"/>
          <w:color w:val="000000"/>
        </w:rPr>
        <w:t>Compliance with Laws and Agreements; No Default</w:t>
      </w:r>
      <w:r>
        <w:rPr>
          <w:rFonts w:ascii="Times New Roman" w:cs="Times New Roman" w:eastAsia="Times New Roman" w:hAnsi="Times New Roman"/>
          <w:sz w:val="19"/>
          <w:szCs w:val="19"/>
          <w:color w:val="000000"/>
        </w:rPr>
        <w:t>. Except where the failure to do so, individually or in the aggregate,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could not reasonably be expected to result in a Material Adverse Effect, each Loan Party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is in compliance with (i) all Requirements of Law applicable to it or its property and (ii) all indentures, agreements and other instruments binding upon it or its property.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09" w:right="339" w:bottom="1440" w:gutter="0" w:footer="0" w:header="0"/>
        </w:sectPr>
      </w:pPr>
    </w:p>
    <w:bookmarkStart w:id="111" w:name="page112"/>
    <w:bookmarkEnd w:id="111"/>
    <w:p>
      <w:pPr>
        <w:jc w:val="both"/>
        <w:ind w:firstLine="648"/>
        <w:spacing w:after="0" w:line="280" w:lineRule="auto"/>
        <w:rPr>
          <w:sz w:val="20"/>
          <w:szCs w:val="20"/>
          <w:color w:val="auto"/>
        </w:rPr>
      </w:pPr>
      <w:r>
        <w:rPr>
          <w:rFonts w:ascii="Times New Roman" w:cs="Times New Roman" w:eastAsia="Times New Roman" w:hAnsi="Times New Roman"/>
          <w:sz w:val="19"/>
          <w:szCs w:val="19"/>
          <w:color w:val="010000"/>
        </w:rPr>
        <w:t xml:space="preserve">SECTION 3.08. </w:t>
      </w:r>
      <w:r>
        <w:rPr>
          <w:rFonts w:ascii="Times New Roman" w:cs="Times New Roman" w:eastAsia="Times New Roman" w:hAnsi="Times New Roman"/>
          <w:sz w:val="19"/>
          <w:szCs w:val="19"/>
          <w:u w:val="single" w:color="auto"/>
          <w:color w:val="000000"/>
        </w:rPr>
        <w:t>Investment Company Status</w:t>
      </w:r>
      <w:r>
        <w:rPr>
          <w:rFonts w:ascii="Times New Roman" w:cs="Times New Roman" w:eastAsia="Times New Roman" w:hAnsi="Times New Roman"/>
          <w:sz w:val="19"/>
          <w:szCs w:val="19"/>
          <w:color w:val="000000"/>
        </w:rPr>
        <w:t>. No Loan Party nor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is an “investment company” as defined in,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regulation under, the Investment Company Act of 1940.</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3.09. </w:t>
      </w:r>
      <w:r>
        <w:rPr>
          <w:rFonts w:ascii="Times New Roman" w:cs="Times New Roman" w:eastAsia="Times New Roman" w:hAnsi="Times New Roman"/>
          <w:sz w:val="19"/>
          <w:szCs w:val="19"/>
          <w:u w:val="single" w:color="auto"/>
          <w:color w:val="000000"/>
        </w:rPr>
        <w:t>Taxes</w:t>
      </w:r>
      <w:r>
        <w:rPr>
          <w:rFonts w:ascii="Times New Roman" w:cs="Times New Roman" w:eastAsia="Times New Roman" w:hAnsi="Times New Roman"/>
          <w:sz w:val="19"/>
          <w:szCs w:val="19"/>
          <w:color w:val="000000"/>
        </w:rPr>
        <w:t>. Each Loan Party and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has timely filed or caused to be filed all Tax returns and reports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required to have been filed and has paid or caused to be paid all Taxes required to have been paid by it, except (a) Taxes that are being contested in good faith by appropriate proceedings and for which such Loan Party or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as applicable, has set aside on its books adequate reserves or (b) to the extent failure to so file or pay could not reasonably be expected to result in a Material Adverse Effect.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3.10. </w:t>
      </w:r>
      <w:r>
        <w:rPr>
          <w:rFonts w:ascii="Times New Roman" w:cs="Times New Roman" w:eastAsia="Times New Roman" w:hAnsi="Times New Roman"/>
          <w:sz w:val="19"/>
          <w:szCs w:val="19"/>
          <w:u w:val="single" w:color="auto"/>
          <w:color w:val="000000"/>
        </w:rPr>
        <w:t>ERISA</w:t>
      </w:r>
      <w:r>
        <w:rPr>
          <w:rFonts w:ascii="Times New Roman" w:cs="Times New Roman" w:eastAsia="Times New Roman" w:hAnsi="Times New Roman"/>
          <w:sz w:val="19"/>
          <w:szCs w:val="19"/>
          <w:color w:val="000000"/>
        </w:rPr>
        <w:t>. No ERISA Event has occurred or is reasonably expected to occur that, when taken together with all other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3.11.</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116"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Parties have disclosed to the Lenders all agreements, instruments and corporate or other restrictions to which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98" w:lineRule="exact"/>
        <w:rPr>
          <w:rFonts w:ascii="Times New Roman" w:cs="Times New Roman" w:eastAsia="Times New Roman" w:hAnsi="Times New Roman"/>
          <w:sz w:val="19"/>
          <w:szCs w:val="19"/>
          <w:color w:val="auto"/>
        </w:rPr>
      </w:pPr>
    </w:p>
    <w:p>
      <w:pPr>
        <w:ind w:firstLine="656"/>
        <w:spacing w:after="0" w:line="280" w:lineRule="auto"/>
        <w:tabs>
          <w:tab w:leader="none" w:pos="115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Effective Date, to the knowledge of the Borrower, the information included in the Beneficial Ownership Certification provided on or prior to the Effective Date to any Lender in connection with this Agreement is true and correct in all respects.</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3.12. </w:t>
      </w:r>
      <w:r>
        <w:rPr>
          <w:rFonts w:ascii="Times New Roman" w:cs="Times New Roman" w:eastAsia="Times New Roman" w:hAnsi="Times New Roman"/>
          <w:sz w:val="19"/>
          <w:szCs w:val="19"/>
          <w:u w:val="single" w:color="auto"/>
          <w:color w:val="000000"/>
        </w:rPr>
        <w:t>Material Agreements</w:t>
      </w:r>
      <w:r>
        <w:rPr>
          <w:rFonts w:ascii="Times New Roman" w:cs="Times New Roman" w:eastAsia="Times New Roman" w:hAnsi="Times New Roman"/>
          <w:sz w:val="19"/>
          <w:szCs w:val="19"/>
          <w:color w:val="000000"/>
        </w:rPr>
        <w:t>. All Material Agreements to which any Loan Party is a party or is bound as of the date of this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Agreement are listed on </w:t>
      </w:r>
      <w:r>
        <w:rPr>
          <w:rFonts w:ascii="Times New Roman" w:cs="Times New Roman" w:eastAsia="Times New Roman" w:hAnsi="Times New Roman"/>
          <w:sz w:val="19"/>
          <w:szCs w:val="19"/>
          <w:u w:val="single" w:color="auto"/>
          <w:color w:val="000000"/>
        </w:rPr>
        <w:t>Schedule 3.12</w:t>
      </w:r>
      <w:r>
        <w:rPr>
          <w:rFonts w:ascii="Times New Roman" w:cs="Times New Roman" w:eastAsia="Times New Roman" w:hAnsi="Times New Roman"/>
          <w:sz w:val="19"/>
          <w:szCs w:val="19"/>
          <w:color w:val="000000"/>
        </w:rPr>
        <w:t xml:space="preserve">. No Loan Party nor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is in default in the performance, observance or fulfillment of any of the obligations, covenants or conditions contained in (i) any Material Agreement or (ii) any agreement or instrument evidencing or governing Indebtedness.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3.13.</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656"/>
        <w:spacing w:after="0" w:line="254" w:lineRule="auto"/>
        <w:tabs>
          <w:tab w:leader="none" w:pos="1105"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Immediately after the consummation of the Transactions to occur on the Effective Date, and immediately after the making of each Loan and each issuance of a Letter of Credit hereunder, (i) the fair value of the assets of the Loan Parties, on a consolidated basis, at a fair valuation, will exceed their debts and liabilities, subordinated, contingent or otherwise; (ii) the present fair saleable value of the property of the Loan Parties, on a consolidated basis, will be greater than the amount that will be required to pay the probable liability of its debts and other liabilities, subordinated, contingent or otherwise, as such debts and other liabilities become absolute and matured; (iii) the Loan Parties, on a consolidated basis, will be able to pay their debts and liabilities, subordinated, contingent or otherwise, as such debts and liabilities become absolute and matured; and (iv) the Loan Parties, on a consolidated basis, will not have unreasonably small capital with which to conduct the business in which they are engaged as such businesses are now conducted and are proposed to be conducted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656"/>
        <w:spacing w:after="0" w:line="266" w:lineRule="auto"/>
        <w:tabs>
          <w:tab w:leader="none" w:pos="1096"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Parties, on a consolidated basis, do not intend to and do not believe that they will, incur debts beyond their ability to pay such debts as they mature, taking into account the timing of and amounts of cash to be received by them and the timing of the amounts of cash to be payable on or in respect of their Indebtedness.</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3.14. </w:t>
      </w:r>
      <w:r>
        <w:rPr>
          <w:rFonts w:ascii="Times New Roman" w:cs="Times New Roman" w:eastAsia="Times New Roman" w:hAnsi="Times New Roman"/>
          <w:sz w:val="19"/>
          <w:szCs w:val="19"/>
          <w:u w:val="single" w:color="auto"/>
          <w:color w:val="000000"/>
        </w:rPr>
        <w:t>Insurance</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Schedule 3.14</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sets forth a description of all insurance maintained by or on behalf of the Loan Parties and their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as of the Effective Date. As of the Effective Date, all premiums in respect of such insurance have been paid. The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Parties believe that the insurance maintained by or on behalf of the Loan Parties and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Subsidiaries is adequate and is customary for companies engaged in the same or similar businesses operating in the same or similar locations.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3.15. </w:t>
      </w:r>
      <w:r>
        <w:rPr>
          <w:rFonts w:ascii="Times New Roman" w:cs="Times New Roman" w:eastAsia="Times New Roman" w:hAnsi="Times New Roman"/>
          <w:sz w:val="19"/>
          <w:szCs w:val="19"/>
          <w:u w:val="single" w:color="auto"/>
          <w:color w:val="000000"/>
        </w:rPr>
        <w:t>Capitalization and Subsidiaries</w:t>
      </w:r>
      <w:r>
        <w:rPr>
          <w:rFonts w:ascii="Times New Roman" w:cs="Times New Roman" w:eastAsia="Times New Roman" w:hAnsi="Times New Roman"/>
          <w:sz w:val="19"/>
          <w:szCs w:val="19"/>
          <w:color w:val="000000"/>
        </w:rPr>
        <w:t>. As of the Effective Date,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Schedule 3.15</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sets forth (a) a correct and complete list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name and relationship to the Borrower of each Subsidiary, (b) a true and complete listing of each class of each of the Borrower’s authorized Equity Interests, of which all of such issued Equity Interests are validly issued, outstanding, fully paid and non-assessable, and owned beneficially and of record by the Persons identified on </w:t>
      </w:r>
      <w:r>
        <w:rPr>
          <w:rFonts w:ascii="Times New Roman" w:cs="Times New Roman" w:eastAsia="Times New Roman" w:hAnsi="Times New Roman"/>
          <w:sz w:val="19"/>
          <w:szCs w:val="19"/>
          <w:u w:val="single" w:color="auto"/>
          <w:color w:val="000000"/>
        </w:rPr>
        <w:t>Schedule 3.15</w:t>
      </w:r>
      <w:r>
        <w:rPr>
          <w:rFonts w:ascii="Times New Roman" w:cs="Times New Roman" w:eastAsia="Times New Roman" w:hAnsi="Times New Roman"/>
          <w:sz w:val="19"/>
          <w:szCs w:val="19"/>
          <w:color w:val="000000"/>
        </w:rPr>
        <w:t>, (c) the type of entity of the Borrower and each Subsidiary, and (d) whether such Subsidiary is a Loan Party or a Material Domestic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3.16. </w:t>
      </w:r>
      <w:r>
        <w:rPr>
          <w:rFonts w:ascii="Times New Roman" w:cs="Times New Roman" w:eastAsia="Times New Roman" w:hAnsi="Times New Roman"/>
          <w:sz w:val="19"/>
          <w:szCs w:val="19"/>
          <w:u w:val="single" w:color="auto"/>
          <w:color w:val="000000"/>
        </w:rPr>
        <w:t>Security Interest in Collateral</w:t>
      </w:r>
      <w:r>
        <w:rPr>
          <w:rFonts w:ascii="Times New Roman" w:cs="Times New Roman" w:eastAsia="Times New Roman" w:hAnsi="Times New Roman"/>
          <w:sz w:val="19"/>
          <w:szCs w:val="19"/>
          <w:color w:val="000000"/>
        </w:rPr>
        <w:t>. The provisions of this Agreement and the other Loan Documents create legal and valid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Liens on all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written agreement with the Administrative Agent and (b) Liens perfected only by possession (including possession of any certificate of title), to the extent the Administrative Agent has not obtained or does not maintain possession of such Collateral.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3.17. </w:t>
      </w:r>
      <w:r>
        <w:rPr>
          <w:rFonts w:ascii="Times New Roman" w:cs="Times New Roman" w:eastAsia="Times New Roman" w:hAnsi="Times New Roman"/>
          <w:sz w:val="19"/>
          <w:szCs w:val="19"/>
          <w:u w:val="single" w:color="auto"/>
          <w:color w:val="000000"/>
        </w:rPr>
        <w:t>Employment Matters</w:t>
      </w:r>
      <w:r>
        <w:rPr>
          <w:rFonts w:ascii="Times New Roman" w:cs="Times New Roman" w:eastAsia="Times New Roman" w:hAnsi="Times New Roman"/>
          <w:sz w:val="19"/>
          <w:szCs w:val="19"/>
          <w:color w:val="000000"/>
        </w:rPr>
        <w:t>. As of the Effective Date, there are no strikes, lockouts or slowdowns against any Loan Party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pending or, to the knowledge of any Loan Party, threatened. The hours worked by and payments made to employees of the Loan Parties and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Subsidiaries have not been in violation of the Fair Labor Standards Act or any other applicable federal, state, local or foreign law dealing with such matters. All payments due from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or for which any claim may be made against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on account of wages and employee health and welfare insurance and other benefits, have been paid or accrued as a liability on the books of such Loan Party or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3.18. </w:t>
      </w:r>
      <w:r>
        <w:rPr>
          <w:rFonts w:ascii="Times New Roman" w:cs="Times New Roman" w:eastAsia="Times New Roman" w:hAnsi="Times New Roman"/>
          <w:sz w:val="19"/>
          <w:szCs w:val="19"/>
          <w:u w:val="single" w:color="auto"/>
          <w:color w:val="000000"/>
        </w:rPr>
        <w:t>Margin Regulations</w:t>
      </w:r>
      <w:r>
        <w:rPr>
          <w:rFonts w:ascii="Times New Roman" w:cs="Times New Roman" w:eastAsia="Times New Roman" w:hAnsi="Times New Roman"/>
          <w:sz w:val="19"/>
          <w:szCs w:val="19"/>
          <w:color w:val="000000"/>
        </w:rPr>
        <w:t>. No Loan Party is engaged and will not engage, principally or as one of its important activities,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Subsidiaries on a consolidated basis) will be Margin Stock. Neither the making of any Loan hereunder nor the use of proceeds thereof will violate the provisions of Regulation U or X of the Federal Reserve Board.</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010000"/>
        </w:rPr>
        <w:t xml:space="preserve">SECTION 3.19. </w:t>
      </w:r>
      <w:r>
        <w:rPr>
          <w:rFonts w:ascii="Times New Roman" w:cs="Times New Roman" w:eastAsia="Times New Roman" w:hAnsi="Times New Roman"/>
          <w:sz w:val="19"/>
          <w:szCs w:val="19"/>
          <w:u w:val="single" w:color="auto"/>
          <w:color w:val="000000"/>
        </w:rPr>
        <w:t>Use of Proceeds</w:t>
      </w:r>
      <w:r>
        <w:rPr>
          <w:rFonts w:ascii="Times New Roman" w:cs="Times New Roman" w:eastAsia="Times New Roman" w:hAnsi="Times New Roman"/>
          <w:sz w:val="19"/>
          <w:szCs w:val="19"/>
          <w:color w:val="000000"/>
        </w:rPr>
        <w:t>. The proceeds of the Loans have been used and will be used, whether directly or indirectly as set forth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Section 5.08.</w:t>
      </w:r>
    </w:p>
    <w:p>
      <w:pPr>
        <w:spacing w:after="0" w:line="17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010000"/>
        </w:rPr>
        <w:t xml:space="preserve">SECTION 3.20. </w:t>
      </w:r>
      <w:r>
        <w:rPr>
          <w:rFonts w:ascii="Times New Roman" w:cs="Times New Roman" w:eastAsia="Times New Roman" w:hAnsi="Times New Roman"/>
          <w:sz w:val="19"/>
          <w:szCs w:val="19"/>
          <w:u w:val="single" w:color="auto"/>
          <w:color w:val="000000"/>
        </w:rPr>
        <w:t>No Burdensome Restrictions</w:t>
      </w:r>
      <w:r>
        <w:rPr>
          <w:rFonts w:ascii="Times New Roman" w:cs="Times New Roman" w:eastAsia="Times New Roman" w:hAnsi="Times New Roman"/>
          <w:sz w:val="19"/>
          <w:szCs w:val="19"/>
          <w:color w:val="000000"/>
        </w:rPr>
        <w:t>. No Loan Party is subject to any Burdensome Restrictions except Burdensome Restrictions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permitted under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09" w:right="339" w:bottom="1440" w:gutter="0" w:footer="0" w:header="0"/>
        </w:sectPr>
      </w:pPr>
    </w:p>
    <w:bookmarkStart w:id="113" w:name="page114"/>
    <w:bookmarkEnd w:id="113"/>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3.21. </w:t>
      </w:r>
      <w:r>
        <w:rPr>
          <w:rFonts w:ascii="Times New Roman" w:cs="Times New Roman" w:eastAsia="Times New Roman" w:hAnsi="Times New Roman"/>
          <w:sz w:val="19"/>
          <w:szCs w:val="19"/>
          <w:u w:val="single" w:color="auto"/>
          <w:color w:val="000000"/>
        </w:rPr>
        <w:t>Anti-Corruption Laws and Sanctions</w:t>
      </w:r>
      <w:r>
        <w:rPr>
          <w:rFonts w:ascii="Times New Roman" w:cs="Times New Roman" w:eastAsia="Times New Roman" w:hAnsi="Times New Roman"/>
          <w:sz w:val="19"/>
          <w:szCs w:val="19"/>
          <w:color w:val="000000"/>
        </w:rPr>
        <w:t>. Each Loan Party has implemented and maintains in effect policies and procedures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reasonably designed to ensure material compliance by such Loan Party, its Subsidiaries and their respective directors, officers, and employees with Anti-Corruption Laws and applicable Sanctions, and such Loan Party, its Subsidiaries and their respective officers and directors, and, to the knowledge of such Loan Party, its employees, are in compliance with Anti-Corruption Laws and applicable Sanctions in all material respects and are not knowingly engaged in any activity that could reasonably be expected to result in any Loan Party being designated as a Sanctioned Person. None of (a) any Loan Party, any Subsidiary or any of their respective directors or officers, or (b) to the knowledge of any such Loan Party or Subsidiary, any employee or agents of such Loan Party or any Subsidiary that will act in any capacity in connection with or benefit from the credit facility established hereby, is a Sanctioned Person. No Borrowing or Letter of Credit, or use of proceeds will violate Anti-Corruption Laws in any material respects or applicable Sanctions. No Transaction or other transaction contemplated by this Agreement or the other Loan Documents will violate Anti-Corruption Laws or applicable Sanctions in any material respect.</w:t>
      </w:r>
    </w:p>
    <w:p>
      <w:pPr>
        <w:spacing w:after="0" w:line="19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3.22.</w:t>
      </w:r>
      <w:r>
        <w:rPr>
          <w:sz w:val="20"/>
          <w:szCs w:val="20"/>
          <w:color w:val="auto"/>
        </w:rPr>
        <w:tab/>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Loan Party is an Affected Financial Institution.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3.23. </w:t>
      </w:r>
      <w:r>
        <w:rPr>
          <w:rFonts w:ascii="Times New Roman" w:cs="Times New Roman" w:eastAsia="Times New Roman" w:hAnsi="Times New Roman"/>
          <w:sz w:val="19"/>
          <w:szCs w:val="19"/>
          <w:u w:val="single" w:color="auto"/>
          <w:color w:val="000000"/>
        </w:rPr>
        <w:t>Plan Assets; Prohibited Transactions</w:t>
      </w:r>
      <w:r>
        <w:rPr>
          <w:rFonts w:ascii="Times New Roman" w:cs="Times New Roman" w:eastAsia="Times New Roman" w:hAnsi="Times New Roman"/>
          <w:sz w:val="19"/>
          <w:szCs w:val="19"/>
          <w:color w:val="000000"/>
        </w:rPr>
        <w:t>. None of the Loan Parties is an entity deemed to hold “plan assets” (within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meaning of the Plan Asset Regulations), and, assuming for such purpose that no Loan or Letter of Credit is funded or held with “plan assets” (within the meaning of the Plan Asset Regulations) neither the execution, delivery nor performance of the transactions contemplated under this Agreement, including the making of any Loan and the issuance of any Letter of Credit hereunder, will give rise to a non-exempt prohibited transaction under Section 406(a) of ERISA or Section 4975(c)(1)(A)-(D) of the Code.</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3.24.</w:t>
      </w:r>
      <w:r>
        <w:rPr>
          <w:sz w:val="20"/>
          <w:szCs w:val="20"/>
          <w:color w:val="auto"/>
        </w:rPr>
        <w:tab/>
      </w:r>
      <w:r>
        <w:rPr>
          <w:rFonts w:ascii="Times New Roman" w:cs="Times New Roman" w:eastAsia="Times New Roman" w:hAnsi="Times New Roman"/>
          <w:sz w:val="19"/>
          <w:szCs w:val="19"/>
          <w:u w:val="single" w:color="auto"/>
          <w:color w:val="auto"/>
        </w:rPr>
        <w:t>Data Security and Privacy</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56"/>
        <w:spacing w:after="0" w:line="256" w:lineRule="auto"/>
        <w:tabs>
          <w:tab w:leader="none" w:pos="1071"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is in compliance in all material respects with (i) all applicable Data Protection Laws, including but not limited to the GDPR and those relating to cross-border transfers; and (ii) all applicable data transfer agreements and data processing agreements required to be implemented pursuant to applicable Data Protection Laws, including the EU standard contractual clauses, to which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is a party (clause (ii), “</w:t>
      </w:r>
      <w:r>
        <w:rPr>
          <w:rFonts w:ascii="Times New Roman" w:cs="Times New Roman" w:eastAsia="Times New Roman" w:hAnsi="Times New Roman"/>
          <w:sz w:val="19"/>
          <w:szCs w:val="19"/>
          <w:u w:val="single" w:color="auto"/>
          <w:color w:val="auto"/>
        </w:rPr>
        <w:t>Privacy Agreements</w:t>
      </w:r>
      <w:r>
        <w:rPr>
          <w:rFonts w:ascii="Times New Roman" w:cs="Times New Roman" w:eastAsia="Times New Roman" w:hAnsi="Times New Roman"/>
          <w:sz w:val="19"/>
          <w:szCs w:val="19"/>
          <w:color w:val="auto"/>
        </w:rPr>
        <w:t>”).</w:t>
      </w:r>
    </w:p>
    <w:p>
      <w:pPr>
        <w:spacing w:after="0" w:line="188"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153"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is in compliance in all material respects with all applicable written internal and public-facing privacy policies and notices of the Loan Parties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regarding the collection, retention, use, processing, disclosure and distribution of Personal Data by the Loan Parties or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(collectively, the “</w:t>
      </w:r>
      <w:r>
        <w:rPr>
          <w:rFonts w:ascii="Times New Roman" w:cs="Times New Roman" w:eastAsia="Times New Roman" w:hAnsi="Times New Roman"/>
          <w:sz w:val="19"/>
          <w:szCs w:val="19"/>
          <w:u w:val="single" w:color="auto"/>
          <w:color w:val="auto"/>
        </w:rPr>
        <w:t>Privacy Policies</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83"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has in place, maintains, and complies in all material respects with, a comprehensive written information security program (“</w:t>
      </w:r>
      <w:r>
        <w:rPr>
          <w:rFonts w:ascii="Times New Roman" w:cs="Times New Roman" w:eastAsia="Times New Roman" w:hAnsi="Times New Roman"/>
          <w:sz w:val="19"/>
          <w:szCs w:val="19"/>
          <w:u w:val="single" w:color="auto"/>
          <w:color w:val="auto"/>
        </w:rPr>
        <w:t>Security Program</w:t>
      </w:r>
      <w:r>
        <w:rPr>
          <w:rFonts w:ascii="Times New Roman" w:cs="Times New Roman" w:eastAsia="Times New Roman" w:hAnsi="Times New Roman"/>
          <w:sz w:val="19"/>
          <w:szCs w:val="19"/>
          <w:color w:val="auto"/>
        </w:rPr>
        <w:t xml:space="preserve">”) that (i) complies in all material respects with all applicable Data Protection Laws, applicable Privacy Policies, and applicable Privacy Agreements, and (ii) includes commercially reasonable administrative, technical, organization, and physical security procedures and measures designed to preserve the security and integrity of all Personal Data and any other sensitive or confidential information or data related to 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the Loan Parties’ 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possession or control (collectively, “</w:t>
      </w:r>
      <w:r>
        <w:rPr>
          <w:rFonts w:ascii="Times New Roman" w:cs="Times New Roman" w:eastAsia="Times New Roman" w:hAnsi="Times New Roman"/>
          <w:sz w:val="19"/>
          <w:szCs w:val="19"/>
          <w:u w:val="single" w:color="auto"/>
          <w:color w:val="auto"/>
        </w:rPr>
        <w:t>Company Sensitive Information</w:t>
      </w:r>
      <w:r>
        <w:rPr>
          <w:rFonts w:ascii="Times New Roman" w:cs="Times New Roman" w:eastAsia="Times New Roman" w:hAnsi="Times New Roman"/>
          <w:sz w:val="19"/>
          <w:szCs w:val="19"/>
          <w:color w:val="auto"/>
        </w:rPr>
        <w:t>”) and to protect such Company Sensitive Information against unauthorized or unlawful processing, access, acquisition, use, theft, interruption, modification, disclosure, loss, destruction or damage.</w:t>
      </w:r>
    </w:p>
    <w:p>
      <w:pPr>
        <w:spacing w:after="0" w:line="190"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66"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Since January 1, 2021, to the knowledge of the Loan Parties, there has been (i) no actual or alleged material incidents of unauthorized access, use, intrusion, disclosure or breach of the security of any information technology systems owned or controlled by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and (ii) no actual or alleged material incidents of unauthorized acquisition, destruction, damage, disclosure, loss, corruption,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alteration, or use of any Company Sensitive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09" w:right="339" w:bottom="1440" w:gutter="0" w:footer="0" w:header="0"/>
        </w:sectPr>
      </w:pPr>
    </w:p>
    <w:bookmarkStart w:id="114" w:name="page115"/>
    <w:bookmarkEnd w:id="114"/>
    <w:p>
      <w:pPr>
        <w:jc w:val="both"/>
        <w:ind w:firstLine="656"/>
        <w:spacing w:after="0" w:line="266" w:lineRule="auto"/>
        <w:tabs>
          <w:tab w:leader="none" w:pos="1167"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has a right (whether contractually, by Applicable Law or otherwise) to use all Personal Data that is used by or on behalf of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connection with the sale, use and/or operation of their products, services and businesses, except as could not reasonably be expected to result in a Material Adverse Effect.</w:t>
      </w:r>
    </w:p>
    <w:p>
      <w:pPr>
        <w:spacing w:after="0" w:line="164"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38" w:val="left"/>
        </w:tabs>
        <w:numPr>
          <w:ilvl w:val="0"/>
          <w:numId w:val="1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nor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a Loan Party has received any, nor to the knowledge of the Loan Parties are there any pending, written complaints, claims, demands, inquiries, proceedings, or other notices that could reasonably be expected to result in an investigation or other legal proceeding, including any notices of any investigation or other legal proceedings, regarding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any Loan Party,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(1) is in violation of any applicable Data Protection Laws, or (2) is in violation of any Privacy Policies, in each case in any material respect.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IV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11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010000"/>
        </w:rPr>
        <w:t xml:space="preserve">SECTION 4.01. </w:t>
      </w:r>
      <w:r>
        <w:rPr>
          <w:rFonts w:ascii="Times New Roman" w:cs="Times New Roman" w:eastAsia="Times New Roman" w:hAnsi="Times New Roman"/>
          <w:sz w:val="19"/>
          <w:szCs w:val="19"/>
          <w:u w:val="single" w:color="auto"/>
          <w:color w:val="000000"/>
        </w:rPr>
        <w:t>Effective Date</w:t>
      </w:r>
      <w:r>
        <w:rPr>
          <w:rFonts w:ascii="Times New Roman" w:cs="Times New Roman" w:eastAsia="Times New Roman" w:hAnsi="Times New Roman"/>
          <w:sz w:val="19"/>
          <w:szCs w:val="19"/>
          <w:color w:val="000000"/>
        </w:rPr>
        <w:t>. The obligations of the Lenders to make Loans and of the Issuing Bank to issue Letters of Credit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hereunder shall not become effective until the date on which each of the following conditions is satisfied (or waived in accordance with Section 9.02):</w:t>
      </w:r>
    </w:p>
    <w:p>
      <w:pPr>
        <w:spacing w:after="0" w:line="390" w:lineRule="exact"/>
        <w:rPr>
          <w:sz w:val="20"/>
          <w:szCs w:val="20"/>
          <w:color w:val="auto"/>
        </w:rPr>
      </w:pPr>
    </w:p>
    <w:p>
      <w:pPr>
        <w:jc w:val="both"/>
        <w:ind w:firstLine="656"/>
        <w:spacing w:after="0" w:line="254" w:lineRule="auto"/>
        <w:tabs>
          <w:tab w:leader="none" w:pos="1087" w:val="left"/>
        </w:tabs>
        <w:numPr>
          <w:ilvl w:val="1"/>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Credit Agreement and Loan Documents</w:t>
      </w:r>
      <w:r>
        <w:rPr>
          <w:rFonts w:ascii="Times New Roman" w:cs="Times New Roman" w:eastAsia="Times New Roman" w:hAnsi="Times New Roman"/>
          <w:sz w:val="19"/>
          <w:szCs w:val="19"/>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and the other Loan Documents, including any promissory notes requested by a Lender pursuant to Section 2.10 payable to each such requesting Lender and a written opinion of the Loan Parties’ counsel, addressed to the Administrative Agent, the Issuing Bank and the Lenders, all in form and substance satisfactory to the Administrative Agent.</w:t>
      </w:r>
    </w:p>
    <w:p>
      <w:pPr>
        <w:spacing w:after="0" w:line="190"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84" w:val="left"/>
        </w:tabs>
        <w:numPr>
          <w:ilvl w:val="1"/>
          <w:numId w:val="1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Financial Statements and Projections</w:t>
      </w:r>
      <w:r>
        <w:rPr>
          <w:rFonts w:ascii="Times New Roman" w:cs="Times New Roman" w:eastAsia="Times New Roman" w:hAnsi="Times New Roman"/>
          <w:sz w:val="19"/>
          <w:szCs w:val="19"/>
          <w:color w:val="auto"/>
        </w:rPr>
        <w:t>. The Lenders shall have received (i) audited consolidated financial statements of the Borrower and its Subsidiaries for the 2021 and 2022 fiscal years, (ii) unaudited interim consolidated financial statements of the Borrower and its Subsidiaries for each fiscal quarter ended after the date of the latest applicable financial statements delivered pursuant to clause (i) of this paragraph and on or prior to June 30, 2023, and (iii) Projections through 2027.</w:t>
      </w:r>
    </w:p>
    <w:p>
      <w:pPr>
        <w:spacing w:after="0" w:line="188"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37" w:lineRule="exact"/>
        <w:rPr>
          <w:rFonts w:ascii="Times New Roman" w:cs="Times New Roman" w:eastAsia="Times New Roman" w:hAnsi="Times New Roman"/>
          <w:sz w:val="18"/>
          <w:szCs w:val="18"/>
          <w:color w:val="010000"/>
        </w:rPr>
      </w:pPr>
    </w:p>
    <w:p>
      <w:pPr>
        <w:jc w:val="both"/>
        <w:ind w:firstLine="8"/>
        <w:spacing w:after="0" w:line="251" w:lineRule="auto"/>
        <w:tabs>
          <w:tab w:leader="none" w:pos="25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81" w:lineRule="exact"/>
        <w:rPr>
          <w:rFonts w:ascii="Times New Roman" w:cs="Times New Roman" w:eastAsia="Times New Roman" w:hAnsi="Times New Roman"/>
          <w:sz w:val="19"/>
          <w:szCs w:val="19"/>
          <w:color w:val="auto"/>
        </w:rPr>
      </w:pPr>
    </w:p>
    <w:p>
      <w:pPr>
        <w:ind w:firstLine="656"/>
        <w:spacing w:after="0" w:line="280" w:lineRule="auto"/>
        <w:tabs>
          <w:tab w:leader="none" w:pos="1125" w:val="left"/>
        </w:tabs>
        <w:numPr>
          <w:ilvl w:val="1"/>
          <w:numId w:val="1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Default Certificate</w:t>
      </w:r>
      <w:r>
        <w:rPr>
          <w:rFonts w:ascii="Times New Roman" w:cs="Times New Roman" w:eastAsia="Times New Roman" w:hAnsi="Times New Roman"/>
          <w:sz w:val="19"/>
          <w:szCs w:val="19"/>
          <w:color w:val="auto"/>
        </w:rPr>
        <w:t>. The Administrative Agent shall have received a certificate, signed by a Financial Officer of the Borrower, dated as of the Effective Date (i) stating that no Default has occurred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09" w:right="339" w:bottom="1440" w:gutter="0" w:footer="0" w:header="0"/>
        </w:sectPr>
      </w:pPr>
    </w:p>
    <w:bookmarkStart w:id="115" w:name="page116"/>
    <w:bookmarkEnd w:id="115"/>
    <w:p>
      <w:pPr>
        <w:spacing w:after="0" w:line="280" w:lineRule="auto"/>
        <w:rPr>
          <w:sz w:val="20"/>
          <w:szCs w:val="20"/>
          <w:color w:val="auto"/>
        </w:rPr>
      </w:pPr>
      <w:r>
        <w:rPr>
          <w:rFonts w:ascii="Times New Roman" w:cs="Times New Roman" w:eastAsia="Times New Roman" w:hAnsi="Times New Roman"/>
          <w:sz w:val="19"/>
          <w:szCs w:val="19"/>
          <w:color w:val="auto"/>
        </w:rPr>
        <w:t>continuing as of such date and (ii) stating that the representations and warranties contained in the Loan Documents are true and correct in all material respects as of such date.</w:t>
      </w:r>
    </w:p>
    <w:p>
      <w:pPr>
        <w:spacing w:after="0" w:line="165" w:lineRule="exact"/>
        <w:rPr>
          <w:sz w:val="20"/>
          <w:szCs w:val="20"/>
          <w:color w:val="auto"/>
        </w:rPr>
      </w:pPr>
    </w:p>
    <w:p>
      <w:pPr>
        <w:jc w:val="both"/>
        <w:ind w:firstLine="656"/>
        <w:spacing w:after="0" w:line="256" w:lineRule="auto"/>
        <w:tabs>
          <w:tab w:leader="none" w:pos="1128"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88"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74"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Lien and IP Searches</w:t>
      </w:r>
      <w:r>
        <w:rPr>
          <w:rFonts w:ascii="Times New Roman" w:cs="Times New Roman" w:eastAsia="Times New Roman" w:hAnsi="Times New Roman"/>
          <w:sz w:val="19"/>
          <w:szCs w:val="19"/>
          <w:color w:val="auto"/>
        </w:rPr>
        <w:t>. The Administrative Agent shall have received the results of a recent lien search in the jurisdiction of organization of each Loan Party and each jurisdiction where material assets of the Loan Parties are located, and the results of search reports in respect of the intellectual property of the Loan Parties, and such searches shall reveal no Liens on any of the assets of the Loan Parties except for liens permitted by Section 6.02, discharged on or prior to the Effective Date pursuant to a pay-off letter or other documentation satisfactory to the Administrative Agent, or otherwise reasonably satisfactory to the Administrative Agent.</w:t>
      </w:r>
    </w:p>
    <w:p>
      <w:pPr>
        <w:spacing w:after="0" w:line="189"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38"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Pay-Off and Release Letter</w:t>
      </w:r>
      <w:r>
        <w:rPr>
          <w:rFonts w:ascii="Times New Roman" w:cs="Times New Roman" w:eastAsia="Times New Roman" w:hAnsi="Times New Roman"/>
          <w:sz w:val="19"/>
          <w:szCs w:val="19"/>
          <w:color w:val="auto"/>
        </w:rPr>
        <w:t>. The Administrative Agent shall have received satisfactory pay-off and release letters for all existing Indebtedness required to be repaid (including, without limitation, the credit facility evidenced by the Amended and Restated Senior Secured Credit Facilities Credit Agreement, dated as of February 19, 2021, among NERDWALLET, INC. and NERDWALLET COMPARE, INC., as borrowers, the lenders party thereto, and Silicon Valley Bank, a division of First-Citizens Bank &amp; Trust Company, as administrative agent, issuing lender, swingline lender and lead arranger) and which confirms that all Liens securing such Indebtedness and all Guarantees in respect thereof will be terminated and released concurrently with such payment and all letters of credit issued or guaranteed as part of such Indebtedness shall have been cash collateralized or supported by a Letter of Credit.</w:t>
      </w:r>
    </w:p>
    <w:p>
      <w:pPr>
        <w:spacing w:after="0" w:line="176"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84"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Funding Account</w:t>
      </w:r>
      <w:r>
        <w:rPr>
          <w:rFonts w:ascii="Times New Roman" w:cs="Times New Roman" w:eastAsia="Times New Roman" w:hAnsi="Times New Roman"/>
          <w:sz w:val="19"/>
          <w:szCs w:val="19"/>
          <w:color w:val="auto"/>
        </w:rPr>
        <w:t>. The Administrative Agent shall have received a notice (which notice shall be in the form of a Borrowing Request or such other form or method as approved by the Administrative Agent) setting forth the deposit account of the Borrower (as may be updated from time to time by written notice from the Borrower to the Administrative Agent, the “</w:t>
      </w:r>
      <w:r>
        <w:rPr>
          <w:rFonts w:ascii="Times New Roman" w:cs="Times New Roman" w:eastAsia="Times New Roman" w:hAnsi="Times New Roman"/>
          <w:sz w:val="19"/>
          <w:szCs w:val="19"/>
          <w:u w:val="single" w:color="auto"/>
          <w:color w:val="auto"/>
        </w:rPr>
        <w:t>Funding Account</w:t>
      </w:r>
      <w:r>
        <w:rPr>
          <w:rFonts w:ascii="Times New Roman" w:cs="Times New Roman" w:eastAsia="Times New Roman" w:hAnsi="Times New Roman"/>
          <w:sz w:val="19"/>
          <w:szCs w:val="19"/>
          <w:color w:val="auto"/>
        </w:rPr>
        <w:t>”) to which the Administrative Agent is authorized by the Borrower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w:t>
      </w:r>
    </w:p>
    <w:p>
      <w:pPr>
        <w:spacing w:after="0" w:line="192"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010000"/>
        </w:rPr>
      </w:pPr>
    </w:p>
    <w:p>
      <w:pPr>
        <w:ind w:firstLine="656"/>
        <w:spacing w:after="0" w:line="280" w:lineRule="auto"/>
        <w:tabs>
          <w:tab w:leader="none" w:pos="1042"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The Administrative Agent shall have received a solvency certificate signed by a Financial Officer dated the Effective Date in form and substance reasonably satisfactory to the Administrative Agent.</w:t>
      </w:r>
    </w:p>
    <w:p>
      <w:pPr>
        <w:spacing w:after="0" w:line="165"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57"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Pledged Equity Interests; Stock Powers; Pledged Notes</w:t>
      </w:r>
      <w:r>
        <w:rPr>
          <w:rFonts w:ascii="Times New Roman" w:cs="Times New Roman" w:eastAsia="Times New Roman" w:hAnsi="Times New Roman"/>
          <w:sz w:val="19"/>
          <w:szCs w:val="19"/>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 endorsed (without recourse) in blank (or accompanied by an executed transfer form in blank) by the pledgor thereof or accompanied by allonges or other acknowledgements signed in blank, as applicable.</w:t>
      </w:r>
    </w:p>
    <w:p>
      <w:pPr>
        <w:spacing w:after="0" w:line="189"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83" w:val="left"/>
        </w:tabs>
        <w:numPr>
          <w:ilvl w:val="0"/>
          <w:numId w:val="1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Filings, Registrations and Recordings</w:t>
      </w:r>
      <w:r>
        <w:rPr>
          <w:rFonts w:ascii="Times New Roman" w:cs="Times New Roman" w:eastAsia="Times New Roman" w:hAnsi="Times New Roman"/>
          <w:sz w:val="19"/>
          <w:szCs w:val="19"/>
          <w:color w:val="auto"/>
        </w:rPr>
        <w:t>.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09" w:right="339" w:bottom="1440" w:gutter="0" w:footer="0" w:header="0"/>
        </w:sectPr>
      </w:pPr>
    </w:p>
    <w:bookmarkStart w:id="116" w:name="page117"/>
    <w:bookmarkEnd w:id="116"/>
    <w:p>
      <w:pPr>
        <w:spacing w:after="0" w:line="280" w:lineRule="auto"/>
        <w:rPr>
          <w:sz w:val="20"/>
          <w:szCs w:val="20"/>
          <w:color w:val="auto"/>
        </w:rPr>
      </w:pPr>
      <w:r>
        <w:rPr>
          <w:rFonts w:ascii="Times New Roman" w:cs="Times New Roman" w:eastAsia="Times New Roman" w:hAnsi="Times New Roman"/>
          <w:sz w:val="19"/>
          <w:szCs w:val="19"/>
          <w:color w:val="auto"/>
        </w:rPr>
        <w:t>extent any such Permitted Encumbrances would have priority over the Liens in favor of the Administrative Agent pursuant to any applicable law), shall be in proper form for filing, registration or recordation.</w:t>
      </w:r>
    </w:p>
    <w:p>
      <w:pPr>
        <w:spacing w:after="0" w:line="165" w:lineRule="exact"/>
        <w:rPr>
          <w:sz w:val="20"/>
          <w:szCs w:val="20"/>
          <w:color w:val="auto"/>
        </w:rPr>
      </w:pPr>
    </w:p>
    <w:p>
      <w:pPr>
        <w:jc w:val="both"/>
        <w:ind w:firstLine="656"/>
        <w:spacing w:after="0" w:line="258" w:lineRule="auto"/>
        <w:tabs>
          <w:tab w:leader="none" w:pos="1123"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Subject to Section 5.15, the Administrative Agent shall have received evidence of insurance coverage in form, scope, and substance reasonably satisfactory to the Administrative Agent and otherwise in compliance with the terms of Section 5.10 of this Agreement and the Security Agreement.</w:t>
      </w:r>
    </w:p>
    <w:p>
      <w:pPr>
        <w:spacing w:after="0" w:line="186"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52"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USA PATRIOT Act, Etc.</w:t>
      </w:r>
      <w:r>
        <w:rPr>
          <w:rFonts w:ascii="Times New Roman" w:cs="Times New Roman" w:eastAsia="Times New Roman" w:hAnsi="Times New Roman"/>
          <w:sz w:val="19"/>
          <w:szCs w:val="19"/>
          <w:color w:val="auto"/>
        </w:rPr>
        <w:t xml:space="preserve"> At least five (5) days prior to the Effective Date, (i) the Administrative Agent and Lenders shall have received (x) all documentation and other information regarding the Loan Parties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W-8 or W-9, as applicable, for each Loan Party and (ii) to the extent the Borrower qualifies as a “legal entity customer” under the Beneficial Ownership Regulation,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5" w:lineRule="exact"/>
        <w:rPr>
          <w:rFonts w:ascii="Times New Roman" w:cs="Times New Roman" w:eastAsia="Times New Roman" w:hAnsi="Times New Roman"/>
          <w:sz w:val="19"/>
          <w:szCs w:val="19"/>
          <w:color w:val="010000"/>
        </w:rPr>
      </w:pPr>
    </w:p>
    <w:p>
      <w:pPr>
        <w:jc w:val="both"/>
        <w:ind w:firstLine="656"/>
        <w:spacing w:after="0" w:line="259" w:lineRule="auto"/>
        <w:tabs>
          <w:tab w:leader="none" w:pos="1152"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 Documents</w:t>
      </w:r>
      <w:r>
        <w:rPr>
          <w:rFonts w:ascii="Times New Roman" w:cs="Times New Roman" w:eastAsia="Times New Roman" w:hAnsi="Times New Roman"/>
          <w:sz w:val="19"/>
          <w:szCs w:val="19"/>
          <w:color w:val="auto"/>
        </w:rPr>
        <w:t>. The Administrative Agent shall have received such other documents as the Administrative Agent, the Issuing Bank, any Lender or their respective counsel may have reasonably requested at least five (5) days prior to the date hereof (including, without limitation, a properly completed letter of credit application (whether standalone or pursuant to a master agreement, as applicable) if the issuance of a Letter of Credit will be required on the Effective Date, together with an executed copy of the Issuing Bank’s master agreement for the issuance of commercial Letters of Credit).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Without limiting the generality of the provisions of Section 9.02, for purposes of determining compliance with the conditions specified in this Section 4.01 on the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The Administrative Agent shall notify the Loan Parties, the Lenders and the Issuing Bank of the Effective Date, and such notice shall be conclusive and binding.</w:t>
      </w:r>
    </w:p>
    <w:p>
      <w:pPr>
        <w:spacing w:after="0" w:line="19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010000"/>
        </w:rPr>
        <w:t xml:space="preserve">SECTION 4.02. </w:t>
      </w:r>
      <w:r>
        <w:rPr>
          <w:rFonts w:ascii="Times New Roman" w:cs="Times New Roman" w:eastAsia="Times New Roman" w:hAnsi="Times New Roman"/>
          <w:sz w:val="19"/>
          <w:szCs w:val="19"/>
          <w:u w:val="single" w:color="auto"/>
          <w:color w:val="000000"/>
        </w:rPr>
        <w:t>Each Credit Event</w:t>
      </w:r>
      <w:r>
        <w:rPr>
          <w:rFonts w:ascii="Times New Roman" w:cs="Times New Roman" w:eastAsia="Times New Roman" w:hAnsi="Times New Roman"/>
          <w:sz w:val="19"/>
          <w:szCs w:val="19"/>
          <w:color w:val="000000"/>
        </w:rPr>
        <w:t>. The obligation of each Lender to make a Loan on the occasion of any Borrowing, and of the Issuing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Bank to issue, amend or extend any Letter of Credit, is subject to the satisfaction of the following conditions:</w:t>
      </w:r>
    </w:p>
    <w:p>
      <w:pPr>
        <w:spacing w:after="0" w:line="165" w:lineRule="exact"/>
        <w:rPr>
          <w:sz w:val="20"/>
          <w:szCs w:val="20"/>
          <w:color w:val="auto"/>
        </w:rPr>
      </w:pPr>
    </w:p>
    <w:p>
      <w:pPr>
        <w:jc w:val="both"/>
        <w:ind w:firstLine="656"/>
        <w:spacing w:after="0" w:line="255" w:lineRule="auto"/>
        <w:tabs>
          <w:tab w:leader="none" w:pos="1143"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representations and warranties of the Loan Parties set forth in the Loan Documents shall be true and correct in all material respects (except for those representations and warranties that are qualified by materiality, in which case such representations and warranties shall be true and correct in all respects)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189" w:lineRule="exact"/>
        <w:rPr>
          <w:rFonts w:ascii="Times New Roman" w:cs="Times New Roman" w:eastAsia="Times New Roman" w:hAnsi="Times New Roman"/>
          <w:sz w:val="19"/>
          <w:szCs w:val="19"/>
          <w:color w:val="010000"/>
        </w:rPr>
      </w:pPr>
    </w:p>
    <w:p>
      <w:pPr>
        <w:ind w:firstLine="656"/>
        <w:spacing w:after="0" w:line="280" w:lineRule="auto"/>
        <w:tabs>
          <w:tab w:leader="none" w:pos="1133"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At the time of and immediately after giving effect to such Borrowing or the issuance, amendment or extension of such Letter of Credit, as applicable, no Default or Event of Default shall have occurred and be continuing.</w:t>
      </w:r>
    </w:p>
    <w:p>
      <w:pPr>
        <w:spacing w:after="0" w:line="1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09" w:right="339" w:bottom="1440" w:gutter="0" w:footer="0" w:header="0"/>
        </w:sectPr>
      </w:pPr>
    </w:p>
    <w:bookmarkStart w:id="117" w:name="page118"/>
    <w:bookmarkEnd w:id="117"/>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such Loans made and Letters of Credit issued, amended or extended pursuant to this sentence shall not exceed $10,000,000 at any one time outstanding.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Affirmative Covenants</w:t>
      </w:r>
    </w:p>
    <w:p>
      <w:pPr>
        <w:spacing w:after="0" w:line="11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Until all of the Secured Obligations shall have been Paid in Full, each Loan Party executing this Agreement covenants and agrees, jointly and severally with all of the other Loan Parties, with the Lenders that:</w:t>
      </w:r>
    </w:p>
    <w:p>
      <w:pPr>
        <w:spacing w:after="0" w:line="15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5.01.</w:t>
      </w:r>
      <w:r>
        <w:rPr>
          <w:sz w:val="20"/>
          <w:szCs w:val="20"/>
          <w:color w:val="auto"/>
        </w:rPr>
        <w:tab/>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and each Lender:</w:t>
      </w:r>
    </w:p>
    <w:p>
      <w:pPr>
        <w:spacing w:after="0" w:line="227" w:lineRule="exact"/>
        <w:rPr>
          <w:sz w:val="20"/>
          <w:szCs w:val="20"/>
          <w:color w:val="auto"/>
        </w:rPr>
      </w:pPr>
    </w:p>
    <w:p>
      <w:pPr>
        <w:jc w:val="both"/>
        <w:ind w:firstLine="656"/>
        <w:spacing w:after="0" w:line="254" w:lineRule="auto"/>
        <w:tabs>
          <w:tab w:leader="none" w:pos="1056" w:val="left"/>
        </w:tabs>
        <w:numPr>
          <w:ilvl w:val="0"/>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ending December 31, 2023),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75" w:lineRule="exact"/>
        <w:rPr>
          <w:rFonts w:ascii="Times New Roman" w:cs="Times New Roman" w:eastAsia="Times New Roman" w:hAnsi="Times New Roman"/>
          <w:sz w:val="19"/>
          <w:szCs w:val="19"/>
          <w:color w:val="010000"/>
        </w:rPr>
      </w:pPr>
    </w:p>
    <w:p>
      <w:pPr>
        <w:jc w:val="both"/>
        <w:ind w:firstLine="656"/>
        <w:spacing w:after="0" w:line="270" w:lineRule="auto"/>
        <w:tabs>
          <w:tab w:leader="none" w:pos="1091"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forty-five (45) days after the end of each of the first three fiscal quarters of each fiscal year of the Borrower (or, if earlier, by the date that the Quarterly Report on Form 10 Q of the Borrower for such fiscal quarter would be required to be filed under the rules and regulations of the SEC, giving effect to any automatic extension available thereunder for the filing of such form) (commencing with the fiscal quarter ending September 30, 2023),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75" w:lineRule="exact"/>
        <w:rPr>
          <w:rFonts w:ascii="Times New Roman" w:cs="Times New Roman" w:eastAsia="Times New Roman" w:hAnsi="Times New Roman"/>
          <w:sz w:val="18"/>
          <w:szCs w:val="18"/>
          <w:color w:val="010000"/>
        </w:rPr>
      </w:pPr>
    </w:p>
    <w:p>
      <w:pPr>
        <w:jc w:val="both"/>
        <w:ind w:firstLine="656"/>
        <w:spacing w:after="0" w:line="251" w:lineRule="auto"/>
        <w:tabs>
          <w:tab w:leader="none" w:pos="1142" w:val="left"/>
        </w:tabs>
        <w:numPr>
          <w:ilvl w:val="0"/>
          <w:numId w:val="1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concurrently with any delivery of financial statements under clause (a) or (b) above (commencing with the fiscal quarter ending September 30, 2023) (collectively or individually, as the context requires, the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xml:space="preserve">”), a Compliance Certificate (i) certifying, in the case of the Financial Statements delivered under clause (a) or (b) above, as presenting fairly in all material respects the financial condition and results of operations of the Borrower and its consolidated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09" w:right="339" w:bottom="1440" w:gutter="0" w:footer="0" w:header="0"/>
        </w:sectPr>
      </w:pPr>
    </w:p>
    <w:bookmarkStart w:id="118" w:name="page119"/>
    <w:bookmarkEnd w:id="118"/>
    <w:p>
      <w:pPr>
        <w:spacing w:after="0" w:line="280" w:lineRule="auto"/>
        <w:rPr>
          <w:sz w:val="20"/>
          <w:szCs w:val="20"/>
          <w:color w:val="auto"/>
        </w:rPr>
      </w:pPr>
      <w:r>
        <w:rPr>
          <w:rFonts w:ascii="Times New Roman" w:cs="Times New Roman" w:eastAsia="Times New Roman" w:hAnsi="Times New Roman"/>
          <w:sz w:val="19"/>
          <w:szCs w:val="19"/>
          <w:color w:val="auto"/>
        </w:rPr>
        <w:t>the audited financial statements referred to in Section 3.04 and, if any such change has occurred, specifying the effect of such change on the Financial Statements accompanying such certificate;</w:t>
      </w:r>
    </w:p>
    <w:p>
      <w:pPr>
        <w:spacing w:after="0" w:line="165" w:lineRule="exact"/>
        <w:rPr>
          <w:sz w:val="20"/>
          <w:szCs w:val="20"/>
          <w:color w:val="auto"/>
        </w:rPr>
      </w:pPr>
    </w:p>
    <w:p>
      <w:pPr>
        <w:jc w:val="both"/>
        <w:ind w:firstLine="656"/>
        <w:spacing w:after="0" w:line="251" w:lineRule="auto"/>
        <w:tabs>
          <w:tab w:leader="none" w:pos="1057" w:val="left"/>
        </w:tabs>
        <w:numPr>
          <w:ilvl w:val="0"/>
          <w:numId w:val="1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FF0000"/>
          <w:strike w:val="1"/>
        </w:rPr>
        <w:t>[reserved];</w:t>
      </w:r>
      <w:r>
        <w:rPr>
          <w:rFonts w:ascii="Times New Roman" w:cs="Times New Roman" w:eastAsia="Times New Roman" w:hAnsi="Times New Roman"/>
          <w:sz w:val="19"/>
          <w:szCs w:val="19"/>
          <w:u w:val="single" w:color="auto"/>
          <w:color w:val="0000FF"/>
          <w:strike w:val="1"/>
        </w:rPr>
        <w:t>concurrently with any delivery of financial statements under clause (a) or (b) above for any period, to the extent there were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any Unrestricted Subsidiaries during such period, the Borrower shall deliver to the Administrative Agent a balance sheet and related statements of operations, stockholders’ equity and cash flows as of the end of and for such fiscal year or fiscal quarter (and the then elapsed portion of such fiscal year), as the case may be, setting forth in comparative form the figures for the corresponding period or periods of (or, in the case of the balance sheet, as of the end of) the previous fiscal year, in each case, on a consolidating basis for the Borrower and its consolidated Restricted Subsidiaries, all certified by a Financial Officer of the Borrower as presenting fairly in all material respects the financial condition and results of operations of the Borrower and its consolidated Restricted Subsidiaries on a consolidating basis in accordance with GAAP consistently applied, subject, in the case of financial statements for any fiscal quarter only, to normal year-end audit adjustments and the absence of footnotes;</w:t>
      </w:r>
    </w:p>
    <w:p>
      <w:pPr>
        <w:spacing w:after="0" w:line="197"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69" w:val="left"/>
        </w:tabs>
        <w:numPr>
          <w:ilvl w:val="0"/>
          <w:numId w:val="1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soon as available, but in any event no later than the end of, and no earlier than thirty (30) days prior to the end of, each fiscal year of the Borrower, a copy of the plan and forecast (including a projected consolidated balance sheet, income statement and cash flow statement) of the Borrower for each month of the upcoming fiscal year (the “</w:t>
      </w:r>
      <w:r>
        <w:rPr>
          <w:rFonts w:ascii="Times New Roman" w:cs="Times New Roman" w:eastAsia="Times New Roman" w:hAnsi="Times New Roman"/>
          <w:sz w:val="19"/>
          <w:szCs w:val="19"/>
          <w:u w:val="single" w:color="auto"/>
          <w:color w:val="auto"/>
        </w:rPr>
        <w:t>Projections</w:t>
      </w:r>
      <w:r>
        <w:rPr>
          <w:rFonts w:ascii="Times New Roman" w:cs="Times New Roman" w:eastAsia="Times New Roman" w:hAnsi="Times New Roman"/>
          <w:sz w:val="19"/>
          <w:szCs w:val="19"/>
          <w:color w:val="auto"/>
        </w:rPr>
        <w:t>”) in form reasonably satisfactory to the Administrative Agent;</w:t>
      </w:r>
    </w:p>
    <w:p>
      <w:pPr>
        <w:spacing w:after="0" w:line="164" w:lineRule="exact"/>
        <w:rPr>
          <w:rFonts w:ascii="Times New Roman" w:cs="Times New Roman" w:eastAsia="Times New Roman" w:hAnsi="Times New Roman"/>
          <w:sz w:val="19"/>
          <w:szCs w:val="19"/>
          <w:color w:val="010000"/>
        </w:rPr>
      </w:pPr>
    </w:p>
    <w:p>
      <w:pPr>
        <w:jc w:val="both"/>
        <w:ind w:firstLine="656"/>
        <w:spacing w:after="0" w:line="259" w:lineRule="auto"/>
        <w:tabs>
          <w:tab w:leader="none" w:pos="1036" w:val="left"/>
        </w:tabs>
        <w:numPr>
          <w:ilvl w:val="0"/>
          <w:numId w:val="1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promptly following any request therefor, (x) such other information regarding the operations, material changes in ownership of Equity Interests, business affairs and financial condition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compliance with the terms of this Agreement, as the Administrative Agent or any Lender (through the Administrative Agent) may reasonably request and (y) information and documentation reasonably requested in writing by the Administrative Agent or any Lender for purposes of compliance with applicable “know your customer” and anti-money laundering rules and regulations, including the USA PATRIOT Act and the Beneficial Ownership Regulation;</w:t>
      </w:r>
    </w:p>
    <w:p>
      <w:pPr>
        <w:spacing w:after="0" w:line="171"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35" w:val="left"/>
        </w:tabs>
        <w:numPr>
          <w:ilvl w:val="0"/>
          <w:numId w:val="1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 and</w:t>
      </w:r>
    </w:p>
    <w:p>
      <w:pPr>
        <w:spacing w:after="0" w:line="192"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67" w:val="left"/>
        </w:tabs>
        <w:numPr>
          <w:ilvl w:val="0"/>
          <w:numId w:val="1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promptly after the same become publicly available, copies of all periodic and other reports, proxy statements and other materials filed by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with the SEC, or any Governmental Authority succeeding to any or all of the functions of the SEC, or with any national securities exchange, or distributed by the Borrower to its shareholders generally, as the case may be.</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clauses (a), (b) or (h) of this Section 5.01 (to the extent any such documents are included in materials otherwise filed with the SEC) may be delivered electronically and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written request by the Administrative Agent (or any Lender through the Administrative Agent) to the Borrower, (A)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facsimile or through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09" w:right="339" w:bottom="1440" w:gutter="0" w:footer="0" w:header="0"/>
        </w:sectPr>
      </w:pPr>
    </w:p>
    <w:bookmarkStart w:id="119" w:name="page120"/>
    <w:bookmarkEnd w:id="119"/>
    <w:p>
      <w:pPr>
        <w:jc w:val="both"/>
        <w:spacing w:after="0" w:line="255" w:lineRule="auto"/>
        <w:rPr>
          <w:sz w:val="20"/>
          <w:szCs w:val="20"/>
          <w:color w:val="auto"/>
        </w:rPr>
      </w:pPr>
      <w:r>
        <w:rPr>
          <w:rFonts w:ascii="Times New Roman" w:cs="Times New Roman" w:eastAsia="Times New Roman" w:hAnsi="Times New Roman"/>
          <w:sz w:val="19"/>
          <w:szCs w:val="19"/>
          <w:color w:val="auto"/>
        </w:rPr>
        <w:t>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010000"/>
        </w:rPr>
        <w:t xml:space="preserve">SECTION 5.02. </w:t>
      </w:r>
      <w:r>
        <w:rPr>
          <w:rFonts w:ascii="Times New Roman" w:cs="Times New Roman" w:eastAsia="Times New Roman" w:hAnsi="Times New Roman"/>
          <w:sz w:val="19"/>
          <w:szCs w:val="19"/>
          <w:u w:val="single" w:color="auto"/>
          <w:color w:val="000000"/>
        </w:rPr>
        <w:t>Notices of Material Events</w:t>
      </w:r>
      <w:r>
        <w:rPr>
          <w:rFonts w:ascii="Times New Roman" w:cs="Times New Roman" w:eastAsia="Times New Roman" w:hAnsi="Times New Roman"/>
          <w:sz w:val="19"/>
          <w:szCs w:val="19"/>
          <w:color w:val="000000"/>
        </w:rPr>
        <w:t>. The Borrower will furnish to the Administrative Agent and each Lender prompt (but in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event within any time period that may be specified below) written notice of the following:</w:t>
      </w:r>
    </w:p>
    <w:p>
      <w:pPr>
        <w:spacing w:after="0" w:line="165" w:lineRule="exact"/>
        <w:rPr>
          <w:sz w:val="20"/>
          <w:szCs w:val="20"/>
          <w:color w:val="auto"/>
        </w:rPr>
      </w:pPr>
    </w:p>
    <w:p>
      <w:pPr>
        <w:ind w:left="1060" w:hanging="404"/>
        <w:spacing w:after="0"/>
        <w:tabs>
          <w:tab w:leader="none" w:pos="1060"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occurrence of any Default or Event of Default;</w:t>
      </w:r>
    </w:p>
    <w:p>
      <w:pPr>
        <w:spacing w:after="0" w:line="213"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64"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receipt of any notice of any investigation by a Governmental Authority or any Proceeding commenced or threatened against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 seeks damages in excess of $1,000,000, (ii) seeks injunctive relief, (iii) is asserted or instituted against any Plan, its fiduciaries or its assets, (iv) alleges criminal misconduct by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(v) alleges the violation of, or seeks to impose remedies under, any Environmental Law or related Requirement of Law, or seeks to impose Environmental Liability, (vi) asserts liability on the part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excess of $1,000,000 in respect of any tax, fee, assessment, or other governmental charge, or (vii) involves any product recall;</w:t>
      </w:r>
    </w:p>
    <w:p>
      <w:pPr>
        <w:spacing w:after="0" w:line="192"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material change in accounting or financial reporting practices by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227" w:lineRule="exact"/>
        <w:rPr>
          <w:rFonts w:ascii="Times New Roman" w:cs="Times New Roman" w:eastAsia="Times New Roman" w:hAnsi="Times New Roman"/>
          <w:sz w:val="19"/>
          <w:szCs w:val="19"/>
          <w:color w:val="010000"/>
        </w:rPr>
      </w:pPr>
    </w:p>
    <w:p>
      <w:pPr>
        <w:ind w:firstLine="656"/>
        <w:spacing w:after="0" w:line="280" w:lineRule="auto"/>
        <w:tabs>
          <w:tab w:leader="none" w:pos="1116"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occurrence of any ERISA Event that, alone or together with any other ERISA Events that have occurred, would reasonably be expected to result in liability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an aggregate amount exceeding $5,000,000;</w:t>
      </w:r>
    </w:p>
    <w:p>
      <w:pPr>
        <w:spacing w:after="0" w:line="165" w:lineRule="exact"/>
        <w:rPr>
          <w:rFonts w:ascii="Times New Roman" w:cs="Times New Roman" w:eastAsia="Times New Roman" w:hAnsi="Times New Roman"/>
          <w:sz w:val="19"/>
          <w:szCs w:val="19"/>
          <w:color w:val="010000"/>
        </w:rPr>
      </w:pPr>
    </w:p>
    <w:p>
      <w:pPr>
        <w:ind w:right="20" w:firstLine="656"/>
        <w:spacing w:after="0" w:line="265" w:lineRule="auto"/>
        <w:tabs>
          <w:tab w:leader="none" w:pos="1101"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within ten (10) Business Days after the occurrence thereof, any Loan Party entering into a Swap Agreement or an amendment to a Swap Agreement, together with copies of all agreements evidencing such Swap Agreement or amendment;</w:t>
      </w:r>
    </w:p>
    <w:p>
      <w:pPr>
        <w:spacing w:after="0" w:line="179" w:lineRule="exact"/>
        <w:rPr>
          <w:rFonts w:ascii="Times New Roman" w:cs="Times New Roman" w:eastAsia="Times New Roman" w:hAnsi="Times New Roman"/>
          <w:sz w:val="19"/>
          <w:szCs w:val="19"/>
          <w:color w:val="010000"/>
        </w:rPr>
      </w:pPr>
    </w:p>
    <w:p>
      <w:pPr>
        <w:ind w:left="1040" w:hanging="384"/>
        <w:spacing w:after="0"/>
        <w:tabs>
          <w:tab w:leader="none" w:pos="1040"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development that results in, or could reasonably be expected to result in, a Material Adverse Effect; and</w:t>
      </w:r>
    </w:p>
    <w:p>
      <w:pPr>
        <w:spacing w:after="0" w:line="227" w:lineRule="exact"/>
        <w:rPr>
          <w:rFonts w:ascii="Times New Roman" w:cs="Times New Roman" w:eastAsia="Times New Roman" w:hAnsi="Times New Roman"/>
          <w:sz w:val="19"/>
          <w:szCs w:val="19"/>
          <w:color w:val="010000"/>
        </w:rPr>
      </w:pPr>
    </w:p>
    <w:p>
      <w:pPr>
        <w:ind w:firstLine="656"/>
        <w:spacing w:after="0" w:line="280" w:lineRule="auto"/>
        <w:tabs>
          <w:tab w:leader="none" w:pos="1135"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change in the information provided in the Beneficial Ownership Certification delivered to such Lender that would result in a change to the list of beneficial owners identified in such certification.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Each notice delivered under this Section (i) shall be in writing, (ii) shall contain a heading or a reference line that reads “Notice under Section 5.02 of NerdWallet, Inc. Credit Agreement dated September 26, 2023”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u w:val="single" w:color="auto"/>
          <w:color w:val="000000"/>
        </w:rPr>
        <w:t>Existence; Conduct of Business</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(a) do or cause to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done all things necessary to preserve, renew and keep in full force and effect (i) its legal existence and (ii)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in each case of this clause (ii), to the extent that the failure to do so could not be expected to result in a Material Adverse Effect;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09" w:right="339" w:bottom="1440" w:gutter="0" w:footer="0" w:header="0"/>
        </w:sectPr>
      </w:pPr>
    </w:p>
    <w:bookmarkStart w:id="120" w:name="page121"/>
    <w:bookmarkEnd w:id="120"/>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u w:val="single" w:color="auto"/>
          <w:color w:val="000000"/>
        </w:rPr>
        <w:t>Payment of Obligations</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pay or discharge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Material Indebtedness and all other material liabilities and obligations, including Taxes, before the same shall become delinquent or in default, except where (a) the validity or amount thereof is being contested in good faith by appropriate proceedings and such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has set aside on its books adequate reserves with respect thereto in accordance with GAAP or (b) the failure to make such payment could not reasonably be expected to result in a Material Adverse Effect.</w:t>
      </w:r>
    </w:p>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010000"/>
        </w:rPr>
        <w:t xml:space="preserve">SECTION 5.05. </w:t>
      </w:r>
      <w:r>
        <w:rPr>
          <w:rFonts w:ascii="Times New Roman" w:cs="Times New Roman" w:eastAsia="Times New Roman" w:hAnsi="Times New Roman"/>
          <w:sz w:val="19"/>
          <w:szCs w:val="19"/>
          <w:u w:val="single" w:color="auto"/>
          <w:color w:val="000000"/>
        </w:rPr>
        <w:t>Maintenance of Properties</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keep and maintain 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property material to the conduct of its business in good working order and condition, ordinary wear and tear excepted.</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9"/>
          <w:szCs w:val="19"/>
          <w:color w:val="010000"/>
        </w:rPr>
        <w:t xml:space="preserve">SECTION 5.06. </w:t>
      </w:r>
      <w:r>
        <w:rPr>
          <w:rFonts w:ascii="Times New Roman" w:cs="Times New Roman" w:eastAsia="Times New Roman" w:hAnsi="Times New Roman"/>
          <w:sz w:val="19"/>
          <w:szCs w:val="19"/>
          <w:u w:val="single" w:color="auto"/>
          <w:color w:val="000000"/>
        </w:rPr>
        <w:t>Books and Records; Inspection Rights</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(a) keep</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proper books of record and account in which full, true and correct entries are made of all dealings and transactions in relation to its business and activities and (b) unless an Event of Default has occurred and is continuing, no more than once per fiscal year,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conduct at the Loan Party’s premises field examinations of the Loan Party’s assets, liabilities, books and records, including examining and making extracts from its books and records,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5.07. </w:t>
      </w:r>
      <w:r>
        <w:rPr>
          <w:rFonts w:ascii="Times New Roman" w:cs="Times New Roman" w:eastAsia="Times New Roman" w:hAnsi="Times New Roman"/>
          <w:sz w:val="19"/>
          <w:szCs w:val="19"/>
          <w:u w:val="single" w:color="auto"/>
          <w:color w:val="000000"/>
        </w:rPr>
        <w:t>Compliance with Laws and Material Contractual Obligations</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(i) comply with each Requirement of Law applicable to it or its property (including without limitation Environmental Laws) and (ii) perform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reasonably designed to ensure material compliance by such Loan Party, its Subsidiaries and their respective directors, officers and employees with Anti-Corruption Laws and applicable Sanctions.</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5.08.</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75" w:lineRule="auto"/>
        <w:tabs>
          <w:tab w:leader="none" w:pos="1087" w:val="left"/>
        </w:tabs>
        <w:numPr>
          <w:ilvl w:val="0"/>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proceeds of the Loans and the Letters of Credit will be used only to (i) refinance certain existing indebtedness of the Borrower and (ii) finance the working capital needs and general corporate purposes of the Borrower and its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auto"/>
        </w:rPr>
        <w:t xml:space="preserve"> Subsidiaries (including, without limitation, Permitted Acquisitions and stock repurchases). No part of the proceeds of any Loan and no Letter of Credit will be used, whether directly or indirectly, for any purpose that entails a violation of any of the regulations of the Federal Reserve Board, including Regulations T, U and X.</w:t>
      </w:r>
    </w:p>
    <w:p>
      <w:pPr>
        <w:spacing w:after="0" w:line="171" w:lineRule="exact"/>
        <w:rPr>
          <w:rFonts w:ascii="Times New Roman" w:cs="Times New Roman" w:eastAsia="Times New Roman" w:hAnsi="Times New Roman"/>
          <w:sz w:val="18"/>
          <w:szCs w:val="18"/>
          <w:color w:val="010000"/>
        </w:rPr>
      </w:pPr>
    </w:p>
    <w:p>
      <w:pPr>
        <w:jc w:val="both"/>
        <w:ind w:firstLine="656"/>
        <w:spacing w:after="0" w:line="255" w:lineRule="auto"/>
        <w:tabs>
          <w:tab w:leader="none" w:pos="1199" w:val="left"/>
        </w:tabs>
        <w:numPr>
          <w:ilvl w:val="0"/>
          <w:numId w:val="1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will not request any Borrowing or Letter of Credit, and the Borrower shall not use, and shall procure that its Subsidiaries and its or their respective directors, officers, and employees shall not use, the proceeds of any Borrowing or Letter of Credit (i) in furtherance of an offer, payment, promise to pay, or authorization of the payment or giving of money, or anything else of value, to any Person in violation of any Anti-Corruption Laws in any material respect, (ii) for the purpose of funding, financing or facilitating any activities, business or transaction of or with any Sanctioned Person, or in any Sanctioned Country, in each case, except to the extent permitted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0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Person required to comply with Sanctions, or (iii) in any manner that would result in the violation of any Sanctions applicable to any party hereto.</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5.09. </w:t>
      </w:r>
      <w:r>
        <w:rPr>
          <w:rFonts w:ascii="Times New Roman" w:cs="Times New Roman" w:eastAsia="Times New Roman" w:hAnsi="Times New Roman"/>
          <w:sz w:val="19"/>
          <w:szCs w:val="19"/>
          <w:u w:val="single" w:color="auto"/>
          <w:color w:val="000000"/>
        </w:rPr>
        <w:t>Accuracy of Information</w:t>
      </w:r>
      <w:r>
        <w:rPr>
          <w:rFonts w:ascii="Times New Roman" w:cs="Times New Roman" w:eastAsia="Times New Roman" w:hAnsi="Times New Roman"/>
          <w:sz w:val="19"/>
          <w:szCs w:val="19"/>
          <w:color w:val="000000"/>
        </w:rPr>
        <w:t>. The Loan Parties will ensure that any information, including financial statements or other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 prepared in good faith based upon assumptions believed to be reasonable at the time.</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5.10. </w:t>
      </w:r>
      <w:r>
        <w:rPr>
          <w:rFonts w:ascii="Times New Roman" w:cs="Times New Roman" w:eastAsia="Times New Roman" w:hAnsi="Times New Roman"/>
          <w:sz w:val="19"/>
          <w:szCs w:val="19"/>
          <w:u w:val="single" w:color="auto"/>
          <w:color w:val="000000"/>
        </w:rPr>
        <w:t>Insurance</w:t>
      </w:r>
      <w:r>
        <w:rPr>
          <w:rFonts w:ascii="Times New Roman" w:cs="Times New Roman" w:eastAsia="Times New Roman" w:hAnsi="Times New Roman"/>
          <w:sz w:val="19"/>
          <w:szCs w:val="19"/>
          <w:color w:val="000000"/>
        </w:rPr>
        <w:t>. Each Loan Party will, and will cause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maintain with financially sound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written request of the Administrative Agent, but no more frequently than annually, information in reasonable detail as to the insurance so maintained.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010000"/>
        </w:rPr>
        <w:t xml:space="preserve">SECTION 5.11. </w:t>
      </w:r>
      <w:r>
        <w:rPr>
          <w:rFonts w:ascii="Times New Roman" w:cs="Times New Roman" w:eastAsia="Times New Roman" w:hAnsi="Times New Roman"/>
          <w:sz w:val="19"/>
          <w:szCs w:val="19"/>
          <w:u w:val="single" w:color="auto"/>
          <w:color w:val="000000"/>
        </w:rPr>
        <w:t>Casualty and Condemnation</w:t>
      </w:r>
      <w:r>
        <w:rPr>
          <w:rFonts w:ascii="Times New Roman" w:cs="Times New Roman" w:eastAsia="Times New Roman" w:hAnsi="Times New Roman"/>
          <w:sz w:val="19"/>
          <w:szCs w:val="19"/>
          <w:color w:val="000000"/>
        </w:rPr>
        <w:t>. The Borrower will furnish to the Administrative Agent and the Lenders prompt written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5.12. </w:t>
      </w:r>
      <w:r>
        <w:rPr>
          <w:rFonts w:ascii="Times New Roman" w:cs="Times New Roman" w:eastAsia="Times New Roman" w:hAnsi="Times New Roman"/>
          <w:sz w:val="19"/>
          <w:szCs w:val="19"/>
          <w:u w:val="single" w:color="auto"/>
          <w:color w:val="000000"/>
        </w:rPr>
        <w:t>Depository Banks</w:t>
      </w:r>
      <w:r>
        <w:rPr>
          <w:rFonts w:ascii="Times New Roman" w:cs="Times New Roman" w:eastAsia="Times New Roman" w:hAnsi="Times New Roman"/>
          <w:sz w:val="19"/>
          <w:szCs w:val="19"/>
          <w:color w:val="000000"/>
        </w:rPr>
        <w:t>. Not later than one hundred eighty (180) days after the Effective Date (or such later date as agreed by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the Administrative Agent in its sole discretion), the Borrower and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will maintain the Administrative Agent as its (a) principal depository bank, including for the maintenance of operating, administrative, cash management, collection activity, and other deposit accounts for the conduct of its business and (b) principal provider of other bank products.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5.13.</w:t>
      </w:r>
      <w:r>
        <w:rPr>
          <w:sz w:val="20"/>
          <w:szCs w:val="20"/>
          <w:color w:val="auto"/>
        </w:rPr>
        <w:tab/>
      </w:r>
      <w:r>
        <w:rPr>
          <w:rFonts w:ascii="Times New Roman" w:cs="Times New Roman" w:eastAsia="Times New Roman" w:hAnsi="Times New Roman"/>
          <w:sz w:val="18"/>
          <w:szCs w:val="18"/>
          <w:u w:val="single" w:color="auto"/>
          <w:color w:val="auto"/>
        </w:rPr>
        <w:t>Subsidiary Guarantors; Additional Collateral; Further Assurances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6"/>
        <w:spacing w:after="0" w:line="252" w:lineRule="auto"/>
        <w:tabs>
          <w:tab w:leader="none" w:pos="1114" w:val="left"/>
        </w:tabs>
        <w:numPr>
          <w:ilvl w:val="0"/>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As promptly as possible but in any event within sixty (60) days (or such later date as may be agreed upon by the Administrative Agent) after any Person becomes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qualifies independently as, or is designated by the Borrower or the Administrative Agent as, a Material Domestic Subsidiary pursuant to the definition of “Material Domestic Subsidiary”, the Borrower shall (i) provide the Administrative Agent with written notice thereof setting forth information in reasonable detail describing the material assets of such Person and (ii) cause each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which also qualifies as a Material Domestic Subsidiary to execute and deliver to the Administrative Agent a Joinder Agreement and a joinder to the Security Agreement (in the form contemplated thereby) pursuant to which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agrees to be bound by the terms and provisions thereof, which shall be accompanied by appropriate organizational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resolutions, other organizational documentation and legal opinions in form and substance reasonably satisfactory to the Administrative Agent and its counsel. In connection therewith, the Administrative Agent shall have received all documentation and other information regarding such newly formed or acquired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Subsidiaries as may be required to comply with the applicable “know your customer” rules and regulations, including the USA PATRIOT Act. Each such Person delivering a Joinder Agreement (x) shall automatically become a Subsidiary Guarantor hereunder and thereupon shall have all of the rights, benefits, duties, and obligations in such capacity under the Loan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09" w:right="339" w:bottom="1440" w:gutter="0" w:footer="0" w:header="0"/>
        </w:sectPr>
      </w:pPr>
    </w:p>
    <w:bookmarkStart w:id="122" w:name="page123"/>
    <w:bookmarkEnd w:id="122"/>
    <w:p>
      <w:pPr>
        <w:ind w:firstLine="8"/>
        <w:spacing w:after="0" w:line="280" w:lineRule="auto"/>
        <w:tabs>
          <w:tab w:leader="none" w:pos="274"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grant Liens to the Administrative Agent, for the benefit of the Administrative Agent and the other Secured Parties, in any property of such Loan Party which constitutes Collateral.</w:t>
      </w:r>
    </w:p>
    <w:p>
      <w:pPr>
        <w:spacing w:after="0" w:line="165" w:lineRule="exact"/>
        <w:rPr>
          <w:rFonts w:ascii="Times New Roman" w:cs="Times New Roman" w:eastAsia="Times New Roman" w:hAnsi="Times New Roman"/>
          <w:sz w:val="19"/>
          <w:szCs w:val="19"/>
          <w:color w:val="auto"/>
        </w:rPr>
      </w:pPr>
    </w:p>
    <w:p>
      <w:pPr>
        <w:jc w:val="both"/>
        <w:ind w:firstLine="656"/>
        <w:spacing w:after="0" w:line="250" w:lineRule="auto"/>
        <w:tabs>
          <w:tab w:leader="none" w:pos="1128" w:val="left"/>
        </w:tabs>
        <w:numPr>
          <w:ilvl w:val="1"/>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Loan Party will cause, and will cause each other Loan Party to cause, all of its owned property (whether personal, tangible, intangible, or mixed, but excluding any Excluded Assets)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to the extent any such Permitted Encumbrances would have priority over the Liens in favor of the Administrative Agent pursuant to any applicable law. Without limiting the generality of the foregoing, each Loan Party will cause (x) 100% of the issued and outstanding Equity Interests of each of its Domestic Subsidiaries and (y) 65%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any Loan Party, in each case, to be subject at all times to a first priority, perfected Lien in favor of the Administrative Agent for the benefit of the Administrative Agent and the other Secured Parties to secure the Secured Obligations in accordance with the terms and conditions of the Collateral Documents or other pledge or security documents as the Administrative Agent shall reasonably request. Notwithstanding the foregoing, no such pledge agreement in respect of the Equity Interests of a Foreign Subsidiary shall be required pursuant to foreign law.</w:t>
      </w:r>
    </w:p>
    <w:p>
      <w:pPr>
        <w:spacing w:after="0" w:line="198"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53" w:val="left"/>
        </w:tabs>
        <w:numPr>
          <w:ilvl w:val="1"/>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Without limiting the foregoing, each Loan Party will, and will cause each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90" w:lineRule="exact"/>
        <w:rPr>
          <w:rFonts w:ascii="Times New Roman" w:cs="Times New Roman" w:eastAsia="Times New Roman" w:hAnsi="Times New Roman"/>
          <w:sz w:val="19"/>
          <w:szCs w:val="19"/>
          <w:color w:val="010000"/>
        </w:rPr>
      </w:pPr>
    </w:p>
    <w:p>
      <w:pPr>
        <w:jc w:val="both"/>
        <w:ind w:firstLine="656"/>
        <w:spacing w:after="0" w:line="269" w:lineRule="auto"/>
        <w:tabs>
          <w:tab w:leader="none" w:pos="1127" w:val="left"/>
        </w:tabs>
        <w:numPr>
          <w:ilvl w:val="1"/>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material assets are acquired by any Loan Party after the Effective Date (other than Excluded Assets and assets constituting Collateral under the Security Agreement that become subject to the Lien under the Security Agreement upon acquisition thereof), the Borrower will</w:t>
      </w:r>
    </w:p>
    <w:p>
      <w:pPr>
        <w:spacing w:after="0" w:line="1" w:lineRule="exact"/>
        <w:rPr>
          <w:rFonts w:ascii="Times New Roman" w:cs="Times New Roman" w:eastAsia="Times New Roman" w:hAnsi="Times New Roman"/>
          <w:sz w:val="18"/>
          <w:szCs w:val="18"/>
          <w:color w:val="010000"/>
        </w:rPr>
      </w:pPr>
    </w:p>
    <w:p>
      <w:pPr>
        <w:jc w:val="both"/>
        <w:ind w:firstLine="8"/>
        <w:spacing w:after="0" w:line="264" w:lineRule="auto"/>
        <w:tabs>
          <w:tab w:leader="none" w:pos="24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paragraphs (b) and</w:t>
      </w:r>
    </w:p>
    <w:p>
      <w:pPr>
        <w:ind w:left="260" w:hanging="252"/>
        <w:spacing w:after="0"/>
        <w:tabs>
          <w:tab w:leader="none" w:pos="2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all at the expense of the Loan Parties.</w:t>
      </w:r>
    </w:p>
    <w:p>
      <w:pPr>
        <w:spacing w:after="0" w:line="212" w:lineRule="exact"/>
        <w:rPr>
          <w:rFonts w:ascii="Times New Roman" w:cs="Times New Roman" w:eastAsia="Times New Roman" w:hAnsi="Times New Roman"/>
          <w:sz w:val="19"/>
          <w:szCs w:val="19"/>
          <w:color w:val="auto"/>
        </w:rPr>
      </w:pPr>
    </w:p>
    <w:p>
      <w:pPr>
        <w:jc w:val="both"/>
        <w:ind w:firstLine="656"/>
        <w:spacing w:after="0" w:line="255" w:lineRule="auto"/>
        <w:tabs>
          <w:tab w:leader="none" w:pos="1096" w:val="left"/>
        </w:tabs>
        <w:numPr>
          <w:ilvl w:val="1"/>
          <w:numId w:val="1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in this Agreement or the other Loan Documents to the contrary,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5.14.</w:t>
      </w:r>
      <w:r>
        <w:rPr>
          <w:sz w:val="20"/>
          <w:szCs w:val="20"/>
          <w:color w:val="auto"/>
        </w:rPr>
        <w:tab/>
      </w:r>
      <w:r>
        <w:rPr>
          <w:rFonts w:ascii="Times New Roman" w:cs="Times New Roman" w:eastAsia="Times New Roman" w:hAnsi="Times New Roman"/>
          <w:sz w:val="19"/>
          <w:szCs w:val="19"/>
          <w:u w:val="single" w:color="auto"/>
          <w:color w:val="auto"/>
        </w:rPr>
        <w:t>Data Security and Privacy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firstLine="656"/>
        <w:spacing w:after="0" w:line="280" w:lineRule="auto"/>
        <w:tabs>
          <w:tab w:leader="none" w:pos="1191" w:val="left"/>
        </w:tabs>
        <w:numPr>
          <w:ilvl w:val="0"/>
          <w:numId w:val="1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maintain compliance in all material respects with (i) all applicable Data Protection Laws, including but not limited to the GDPR and those relating to cross-border transfers; and (ii) the Privacy Agreements.</w:t>
      </w:r>
    </w:p>
    <w:p>
      <w:pPr>
        <w:spacing w:after="0" w:line="165" w:lineRule="exact"/>
        <w:rPr>
          <w:rFonts w:ascii="Times New Roman" w:cs="Times New Roman" w:eastAsia="Times New Roman" w:hAnsi="Times New Roman"/>
          <w:sz w:val="19"/>
          <w:szCs w:val="19"/>
          <w:color w:val="010000"/>
        </w:rPr>
      </w:pPr>
    </w:p>
    <w:p>
      <w:pPr>
        <w:ind w:firstLine="656"/>
        <w:spacing w:after="0" w:line="280" w:lineRule="auto"/>
        <w:tabs>
          <w:tab w:leader="none" w:pos="1087" w:val="left"/>
        </w:tabs>
        <w:numPr>
          <w:ilvl w:val="0"/>
          <w:numId w:val="1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maintain compliance in all material respects with all Privacy Policies consistent with the actual practices of 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09" w:right="339" w:bottom="1440" w:gutter="0" w:footer="0" w:header="0"/>
        </w:sectPr>
      </w:pPr>
    </w:p>
    <w:bookmarkStart w:id="123" w:name="page124"/>
    <w:bookmarkEnd w:id="123"/>
    <w:p>
      <w:pPr>
        <w:jc w:val="both"/>
        <w:ind w:firstLine="656"/>
        <w:spacing w:after="0" w:line="254" w:lineRule="auto"/>
        <w:tabs>
          <w:tab w:leader="none" w:pos="1125" w:val="left"/>
        </w:tabs>
        <w:numPr>
          <w:ilvl w:val="1"/>
          <w:numId w:val="1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maintain and comply in all material respects with its Security Program. Any Security Program of the Loan Parties or their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at all times (i) comply in all material respects with all applicable Data Protection Laws, applicable Privacy Policies, and applicable Privacy Agreements, and (ii) include commercially reasonable administrative, technical, organization, and physical security procedures and measures designed to preserve the security, integrity and confidentiality of all Personal Data or Company Sensitive Information in such Loan Party’s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Subsidiary’s possession or control, and each Loan Party and its respective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use commercially reasonable practices to protect such Company Sensitive Information against unauthorized or unlawful processing, access, acquisition, use, theft, interruption, modification, disclosure, loss, destruction or damage.</w:t>
      </w:r>
    </w:p>
    <w:p>
      <w:pPr>
        <w:spacing w:after="0" w:line="190"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171" w:val="left"/>
        </w:tabs>
        <w:numPr>
          <w:ilvl w:val="1"/>
          <w:numId w:val="1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Loan Parties shall, in accordance with its reasonable business judgment, take steps designed to ensure that no material (i) incidents of unauthorized access, use, intrusion, disclosure or breach of the security of any information technology systems operated in connection with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(ii) incidents of unauthorized acquisition, destruction, damage, disclosure, loss, corruption, alteration, or use of any Company Sensitive Information shall occur.</w:t>
      </w:r>
    </w:p>
    <w:p>
      <w:pPr>
        <w:spacing w:after="0" w:line="188"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53" w:val="left"/>
        </w:tabs>
        <w:numPr>
          <w:ilvl w:val="1"/>
          <w:numId w:val="1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will, in accordance with its reasonable business judgment, have a valid and legal right (whether contractually, by Applicable Law or otherwise) to use all Personal Data that is used by or on behalf of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connection with the sale, use and/or operation of their products, services and businesses, except as could not reasonably be expected to result in a Material Adverse Effect.</w:t>
      </w:r>
    </w:p>
    <w:p>
      <w:pPr>
        <w:spacing w:after="0" w:line="188" w:lineRule="exact"/>
        <w:rPr>
          <w:rFonts w:ascii="Times New Roman" w:cs="Times New Roman" w:eastAsia="Times New Roman" w:hAnsi="Times New Roman"/>
          <w:sz w:val="19"/>
          <w:szCs w:val="19"/>
          <w:color w:val="010000"/>
        </w:rPr>
      </w:pPr>
    </w:p>
    <w:p>
      <w:pPr>
        <w:jc w:val="both"/>
        <w:ind w:firstLine="656"/>
        <w:spacing w:after="0" w:line="252" w:lineRule="auto"/>
        <w:tabs>
          <w:tab w:leader="none" w:pos="1072" w:val="left"/>
        </w:tabs>
        <w:numPr>
          <w:ilvl w:val="1"/>
          <w:numId w:val="1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will promptly give notice to the Administrative Agent upon any Loan Party becoming aware of any pending, written demands, inquiries, proceedings, or other notices that could reasonably be expected to result in an investigation or other legal proceeding, including any notices of any investigation or other legal proceedings, regarding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of which it becomes aware,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(1) is in violation of any applicable Data Protection Laws, (2) is in violation of any Privacy Agreements, or</w:t>
      </w:r>
    </w:p>
    <w:p>
      <w:pPr>
        <w:spacing w:after="0" w:line="2" w:lineRule="exact"/>
        <w:rPr>
          <w:rFonts w:ascii="Times New Roman" w:cs="Times New Roman" w:eastAsia="Times New Roman" w:hAnsi="Times New Roman"/>
          <w:sz w:val="19"/>
          <w:szCs w:val="19"/>
          <w:color w:val="010000"/>
        </w:rPr>
      </w:pPr>
    </w:p>
    <w:p>
      <w:pPr>
        <w:ind w:left="280" w:hanging="272"/>
        <w:spacing w:after="0"/>
        <w:tabs>
          <w:tab w:leader="none" w:pos="2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in violation of any Privacy Policies, in each case, in any material respect.</w:t>
      </w:r>
    </w:p>
    <w:p>
      <w:pPr>
        <w:spacing w:after="0" w:line="21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010000"/>
        </w:rPr>
        <w:t xml:space="preserve">SECTION 5.15. </w:t>
      </w:r>
      <w:r>
        <w:rPr>
          <w:rFonts w:ascii="Times New Roman" w:cs="Times New Roman" w:eastAsia="Times New Roman" w:hAnsi="Times New Roman"/>
          <w:sz w:val="19"/>
          <w:szCs w:val="19"/>
          <w:u w:val="single" w:color="auto"/>
          <w:color w:val="000000"/>
        </w:rPr>
        <w:t>Post-Closing Requirements</w:t>
      </w:r>
      <w:r>
        <w:rPr>
          <w:rFonts w:ascii="Times New Roman" w:cs="Times New Roman" w:eastAsia="Times New Roman" w:hAnsi="Times New Roman"/>
          <w:sz w:val="19"/>
          <w:szCs w:val="19"/>
          <w:color w:val="000000"/>
        </w:rPr>
        <w:t>. Not later than the dates set forth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Schedule 5.15</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such later dates as the Administrative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Agent shall agree in its sole discretion) or as otherwise required thereunder, the Loan Parties shall take the actions set forth on </w:t>
      </w:r>
      <w:r>
        <w:rPr>
          <w:rFonts w:ascii="Times New Roman" w:cs="Times New Roman" w:eastAsia="Times New Roman" w:hAnsi="Times New Roman"/>
          <w:sz w:val="19"/>
          <w:szCs w:val="19"/>
          <w:u w:val="single" w:color="auto"/>
          <w:color w:val="000000"/>
        </w:rPr>
        <w:t>Schedule 5.15</w:t>
      </w:r>
      <w:r>
        <w:rPr>
          <w:rFonts w:ascii="Times New Roman" w:cs="Times New Roman" w:eastAsia="Times New Roman" w:hAnsi="Times New Roman"/>
          <w:sz w:val="19"/>
          <w:szCs w:val="19"/>
          <w:color w:val="000000"/>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u w:val="single" w:color="auto"/>
          <w:color w:val="0000FF"/>
        </w:rPr>
        <w:t>SECTION 5.16. Unrestricted Subsidiaries. The Borrower may at any time designate any Unrestricted Subsidiary as a Restricted Subsidiary; provided that immediately before and after giving effect (including giving effect on a Pro Forma Basis) to any such designation, (i) no Default or Event of Default shall have occurred and be continuing or would result therefrom and (ii) the Borrower shall be in pro forma compliance with the financial covenants set forth in Section 6.12. The Borrower shall be required to designate an Unrestricted Subsidiary as a Restricted Subsidiary if (a) it would be a “Restricted Subsidiary” (or analogous concept) for the purpose of any secured Indebtedness permitted hereunder, (b) it (i) owns Equity Interests in any Loan Party or Restricted Subsidiary, (ii) owns any material assets of any Loan Party or Restricted Subsidiary or</w:t>
      </w:r>
    </w:p>
    <w:p>
      <w:pPr>
        <w:spacing w:after="0" w:line="2" w:lineRule="exact"/>
        <w:rPr>
          <w:sz w:val="20"/>
          <w:szCs w:val="20"/>
          <w:color w:val="auto"/>
        </w:rPr>
      </w:pPr>
    </w:p>
    <w:p>
      <w:pPr>
        <w:jc w:val="both"/>
        <w:ind w:firstLine="8"/>
        <w:spacing w:after="0" w:line="251" w:lineRule="auto"/>
        <w:tabs>
          <w:tab w:leader="none" w:pos="355" w:val="left"/>
        </w:tabs>
        <w:numPr>
          <w:ilvl w:val="0"/>
          <w:numId w:val="132"/>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holds a Lien on any material property of a Loan Party or any Restricted Subsidiary, or (c) it owns or exclusively licenses any intellectual property that is material to the business of the Borrower and the Restricted Subsidiaries. The designation of any Unrestricted Subsidiary as a Restricted Subsidiary shall constitute (i) the incurrence at the time of designation of any investment, Indebtedness or Liens of such Subsidiary existing at such time and (ii) a return on any investment by the Borrower (or the applicable Restricted Subsidiary that owns such designated Subsidiary) in Unrestricted Subsidiaries pursuant to Section 6.04(w). Unrestricted Subsidiaries will not be subject to any of the restrictive covenants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09" w:right="339" w:bottom="1440" w:gutter="0" w:footer="0" w:header="0"/>
        </w:sectPr>
      </w:pPr>
    </w:p>
    <w:bookmarkStart w:id="124" w:name="page125"/>
    <w:bookmarkEnd w:id="124"/>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VI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Negative Covenants</w:t>
      </w:r>
    </w:p>
    <w:p>
      <w:pPr>
        <w:spacing w:after="0" w:line="11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9"/>
          <w:szCs w:val="19"/>
          <w:color w:val="auto"/>
        </w:rPr>
        <w:t>Until all of the Secured Obligations shall have been Paid in Full, each Loan Party executing this Agreement covenants and agrees, jointly and severally with all of the other Loan Parties, with the Lenders that:</w:t>
      </w:r>
    </w:p>
    <w:p>
      <w:pPr>
        <w:spacing w:after="0" w:line="165"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010000"/>
        </w:rPr>
        <w:t xml:space="preserve">SECTION 6.01. </w:t>
      </w:r>
      <w:r>
        <w:rPr>
          <w:rFonts w:ascii="Times New Roman" w:cs="Times New Roman" w:eastAsia="Times New Roman" w:hAnsi="Times New Roman"/>
          <w:sz w:val="19"/>
          <w:szCs w:val="19"/>
          <w:u w:val="single" w:color="auto"/>
          <w:color w:val="000000"/>
        </w:rPr>
        <w:t>Indebtedness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create, incur, assume or suffer to exist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Indebtedness, except:</w:t>
      </w:r>
    </w:p>
    <w:p>
      <w:pPr>
        <w:spacing w:after="0" w:line="179" w:lineRule="exact"/>
        <w:rPr>
          <w:sz w:val="20"/>
          <w:szCs w:val="20"/>
          <w:color w:val="auto"/>
        </w:rPr>
      </w:pPr>
    </w:p>
    <w:p>
      <w:pPr>
        <w:ind w:left="1060" w:hanging="404"/>
        <w:spacing w:after="0"/>
        <w:tabs>
          <w:tab w:leader="none" w:pos="1060"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Secured Obligations;</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existing on the date hereof and set forth in </w:t>
      </w:r>
      <w:r>
        <w:rPr>
          <w:rFonts w:ascii="Times New Roman" w:cs="Times New Roman" w:eastAsia="Times New Roman" w:hAnsi="Times New Roman"/>
          <w:sz w:val="19"/>
          <w:szCs w:val="19"/>
          <w:u w:val="single" w:color="auto"/>
          <w:color w:val="auto"/>
        </w:rPr>
        <w:t>Schedule 6.01</w:t>
      </w:r>
      <w:r>
        <w:rPr>
          <w:rFonts w:ascii="Times New Roman" w:cs="Times New Roman" w:eastAsia="Times New Roman" w:hAnsi="Times New Roman"/>
          <w:sz w:val="19"/>
          <w:szCs w:val="19"/>
          <w:color w:val="auto"/>
        </w:rPr>
        <w:t xml:space="preserve"> and any Refinance Indebtedness in respect thereof;</w:t>
      </w:r>
    </w:p>
    <w:p>
      <w:pPr>
        <w:spacing w:after="0" w:line="227"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84"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the Borrower to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of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the Borrower or any 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Indebtedness of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to the Borrower or any other Loan Party shall be subject to Section 6.04 and (ii) Indebtedness of any Loan Party to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shall be subordinated to the Secured Obligations on terms reasonably satisfactory to the Administrative Agent;</w:t>
      </w:r>
    </w:p>
    <w:p>
      <w:pPr>
        <w:spacing w:after="0" w:line="188"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16"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Guarantees by the Borrower of Indebtedness of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by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Indebtedness of the Borrower or any 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Indebtedness so Guaranteed is permitted by this Section 6.01, (ii) Guarantees by the Borrower or any other Loan Party of Indebtedness of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shall be subject to Section 6.04 and (iii) Guarantees permitted under this clause (d) shall be subordinated to the Secured Obligations on the same terms as the Indebtedness so Guaranteed is subordinated to the Secured Obligations, if applicable;</w:t>
      </w:r>
    </w:p>
    <w:p>
      <w:pPr>
        <w:spacing w:after="0" w:line="189"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01"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$5,000,000 (or such greater amount as the Administrative Agent may agree in its sole discretion) at any time outstanding;</w:t>
      </w:r>
    </w:p>
    <w:p>
      <w:pPr>
        <w:spacing w:after="0" w:line="176"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118" w:val="left"/>
        </w:tabs>
        <w:numPr>
          <w:ilvl w:val="0"/>
          <w:numId w:val="1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9"/>
          <w:szCs w:val="19"/>
          <w:u w:val="single" w:color="auto"/>
          <w:color w:val="auto"/>
        </w:rPr>
        <w:t>Refinance Indebtedness</w:t>
      </w:r>
      <w:r>
        <w:rPr>
          <w:rFonts w:ascii="Times New Roman" w:cs="Times New Roman" w:eastAsia="Times New Roman" w:hAnsi="Times New Roman"/>
          <w:sz w:val="19"/>
          <w:szCs w:val="19"/>
          <w:color w:val="auto"/>
        </w:rPr>
        <w:t>”) of any of the Indebtedness described in clauses (b), (e), (i) and (j) hereof (such Indebtedness being referred to herein as the “</w:t>
      </w:r>
      <w:r>
        <w:rPr>
          <w:rFonts w:ascii="Times New Roman" w:cs="Times New Roman" w:eastAsia="Times New Roman" w:hAnsi="Times New Roman"/>
          <w:sz w:val="19"/>
          <w:szCs w:val="19"/>
          <w:u w:val="single" w:color="auto"/>
          <w:color w:val="auto"/>
        </w:rPr>
        <w:t>Original Indebtedness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Refinance Indebtedness does not increase the principal amount or interest rate of the Original Indebtedness, except by an amount equal to a reasonable premium and other fees and expenses reasonably incurred in connection therewith, (ii) any Liens securing such Refinance Indebtedness are not extended to any additional property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(iii) no Loan Party nor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each case that is not originally obligated with respect to repayment of such Original Indebtedness, is required to become obligated with respect to such Refinance Indebtedness, (iv) such Refinance Indebtedness does not result in a shortening of the maturity of such Original Indebtedness and (v)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125" w:name="page126"/>
    <w:bookmarkEnd w:id="125"/>
    <w:p>
      <w:pPr>
        <w:jc w:val="both"/>
        <w:ind w:firstLine="656"/>
        <w:spacing w:after="0" w:line="266" w:lineRule="auto"/>
        <w:tabs>
          <w:tab w:leader="none" w:pos="1065"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4" w:lineRule="exact"/>
        <w:rPr>
          <w:rFonts w:ascii="Times New Roman" w:cs="Times New Roman" w:eastAsia="Times New Roman" w:hAnsi="Times New Roman"/>
          <w:sz w:val="19"/>
          <w:szCs w:val="19"/>
          <w:color w:val="010000"/>
        </w:rPr>
      </w:pPr>
    </w:p>
    <w:p>
      <w:pPr>
        <w:ind w:firstLine="656"/>
        <w:spacing w:after="0" w:line="280" w:lineRule="auto"/>
        <w:tabs>
          <w:tab w:leader="none" w:pos="1087"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of any Loan Party in respect of letters of credit, banker’s acceptances, bank guarantees, performance bonds, bid bonds, appeal bonds, surety bonds and similar obligations, in each case provided in the ordinary course of business;</w:t>
      </w:r>
    </w:p>
    <w:p>
      <w:pPr>
        <w:spacing w:after="0" w:line="165" w:lineRule="exact"/>
        <w:rPr>
          <w:rFonts w:ascii="Times New Roman" w:cs="Times New Roman" w:eastAsia="Times New Roman" w:hAnsi="Times New Roman"/>
          <w:sz w:val="19"/>
          <w:szCs w:val="19"/>
          <w:color w:val="010000"/>
        </w:rPr>
      </w:pPr>
    </w:p>
    <w:p>
      <w:pPr>
        <w:ind w:firstLine="656"/>
        <w:spacing w:after="0" w:line="280" w:lineRule="auto"/>
        <w:tabs>
          <w:tab w:leader="none" w:pos="1148"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unsecured Subordinated Indebtedness on terms and conditions (including with respect to any cash payments) acceptable to the Administrative Agent in its sole discretion;</w:t>
      </w:r>
    </w:p>
    <w:p>
      <w:pPr>
        <w:spacing w:after="0" w:line="165"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2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of any Person that becomes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exists at the time such Person becomes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is not created in contemplation of or in connection with such Person becoming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(ii) the aggregate principal amount of Indebtedness permitted by this clause (j), together with any Refinance Indebtedness in respect thereof permitted by clause (f) above, shall not exceed $2,500,000 at any time outstanding;</w:t>
      </w:r>
    </w:p>
    <w:p>
      <w:pPr>
        <w:spacing w:after="0" w:line="188" w:lineRule="exact"/>
        <w:rPr>
          <w:rFonts w:ascii="Times New Roman" w:cs="Times New Roman" w:eastAsia="Times New Roman" w:hAnsi="Times New Roman"/>
          <w:sz w:val="19"/>
          <w:szCs w:val="19"/>
          <w:color w:val="010000"/>
        </w:rPr>
      </w:pPr>
    </w:p>
    <w:p>
      <w:pPr>
        <w:ind w:right="20" w:firstLine="656"/>
        <w:spacing w:after="0" w:line="280" w:lineRule="auto"/>
        <w:tabs>
          <w:tab w:leader="none" w:pos="1099"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obligations (contingent or otherwise)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existing or arising under any Swap Agreement permitted by Section 6.07;</w:t>
      </w:r>
    </w:p>
    <w:p>
      <w:pPr>
        <w:spacing w:after="0" w:line="151"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unsecured Indebtedness to trade creditors in the ordinary course of business and not past due;</w:t>
      </w:r>
    </w:p>
    <w:p>
      <w:pPr>
        <w:spacing w:after="0" w:line="227" w:lineRule="exact"/>
        <w:rPr>
          <w:rFonts w:ascii="Times New Roman" w:cs="Times New Roman" w:eastAsia="Times New Roman" w:hAnsi="Times New Roman"/>
          <w:sz w:val="19"/>
          <w:szCs w:val="19"/>
          <w:color w:val="010000"/>
        </w:rPr>
      </w:pPr>
    </w:p>
    <w:p>
      <w:pPr>
        <w:ind w:left="1120" w:hanging="464"/>
        <w:spacing w:after="0"/>
        <w:tabs>
          <w:tab w:leader="none" w:pos="112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unsecured Indebtedness incurred as a result of endorsing negotiable instruments received in the ordinary course of business;</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consisting of the financing of insurance premiums;</w:t>
      </w:r>
    </w:p>
    <w:p>
      <w:pPr>
        <w:spacing w:after="0" w:line="227" w:lineRule="exact"/>
        <w:rPr>
          <w:rFonts w:ascii="Times New Roman" w:cs="Times New Roman" w:eastAsia="Times New Roman" w:hAnsi="Times New Roman"/>
          <w:sz w:val="19"/>
          <w:szCs w:val="19"/>
          <w:color w:val="010000"/>
        </w:rPr>
      </w:pPr>
    </w:p>
    <w:p>
      <w:pPr>
        <w:ind w:firstLine="656"/>
        <w:spacing w:after="0" w:line="280" w:lineRule="auto"/>
        <w:tabs>
          <w:tab w:leader="none" w:pos="1069"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of Foreign Subsidiaries (i) in respect of business credit cards in an aggregate principal amount not to exceed $2,500,000 at any time outstanding; and (ii) otherwise in an aggregate principal amount not to exceed $5,000,000 at any time outstanding;</w:t>
      </w:r>
    </w:p>
    <w:p>
      <w:pPr>
        <w:spacing w:after="0" w:line="151"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231"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unsecured Indebtedness in the form of purchase price adjustments, earn outs, deferred compensation, or other arrangements representing Acquisition consideration or deferred payments of a similar nature incurred in connection with Investments permitted by Section 6.04; and</w:t>
      </w:r>
    </w:p>
    <w:p>
      <w:pPr>
        <w:spacing w:after="0" w:line="178"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other Indebtedness in an aggregate principal amount not exceeding $5,000,000 at any time outstanding.</w:t>
      </w:r>
    </w:p>
    <w:p>
      <w:pPr>
        <w:spacing w:after="0" w:line="227"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9"/>
          <w:szCs w:val="19"/>
          <w:color w:val="010000"/>
        </w:rPr>
        <w:t>SECTION 6.02.</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No Loan Party will, nor will it permit any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Subsidiary to, create, incur, assume or permit to exist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Lien on any property or asset now owned or hereafter acquired by it, except:</w:t>
      </w:r>
    </w:p>
    <w:p>
      <w:pPr>
        <w:spacing w:after="0" w:line="207" w:lineRule="exact"/>
        <w:rPr>
          <w:sz w:val="20"/>
          <w:szCs w:val="20"/>
          <w:color w:val="auto"/>
        </w:rPr>
      </w:pPr>
    </w:p>
    <w:p>
      <w:pPr>
        <w:ind w:left="1060" w:hanging="404"/>
        <w:spacing w:after="0"/>
        <w:tabs>
          <w:tab w:leader="none" w:pos="1060"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created pursuant to any Loan Document;</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Permitted Encumbrances;</w:t>
      </w:r>
    </w:p>
    <w:p>
      <w:pPr>
        <w:spacing w:after="0" w:line="227"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80"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on any property or asset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existing on the date hereof and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other property or asset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and (ii) such Lien shall secure only those obligations which it secures on the date hereof and extensions, renewals and replacements thereof that do not increase the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09" w:right="339" w:bottom="1440" w:gutter="0" w:footer="0" w:header="0"/>
        </w:sectPr>
      </w:pPr>
    </w:p>
    <w:bookmarkStart w:id="126" w:name="page127"/>
    <w:bookmarkEnd w:id="126"/>
    <w:p>
      <w:pPr>
        <w:jc w:val="both"/>
        <w:ind w:firstLine="656"/>
        <w:spacing w:after="0" w:line="255" w:lineRule="auto"/>
        <w:tabs>
          <w:tab w:leader="none" w:pos="1123"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fixed or capital assets acquired, constructed or improved by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secure Indebtedness permitted by Section 6.01(e), (ii) such Liens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89"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05"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Lien existing on any property or asset prior to the acquisition thereof by (including any merger into or consolidation with)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existing on any property or asset of any Person that becomes a Loan Party after the date hereof prior to the time such Person becomes a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Loan Party, as the case may be, (ii) such Lien shall not apply to any other property or assets of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(iii) such Lien shall only secure Indebtedness or obligations permitted pursuant to Section 6.01(j) and (iv)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90"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70"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bankers’ Liens, rights of setoff and other similar Liens existing solely with respect to cash, Permitted Investments,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89"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arising out of Sale and Leaseback Transactions permitted by Section 6.06;</w:t>
      </w:r>
    </w:p>
    <w:p>
      <w:pPr>
        <w:spacing w:after="0" w:line="213"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84"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(x) any interest or title of a lessor or licensor under any lease or license entered into by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the ordinary course of its business and covering only the assets so leased or 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w:t>
      </w:r>
    </w:p>
    <w:p>
      <w:pPr>
        <w:spacing w:after="0" w:line="192"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92"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replacement, extension or renewal of any Lien permitted by clause (e) above upon or in the same property theretofore subject thereto or the replacement, extension or renewal (without increase in the amount or change in any direct or contingent obligor) of the Indebtedness secured thereby;</w:t>
      </w:r>
    </w:p>
    <w:p>
      <w:pPr>
        <w:spacing w:after="0" w:line="178"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86"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cash deposits and liens on cash and Permitted Investments pledged to secure Indebtedness permitted under Section 6.01(h), (ii) Liens on cash and Permitted Investments securing reimbursement obligations with respect to letters of credit, banker’s acceptances, bank guarantees permitted by Section 6.01(h) that encumber documents and other property relating to such letters of credit, (iii) Liens on cash and Permitted Investments securing Obligations under any Swap Agreements permitted by Section 6.01(k), and (iv) Liens on cash deposits securing minimum capitalization requirements;</w:t>
      </w:r>
    </w:p>
    <w:p>
      <w:pPr>
        <w:spacing w:after="0" w:line="189" w:lineRule="exact"/>
        <w:rPr>
          <w:rFonts w:ascii="Times New Roman" w:cs="Times New Roman" w:eastAsia="Times New Roman" w:hAnsi="Times New Roman"/>
          <w:sz w:val="19"/>
          <w:szCs w:val="19"/>
          <w:color w:val="010000"/>
        </w:rPr>
      </w:pPr>
    </w:p>
    <w:p>
      <w:pPr>
        <w:ind w:firstLine="656"/>
        <w:spacing w:after="0" w:line="265" w:lineRule="auto"/>
        <w:tabs>
          <w:tab w:leader="none" w:pos="1126"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any earnest money deposits required in connection with a Permitted Acquisition or consisting of earnest money deposits required in connection with an acquisition of property expressly permitted hereunder;</w:t>
      </w:r>
    </w:p>
    <w:p>
      <w:pPr>
        <w:spacing w:after="0" w:line="179" w:lineRule="exact"/>
        <w:rPr>
          <w:rFonts w:ascii="Times New Roman" w:cs="Times New Roman" w:eastAsia="Times New Roman" w:hAnsi="Times New Roman"/>
          <w:sz w:val="19"/>
          <w:szCs w:val="19"/>
          <w:color w:val="010000"/>
        </w:rPr>
      </w:pPr>
    </w:p>
    <w:p>
      <w:pPr>
        <w:ind w:firstLine="656"/>
        <w:spacing w:after="0" w:line="280" w:lineRule="auto"/>
        <w:tabs>
          <w:tab w:leader="none" w:pos="1035" w:val="left"/>
        </w:tabs>
        <w:numPr>
          <w:ilvl w:val="0"/>
          <w:numId w:val="1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that are contractual rights of setoff relating to purchase orders and other agreements entered into with customers of such Person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09" w:right="339" w:bottom="1440" w:gutter="0" w:footer="0" w:header="0"/>
        </w:sectPr>
      </w:pPr>
    </w:p>
    <w:bookmarkStart w:id="127" w:name="page128"/>
    <w:bookmarkEnd w:id="127"/>
    <w:p>
      <w:pPr>
        <w:ind w:firstLine="656"/>
        <w:spacing w:after="0" w:line="280" w:lineRule="auto"/>
        <w:tabs>
          <w:tab w:leader="none" w:pos="1204" w:val="left"/>
        </w:tabs>
        <w:numPr>
          <w:ilvl w:val="0"/>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granted by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in favor of the Borrower or another Loan Party in respect of Indebtedness owed by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65"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insurance proceeds in favor of insurance companies granted solely to secure financed insurance premiums;</w:t>
      </w:r>
    </w:p>
    <w:p>
      <w:pPr>
        <w:spacing w:after="0" w:line="213" w:lineRule="exact"/>
        <w:rPr>
          <w:rFonts w:ascii="Times New Roman" w:cs="Times New Roman" w:eastAsia="Times New Roman" w:hAnsi="Times New Roman"/>
          <w:sz w:val="19"/>
          <w:szCs w:val="19"/>
          <w:color w:val="010000"/>
        </w:rPr>
      </w:pPr>
    </w:p>
    <w:p>
      <w:pPr>
        <w:ind w:firstLine="656"/>
        <w:spacing w:after="0" w:line="280" w:lineRule="auto"/>
        <w:tabs>
          <w:tab w:leader="none" w:pos="1071" w:val="left"/>
        </w:tabs>
        <w:numPr>
          <w:ilvl w:val="0"/>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in favor of custom and revenue authorities arising as a matter of law to secure the payment of custom duties in connection with the importation of goods; and</w:t>
      </w:r>
    </w:p>
    <w:p>
      <w:pPr>
        <w:spacing w:after="0" w:line="165"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other Liens securing obligations in an outstanding amount not to exceed $5,000,000 at any one time;</w:t>
      </w:r>
    </w:p>
    <w:p>
      <w:pPr>
        <w:spacing w:after="0" w:line="227" w:lineRule="exact"/>
        <w:rPr>
          <w:sz w:val="20"/>
          <w:szCs w:val="20"/>
          <w:color w:val="auto"/>
        </w:rPr>
      </w:pPr>
    </w:p>
    <w:p>
      <w:pPr>
        <w:jc w:val="both"/>
        <w:ind w:left="1300" w:right="20"/>
        <w:spacing w:after="0" w:line="258" w:lineRule="auto"/>
        <w:rPr>
          <w:sz w:val="20"/>
          <w:szCs w:val="20"/>
          <w:color w:val="auto"/>
        </w:rPr>
      </w:pP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no such Lien (other than Liens arising by operation of law, Permitted Encumbrances and Liens permitted pursuant to clause (h) above) shall encumber any Material Intellectual Property or real property owned by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8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6.03.</w:t>
      </w:r>
      <w:r>
        <w:rPr>
          <w:sz w:val="20"/>
          <w:szCs w:val="20"/>
          <w:color w:val="auto"/>
        </w:rPr>
        <w:tab/>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097"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will, nor will it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merge into or consolidate with any other Person, or permit any other Person to merge into or consolidate with it, or otherwise Dispose of all or substantially all of its assets, or all or substantially all of the Equity Interests of any of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each case, whether now owned or hereafter acquired), or liquidate or dissolve, except that, (i)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of the Borrower may merge into the Borrower in a transaction in which the Borrower is the surviving entity, (ii) any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Party (other than the Borrower) may merge into any other Loan Party in a transaction in which the surviving entity is a Loan Party; (iii)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that is a limited liability company may consummate a division as the dividing Person if, immediately upon the consummation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of the division, all of the assets of the applicable dividing Person are held by one or more Loan Parties, and (iv)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that is not a Loan Party may liquidate or dissolve if the Borrower determines in good faith that such liquidation or dissolution is in the best interests of the Borrower and is not materially disadvantageous to the Lenders (as reasonably determined by the Administrative Agent);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any such merger or consolidation involving a Person that is not a wholly-owned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immediately prior to such merger or consolidation shall not be permitted unless also permitted by Section 6.04.</w:t>
      </w:r>
    </w:p>
    <w:p>
      <w:pPr>
        <w:spacing w:after="0" w:line="200" w:lineRule="exact"/>
        <w:rPr>
          <w:rFonts w:ascii="Times New Roman" w:cs="Times New Roman" w:eastAsia="Times New Roman" w:hAnsi="Times New Roman"/>
          <w:sz w:val="19"/>
          <w:szCs w:val="19"/>
          <w:color w:val="010000"/>
        </w:rPr>
      </w:pPr>
    </w:p>
    <w:p>
      <w:pPr>
        <w:ind w:firstLine="656"/>
        <w:spacing w:after="0" w:line="280" w:lineRule="auto"/>
        <w:tabs>
          <w:tab w:leader="none" w:pos="1186"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will, nor will it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engage to any material extent in any business other than businesses of the type conducted by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on the date hereof and businesses reasonably related thereto.</w:t>
      </w:r>
    </w:p>
    <w:p>
      <w:pPr>
        <w:spacing w:after="0" w:line="151"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95"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will not change its fiscal year or any fiscal quarter from the basis in effect on the Effective Date, and no other Loan Party will, nor will it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change its fiscal year or any fiscal quarter from the basis in effect on the Effective Date except, with prior written notice to the Administrative Agent, to align with the fiscal year and fiscal quarters of the Borrower.</w:t>
      </w:r>
    </w:p>
    <w:p>
      <w:pPr>
        <w:spacing w:after="0" w:line="178"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88" w:val="left"/>
        </w:tabs>
        <w:numPr>
          <w:ilvl w:val="0"/>
          <w:numId w:val="1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will not change the accounting basis upon which its financial statements are prepared, and no Loan Party will change the accounting basis upon which its financial statements are prepared except, with prior written notice to the Administrative Agent, to align with the accounting basis of the Borrower.</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6.04. </w:t>
      </w:r>
      <w:r>
        <w:rPr>
          <w:rFonts w:ascii="Times New Roman" w:cs="Times New Roman" w:eastAsia="Times New Roman" w:hAnsi="Times New Roman"/>
          <w:sz w:val="19"/>
          <w:szCs w:val="19"/>
          <w:u w:val="single" w:color="auto"/>
          <w:color w:val="000000"/>
        </w:rPr>
        <w:t>Investments, Loans, Advances, Guarantees and Acquisitions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form any subsidiary after the Effective Date, or purchase, hold or acquire (including pursuant to any merger or consolidation with any Person that was not a Loan Party and a wholly-owned Subsidiary prior to such merger or consolidation)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09" w:right="339" w:bottom="1440" w:gutter="0" w:footer="0" w:header="0"/>
        </w:sectPr>
      </w:pPr>
    </w:p>
    <w:bookmarkStart w:id="128" w:name="page129"/>
    <w:bookmarkEnd w:id="128"/>
    <w:p>
      <w:pPr>
        <w:spacing w:after="0" w:line="280" w:lineRule="auto"/>
        <w:rPr>
          <w:sz w:val="20"/>
          <w:szCs w:val="20"/>
          <w:color w:val="auto"/>
        </w:rPr>
      </w:pPr>
      <w:r>
        <w:rPr>
          <w:rFonts w:ascii="Times New Roman" w:cs="Times New Roman" w:eastAsia="Times New Roman" w:hAnsi="Times New Roman"/>
          <w:sz w:val="19"/>
          <w:szCs w:val="19"/>
          <w:color w:val="auto"/>
        </w:rPr>
        <w:t>other Person, or purchase or otherwise acquire (in one transaction or a series of transactions) any Person or any assets of any other Person constituting a business unit (whether through purchase of assets, merger or otherwise), except:</w:t>
      </w:r>
    </w:p>
    <w:p>
      <w:pPr>
        <w:spacing w:after="0" w:line="165" w:lineRule="exact"/>
        <w:rPr>
          <w:sz w:val="20"/>
          <w:szCs w:val="20"/>
          <w:color w:val="auto"/>
        </w:rPr>
      </w:pPr>
    </w:p>
    <w:p>
      <w:pPr>
        <w:jc w:val="both"/>
        <w:ind w:firstLine="656"/>
        <w:spacing w:after="0" w:line="256" w:lineRule="auto"/>
        <w:tabs>
          <w:tab w:leader="none" w:pos="1047"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cash and Permitted Investments, plus any investments in an amount not to exceed $5,000,000 in the aggregate, which would otherwise constitute Permitted Investments under clause (c) of the definition thereof but-for the requirement that any such investment be issued, guaranteed or offered by, or placed with a domestic office of any commercial bank organized under the laws of the U.S. or any state thereof which has a combined capital and surplus and undivided profits of not less than $500,000,000;</w:t>
      </w:r>
    </w:p>
    <w:p>
      <w:pPr>
        <w:spacing w:after="0" w:line="188"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in existence on the date hereof and described in </w:t>
      </w:r>
      <w:r>
        <w:rPr>
          <w:rFonts w:ascii="Times New Roman" w:cs="Times New Roman" w:eastAsia="Times New Roman" w:hAnsi="Times New Roman"/>
          <w:sz w:val="19"/>
          <w:szCs w:val="19"/>
          <w:u w:val="single" w:color="auto"/>
          <w:color w:val="auto"/>
        </w:rPr>
        <w:t>Schedule 6.04</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010000"/>
        </w:rPr>
      </w:pPr>
    </w:p>
    <w:p>
      <w:pPr>
        <w:jc w:val="both"/>
        <w:ind w:firstLine="656"/>
        <w:spacing w:after="0" w:line="252" w:lineRule="auto"/>
        <w:tabs>
          <w:tab w:leader="none" w:pos="1145"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made by the Borrower and the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in Equity Interests in their respective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Equity Interests held by a Loan Party (other than Excluded Assets) shall be pledged pursuant to the Security Agreement,</w:t>
      </w:r>
    </w:p>
    <w:p>
      <w:pPr>
        <w:spacing w:after="0" w:line="1" w:lineRule="exact"/>
        <w:rPr>
          <w:rFonts w:ascii="Times New Roman" w:cs="Times New Roman" w:eastAsia="Times New Roman" w:hAnsi="Times New Roman"/>
          <w:sz w:val="19"/>
          <w:szCs w:val="19"/>
          <w:color w:val="010000"/>
        </w:rPr>
      </w:pPr>
    </w:p>
    <w:p>
      <w:pPr>
        <w:jc w:val="both"/>
        <w:ind w:firstLine="8"/>
        <w:spacing w:after="0" w:line="251" w:lineRule="auto"/>
        <w:tabs>
          <w:tab w:leader="none" w:pos="28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outstanding amount of investments by Loan Parties in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that are not Loan Parties (together with outstanding intercompany loans permitted under clause (ii) of the proviso to Section 6.04(d) and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w:t>
      </w:r>
    </w:p>
    <w:p>
      <w:pPr>
        <w:spacing w:after="0" w:line="192" w:lineRule="exact"/>
        <w:rPr>
          <w:rFonts w:ascii="Times New Roman" w:cs="Times New Roman" w:eastAsia="Times New Roman" w:hAnsi="Times New Roman"/>
          <w:sz w:val="19"/>
          <w:szCs w:val="19"/>
          <w:color w:val="auto"/>
        </w:rPr>
      </w:pPr>
    </w:p>
    <w:p>
      <w:pPr>
        <w:jc w:val="both"/>
        <w:ind w:firstLine="656"/>
        <w:spacing w:after="0" w:line="254" w:lineRule="auto"/>
        <w:tabs>
          <w:tab w:leader="none" w:pos="1114"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loans or advances made by any Loan Party to any Subsidiary and made by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a Loan Party or any other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loans and advances made by a Loan Party shall be evidenced by a promissory note pledged pursuant to the Security Agreement, (ii) the outstanding amount of such loans and advances made by Loan Parties to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that are not Loan Parties (together with outstanding investments permitted under clause (ii) of the proviso to Section 6.04(c) and the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Subsidiary that is not a Loan Party;</w:t>
      </w:r>
    </w:p>
    <w:p>
      <w:pPr>
        <w:spacing w:after="0" w:line="190"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166"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Guarantee Obligations permitted by Section 6.01 and Guarantee Obligations of obligations not constituting Indebtedness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outstanding principal amount of Indebtedness of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that are not Loan Parties that is Guaranteed by any Loan Party (together with outstanding investments permitted under clause (ii) of the proviso to Section 6.04(c) and outstanding intercompany loans permitted under clause (ii) of the proviso to Section 6.04(d)) shall not exceed $15,000,000 (or such greater amount as agreed by the Administrative Agent in its sole discretion) in any fiscal year of the Borrower (in each case determined without regard to any write-downs or write-offs)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(ii) no Event of Default exists and is continuing if such investment is by a Loan Party in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w:t>
      </w:r>
      <w:r>
        <w:rPr>
          <w:rFonts w:ascii="Times New Roman" w:cs="Times New Roman" w:eastAsia="Times New Roman" w:hAnsi="Times New Roman"/>
          <w:sz w:val="19"/>
          <w:szCs w:val="19"/>
          <w:color w:val="0000FF"/>
        </w:rPr>
        <w:t>and (iii) no Loan Party or Restricted Subsidiary may guarantee the Indebtedness or any other obligations of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Unrestricted Subsidiary pursuant to this clause (e)</w:t>
      </w:r>
      <w:r>
        <w:rPr>
          <w:rFonts w:ascii="Times New Roman" w:cs="Times New Roman" w:eastAsia="Times New Roman" w:hAnsi="Times New Roman"/>
          <w:sz w:val="19"/>
          <w:szCs w:val="19"/>
          <w:color w:val="000000"/>
        </w:rPr>
        <w:t>;</w:t>
      </w:r>
    </w:p>
    <w:p>
      <w:pPr>
        <w:spacing w:after="0" w:line="197"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77"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consisting of (i) travel advances and employee relocation loans and other employee loans and advances in the ordinary course of business, and (ii) non-cash loans to employees, officers or directors relating to the purchase of equity securities of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pursuant to employee stock purchase plans or agreements approved by the Borrower’s board of directors;</w:t>
      </w:r>
    </w:p>
    <w:p>
      <w:pPr>
        <w:spacing w:after="0" w:line="178" w:lineRule="exact"/>
        <w:rPr>
          <w:rFonts w:ascii="Times New Roman" w:cs="Times New Roman" w:eastAsia="Times New Roman" w:hAnsi="Times New Roman"/>
          <w:sz w:val="19"/>
          <w:szCs w:val="19"/>
          <w:color w:val="010000"/>
        </w:rPr>
      </w:pPr>
    </w:p>
    <w:p>
      <w:pPr>
        <w:ind w:firstLine="656"/>
        <w:spacing w:after="0" w:line="265" w:lineRule="auto"/>
        <w:tabs>
          <w:tab w:leader="none" w:pos="1080"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79"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in the form of Swap Agreements permitted by Section 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-1621790</wp:posOffset>
            </wp:positionV>
            <wp:extent cx="203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3200" cy="825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-1424305</wp:posOffset>
            </wp:positionV>
            <wp:extent cx="54546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09" w:right="339" w:bottom="1440" w:gutter="0" w:footer="0" w:header="0"/>
        </w:sectPr>
      </w:pPr>
    </w:p>
    <w:bookmarkStart w:id="129" w:name="page130"/>
    <w:bookmarkEnd w:id="129"/>
    <w:p>
      <w:pPr>
        <w:jc w:val="both"/>
        <w:ind w:firstLine="656"/>
        <w:spacing w:after="0" w:line="266" w:lineRule="auto"/>
        <w:tabs>
          <w:tab w:leader="none" w:pos="1019"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of any Person existing at the time such Person becomes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of the Borrower or consolidates or merges with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(including in connection with a Permitted Acquisition), so long as such investments were not made in contemplation of such Person becoming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of such merger;</w:t>
      </w:r>
    </w:p>
    <w:p>
      <w:pPr>
        <w:spacing w:after="0" w:line="164"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received in connection with the Disposition of assets permitted by Section 6.05;</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constituting deposits described in clauses (c) and (d) of the definition of the term “Permitted Encumbrances”;</w:t>
      </w:r>
    </w:p>
    <w:p>
      <w:pPr>
        <w:spacing w:after="0" w:line="227"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Permitted Acquisitions;</w:t>
      </w:r>
    </w:p>
    <w:p>
      <w:pPr>
        <w:spacing w:after="0" w:line="227"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191"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received in settlement of amounts due to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effected in the ordinary course of business or owing to such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as a result of insolvency proceedings involving an Account Debtor or upon the foreclosure or enforcement of any Lien in favor of such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86" w:lineRule="exact"/>
        <w:rPr>
          <w:rFonts w:ascii="Times New Roman" w:cs="Times New Roman" w:eastAsia="Times New Roman" w:hAnsi="Times New Roman"/>
          <w:sz w:val="19"/>
          <w:szCs w:val="19"/>
          <w:color w:val="010000"/>
        </w:rPr>
      </w:pPr>
    </w:p>
    <w:p>
      <w:pPr>
        <w:ind w:firstLine="656"/>
        <w:spacing w:after="0" w:line="280" w:lineRule="auto"/>
        <w:tabs>
          <w:tab w:leader="none" w:pos="1099"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licensing or contribution of intellectual property pursuant to joint marketing or joint venture arrangements with other Persons in the ordinary course of business;</w:t>
      </w:r>
    </w:p>
    <w:p>
      <w:pPr>
        <w:spacing w:after="0" w:line="165" w:lineRule="exact"/>
        <w:rPr>
          <w:rFonts w:ascii="Times New Roman" w:cs="Times New Roman" w:eastAsia="Times New Roman" w:hAnsi="Times New Roman"/>
          <w:sz w:val="19"/>
          <w:szCs w:val="19"/>
          <w:color w:val="010000"/>
        </w:rPr>
      </w:pPr>
    </w:p>
    <w:p>
      <w:pPr>
        <w:ind w:firstLine="656"/>
        <w:spacing w:after="0" w:line="280" w:lineRule="auto"/>
        <w:tabs>
          <w:tab w:leader="none" w:pos="1072"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deposits made to secure the performance of leases, licenses or contracts in the ordinary course of business and other deposits made in connection with the insurance of Liens permitted by Section 6.02;</w:t>
      </w:r>
    </w:p>
    <w:p>
      <w:pPr>
        <w:spacing w:after="0" w:line="151" w:lineRule="exact"/>
        <w:rPr>
          <w:rFonts w:ascii="Times New Roman" w:cs="Times New Roman" w:eastAsia="Times New Roman" w:hAnsi="Times New Roman"/>
          <w:sz w:val="19"/>
          <w:szCs w:val="19"/>
          <w:color w:val="010000"/>
        </w:rPr>
      </w:pPr>
    </w:p>
    <w:p>
      <w:pPr>
        <w:ind w:firstLine="656"/>
        <w:spacing w:after="0" w:line="280" w:lineRule="auto"/>
        <w:tabs>
          <w:tab w:leader="none" w:pos="1088"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promissory notes and other non-cash consideration received in connection with Dispositions permitted by Section 6.05, to the extent not exceeding the limits specified therein with respect to the receipt of non-cash consideration in connection with such Dispositions;</w:t>
      </w:r>
    </w:p>
    <w:p>
      <w:pPr>
        <w:spacing w:after="0" w:line="165"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investments in the ordinary course of business consisting of endorsements of negotiable instruments for collection or deposit;</w:t>
      </w:r>
    </w:p>
    <w:p>
      <w:pPr>
        <w:spacing w:after="0" w:line="227" w:lineRule="exact"/>
        <w:rPr>
          <w:rFonts w:ascii="Times New Roman" w:cs="Times New Roman" w:eastAsia="Times New Roman" w:hAnsi="Times New Roman"/>
          <w:sz w:val="19"/>
          <w:szCs w:val="19"/>
          <w:color w:val="010000"/>
        </w:rPr>
      </w:pPr>
    </w:p>
    <w:p>
      <w:pPr>
        <w:ind w:left="1040" w:hanging="384"/>
        <w:spacing w:after="0"/>
        <w:tabs>
          <w:tab w:leader="none" w:pos="104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extensions of trade credit to customers in the ordinary course of business consistent with past practice;</w:t>
      </w:r>
    </w:p>
    <w:p>
      <w:pPr>
        <w:spacing w:after="0" w:line="227" w:lineRule="exact"/>
        <w:rPr>
          <w:rFonts w:ascii="Times New Roman" w:cs="Times New Roman" w:eastAsia="Times New Roman" w:hAnsi="Times New Roman"/>
          <w:sz w:val="19"/>
          <w:szCs w:val="19"/>
          <w:color w:val="010000"/>
        </w:rPr>
      </w:pPr>
    </w:p>
    <w:p>
      <w:pPr>
        <w:ind w:firstLine="656"/>
        <w:spacing w:after="0" w:line="265" w:lineRule="auto"/>
        <w:tabs>
          <w:tab w:leader="none" w:pos="1163"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no Event of Default exists immediately after giving effect to such investment, in addition to investments otherwise expressly permitted by this Section 6.04, any investments in an aggregate amount not to exceed $5,000,000 in any fiscal year of the Borrower;</w:t>
      </w:r>
    </w:p>
    <w:p>
      <w:pPr>
        <w:spacing w:after="0" w:line="179"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02"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so long as no Event of Default exists immediately after giving effect to such investment, investments in joint ventures, corporate collaborations, or strategic alliances;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such investments made in cash shall not exceed, together with investments permitted by Section 6.04(u), $15,000,000 in any fiscal year of the Borrower;</w:t>
      </w:r>
    </w:p>
    <w:p>
      <w:pPr>
        <w:spacing w:after="0" w:line="178"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71"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so long as no Event of Default exists immediately after giving effect to such investment, minority equity investments in companies in a similar line of business with non-U.S. operations in amounts not to exceed, together with Investments permitted by Section 6.04(t), $15,000,000 in any fiscal year of the Borrower; </w:t>
      </w:r>
      <w:r>
        <w:rPr>
          <w:rFonts w:ascii="Times New Roman" w:cs="Times New Roman" w:eastAsia="Times New Roman" w:hAnsi="Times New Roman"/>
          <w:sz w:val="19"/>
          <w:szCs w:val="19"/>
          <w:color w:val="FF0000"/>
          <w:strike w:val="1"/>
        </w:rPr>
        <w:t>and</w:t>
      </w:r>
    </w:p>
    <w:p>
      <w:pPr>
        <w:spacing w:after="0" w:line="186" w:lineRule="exact"/>
        <w:rPr>
          <w:rFonts w:ascii="Times New Roman" w:cs="Times New Roman" w:eastAsia="Times New Roman" w:hAnsi="Times New Roman"/>
          <w:sz w:val="19"/>
          <w:szCs w:val="19"/>
          <w:color w:val="010000"/>
        </w:rPr>
      </w:pPr>
    </w:p>
    <w:p>
      <w:pPr>
        <w:ind w:firstLine="656"/>
        <w:spacing w:after="0" w:line="280" w:lineRule="auto"/>
        <w:tabs>
          <w:tab w:leader="none" w:pos="1077"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formation and/or capitalization of a new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so long as such Loan Party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comply with Section 5.13, and so long as any such capitalization is otherwise permitted by this Section 6.04</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09" w:right="339" w:bottom="1440" w:gutter="0" w:footer="0" w:header="0"/>
        </w:sectPr>
      </w:pPr>
    </w:p>
    <w:bookmarkStart w:id="130" w:name="page131"/>
    <w:bookmarkEnd w:id="130"/>
    <w:p>
      <w:pPr>
        <w:jc w:val="both"/>
        <w:ind w:firstLine="656"/>
        <w:spacing w:after="0" w:line="266" w:lineRule="auto"/>
        <w:tabs>
          <w:tab w:leader="none" w:pos="1126" w:val="left"/>
        </w:tabs>
        <w:numPr>
          <w:ilvl w:val="0"/>
          <w:numId w:val="142"/>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so long as no Event of Default exists immediately after giving effect to such investment, investments in Unrestricted Subsidiaries in an aggregate amount not to exceed $15,000,000 in any fiscal year of the Borrower; provided that no other clause of this Section 6.04 may be used to make investments in Unrestricted Subsidiaries.</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010000"/>
        </w:rPr>
        <w:t xml:space="preserve">SECTION 6.05. </w:t>
      </w:r>
      <w:r>
        <w:rPr>
          <w:rFonts w:ascii="Times New Roman" w:cs="Times New Roman" w:eastAsia="Times New Roman" w:hAnsi="Times New Roman"/>
          <w:sz w:val="19"/>
          <w:szCs w:val="19"/>
          <w:u w:val="single" w:color="auto"/>
          <w:color w:val="000000"/>
        </w:rPr>
        <w:t>Asset Sales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Dispose of any asset, including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Equity Interest owned by it, nor will the Borrower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to issue any additional Equity Interest in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(other than to the Borrower or another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in compliance with Section 6.04), except:</w:t>
      </w:r>
    </w:p>
    <w:p>
      <w:pPr>
        <w:spacing w:after="0" w:line="178" w:lineRule="exact"/>
        <w:rPr>
          <w:sz w:val="20"/>
          <w:szCs w:val="20"/>
          <w:color w:val="auto"/>
        </w:rPr>
      </w:pPr>
    </w:p>
    <w:p>
      <w:pPr>
        <w:ind w:firstLine="656"/>
        <w:spacing w:after="0" w:line="280" w:lineRule="auto"/>
        <w:tabs>
          <w:tab w:leader="none" w:pos="1081"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Dispositions of (i) Inventory in the ordinary course of business and (ii) used, obsolete, worn out or surplus equipment or property in the ordinary course of business;</w:t>
      </w:r>
    </w:p>
    <w:p>
      <w:pPr>
        <w:spacing w:after="0" w:line="151"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20"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Dispositions of assets to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Dispositions involving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shall be made in compliance with Section 6.09 and (ii) the aggregate fair market value of all assets Disposed by Loan Parties to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that are not Loan Parties during the term of this Agreement shall not exceed $5,000,000;</w:t>
      </w:r>
    </w:p>
    <w:p>
      <w:pPr>
        <w:spacing w:after="0" w:line="178" w:lineRule="exact"/>
        <w:rPr>
          <w:rFonts w:ascii="Times New Roman" w:cs="Times New Roman" w:eastAsia="Times New Roman" w:hAnsi="Times New Roman"/>
          <w:sz w:val="19"/>
          <w:szCs w:val="19"/>
          <w:color w:val="010000"/>
        </w:rPr>
      </w:pPr>
    </w:p>
    <w:p>
      <w:pPr>
        <w:ind w:firstLine="656"/>
        <w:spacing w:after="0" w:line="280" w:lineRule="auto"/>
        <w:tabs>
          <w:tab w:leader="none" w:pos="1158"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Dispositions of Accounts (excluding Dispositions in a factoring arrangement) in connection with the compromise, settlement or collection thereof;</w:t>
      </w:r>
    </w:p>
    <w:p>
      <w:pPr>
        <w:spacing w:after="0" w:line="151" w:lineRule="exact"/>
        <w:rPr>
          <w:rFonts w:ascii="Times New Roman" w:cs="Times New Roman" w:eastAsia="Times New Roman" w:hAnsi="Times New Roman"/>
          <w:sz w:val="19"/>
          <w:szCs w:val="19"/>
          <w:color w:val="010000"/>
        </w:rPr>
      </w:pPr>
    </w:p>
    <w:p>
      <w:pPr>
        <w:ind w:firstLine="656"/>
        <w:spacing w:after="0" w:line="280" w:lineRule="auto"/>
        <w:tabs>
          <w:tab w:leader="none" w:pos="1100"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Dispositions of cash, Permitted Investments and other investments permitted by clauses (i) and (k) of Section 6.04 to the extent not otherwise prohibited by the terms of this Agreement or the other Loan Documents;</w:t>
      </w:r>
    </w:p>
    <w:p>
      <w:pPr>
        <w:spacing w:after="0" w:line="165"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Sale and Leaseback Transactions permitted by Section 6.06;</w:t>
      </w:r>
    </w:p>
    <w:p>
      <w:pPr>
        <w:spacing w:after="0" w:line="227" w:lineRule="exact"/>
        <w:rPr>
          <w:rFonts w:ascii="Times New Roman" w:cs="Times New Roman" w:eastAsia="Times New Roman" w:hAnsi="Times New Roman"/>
          <w:sz w:val="19"/>
          <w:szCs w:val="19"/>
          <w:color w:val="010000"/>
        </w:rPr>
      </w:pPr>
    </w:p>
    <w:p>
      <w:pPr>
        <w:ind w:firstLine="656"/>
        <w:spacing w:after="0" w:line="280" w:lineRule="auto"/>
        <w:tabs>
          <w:tab w:leader="none" w:pos="1211"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Dispositions resulting from any casualty or other insured damage to, or any taking under power of eminent domain or by condemnation or similar proceeding of, any property or asset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51"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transactions permitted by Section 6.03(a);</w:t>
      </w:r>
    </w:p>
    <w:p>
      <w:pPr>
        <w:spacing w:after="0" w:line="227" w:lineRule="exact"/>
        <w:rPr>
          <w:rFonts w:ascii="Times New Roman" w:cs="Times New Roman" w:eastAsia="Times New Roman" w:hAnsi="Times New Roman"/>
          <w:sz w:val="19"/>
          <w:szCs w:val="19"/>
          <w:color w:val="010000"/>
        </w:rPr>
      </w:pPr>
    </w:p>
    <w:p>
      <w:pPr>
        <w:jc w:val="both"/>
        <w:ind w:firstLine="656"/>
        <w:spacing w:after="0" w:line="261" w:lineRule="auto"/>
        <w:tabs>
          <w:tab w:leader="none" w:pos="1115"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so long as at the time of making such Disposition no Event of Default then exists or would result therefrom, other Dispositions of assets (other than Equity Interests in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unless all Equity Interests in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are sold) that are not permitted by any other clause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fair market value of all assets Disposed of in reliance upon this paragraph (h) shall not exceed $1,000,000 during any fiscal year of the Borrower;</w:t>
      </w:r>
    </w:p>
    <w:p>
      <w:pPr>
        <w:spacing w:after="0" w:line="170"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46"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sale or issuance of the Equity Interests of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 to the Borrower or any other Loan Party, (ii) by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to another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is not a Loan Party or (iii) in connection with any transaction that does not result in a Change in Control;</w:t>
      </w:r>
    </w:p>
    <w:p>
      <w:pPr>
        <w:spacing w:after="0" w:line="178"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non-exclusive licensing of patents, trademarks, copyrights, and other intellectual property rights in the ordinary course of business;</w:t>
      </w:r>
    </w:p>
    <w:p>
      <w:pPr>
        <w:spacing w:after="0" w:line="238" w:lineRule="exact"/>
        <w:rPr>
          <w:rFonts w:ascii="Times New Roman" w:cs="Times New Roman" w:eastAsia="Times New Roman" w:hAnsi="Times New Roman"/>
          <w:sz w:val="18"/>
          <w:szCs w:val="18"/>
          <w:color w:val="010000"/>
        </w:rPr>
      </w:pPr>
    </w:p>
    <w:p>
      <w:pPr>
        <w:ind w:left="1060" w:hanging="404"/>
        <w:spacing w:after="0"/>
        <w:tabs>
          <w:tab w:leader="none" w:pos="1060"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leases or subleases of real property in the ordinary course of business;</w:t>
      </w:r>
    </w:p>
    <w:p>
      <w:pPr>
        <w:spacing w:after="0" w:line="213" w:lineRule="exact"/>
        <w:rPr>
          <w:rFonts w:ascii="Times New Roman" w:cs="Times New Roman" w:eastAsia="Times New Roman" w:hAnsi="Times New Roman"/>
          <w:sz w:val="19"/>
          <w:szCs w:val="19"/>
          <w:color w:val="010000"/>
        </w:rPr>
      </w:pPr>
    </w:p>
    <w:p>
      <w:pPr>
        <w:ind w:right="20" w:firstLine="656"/>
        <w:spacing w:after="0" w:line="280" w:lineRule="auto"/>
        <w:tabs>
          <w:tab w:leader="none" w:pos="1074"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constituting a Disposition, Restricted Payments permitted by Section 6.08, Investments permitted by Section 6.04 and Liens permitted by Section 6.02;</w:t>
      </w:r>
    </w:p>
    <w:p>
      <w:pPr>
        <w:spacing w:after="0" w:line="165" w:lineRule="exact"/>
        <w:rPr>
          <w:rFonts w:ascii="Times New Roman" w:cs="Times New Roman" w:eastAsia="Times New Roman" w:hAnsi="Times New Roman"/>
          <w:sz w:val="19"/>
          <w:szCs w:val="19"/>
          <w:color w:val="010000"/>
        </w:rPr>
      </w:pPr>
    </w:p>
    <w:p>
      <w:pPr>
        <w:ind w:firstLine="656"/>
        <w:spacing w:after="0" w:line="280" w:lineRule="auto"/>
        <w:tabs>
          <w:tab w:leader="none" w:pos="1234" w:val="left"/>
        </w:tabs>
        <w:numPr>
          <w:ilvl w:val="0"/>
          <w:numId w:val="1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sale or discount without recourse of accounts receivable arising in the ordinary course of business in connection with the compromise or collection thereof; </w:t>
      </w:r>
      <w:r>
        <w:rPr>
          <w:rFonts w:ascii="Times New Roman" w:cs="Times New Roman" w:eastAsia="Times New Roman" w:hAnsi="Times New Roman"/>
          <w:sz w:val="19"/>
          <w:szCs w:val="19"/>
          <w:color w:val="FF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09" w:right="339" w:bottom="1440" w:gutter="0" w:footer="0" w:header="0"/>
        </w:sectPr>
      </w:pPr>
    </w:p>
    <w:bookmarkStart w:id="131" w:name="page132"/>
    <w:bookmarkEnd w:id="131"/>
    <w:p>
      <w:pPr>
        <w:jc w:val="both"/>
        <w:ind w:firstLine="656"/>
        <w:spacing w:after="0" w:line="266" w:lineRule="auto"/>
        <w:tabs>
          <w:tab w:leader="none" w:pos="1171" w:val="left"/>
        </w:tabs>
        <w:numPr>
          <w:ilvl w:val="0"/>
          <w:numId w:val="1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abandonment, cancellation, non-renewal or discontinuance of use or maintenance of intellectual property (or rights relating thereto) of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the Borrower determines in good faith is desirable in the conduct of its business and not materially disadvantageous to the interests of the Lenders; </w:t>
      </w:r>
      <w:r>
        <w:rPr>
          <w:rFonts w:ascii="Times New Roman" w:cs="Times New Roman" w:eastAsia="Times New Roman" w:hAnsi="Times New Roman"/>
          <w:sz w:val="19"/>
          <w:szCs w:val="19"/>
          <w:color w:val="0000FF"/>
        </w:rPr>
        <w:t>and</w:t>
      </w:r>
    </w:p>
    <w:p>
      <w:pPr>
        <w:spacing w:after="0" w:line="164"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4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any issuance, sale or pledge of Equity Interests in an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-284480</wp:posOffset>
            </wp:positionV>
            <wp:extent cx="203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207" w:lineRule="exact"/>
        <w:rPr>
          <w:sz w:val="20"/>
          <w:szCs w:val="20"/>
          <w:color w:val="auto"/>
        </w:rPr>
      </w:pPr>
    </w:p>
    <w:p>
      <w:pPr>
        <w:ind w:left="1300" w:right="20"/>
        <w:spacing w:after="0" w:line="28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Dispositions permitted under clauses (a), (e), and (h) above shall be made for fair value and for at least 75% cash consideration.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0000FF"/>
        </w:rPr>
        <w:t>Notwithstanding the foregoing, no Loan Party nor any Restricted Subsidiary shall consummate any transaction that results in the Disposition (whether by way of any Restricted Payment, investment, Lien, sale, conveyance, transfer or other Disposition, and whether in a single transaction or a series of transactions) of intellectual property that is material to the business of the Borrower and its Restricted Subsidiaries to any Unrestricted Subsidiary.</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010000"/>
        </w:rPr>
        <w:t xml:space="preserve">SECTION 6.06. </w:t>
      </w:r>
      <w:r>
        <w:rPr>
          <w:rFonts w:ascii="Times New Roman" w:cs="Times New Roman" w:eastAsia="Times New Roman" w:hAnsi="Times New Roman"/>
          <w:sz w:val="18"/>
          <w:szCs w:val="18"/>
          <w:u w:val="single" w:color="auto"/>
          <w:color w:val="000000"/>
        </w:rPr>
        <w:t>Sale and Leaseback Transactions</w:t>
      </w:r>
      <w:r>
        <w:rPr>
          <w:rFonts w:ascii="Times New Roman" w:cs="Times New Roman" w:eastAsia="Times New Roman" w:hAnsi="Times New Roman"/>
          <w:sz w:val="18"/>
          <w:szCs w:val="18"/>
          <w:color w:val="000000"/>
        </w:rPr>
        <w:t>. No Loan Party will, nor will it permit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to, enter into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000000"/>
        </w:rPr>
        <w:t>Sale and Leaseback Transaction</w:t>
      </w:r>
      <w:r>
        <w:rPr>
          <w:rFonts w:ascii="Times New Roman" w:cs="Times New Roman" w:eastAsia="Times New Roman" w:hAnsi="Times New Roman"/>
          <w:sz w:val="18"/>
          <w:szCs w:val="18"/>
          <w:color w:val="000000"/>
        </w:rPr>
        <w:t xml:space="preserve">”), except for any such sale of any fixed or capital assets by the Borrower or any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000000"/>
        </w:rPr>
        <w:t xml:space="preserve"> Subsidiary that is made for cash consideration in an amount not less than the fair value of such fixed or capital asset and is consummated within 90 days after the Borrower or such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000000"/>
        </w:rPr>
        <w:t xml:space="preserve"> Subsidiary acquires or completes the construction of such fixed or capital asset.</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6.07. </w:t>
      </w:r>
      <w:r>
        <w:rPr>
          <w:rFonts w:ascii="Times New Roman" w:cs="Times New Roman" w:eastAsia="Times New Roman" w:hAnsi="Times New Roman"/>
          <w:sz w:val="19"/>
          <w:szCs w:val="19"/>
          <w:u w:val="single" w:color="auto"/>
          <w:color w:val="000000"/>
        </w:rPr>
        <w:t>Swap Agreements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enter into any Swap Agreement,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except (a) Swap Agreements entered into to hedge or mitigate risks to which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has actual exposure (other than those in respect of Equity Interests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6.08.</w:t>
      </w:r>
      <w:r>
        <w:rPr>
          <w:sz w:val="20"/>
          <w:szCs w:val="20"/>
          <w:color w:val="auto"/>
        </w:rPr>
        <w:tab/>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56"/>
        <w:spacing w:after="0" w:line="265" w:lineRule="auto"/>
        <w:tabs>
          <w:tab w:leader="none" w:pos="1047" w:val="left"/>
        </w:tabs>
        <w:numPr>
          <w:ilvl w:val="0"/>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will, nor will it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declare or make, or agree to declare or make, directly or indirectly, any Restricted Payment, or incur any obligation (contingent or otherwise) to do so, except:</w:t>
      </w:r>
    </w:p>
    <w:p>
      <w:pPr>
        <w:spacing w:after="0" w:line="179" w:lineRule="exact"/>
        <w:rPr>
          <w:rFonts w:ascii="Times New Roman" w:cs="Times New Roman" w:eastAsia="Times New Roman" w:hAnsi="Times New Roman"/>
          <w:sz w:val="19"/>
          <w:szCs w:val="19"/>
          <w:color w:val="010000"/>
        </w:rPr>
      </w:pPr>
    </w:p>
    <w:p>
      <w:pPr>
        <w:ind w:left="660" w:firstLine="644"/>
        <w:spacing w:after="0" w:line="280" w:lineRule="auto"/>
        <w:tabs>
          <w:tab w:leader="none" w:pos="1757"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declare and pay dividends with respect to its Equity Interests payable solely in additional shares of its Equity Interests (other than Disqualified Stock);</w:t>
      </w:r>
    </w:p>
    <w:p>
      <w:pPr>
        <w:spacing w:after="0" w:line="165"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may declare and pay dividends ratably with respect to their Equity Interests;</w:t>
      </w:r>
    </w:p>
    <w:p>
      <w:pPr>
        <w:spacing w:after="0" w:line="227"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may make Restricted Payments to any Loan Party;</w:t>
      </w:r>
    </w:p>
    <w:p>
      <w:pPr>
        <w:spacing w:after="0" w:line="213" w:lineRule="exact"/>
        <w:rPr>
          <w:rFonts w:ascii="Times New Roman" w:cs="Times New Roman" w:eastAsia="Times New Roman" w:hAnsi="Times New Roman"/>
          <w:sz w:val="19"/>
          <w:szCs w:val="19"/>
          <w:color w:val="010000"/>
        </w:rPr>
      </w:pPr>
    </w:p>
    <w:p>
      <w:pPr>
        <w:jc w:val="both"/>
        <w:ind w:left="660" w:firstLine="644"/>
        <w:spacing w:after="0" w:line="266" w:lineRule="auto"/>
        <w:tabs>
          <w:tab w:leader="none" w:pos="1839"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so long as at the time of making such Restricted Payment no Event of Default then exists or would result therefrom, the Borrower may make Restricted Payments, not exceeding $5,000,000 during any fiscal year to repurchase equity interest from present or former officers, directors or employees of any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w:t>
      </w:r>
    </w:p>
    <w:p>
      <w:pPr>
        <w:spacing w:after="0" w:line="178" w:lineRule="exact"/>
        <w:rPr>
          <w:rFonts w:ascii="Times New Roman" w:cs="Times New Roman" w:eastAsia="Times New Roman" w:hAnsi="Times New Roman"/>
          <w:sz w:val="19"/>
          <w:szCs w:val="19"/>
          <w:color w:val="010000"/>
        </w:rPr>
      </w:pPr>
    </w:p>
    <w:p>
      <w:pPr>
        <w:ind w:left="660" w:firstLine="644"/>
        <w:spacing w:after="0" w:line="280" w:lineRule="auto"/>
        <w:tabs>
          <w:tab w:leader="none" w:pos="1850" w:val="left"/>
        </w:tabs>
        <w:numPr>
          <w:ilvl w:val="1"/>
          <w:numId w:val="1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Loan Party may repurchase its Equity Interests and/or purchase Equity Interests from present or former officers, directors or employees, consultants, advisors, or other service providers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09" w:right="339" w:bottom="1440" w:gutter="0" w:footer="0" w:header="0"/>
        </w:sectPr>
      </w:pPr>
    </w:p>
    <w:bookmarkStart w:id="132" w:name="page133"/>
    <w:bookmarkEnd w:id="132"/>
    <w:p>
      <w:pPr>
        <w:jc w:val="both"/>
        <w:ind w:left="660"/>
        <w:spacing w:after="0" w:line="252" w:lineRule="auto"/>
        <w:rPr>
          <w:sz w:val="20"/>
          <w:szCs w:val="20"/>
          <w:color w:val="auto"/>
        </w:rPr>
      </w:pPr>
      <w:r>
        <w:rPr>
          <w:rFonts w:ascii="Times New Roman" w:cs="Times New Roman" w:eastAsia="Times New Roman" w:hAnsi="Times New Roman"/>
          <w:sz w:val="19"/>
          <w:szCs w:val="19"/>
          <w:color w:val="auto"/>
        </w:rPr>
        <w:t xml:space="preserve">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(but excluding equity investment firms) (each a “</w:t>
      </w:r>
      <w:r>
        <w:rPr>
          <w:rFonts w:ascii="Times New Roman" w:cs="Times New Roman" w:eastAsia="Times New Roman" w:hAnsi="Times New Roman"/>
          <w:sz w:val="19"/>
          <w:szCs w:val="19"/>
          <w:u w:val="single" w:color="auto"/>
          <w:color w:val="auto"/>
        </w:rPr>
        <w:t>Share Repurchase</w:t>
      </w:r>
      <w:r>
        <w:rPr>
          <w:rFonts w:ascii="Times New Roman" w:cs="Times New Roman" w:eastAsia="Times New Roman" w:hAnsi="Times New Roman"/>
          <w:sz w:val="19"/>
          <w:szCs w:val="19"/>
          <w:color w:val="auto"/>
        </w:rPr>
        <w:t>”) so long as immediately after giving effect to any such Share Repurchase, (i) the Total Net Leverage Ratio is less than 2.50 to 1.00, (ii), the aggregate amount of Liquidity is equal to or greater than $50,000,000, (iii) the Borrower is (A) in pro forma compliance with the financial covenants in Section 6.12 as of the most recently ended fiscal quarter for which financial statements were required to be delivered, and (B) projected to be in compliance with the financial covenants in Section 6.12 for the twelve (12) month period thereafter, in each case based on financial statements and projections delivered to the Administrative Agent which give effect, on a pro forma basis, to such Share Repurchase and</w:t>
      </w:r>
    </w:p>
    <w:p>
      <w:pPr>
        <w:spacing w:after="0" w:line="2" w:lineRule="exact"/>
        <w:rPr>
          <w:sz w:val="20"/>
          <w:szCs w:val="20"/>
          <w:color w:val="auto"/>
        </w:rPr>
      </w:pPr>
    </w:p>
    <w:p>
      <w:pPr>
        <w:ind w:left="980" w:hanging="324"/>
        <w:spacing w:after="0"/>
        <w:tabs>
          <w:tab w:leader="none" w:pos="98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of Default then exists or would result therefrom;</w:t>
      </w:r>
    </w:p>
    <w:p>
      <w:pPr>
        <w:spacing w:after="0" w:line="212" w:lineRule="exact"/>
        <w:rPr>
          <w:rFonts w:ascii="Times New Roman" w:cs="Times New Roman" w:eastAsia="Times New Roman" w:hAnsi="Times New Roman"/>
          <w:sz w:val="19"/>
          <w:szCs w:val="19"/>
          <w:color w:val="auto"/>
        </w:rPr>
      </w:pPr>
    </w:p>
    <w:p>
      <w:pPr>
        <w:jc w:val="both"/>
        <w:ind w:left="660" w:firstLine="644"/>
        <w:spacing w:after="0" w:line="255" w:lineRule="auto"/>
        <w:tabs>
          <w:tab w:leader="none" w:pos="1806"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 each Loan Party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may make repurchases of Equity Interests deemed to occur upon exercise of stock options or warrants if such repurchased Equity Interests represents a portion of the exercise price of such options or warrants, and (ii) each Loan Party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may make repurchases of Equity Interests deemed to occur upon the withholding of a portion of the Equity Interests issued, granted or awarded to a current or former officer, director, employee or consultant to pay for the taxes payable by such Person upon such issuance, grant or award (or upon vesting thereof);</w:t>
      </w:r>
    </w:p>
    <w:p>
      <w:pPr>
        <w:spacing w:after="0" w:line="189" w:lineRule="exact"/>
        <w:rPr>
          <w:rFonts w:ascii="Times New Roman" w:cs="Times New Roman" w:eastAsia="Times New Roman" w:hAnsi="Times New Roman"/>
          <w:sz w:val="19"/>
          <w:szCs w:val="19"/>
          <w:color w:val="010000"/>
        </w:rPr>
      </w:pPr>
    </w:p>
    <w:p>
      <w:pPr>
        <w:jc w:val="both"/>
        <w:ind w:left="660" w:firstLine="644"/>
        <w:spacing w:after="0" w:line="258" w:lineRule="auto"/>
        <w:tabs>
          <w:tab w:leader="none" w:pos="1863"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Loan Party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may purchase, redeem or otherwise acquire Equity Interests issued by it solely with the proceeds received from the substantially concurrent issue of new shares of its Equity Interests (other than Disqualified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issuance is otherwise permitted hereunder;</w:t>
      </w:r>
    </w:p>
    <w:p>
      <w:pPr>
        <w:spacing w:after="0" w:line="186" w:lineRule="exact"/>
        <w:rPr>
          <w:rFonts w:ascii="Times New Roman" w:cs="Times New Roman" w:eastAsia="Times New Roman" w:hAnsi="Times New Roman"/>
          <w:sz w:val="19"/>
          <w:szCs w:val="19"/>
          <w:color w:val="010000"/>
        </w:rPr>
      </w:pPr>
    </w:p>
    <w:p>
      <w:pPr>
        <w:ind w:left="660" w:firstLine="644"/>
        <w:spacing w:after="0" w:line="280" w:lineRule="auto"/>
        <w:tabs>
          <w:tab w:leader="none" w:pos="1875"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deliver its common Equity Interests upon conversion of any convertible Indebtedness having been issued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is otherwise permitted by Section 6.01;</w:t>
      </w:r>
    </w:p>
    <w:p>
      <w:pPr>
        <w:spacing w:after="0" w:line="165" w:lineRule="exact"/>
        <w:rPr>
          <w:rFonts w:ascii="Times New Roman" w:cs="Times New Roman" w:eastAsia="Times New Roman" w:hAnsi="Times New Roman"/>
          <w:sz w:val="19"/>
          <w:szCs w:val="19"/>
          <w:color w:val="010000"/>
        </w:rPr>
      </w:pPr>
    </w:p>
    <w:p>
      <w:pPr>
        <w:ind w:left="660" w:firstLine="644"/>
        <w:spacing w:after="0" w:line="265" w:lineRule="auto"/>
        <w:tabs>
          <w:tab w:leader="none" w:pos="1798"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deliver its common Equity Interests in connection with the exercise of stock options, warrants, restricted stock units or other equity awards by way of cashless exercise; and</w:t>
      </w:r>
    </w:p>
    <w:p>
      <w:pPr>
        <w:spacing w:after="0" w:line="179" w:lineRule="exact"/>
        <w:rPr>
          <w:rFonts w:ascii="Times New Roman" w:cs="Times New Roman" w:eastAsia="Times New Roman" w:hAnsi="Times New Roman"/>
          <w:sz w:val="19"/>
          <w:szCs w:val="19"/>
          <w:color w:val="010000"/>
        </w:rPr>
      </w:pPr>
    </w:p>
    <w:p>
      <w:pPr>
        <w:ind w:left="660" w:firstLine="644"/>
        <w:spacing w:after="0" w:line="280" w:lineRule="auto"/>
        <w:tabs>
          <w:tab w:leader="none" w:pos="1728" w:val="left"/>
        </w:tabs>
        <w:numPr>
          <w:ilvl w:val="1"/>
          <w:numId w:val="1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so long as no Event of Default exists or would result therefrom, the Borrower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may make other Restricted Payments in an aggregate amount not exceeding $2,500,000 in any fiscal year of the Borrower.</w:t>
      </w:r>
    </w:p>
    <w:p>
      <w:pPr>
        <w:spacing w:after="0" w:line="165" w:lineRule="exact"/>
        <w:rPr>
          <w:sz w:val="20"/>
          <w:szCs w:val="20"/>
          <w:color w:val="auto"/>
        </w:rPr>
      </w:pPr>
    </w:p>
    <w:p>
      <w:pPr>
        <w:jc w:val="both"/>
        <w:ind w:firstLine="656"/>
        <w:spacing w:after="0" w:line="255" w:lineRule="auto"/>
        <w:tabs>
          <w:tab w:leader="none" w:pos="1074" w:val="left"/>
        </w:tabs>
        <w:numPr>
          <w:ilvl w:val="0"/>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Loan Party will, nor will it permit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make or agree to pay or make, directly or indirectly, any payment or other distribution (whether in cash, securities or other property) of or in respect of principal of or interest on any Indebtedness (including any earn-out, seller debt or deferred purchase price payments),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89" w:lineRule="exact"/>
        <w:rPr>
          <w:rFonts w:ascii="Times New Roman" w:cs="Times New Roman" w:eastAsia="Times New Roman" w:hAnsi="Times New Roman"/>
          <w:sz w:val="19"/>
          <w:szCs w:val="19"/>
          <w:color w:val="010000"/>
        </w:rPr>
      </w:pPr>
    </w:p>
    <w:p>
      <w:pPr>
        <w:ind w:left="1680" w:hanging="376"/>
        <w:spacing w:after="0"/>
        <w:tabs>
          <w:tab w:leader="none" w:pos="1680" w:val="left"/>
        </w:tabs>
        <w:numPr>
          <w:ilvl w:val="1"/>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payment of Indebtedness created under the Loan Documents;</w:t>
      </w:r>
    </w:p>
    <w:p>
      <w:pPr>
        <w:spacing w:after="0" w:line="227" w:lineRule="exact"/>
        <w:rPr>
          <w:rFonts w:ascii="Times New Roman" w:cs="Times New Roman" w:eastAsia="Times New Roman" w:hAnsi="Times New Roman"/>
          <w:sz w:val="19"/>
          <w:szCs w:val="19"/>
          <w:color w:val="010000"/>
        </w:rPr>
      </w:pPr>
    </w:p>
    <w:p>
      <w:pPr>
        <w:ind w:left="660" w:firstLine="644"/>
        <w:spacing w:after="0" w:line="265" w:lineRule="auto"/>
        <w:tabs>
          <w:tab w:leader="none" w:pos="1784" w:val="left"/>
        </w:tabs>
        <w:numPr>
          <w:ilvl w:val="1"/>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payment of regularly scheduled interest and principal payments as and when due in respect of any Indebtedness permitted under Section 6.01, other than payments in respect of Subordinated Indebtedness prohibited by the subordination provisions thereof;</w:t>
      </w:r>
    </w:p>
    <w:p>
      <w:pPr>
        <w:spacing w:after="0" w:line="179" w:lineRule="exact"/>
        <w:rPr>
          <w:rFonts w:ascii="Times New Roman" w:cs="Times New Roman" w:eastAsia="Times New Roman" w:hAnsi="Times New Roman"/>
          <w:sz w:val="19"/>
          <w:szCs w:val="19"/>
          <w:color w:val="010000"/>
        </w:rPr>
      </w:pPr>
    </w:p>
    <w:p>
      <w:pPr>
        <w:ind w:left="1780" w:hanging="476"/>
        <w:spacing w:after="0"/>
        <w:tabs>
          <w:tab w:leader="none" w:pos="1780" w:val="left"/>
        </w:tabs>
        <w:numPr>
          <w:ilvl w:val="1"/>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refinancings of Indebtedness to the extent permitted by Section 6.01;</w:t>
      </w:r>
    </w:p>
    <w:p>
      <w:pPr>
        <w:spacing w:after="0" w:line="227" w:lineRule="exact"/>
        <w:rPr>
          <w:rFonts w:ascii="Times New Roman" w:cs="Times New Roman" w:eastAsia="Times New Roman" w:hAnsi="Times New Roman"/>
          <w:sz w:val="19"/>
          <w:szCs w:val="19"/>
          <w:color w:val="010000"/>
        </w:rPr>
      </w:pPr>
    </w:p>
    <w:p>
      <w:pPr>
        <w:ind w:left="660" w:right="20" w:firstLine="644"/>
        <w:spacing w:after="0" w:line="280" w:lineRule="auto"/>
        <w:tabs>
          <w:tab w:leader="none" w:pos="1853" w:val="left"/>
        </w:tabs>
        <w:numPr>
          <w:ilvl w:val="1"/>
          <w:numId w:val="1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payment of secured Indebtedness that becomes due as a result of the voluntary sale or transfer of the property or assets securing such Indebtedness to the extent such sale or transfer is permitted by the terms of Section 6.05;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09" w:right="339" w:bottom="1440" w:gutter="0" w:footer="0" w:header="0"/>
        </w:sectPr>
      </w:pPr>
    </w:p>
    <w:bookmarkStart w:id="133" w:name="page134"/>
    <w:bookmarkEnd w:id="133"/>
    <w:p>
      <w:pPr>
        <w:jc w:val="both"/>
        <w:ind w:left="660" w:firstLine="644"/>
        <w:spacing w:after="0" w:line="255" w:lineRule="auto"/>
        <w:tabs>
          <w:tab w:leader="none" w:pos="1764" w:val="left"/>
        </w:tabs>
        <w:numPr>
          <w:ilvl w:val="0"/>
          <w:numId w:val="1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Loan Parties and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may make payments in respect of any earn-out obligation, seller debt or other deferred purchase price payments (A) so long as immediately after giving effect to any such payment, no Event of Default exists and the Borrower is in pro forma compliance with the financial covenants in Section 6.12 as of the most recently ended fiscal quarter for which financial statements were required to be delivered or (B) solely with the proceeds received from the substantially concurrent issue of new shares of its Equity Interests (other than Disqualified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issuance is otherwise permitted hereunder.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010000"/>
        </w:rPr>
        <w:t xml:space="preserve">SECTION 6.09. </w:t>
      </w:r>
      <w:r>
        <w:rPr>
          <w:rFonts w:ascii="Times New Roman" w:cs="Times New Roman" w:eastAsia="Times New Roman" w:hAnsi="Times New Roman"/>
          <w:sz w:val="19"/>
          <w:szCs w:val="19"/>
          <w:u w:val="single" w:color="auto"/>
          <w:color w:val="000000"/>
        </w:rPr>
        <w:t>Transactions with Affiliates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sell, lease or otherwise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transfer material property or assets to, or purchase, lease or otherwise acquire material property or assets from, or otherwise engage in any other material transactions with, any of its Affiliates, except (a) transactions that (i) are in the ordinary course of business and (ii) are at prices and on terms and conditions not less favorable to such Loan Party or such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than could be obtained on an arm’s-length basis from unrelated third parties, (b) transactions between or among the Loan Parties not involving any other Affiliate, (c) any investment permitted by Sections 6.04(c) or 6.04(d), (d) any Indebtedness permitted under Section 6.01(c), (e) any Restricted Payment permitted by Section 6.08, (f) loans or advances to employees permitted under Section 6.04(f), (g) the payment of reasonable fees to directors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who are not employees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and compensation and employee benefit arrangements paid to, and indemnities provided for the benefit of, directors, officers or employees of the Borrower or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equity (other than Disqualified Stock) or debt financings with the Borrower’s investors so long as any such debt financings constitute Subordinated Indebtedness permitted by this Agreement.</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010000"/>
        </w:rPr>
        <w:t xml:space="preserve">SECTION 6.10. </w:t>
      </w:r>
      <w:r>
        <w:rPr>
          <w:rFonts w:ascii="Times New Roman" w:cs="Times New Roman" w:eastAsia="Times New Roman" w:hAnsi="Times New Roman"/>
          <w:sz w:val="19"/>
          <w:szCs w:val="19"/>
          <w:u w:val="single" w:color="auto"/>
          <w:color w:val="000000"/>
        </w:rPr>
        <w:t>Restrictive Agreements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directly or indirectly enter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into, incur or permit to exist any agreement or other arrangement that prohibits, restricts or imposes any condition upon (a) the ability of such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to create, incur or permit to exist any Lien upon any of its property or assets, or (b) the ability of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to pay dividends or other distributions with respect to any Equity Interests or to make or repay loans or advances to the Borrower or any 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or to Guarantee Indebtedness of the Borrower or any other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 the foregoing shall not apply to restrictions and conditions imposed by any applicable law or by any Loan Document, (ii) the foregoing shall not apply to restrictions and conditions existing on the date hereof identified on </w:t>
      </w:r>
      <w:r>
        <w:rPr>
          <w:rFonts w:ascii="Times New Roman" w:cs="Times New Roman" w:eastAsia="Times New Roman" w:hAnsi="Times New Roman"/>
          <w:sz w:val="19"/>
          <w:szCs w:val="19"/>
          <w:u w:val="single" w:color="auto"/>
          <w:color w:val="000000"/>
        </w:rPr>
        <w:t>Schedule 6.10</w:t>
      </w:r>
      <w:r>
        <w:rPr>
          <w:rFonts w:ascii="Times New Roman" w:cs="Times New Roman" w:eastAsia="Times New Roman" w:hAnsi="Times New Roman"/>
          <w:sz w:val="19"/>
          <w:szCs w:val="19"/>
          <w:color w:val="000000"/>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assets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pending such sale, provided such restrictions and conditions apply only to such assets or the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00"/>
        </w:rPr>
        <w:t xml:space="preserv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6.11. </w:t>
      </w:r>
      <w:r>
        <w:rPr>
          <w:rFonts w:ascii="Times New Roman" w:cs="Times New Roman" w:eastAsia="Times New Roman" w:hAnsi="Times New Roman"/>
          <w:sz w:val="19"/>
          <w:szCs w:val="19"/>
          <w:u w:val="single" w:color="auto"/>
          <w:color w:val="000000"/>
        </w:rPr>
        <w:t>Amendment of Material Documents</w:t>
      </w:r>
      <w:r>
        <w:rPr>
          <w:rFonts w:ascii="Times New Roman" w:cs="Times New Roman" w:eastAsia="Times New Roman" w:hAnsi="Times New Roman"/>
          <w:sz w:val="19"/>
          <w:szCs w:val="19"/>
          <w:color w:val="000000"/>
        </w:rPr>
        <w:t>. No Loan Party will, nor will it permit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Subsidiary to, amend, modify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waive any of its rights under (a) any agreement relating to any Subordinated Indebtedness, or (b) its charter, articles or certificate of organization or incorporation and bylaws or operating, management or partnership agreement, or other organizational or governing documents, in each case, to the extent any such amendment, modification or waiver would be materially adverse to the Lenders (as reasonably determined by the Administrative Agent).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6.12.</w:t>
      </w:r>
      <w:r>
        <w:rPr>
          <w:sz w:val="20"/>
          <w:szCs w:val="20"/>
          <w:color w:val="auto"/>
        </w:rPr>
        <w:tab/>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09" w:right="339" w:bottom="1440" w:gutter="0" w:footer="0" w:header="0"/>
        </w:sectPr>
      </w:pPr>
    </w:p>
    <w:bookmarkStart w:id="134" w:name="page135"/>
    <w:bookmarkEnd w:id="134"/>
    <w:p>
      <w:pPr>
        <w:jc w:val="both"/>
        <w:ind w:firstLine="656"/>
        <w:spacing w:after="0" w:line="252" w:lineRule="auto"/>
        <w:tabs>
          <w:tab w:leader="none" w:pos="1182" w:val="left"/>
        </w:tabs>
        <w:numPr>
          <w:ilvl w:val="0"/>
          <w:numId w:val="1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xml:space="preserve">. The Borrower will not permit the Total Net Leverage Ratio, on the last day of any fiscal quarter, commencing with the fiscal quarter ending on December 31, 2023, to be greater than 3.00 to 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so long as no Event of Default exists at such time or would result therefrom, the Borrower may elect to increase the maximum Total Net Leverage Ratio permitted under this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to 3.50 to 1.00 for a period of up to four (4) consecutive fiscal quarters, as specified by the Borrower, in connection with a Material Acquisition consummated during the first fiscal quarter of such specified period (each such specified period of consecutive fiscal quarters, an “</w:t>
      </w:r>
      <w:r>
        <w:rPr>
          <w:rFonts w:ascii="Times New Roman" w:cs="Times New Roman" w:eastAsia="Times New Roman" w:hAnsi="Times New Roman"/>
          <w:sz w:val="19"/>
          <w:szCs w:val="19"/>
          <w:u w:val="single" w:color="auto"/>
          <w:color w:val="auto"/>
        </w:rPr>
        <w:t>Adjusted Covenant Period</w:t>
      </w:r>
      <w:r>
        <w:rPr>
          <w:rFonts w:ascii="Times New Roman" w:cs="Times New Roman" w:eastAsia="Times New Roman" w:hAnsi="Times New Roman"/>
          <w:sz w:val="19"/>
          <w:szCs w:val="19"/>
          <w:color w:val="auto"/>
        </w:rPr>
        <w:t>”) and (y) notwithstanding the foregoing clause (x), the Borrower may not elect a new Adjusted Covenant Period for at least one (1) full fiscal quarter following the end of another Adjusted Covenant Period. Any such election must be made in writing to the Administrative Agent within fifteen (15) Business Days of the consummation of such Material Acquisition, and shall specify the number of fiscal quarters (between one (1) and four (4)) for which the Adjusted Covenant Period will apply following the Material Acquisition; provided that to the extent the Borrower initially elects for the Adjusted Covenant Period to apply for less than four (4) fiscal quarters, the Borrower may subsequently elect to extend the Adjusted Covenant Period for additional, consecutive fiscal quarters (not to exceed four (4) fiscal quarters from the date of the Material Acquisition), by delivering written notice of such extension to the Administrative Agent at least fifteen (15) Business Days prior to the end of the initially specified Adjusted Covenant Period.</w:t>
      </w:r>
    </w:p>
    <w:p>
      <w:pPr>
        <w:spacing w:after="0" w:line="176"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11" w:val="left"/>
        </w:tabs>
        <w:numPr>
          <w:ilvl w:val="0"/>
          <w:numId w:val="1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The Borrower will not permit the Fixed Charge Coverage Ratio, for any period of four consecutive fiscal quarters ending on the last day of any fiscal quarter, commencing with the fiscal quarter ending on December 31, 2023, to be less than 1.20 to 1.00.</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VII</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u w:val="single" w:color="auto"/>
          <w:color w:val="auto"/>
        </w:rPr>
        <w:t>Events of Default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any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occur:</w:t>
      </w:r>
    </w:p>
    <w:p>
      <w:pPr>
        <w:spacing w:after="0" w:line="214" w:lineRule="exact"/>
        <w:rPr>
          <w:sz w:val="20"/>
          <w:szCs w:val="20"/>
          <w:color w:val="auto"/>
        </w:rPr>
      </w:pPr>
    </w:p>
    <w:p>
      <w:pPr>
        <w:ind w:firstLine="656"/>
        <w:spacing w:after="0" w:line="280" w:lineRule="auto"/>
        <w:tabs>
          <w:tab w:leader="none" w:pos="1094"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fail to pay any principal of any Loan or any reimbursement obligation in respect of any LC Disbursement when and as the same shall become due and payable, whether at the due date thereof or otherwise;</w:t>
      </w:r>
    </w:p>
    <w:p>
      <w:pPr>
        <w:spacing w:after="0" w:line="165"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75"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64" w:lineRule="exact"/>
        <w:rPr>
          <w:rFonts w:ascii="Times New Roman" w:cs="Times New Roman" w:eastAsia="Times New Roman" w:hAnsi="Times New Roman"/>
          <w:sz w:val="19"/>
          <w:szCs w:val="19"/>
          <w:color w:val="010000"/>
        </w:rPr>
      </w:pPr>
    </w:p>
    <w:p>
      <w:pPr>
        <w:jc w:val="both"/>
        <w:ind w:firstLine="656"/>
        <w:spacing w:after="0" w:line="259" w:lineRule="auto"/>
        <w:tabs>
          <w:tab w:leader="none" w:pos="1150"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representation or warranty made or deemed made by or on behalf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71" w:lineRule="exact"/>
        <w:rPr>
          <w:rFonts w:ascii="Times New Roman" w:cs="Times New Roman" w:eastAsia="Times New Roman" w:hAnsi="Times New Roman"/>
          <w:sz w:val="19"/>
          <w:szCs w:val="19"/>
          <w:color w:val="010000"/>
        </w:rPr>
      </w:pPr>
    </w:p>
    <w:p>
      <w:pPr>
        <w:ind w:firstLine="656"/>
        <w:spacing w:after="0" w:line="280" w:lineRule="auto"/>
        <w:tabs>
          <w:tab w:leader="none" w:pos="1073"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shall fail to observe or perform any covenant, condition or agreement contained in Section 5.02(a), 5.03 (with respect to a Loan Party’s existence), 5.08 or 5.15, or in Article VI;</w:t>
      </w:r>
    </w:p>
    <w:p>
      <w:pPr>
        <w:spacing w:after="0" w:line="165"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85" w:val="left"/>
        </w:tabs>
        <w:numPr>
          <w:ilvl w:val="0"/>
          <w:numId w:val="1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shall fail to observe or perform any covenant, condition or agreement contained in this Agreement (other than those specified in clause (a), (b) or (d) of this Article) or any other Loan Document,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5.03 (other than with respect to a Loan Party’s existence) through 5.07, 5.10, 5.11 or 5.13 of this Agreement or (ii) fifteen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09" w:right="339" w:bottom="1440" w:gutter="0" w:footer="0" w:header="0"/>
        </w:sectPr>
      </w:pPr>
    </w:p>
    <w:bookmarkStart w:id="135" w:name="page136"/>
    <w:bookmarkEnd w:id="135"/>
    <w:p>
      <w:pPr>
        <w:jc w:val="both"/>
        <w:ind w:firstLine="8"/>
        <w:spacing w:after="0" w:line="266" w:lineRule="auto"/>
        <w:tabs>
          <w:tab w:leader="none" w:pos="373"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164" w:lineRule="exact"/>
        <w:rPr>
          <w:rFonts w:ascii="Times New Roman" w:cs="Times New Roman" w:eastAsia="Times New Roman" w:hAnsi="Times New Roman"/>
          <w:sz w:val="19"/>
          <w:szCs w:val="19"/>
          <w:color w:val="auto"/>
        </w:rPr>
      </w:pPr>
    </w:p>
    <w:p>
      <w:pPr>
        <w:ind w:firstLine="656"/>
        <w:spacing w:after="0" w:line="280" w:lineRule="auto"/>
        <w:tabs>
          <w:tab w:leader="none" w:pos="1140"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shall fail to make any payment (whether of principal or interest and regardless of amount), subject to any applicable grace periods, in respect of any Material Indebtedness, when and as the same shall become due and payable;</w:t>
      </w:r>
    </w:p>
    <w:p>
      <w:pPr>
        <w:spacing w:after="0" w:line="165" w:lineRule="exact"/>
        <w:rPr>
          <w:rFonts w:ascii="Times New Roman" w:cs="Times New Roman" w:eastAsia="Times New Roman" w:hAnsi="Times New Roman"/>
          <w:sz w:val="19"/>
          <w:szCs w:val="19"/>
          <w:color w:val="010000"/>
        </w:rPr>
      </w:pPr>
    </w:p>
    <w:p>
      <w:pPr>
        <w:jc w:val="both"/>
        <w:ind w:firstLine="656"/>
        <w:spacing w:after="0" w:line="273" w:lineRule="auto"/>
        <w:tabs>
          <w:tab w:leader="none" w:pos="1062" w:val="left"/>
        </w:tabs>
        <w:numPr>
          <w:ilvl w:val="1"/>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72" w:lineRule="exact"/>
        <w:rPr>
          <w:rFonts w:ascii="Times New Roman" w:cs="Times New Roman" w:eastAsia="Times New Roman" w:hAnsi="Times New Roman"/>
          <w:sz w:val="18"/>
          <w:szCs w:val="18"/>
          <w:color w:val="010000"/>
        </w:rPr>
      </w:pPr>
    </w:p>
    <w:p>
      <w:pPr>
        <w:jc w:val="both"/>
        <w:ind w:firstLine="656"/>
        <w:spacing w:after="0" w:line="254" w:lineRule="auto"/>
        <w:tabs>
          <w:tab w:leader="none" w:pos="1067"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 involuntary proceeding shall be commenced or an involuntary petition shall be filed seeking (i) liquidation, reorganization or other relief in respect of a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for a substantial part of its assets, and, in any such case, such proceeding or petition shall continue undismissed for sixty (60) days or an order or decree approving or ordering any of the foregoing shall be entered;</w:t>
      </w:r>
    </w:p>
    <w:p>
      <w:pPr>
        <w:spacing w:after="0" w:line="192"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069"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of any Loan Party or for a substantial part of its assets, (iv) file an answer admitting the material allegations of a petition filed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against it in any such proceeding, (v) make a general assignment for the benefit of creditors or (vi) take any action for the purpose of effecting any of the foregoing;</w:t>
      </w:r>
    </w:p>
    <w:p>
      <w:pPr>
        <w:spacing w:after="0" w:line="176" w:lineRule="exact"/>
        <w:rPr>
          <w:rFonts w:ascii="Times New Roman" w:cs="Times New Roman" w:eastAsia="Times New Roman" w:hAnsi="Times New Roman"/>
          <w:sz w:val="19"/>
          <w:szCs w:val="19"/>
          <w:color w:val="010000"/>
        </w:rPr>
      </w:pPr>
    </w:p>
    <w:p>
      <w:pPr>
        <w:ind w:left="1020" w:hanging="364"/>
        <w:spacing w:after="0"/>
        <w:tabs>
          <w:tab w:leader="none" w:pos="1020"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[reserved];</w:t>
      </w:r>
    </w:p>
    <w:p>
      <w:pPr>
        <w:spacing w:after="0" w:line="227" w:lineRule="exact"/>
        <w:rPr>
          <w:rFonts w:ascii="Times New Roman" w:cs="Times New Roman" w:eastAsia="Times New Roman" w:hAnsi="Times New Roman"/>
          <w:sz w:val="19"/>
          <w:szCs w:val="19"/>
          <w:color w:val="010000"/>
        </w:rPr>
      </w:pPr>
    </w:p>
    <w:p>
      <w:pPr>
        <w:jc w:val="both"/>
        <w:ind w:firstLine="656"/>
        <w:spacing w:after="0" w:line="254" w:lineRule="auto"/>
        <w:tabs>
          <w:tab w:leader="none" w:pos="1124"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one or more judgments for the payment of money in an aggregate amount in excess of $10,000,000 shall be rendered against any Loan Party,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combination thereof and the same shall remain undischarged for a period of forty-five (45) consecutive days during which execution shall not be effectively stayed, or any action shall be legally taken by a judgment creditor to attach or levy upon any assets of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to enforce any such judgment or any Loan Party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shall fail within forty-five (45)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90" w:lineRule="exact"/>
        <w:rPr>
          <w:rFonts w:ascii="Times New Roman" w:cs="Times New Roman" w:eastAsia="Times New Roman" w:hAnsi="Times New Roman"/>
          <w:sz w:val="19"/>
          <w:szCs w:val="19"/>
          <w:color w:val="010000"/>
        </w:rPr>
      </w:pPr>
    </w:p>
    <w:p>
      <w:pPr>
        <w:ind w:firstLine="656"/>
        <w:spacing w:after="0" w:line="280" w:lineRule="auto"/>
        <w:tabs>
          <w:tab w:leader="none" w:pos="1042"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ERISA Event shall have occurred that, when taken together with all other ERISA Events that have occurred, would reasonably be expected to result in a Material Adverse Effect;</w:t>
      </w:r>
    </w:p>
    <w:p>
      <w:pPr>
        <w:spacing w:after="0" w:line="151" w:lineRule="exact"/>
        <w:rPr>
          <w:rFonts w:ascii="Times New Roman" w:cs="Times New Roman" w:eastAsia="Times New Roman" w:hAnsi="Times New Roman"/>
          <w:sz w:val="19"/>
          <w:szCs w:val="19"/>
          <w:color w:val="010000"/>
        </w:rPr>
      </w:pPr>
    </w:p>
    <w:p>
      <w:pPr>
        <w:ind w:left="1120" w:hanging="464"/>
        <w:spacing w:after="0"/>
        <w:tabs>
          <w:tab w:leader="none" w:pos="1120"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Control shall occur;</w:t>
      </w:r>
    </w:p>
    <w:p>
      <w:pPr>
        <w:spacing w:after="0" w:line="227"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1"/>
          <w:numId w:val="1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09" w:right="339" w:bottom="1440" w:gutter="0" w:footer="0" w:header="0"/>
        </w:sectPr>
      </w:pPr>
    </w:p>
    <w:bookmarkStart w:id="136" w:name="page137"/>
    <w:bookmarkEnd w:id="136"/>
    <w:p>
      <w:pPr>
        <w:jc w:val="both"/>
        <w:ind w:firstLine="656"/>
        <w:spacing w:after="0" w:line="256" w:lineRule="auto"/>
        <w:tabs>
          <w:tab w:leader="none" w:pos="1072"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Guaranty shall fail to remain in full force or effect (other than pursuant to the terms hereof or thereof)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w:t>
      </w:r>
    </w:p>
    <w:p>
      <w:pPr>
        <w:spacing w:after="0" w:line="188"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99"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on any material portion of the Collateral;</w:t>
      </w:r>
    </w:p>
    <w:p>
      <w:pPr>
        <w:spacing w:after="0" w:line="178" w:lineRule="exact"/>
        <w:rPr>
          <w:rFonts w:ascii="Times New Roman" w:cs="Times New Roman" w:eastAsia="Times New Roman" w:hAnsi="Times New Roman"/>
          <w:sz w:val="19"/>
          <w:szCs w:val="19"/>
          <w:color w:val="010000"/>
        </w:rPr>
      </w:pPr>
    </w:p>
    <w:p>
      <w:pPr>
        <w:ind w:firstLine="656"/>
        <w:spacing w:after="0" w:line="265" w:lineRule="auto"/>
        <w:tabs>
          <w:tab w:leader="none" w:pos="1095"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Collateral Document shall fail to remain in full force or effect (other than pursuant to the terms hereof or thereof) or any action shall be taken to discontinue or to assert the invalidity or unenforceability of any Collateral Document; or</w:t>
      </w:r>
    </w:p>
    <w:p>
      <w:pPr>
        <w:spacing w:after="0" w:line="179" w:lineRule="exact"/>
        <w:rPr>
          <w:rFonts w:ascii="Times New Roman" w:cs="Times New Roman" w:eastAsia="Times New Roman" w:hAnsi="Times New Roman"/>
          <w:sz w:val="19"/>
          <w:szCs w:val="19"/>
          <w:color w:val="010000"/>
        </w:rPr>
      </w:pPr>
    </w:p>
    <w:p>
      <w:pPr>
        <w:jc w:val="both"/>
        <w:ind w:firstLine="656"/>
        <w:spacing w:after="0" w:line="261" w:lineRule="auto"/>
        <w:tabs>
          <w:tab w:leader="none" w:pos="1043" w:val="left"/>
        </w:tabs>
        <w:numPr>
          <w:ilvl w:val="0"/>
          <w:numId w:val="1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Revolving Commitments, whereupon the Revolving Commitments shall terminate immediately, (ii) declare the Loans then outstanding to be due and payable in whole (or in part, but ratably as among the Loans at the time outstanding, in which case any principal not so declared to be due and payable may thereafter be declared to be due and payable), whereupon the principal of the Loans so declared to be due and payable, together with accrued interest thereon and all fees and other Secured Obligations (including, for the avoidance of doubt, any break funding payment) accrued hereunder and under the other Loan Documents, shall become due and payable immediately, in each case without presentment, demand, protest or other notice of any kind, all of which are hereby waived by the Loan Parties, (iii) require cash collateral for the LC Exposure in accordance with Section 2.06(j) hereof and (iv) exercise all other rights and remedies of the Secured Parties under the Loan Documents and applicable law; and in the case of any event with respect to the Borrower described in clause (h) or (i) of this Article, the Revolving Commitments shall automatically terminate and the principal of the Loans then outstanding and cash collateral for the LC Exposure, together with accrued interest thereon and all fees and other Secured Obligations (including, for the avoidance of doubt, any break funding payment) accrued hereunder and under the other Loan Documents,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Loan Parties. Upon the occurrence and during the continuance of an Event of Default, the Administrative Agent may, and at the request of the Required Lenders shall, increase the rate of interest applicable to the Loans and other Obligations as set forth in Section 2.13(d) of this Agreement and exercise any rights and remedies provided to the Administrative Agent under the Loan Documents or at law or equity, including all remedies provided under the UCC.</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may in such circumstances forthwith collect, receive, appropriate and realize upon the Collateral, or any part thereof, or consent to the use by any Loan Party of any cash collateral arising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09" w:right="339" w:bottom="1440" w:gutter="0" w:footer="0" w:header="0"/>
        </w:sectPr>
      </w:pPr>
    </w:p>
    <w:bookmarkStart w:id="137" w:name="page138"/>
    <w:bookmarkEnd w:id="137"/>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The Borrower further agrees on behalf of itself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VIII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Administrative Agent</w:t>
      </w:r>
    </w:p>
    <w:p>
      <w:pPr>
        <w:spacing w:after="0" w:line="10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8.01.</w:t>
      </w:r>
      <w:r>
        <w:rPr>
          <w:sz w:val="20"/>
          <w:szCs w:val="20"/>
          <w:color w:val="auto"/>
        </w:rPr>
        <w:tab/>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083" w:val="left"/>
        </w:tabs>
        <w:numPr>
          <w:ilvl w:val="0"/>
          <w:numId w:val="1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9"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38" w:val="left"/>
        </w:tabs>
        <w:numPr>
          <w:ilvl w:val="0"/>
          <w:numId w:val="1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09" w:right="3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7" w:lineRule="exact"/>
        <w:rPr>
          <w:sz w:val="20"/>
          <w:szCs w:val="20"/>
          <w:color w:val="auto"/>
        </w:rPr>
      </w:pPr>
    </w:p>
    <w:p>
      <w:pPr>
        <w:jc w:val="both"/>
        <w:ind w:firstLine="656"/>
        <w:spacing w:after="0" w:line="266" w:lineRule="auto"/>
        <w:tabs>
          <w:tab w:leader="none" w:pos="1089"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78"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746" w:val="left"/>
        </w:tabs>
        <w:numPr>
          <w:ilvl w:val="1"/>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198" w:lineRule="exact"/>
        <w:rPr>
          <w:rFonts w:ascii="Times New Roman" w:cs="Times New Roman" w:eastAsia="Times New Roman" w:hAnsi="Times New Roman"/>
          <w:sz w:val="19"/>
          <w:szCs w:val="19"/>
          <w:color w:val="010000"/>
        </w:rPr>
      </w:pPr>
    </w:p>
    <w:p>
      <w:pPr>
        <w:ind w:firstLine="1304"/>
        <w:spacing w:after="0" w:line="280" w:lineRule="auto"/>
        <w:tabs>
          <w:tab w:leader="none" w:pos="1763" w:val="left"/>
        </w:tabs>
        <w:numPr>
          <w:ilvl w:val="1"/>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65"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160"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bad faith or willful misconduct in the selection of such sub-agent.</w:t>
      </w:r>
    </w:p>
    <w:p>
      <w:pPr>
        <w:spacing w:after="0" w:line="196"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62" w:val="left"/>
        </w:tabs>
        <w:numPr>
          <w:ilvl w:val="0"/>
          <w:numId w:val="1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Arranger shall have any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09" w:right="339" w:bottom="1440" w:gutter="0" w:footer="0" w:header="0"/>
        </w:sectPr>
      </w:pPr>
    </w:p>
    <w:bookmarkStart w:id="139" w:name="page140"/>
    <w:bookmarkEnd w:id="139"/>
    <w:p>
      <w:pPr>
        <w:jc w:val="both"/>
        <w:ind w:firstLine="656"/>
        <w:spacing w:after="0" w:line="255" w:lineRule="auto"/>
        <w:tabs>
          <w:tab w:leader="none" w:pos="1052" w:val="left"/>
        </w:tabs>
        <w:numPr>
          <w:ilvl w:val="0"/>
          <w:numId w:val="1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9" w:lineRule="exact"/>
        <w:rPr>
          <w:rFonts w:ascii="Times New Roman" w:cs="Times New Roman" w:eastAsia="Times New Roman" w:hAnsi="Times New Roman"/>
          <w:sz w:val="19"/>
          <w:szCs w:val="19"/>
          <w:color w:val="010000"/>
        </w:rPr>
      </w:pPr>
    </w:p>
    <w:p>
      <w:pPr>
        <w:jc w:val="both"/>
        <w:ind w:firstLine="1304"/>
        <w:spacing w:after="0" w:line="256" w:lineRule="auto"/>
        <w:tabs>
          <w:tab w:leader="none" w:pos="1725" w:val="left"/>
        </w:tabs>
        <w:numPr>
          <w:ilvl w:val="1"/>
          <w:numId w:val="1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88" w:lineRule="exact"/>
        <w:rPr>
          <w:rFonts w:ascii="Times New Roman" w:cs="Times New Roman" w:eastAsia="Times New Roman" w:hAnsi="Times New Roman"/>
          <w:sz w:val="19"/>
          <w:szCs w:val="19"/>
          <w:color w:val="010000"/>
        </w:rPr>
      </w:pPr>
    </w:p>
    <w:p>
      <w:pPr>
        <w:ind w:left="1720" w:hanging="416"/>
        <w:spacing w:after="0"/>
        <w:tabs>
          <w:tab w:leader="none" w:pos="1720" w:val="left"/>
        </w:tabs>
        <w:numPr>
          <w:ilvl w:val="1"/>
          <w:numId w:val="1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w:t>
      </w:r>
    </w:p>
    <w:p>
      <w:pPr>
        <w:spacing w:after="0" w:line="175" w:lineRule="exact"/>
        <w:rPr>
          <w:sz w:val="20"/>
          <w:szCs w:val="20"/>
          <w:color w:val="auto"/>
        </w:rPr>
      </w:pPr>
    </w:p>
    <w:p>
      <w:pPr>
        <w:jc w:val="both"/>
        <w:ind w:firstLine="656"/>
        <w:spacing w:after="0" w:line="259" w:lineRule="auto"/>
        <w:tabs>
          <w:tab w:leader="none" w:pos="1091" w:val="left"/>
        </w:tabs>
        <w:numPr>
          <w:ilvl w:val="0"/>
          <w:numId w:val="1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or any of their respective Affiliates, shall have any rights as a third party beneficiary under any such provisions. Each Secured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Party, whether or not a party hereto, will be deemed, by its acceptance of the benefits of the Collateral and of the Guarantees of the Secured Obligations provided under the Loan Documents, to have agreed to the provisions of this Article.</w:t>
      </w:r>
    </w:p>
    <w:p>
      <w:pPr>
        <w:spacing w:after="0" w:line="17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8.02.</w:t>
      </w:r>
      <w:r>
        <w:rPr>
          <w:sz w:val="20"/>
          <w:szCs w:val="20"/>
          <w:color w:val="auto"/>
        </w:rPr>
        <w:tab/>
      </w:r>
      <w:r>
        <w:rPr>
          <w:rFonts w:ascii="Times New Roman" w:cs="Times New Roman" w:eastAsia="Times New Roman" w:hAnsi="Times New Roman"/>
          <w:sz w:val="18"/>
          <w:szCs w:val="18"/>
          <w:color w:val="auto"/>
        </w:rPr>
        <w:t>Administrative Agent’s Reliance, Limitation of Liability, Indemnification, Etc.</w:t>
      </w:r>
    </w:p>
    <w:p>
      <w:pPr>
        <w:spacing w:after="0" w:line="227" w:lineRule="exact"/>
        <w:rPr>
          <w:sz w:val="20"/>
          <w:szCs w:val="20"/>
          <w:color w:val="auto"/>
        </w:rPr>
      </w:pPr>
    </w:p>
    <w:p>
      <w:pPr>
        <w:jc w:val="both"/>
        <w:ind w:firstLine="656"/>
        <w:spacing w:after="0" w:line="252" w:lineRule="auto"/>
        <w:tabs>
          <w:tab w:leader="none" w:pos="1076" w:val="left"/>
        </w:tabs>
        <w:numPr>
          <w:ilvl w:val="0"/>
          <w:numId w:val="1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bad faith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09" w:right="339" w:bottom="1440" w:gutter="0" w:footer="0" w:header="0"/>
        </w:sectPr>
      </w:pPr>
    </w:p>
    <w:bookmarkStart w:id="140" w:name="page141"/>
    <w:bookmarkEnd w:id="140"/>
    <w:p>
      <w:pPr>
        <w:jc w:val="both"/>
        <w:ind w:firstLine="656"/>
        <w:spacing w:after="0" w:line="265" w:lineRule="auto"/>
        <w:tabs>
          <w:tab w:leader="none" w:pos="1072"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(y)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 any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auto"/>
        </w:rPr>
        <w:t xml:space="preserve"> Subsidiary, any Lender or the Issuing Bank as a result of, any determination of any Revolving Exposure, any of the component amounts thereof or any portion thereof attributable to each Lender or the Issuing Bank.</w:t>
      </w:r>
    </w:p>
    <w:p>
      <w:pPr>
        <w:spacing w:after="0" w:line="189" w:lineRule="exact"/>
        <w:rPr>
          <w:rFonts w:ascii="Times New Roman" w:cs="Times New Roman" w:eastAsia="Times New Roman" w:hAnsi="Times New Roman"/>
          <w:sz w:val="18"/>
          <w:szCs w:val="18"/>
          <w:color w:val="010000"/>
        </w:rPr>
      </w:pPr>
    </w:p>
    <w:p>
      <w:pPr>
        <w:jc w:val="both"/>
        <w:ind w:firstLine="656"/>
        <w:spacing w:after="0" w:line="250" w:lineRule="auto"/>
        <w:tabs>
          <w:tab w:leader="none" w:pos="1136" w:val="left"/>
        </w:tabs>
        <w:numPr>
          <w:ilvl w:val="0"/>
          <w:numId w:val="1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8.03.</w:t>
      </w:r>
      <w:r>
        <w:rPr>
          <w:sz w:val="20"/>
          <w:szCs w:val="20"/>
          <w:color w:val="auto"/>
        </w:rPr>
        <w:tab/>
      </w: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66" w:lineRule="auto"/>
        <w:tabs>
          <w:tab w:leader="none" w:pos="1107" w:val="left"/>
        </w:tabs>
        <w:numPr>
          <w:ilvl w:val="0"/>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66" w:val="left"/>
        </w:tabs>
        <w:numPr>
          <w:ilvl w:val="0"/>
          <w:numId w:val="1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09" w:right="339" w:bottom="1440" w:gutter="0" w:footer="0" w:header="0"/>
        </w:sectPr>
      </w:pPr>
    </w:p>
    <w:bookmarkStart w:id="141" w:name="page142"/>
    <w:bookmarkEnd w:id="141"/>
    <w:p>
      <w:pPr>
        <w:jc w:val="both"/>
        <w:spacing w:after="0" w:line="256" w:lineRule="auto"/>
        <w:rPr>
          <w:sz w:val="20"/>
          <w:szCs w:val="20"/>
          <w:color w:val="auto"/>
        </w:rPr>
      </w:pPr>
      <w:r>
        <w:rPr>
          <w:rFonts w:ascii="Times New Roman" w:cs="Times New Roman" w:eastAsia="Times New Roman" w:hAnsi="Times New Roman"/>
          <w:sz w:val="19"/>
          <w:szCs w:val="19"/>
          <w:color w:val="auto"/>
        </w:rPr>
        <w:t>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88" w:lineRule="exact"/>
        <w:rPr>
          <w:sz w:val="20"/>
          <w:szCs w:val="20"/>
          <w:color w:val="auto"/>
        </w:rPr>
      </w:pPr>
    </w:p>
    <w:p>
      <w:pPr>
        <w:jc w:val="both"/>
        <w:ind w:firstLine="656"/>
        <w:spacing w:after="0" w:line="252" w:lineRule="auto"/>
        <w:tabs>
          <w:tab w:leader="none" w:pos="1276" w:val="left"/>
        </w:tabs>
        <w:numPr>
          <w:ilvl w:val="0"/>
          <w:numId w:val="1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ARRANGERS OR 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THROUGH AN ELECTRONIC SYSTEM OR THE APPROVED ELECTRONIC PLATFORM.</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78" w:lineRule="exact"/>
        <w:rPr>
          <w:sz w:val="20"/>
          <w:szCs w:val="20"/>
          <w:color w:val="auto"/>
        </w:rPr>
      </w:pPr>
    </w:p>
    <w:p>
      <w:pPr>
        <w:jc w:val="both"/>
        <w:ind w:firstLine="656"/>
        <w:spacing w:after="0" w:line="255" w:lineRule="auto"/>
        <w:tabs>
          <w:tab w:leader="none" w:pos="1098"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9"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97"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6" w:lineRule="exact"/>
        <w:rPr>
          <w:rFonts w:ascii="Times New Roman" w:cs="Times New Roman" w:eastAsia="Times New Roman" w:hAnsi="Times New Roman"/>
          <w:sz w:val="19"/>
          <w:szCs w:val="19"/>
          <w:color w:val="010000"/>
        </w:rPr>
      </w:pPr>
    </w:p>
    <w:p>
      <w:pPr>
        <w:ind w:firstLine="656"/>
        <w:spacing w:after="0" w:line="280" w:lineRule="auto"/>
        <w:tabs>
          <w:tab w:leader="none" w:pos="1106" w:val="left"/>
        </w:tabs>
        <w:numPr>
          <w:ilvl w:val="0"/>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8.04. </w:t>
      </w:r>
      <w:r>
        <w:rPr>
          <w:rFonts w:ascii="Times New Roman" w:cs="Times New Roman" w:eastAsia="Times New Roman" w:hAnsi="Times New Roman"/>
          <w:sz w:val="19"/>
          <w:szCs w:val="19"/>
          <w:u w:val="single" w:color="auto"/>
          <w:color w:val="000000"/>
        </w:rPr>
        <w:t>The Administrative Agent Individually</w:t>
      </w:r>
      <w:r>
        <w:rPr>
          <w:rFonts w:ascii="Times New Roman" w:cs="Times New Roman" w:eastAsia="Times New Roman" w:hAnsi="Times New Roman"/>
          <w:sz w:val="19"/>
          <w:szCs w:val="19"/>
          <w:color w:val="000000"/>
        </w:rPr>
        <w:t>. With respect to its Revolving Commitment, Loans (including Swingline Loans)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09" w:right="339" w:bottom="1440" w:gutter="0" w:footer="0" w:header="0"/>
        </w:sectPr>
      </w:pPr>
    </w:p>
    <w:bookmarkStart w:id="142" w:name="page143"/>
    <w:bookmarkEnd w:id="142"/>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or any Affiliate of any of the foregoing as if such Person was not acting as the Administrative Agent and without any duty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account therefor to the Lenders or the Issuing Banks.</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8.05.</w:t>
      </w:r>
      <w:r>
        <w:rPr>
          <w:sz w:val="20"/>
          <w:szCs w:val="20"/>
          <w:color w:val="auto"/>
        </w:rPr>
        <w:tab/>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0" w:lineRule="auto"/>
        <w:tabs>
          <w:tab w:leader="none" w:pos="1043" w:val="left"/>
        </w:tabs>
        <w:numPr>
          <w:ilvl w:val="0"/>
          <w:numId w:val="1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conditioned or delayed and shall not be required while an Event of Default under clauses (a), (b), (d) (solely with respect to a breach of Section 6.12), (h), (i) or (m) of Article VII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02"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74" w:val="left"/>
        </w:tabs>
        <w:numPr>
          <w:ilvl w:val="0"/>
          <w:numId w:val="1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0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the retiring Administrative Agent was acting as Administrative Agent and in respect of the matters referred to in the proviso under clause (a) above.</w:t>
      </w:r>
    </w:p>
    <w:p>
      <w:pPr>
        <w:spacing w:after="0" w:line="2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8.06.</w:t>
      </w:r>
      <w:r>
        <w:rPr>
          <w:sz w:val="20"/>
          <w:szCs w:val="20"/>
          <w:color w:val="auto"/>
        </w:rPr>
        <w:tab/>
      </w:r>
      <w:r>
        <w:rPr>
          <w:rFonts w:ascii="Times New Roman" w:cs="Times New Roman" w:eastAsia="Times New Roman" w:hAnsi="Times New Roman"/>
          <w:sz w:val="18"/>
          <w:szCs w:val="18"/>
          <w:u w:val="single" w:color="auto"/>
          <w:color w:val="auto"/>
        </w:rPr>
        <w:t>Acknowledgments of Lenders and Issuing Banks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0" w:lineRule="auto"/>
        <w:tabs>
          <w:tab w:leader="none" w:pos="1047" w:val="left"/>
        </w:tabs>
        <w:numPr>
          <w:ilvl w:val="1"/>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Arrangers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Arrangers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2"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197" w:val="left"/>
        </w:tabs>
        <w:numPr>
          <w:ilvl w:val="1"/>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9" w:lineRule="exact"/>
        <w:rPr>
          <w:rFonts w:ascii="Times New Roman" w:cs="Times New Roman" w:eastAsia="Times New Roman" w:hAnsi="Times New Roman"/>
          <w:sz w:val="19"/>
          <w:szCs w:val="19"/>
          <w:color w:val="010000"/>
        </w:rPr>
      </w:pPr>
    </w:p>
    <w:p>
      <w:pPr>
        <w:jc w:val="both"/>
        <w:ind w:firstLine="656"/>
        <w:spacing w:after="0" w:line="264" w:lineRule="auto"/>
        <w:tabs>
          <w:tab w:leader="none" w:pos="1061" w:val="left"/>
        </w:tabs>
        <w:numPr>
          <w:ilvl w:val="1"/>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w:t>
      </w:r>
    </w:p>
    <w:p>
      <w:pPr>
        <w:spacing w:after="0" w:line="2" w:lineRule="exact"/>
        <w:rPr>
          <w:rFonts w:ascii="Times New Roman" w:cs="Times New Roman" w:eastAsia="Times New Roman" w:hAnsi="Times New Roman"/>
          <w:sz w:val="18"/>
          <w:szCs w:val="18"/>
          <w:color w:val="010000"/>
        </w:rPr>
      </w:pPr>
    </w:p>
    <w:p>
      <w:pPr>
        <w:jc w:val="both"/>
        <w:ind w:firstLine="8"/>
        <w:spacing w:after="0" w:line="256" w:lineRule="auto"/>
        <w:tabs>
          <w:tab w:leader="none" w:pos="30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73" w:lineRule="exact"/>
        <w:rPr>
          <w:rFonts w:ascii="Times New Roman" w:cs="Times New Roman" w:eastAsia="Times New Roman" w:hAnsi="Times New Roman"/>
          <w:sz w:val="19"/>
          <w:szCs w:val="19"/>
          <w:color w:val="auto"/>
        </w:rPr>
      </w:pPr>
    </w:p>
    <w:p>
      <w:pPr>
        <w:jc w:val="both"/>
        <w:ind w:firstLine="1304"/>
        <w:spacing w:after="0" w:line="261" w:lineRule="auto"/>
        <w:tabs>
          <w:tab w:leader="none" w:pos="1724" w:val="left"/>
        </w:tabs>
        <w:numPr>
          <w:ilvl w:val="2"/>
          <w:numId w:val="1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or (y) that was not preceded or accompanied by a Payment Notice, it shall be on notice,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09" w:right="339" w:bottom="1440" w:gutter="0" w:footer="0" w:header="0"/>
        </w:sectPr>
      </w:pPr>
    </w:p>
    <w:bookmarkStart w:id="144" w:name="page145"/>
    <w:bookmarkEnd w:id="144"/>
    <w:p>
      <w:pPr>
        <w:jc w:val="both"/>
        <w:spacing w:after="0" w:line="254" w:lineRule="auto"/>
        <w:rPr>
          <w:sz w:val="20"/>
          <w:szCs w:val="20"/>
          <w:color w:val="auto"/>
        </w:rPr>
      </w:pPr>
      <w:r>
        <w:rPr>
          <w:rFonts w:ascii="Times New Roman" w:cs="Times New Roman" w:eastAsia="Times New Roman" w:hAnsi="Times New Roman"/>
          <w:sz w:val="19"/>
          <w:szCs w:val="19"/>
          <w:color w:val="auto"/>
        </w:rPr>
        <w:t>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0" w:lineRule="exact"/>
        <w:rPr>
          <w:sz w:val="20"/>
          <w:szCs w:val="20"/>
          <w:color w:val="auto"/>
        </w:rPr>
      </w:pPr>
    </w:p>
    <w:p>
      <w:pPr>
        <w:jc w:val="both"/>
        <w:ind w:firstLine="1304"/>
        <w:spacing w:after="0" w:line="256" w:lineRule="auto"/>
        <w:tabs>
          <w:tab w:leader="none" w:pos="1803" w:val="left"/>
        </w:tabs>
        <w:numPr>
          <w:ilvl w:val="1"/>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88" w:lineRule="exact"/>
        <w:rPr>
          <w:rFonts w:ascii="Times New Roman" w:cs="Times New Roman" w:eastAsia="Times New Roman" w:hAnsi="Times New Roman"/>
          <w:sz w:val="19"/>
          <w:szCs w:val="19"/>
          <w:color w:val="010000"/>
        </w:rPr>
      </w:pPr>
    </w:p>
    <w:p>
      <w:pPr>
        <w:jc w:val="both"/>
        <w:ind w:firstLine="1304"/>
        <w:spacing w:after="0" w:line="258" w:lineRule="auto"/>
        <w:tabs>
          <w:tab w:leader="none" w:pos="1782" w:val="left"/>
        </w:tabs>
        <w:numPr>
          <w:ilvl w:val="1"/>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party’s obligations under this Section 8.06(c)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186"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59" w:val="left"/>
        </w:tabs>
        <w:numPr>
          <w:ilvl w:val="0"/>
          <w:numId w:val="1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0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8.07.</w:t>
      </w:r>
      <w:r>
        <w:rPr>
          <w:sz w:val="20"/>
          <w:szCs w:val="20"/>
          <w:color w:val="auto"/>
        </w:rPr>
        <w:tab/>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4" w:lineRule="auto"/>
        <w:tabs>
          <w:tab w:leader="none" w:pos="1072" w:val="left"/>
        </w:tabs>
        <w:numPr>
          <w:ilvl w:val="0"/>
          <w:numId w:val="1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09" w:right="339" w:bottom="1440" w:gutter="0" w:footer="0" w:header="0"/>
        </w:sectPr>
      </w:pPr>
    </w:p>
    <w:bookmarkStart w:id="145" w:name="page146"/>
    <w:bookmarkEnd w:id="145"/>
    <w:p>
      <w:pPr>
        <w:spacing w:after="0" w:line="280" w:lineRule="auto"/>
        <w:rPr>
          <w:sz w:val="20"/>
          <w:szCs w:val="20"/>
          <w:color w:val="auto"/>
        </w:rPr>
      </w:pPr>
      <w:r>
        <w:rPr>
          <w:rFonts w:ascii="Times New Roman" w:cs="Times New Roman" w:eastAsia="Times New Roman" w:hAnsi="Times New Roman"/>
          <w:sz w:val="19"/>
          <w:szCs w:val="19"/>
          <w:color w:val="auto"/>
        </w:rPr>
        <w:t>execute and deliver on behalf of the Secured Parties any Loan Documents necessary or appropriate to grant and perfect a Lien on such Collateral in favor of the Administrative Agent on behalf of the Secured Parties.</w:t>
      </w:r>
    </w:p>
    <w:p>
      <w:pPr>
        <w:spacing w:after="0" w:line="165" w:lineRule="exact"/>
        <w:rPr>
          <w:sz w:val="20"/>
          <w:szCs w:val="20"/>
          <w:color w:val="auto"/>
        </w:rPr>
      </w:pPr>
    </w:p>
    <w:p>
      <w:pPr>
        <w:jc w:val="both"/>
        <w:ind w:firstLine="656"/>
        <w:spacing w:after="0" w:line="251" w:lineRule="auto"/>
        <w:tabs>
          <w:tab w:leader="none" w:pos="1114" w:val="left"/>
        </w:tabs>
        <w:numPr>
          <w:ilvl w:val="0"/>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9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010000"/>
        </w:rPr>
        <w:t xml:space="preserve">SECTION 8.08. </w:t>
      </w:r>
      <w:r>
        <w:rPr>
          <w:rFonts w:ascii="Times New Roman" w:cs="Times New Roman" w:eastAsia="Times New Roman" w:hAnsi="Times New Roman"/>
          <w:sz w:val="18"/>
          <w:szCs w:val="18"/>
          <w:u w:val="single" w:color="auto"/>
          <w:color w:val="000000"/>
        </w:rPr>
        <w:t>Credit Bidding</w:t>
      </w:r>
      <w:r>
        <w:rPr>
          <w:rFonts w:ascii="Times New Roman" w:cs="Times New Roman" w:eastAsia="Times New Roman" w:hAnsi="Times New Roman"/>
          <w:sz w:val="18"/>
          <w:szCs w:val="18"/>
          <w:color w:val="000000"/>
        </w:rPr>
        <w:t>. The Secured Parties hereby irrevocably authorize the Administrative Agent, at the direction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09" w:right="3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19"/>
          <w:szCs w:val="19"/>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8.09.</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6" w:lineRule="auto"/>
        <w:tabs>
          <w:tab w:leader="none" w:pos="1101" w:val="left"/>
        </w:tabs>
        <w:numPr>
          <w:ilvl w:val="0"/>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w:t>
      </w:r>
    </w:p>
    <w:p>
      <w:pPr>
        <w:spacing w:after="0" w:line="188" w:lineRule="exact"/>
        <w:rPr>
          <w:rFonts w:ascii="Times New Roman" w:cs="Times New Roman" w:eastAsia="Times New Roman" w:hAnsi="Times New Roman"/>
          <w:sz w:val="19"/>
          <w:szCs w:val="19"/>
          <w:color w:val="010000"/>
        </w:rPr>
      </w:pPr>
    </w:p>
    <w:p>
      <w:pPr>
        <w:ind w:firstLine="1304"/>
        <w:spacing w:after="0" w:line="280" w:lineRule="auto"/>
        <w:tabs>
          <w:tab w:leader="none" w:pos="1719" w:val="left"/>
        </w:tabs>
        <w:numPr>
          <w:ilvl w:val="1"/>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Lender is not using “plan assets” (within the meaning of the Plan Asset Regulations) of one or more Benefit Plans in connection with the Loans, the Letters of Credit, the Revolving Commitments or this Agreement,</w:t>
      </w:r>
    </w:p>
    <w:p>
      <w:pPr>
        <w:spacing w:after="0" w:line="165" w:lineRule="exact"/>
        <w:rPr>
          <w:rFonts w:ascii="Times New Roman" w:cs="Times New Roman" w:eastAsia="Times New Roman" w:hAnsi="Times New Roman"/>
          <w:sz w:val="19"/>
          <w:szCs w:val="19"/>
          <w:color w:val="010000"/>
        </w:rPr>
      </w:pPr>
    </w:p>
    <w:p>
      <w:pPr>
        <w:jc w:val="both"/>
        <w:ind w:firstLine="1304"/>
        <w:spacing w:after="0" w:line="254" w:lineRule="auto"/>
        <w:tabs>
          <w:tab w:leader="none" w:pos="1807" w:val="left"/>
        </w:tabs>
        <w:numPr>
          <w:ilvl w:val="1"/>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92"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810" w:val="left"/>
        </w:tabs>
        <w:numPr>
          <w:ilvl w:val="1"/>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96" w:lineRule="exact"/>
        <w:rPr>
          <w:rFonts w:ascii="Times New Roman" w:cs="Times New Roman" w:eastAsia="Times New Roman" w:hAnsi="Times New Roman"/>
          <w:sz w:val="19"/>
          <w:szCs w:val="19"/>
          <w:color w:val="010000"/>
        </w:rPr>
      </w:pPr>
    </w:p>
    <w:p>
      <w:pPr>
        <w:ind w:firstLine="1304"/>
        <w:spacing w:after="0" w:line="280" w:lineRule="auto"/>
        <w:tabs>
          <w:tab w:leader="none" w:pos="1785" w:val="left"/>
        </w:tabs>
        <w:numPr>
          <w:ilvl w:val="1"/>
          <w:numId w:val="1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65" w:lineRule="exact"/>
        <w:rPr>
          <w:rFonts w:ascii="Times New Roman" w:cs="Times New Roman" w:eastAsia="Times New Roman" w:hAnsi="Times New Roman"/>
          <w:sz w:val="19"/>
          <w:szCs w:val="19"/>
          <w:color w:val="010000"/>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provided another representation, warranty and covenant as provided in sub-clause (iv) in the immediately preceding clause (a), such Lender further</w:t>
      </w:r>
    </w:p>
    <w:p>
      <w:pPr>
        <w:spacing w:after="0" w:line="3" w:lineRule="exact"/>
        <w:rPr>
          <w:sz w:val="20"/>
          <w:szCs w:val="20"/>
          <w:color w:val="auto"/>
        </w:rPr>
      </w:pPr>
    </w:p>
    <w:p>
      <w:pPr>
        <w:jc w:val="both"/>
        <w:ind w:firstLine="8"/>
        <w:spacing w:after="0" w:line="250" w:lineRule="auto"/>
        <w:tabs>
          <w:tab w:leader="none" w:pos="281"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none of the Administrative Agent or the Arrangers or any of their respective Affiliates is a fiduciary with respect to the assets of such Lender in connection with the Loans, the Letters of Credit, the Revolving Commitments or this Agreement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09" w:right="339" w:bottom="1440" w:gutter="0" w:footer="0" w:header="0"/>
        </w:sectPr>
      </w:pPr>
    </w:p>
    <w:bookmarkStart w:id="147" w:name="page148"/>
    <w:bookmarkEnd w:id="147"/>
    <w:p>
      <w:pPr>
        <w:jc w:val="both"/>
        <w:ind w:left="-20" w:firstLine="656"/>
        <w:spacing w:after="0" w:line="251" w:lineRule="auto"/>
        <w:tabs>
          <w:tab w:leader="none" w:pos="1161" w:val="left"/>
        </w:tabs>
        <w:numPr>
          <w:ilvl w:val="0"/>
          <w:numId w:val="1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and the Arrangers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119"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9"/>
          <w:szCs w:val="19"/>
          <w:color w:val="010000"/>
        </w:rPr>
        <w:t>SECTION 9.01.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20" w:firstLine="656"/>
        <w:spacing w:after="0" w:line="258" w:lineRule="auto"/>
        <w:tabs>
          <w:tab w:leader="none" w:pos="1053" w:val="left"/>
        </w:tabs>
        <w:numPr>
          <w:ilvl w:val="0"/>
          <w:numId w:val="1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in the case of notices and other communications expressly permitted to be given by fax or Electronic Systems (and subject in each case to paragraph (b) below), all notices and other communications provided for herein shall be in writing and shall be delivered by hand or overnight courier service, mailed by certified or registered mail or sent by fax or Electronic Systems, as follows:</w:t>
      </w:r>
    </w:p>
    <w:p>
      <w:pPr>
        <w:spacing w:after="0" w:line="186" w:lineRule="exact"/>
        <w:rPr>
          <w:rFonts w:ascii="Times New Roman" w:cs="Times New Roman" w:eastAsia="Times New Roman" w:hAnsi="Times New Roman"/>
          <w:sz w:val="19"/>
          <w:szCs w:val="19"/>
          <w:color w:val="010000"/>
        </w:rPr>
      </w:pPr>
    </w:p>
    <w:p>
      <w:pPr>
        <w:ind w:left="1660" w:hanging="376"/>
        <w:spacing w:after="0"/>
        <w:tabs>
          <w:tab w:leader="none" w:pos="1660" w:val="left"/>
        </w:tabs>
        <w:numPr>
          <w:ilvl w:val="1"/>
          <w:numId w:val="1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any Loan Party, to it in care of the Borrower at:</w:t>
      </w:r>
    </w:p>
    <w:p>
      <w:pPr>
        <w:spacing w:after="0" w:line="2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NerdWallet, Inc.</w:t>
      </w:r>
    </w:p>
    <w:p>
      <w:pPr>
        <w:ind w:left="1940"/>
        <w:spacing w:after="0" w:line="214" w:lineRule="auto"/>
        <w:rPr>
          <w:sz w:val="20"/>
          <w:szCs w:val="20"/>
          <w:color w:val="auto"/>
        </w:rPr>
      </w:pPr>
      <w:r>
        <w:rPr>
          <w:rFonts w:ascii="Times New Roman" w:cs="Times New Roman" w:eastAsia="Times New Roman" w:hAnsi="Times New Roman"/>
          <w:sz w:val="19"/>
          <w:szCs w:val="19"/>
          <w:color w:val="auto"/>
        </w:rPr>
        <w:t>55 Hawthorne St.,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San Francisco, CA 94105</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Email: generalcounsel@nerdwallet.com</w:t>
      </w:r>
    </w:p>
    <w:p>
      <w:pPr>
        <w:spacing w:after="0" w:line="2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with a copy to (which shall not constitute notice):</w:t>
      </w:r>
    </w:p>
    <w:p>
      <w:pPr>
        <w:spacing w:after="0" w:line="2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Jones Day</w:t>
      </w:r>
    </w:p>
    <w:p>
      <w:pPr>
        <w:spacing w:after="0" w:line="1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500 Grant Street, Suite 4500</w:t>
      </w:r>
    </w:p>
    <w:p>
      <w:pPr>
        <w:spacing w:after="0" w:line="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Pittsburgh, PA 15219-2514</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Attention: Brian Trudgen</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Email: btrudgen@jonesday.com</w:t>
      </w:r>
    </w:p>
    <w:p>
      <w:pPr>
        <w:spacing w:after="0" w:line="212" w:lineRule="exact"/>
        <w:rPr>
          <w:sz w:val="20"/>
          <w:szCs w:val="20"/>
          <w:color w:val="auto"/>
        </w:rPr>
      </w:pPr>
    </w:p>
    <w:p>
      <w:pPr>
        <w:ind w:left="1700" w:hanging="416"/>
        <w:spacing w:after="0"/>
        <w:tabs>
          <w:tab w:leader="none" w:pos="1700" w:val="left"/>
        </w:tabs>
        <w:numPr>
          <w:ilvl w:val="0"/>
          <w:numId w:val="1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the Administrative Agent, the Swingline Lender, to JPMorgan Chase Bank, N.A. at:</w:t>
      </w:r>
    </w:p>
    <w:p>
      <w:pPr>
        <w:spacing w:after="0" w:line="2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131 S Dearborn St, Floor 04</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Chicago, IL, 60603-5506</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Attention: Loan and Agency Servicing</w:t>
      </w:r>
    </w:p>
    <w:p>
      <w:pPr>
        <w:spacing w:after="0" w:line="1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Email: jpm.agency.cri@jpmorgan.com</w:t>
      </w:r>
    </w:p>
    <w:p>
      <w:pPr>
        <w:spacing w:after="0" w:line="19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Agency Withholding Tax Inquiries:</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color w:val="auto"/>
        </w:rPr>
        <w:t>Email: agency.tax.reporting@jpmorgan.com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20"/>
          </w:cols>
          <w:pgMar w:left="340" w:top="1409" w:right="339" w:bottom="1440" w:gutter="0" w:footer="0" w:header="0"/>
        </w:sectPr>
      </w:pPr>
    </w:p>
    <w:bookmarkStart w:id="148" w:name="page149"/>
    <w:bookmarkEnd w:id="148"/>
    <w:p>
      <w:pPr>
        <w:ind w:left="1960"/>
        <w:spacing w:after="0"/>
        <w:rPr>
          <w:sz w:val="20"/>
          <w:szCs w:val="20"/>
          <w:color w:val="auto"/>
        </w:rPr>
      </w:pPr>
      <w:r>
        <w:rPr>
          <w:rFonts w:ascii="Times New Roman" w:cs="Times New Roman" w:eastAsia="Times New Roman" w:hAnsi="Times New Roman"/>
          <w:sz w:val="19"/>
          <w:szCs w:val="19"/>
          <w:color w:val="auto"/>
        </w:rPr>
        <w:t>Agency Compliance/Financials/Intralinks:</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Email: covenant.compliance@jpmchase.com</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if to Chase in its capacity as an Issuing Bank, to JPMorgan Chase Bank, N.A. at</w:t>
      </w:r>
    </w:p>
    <w:p>
      <w:pPr>
        <w:spacing w:after="0" w:line="2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131 S Dearborn St, Floor 04</w:t>
      </w:r>
    </w:p>
    <w:p>
      <w:pPr>
        <w:spacing w:after="0" w:line="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Chicago, IL, 60603-5506</w:t>
      </w:r>
    </w:p>
    <w:p>
      <w:pPr>
        <w:spacing w:after="0" w:line="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Attention: LC Agency Team</w:t>
      </w:r>
    </w:p>
    <w:p>
      <w:pPr>
        <w:spacing w:after="0" w:line="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Tel: 800-364-1969</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Fax: 856-294-5267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Email: chicago.lc.agency.activity.team@jpmchase.com</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131 S Dearborn St, Floor 04</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Chicago, IL, 60603-5506</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Attention: Loan and Agency Servicing</w:t>
      </w:r>
    </w:p>
    <w:p>
      <w:pPr>
        <w:spacing w:after="0" w:line="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Email: jpm.agency.cri@jpmorgan.com</w:t>
      </w:r>
    </w:p>
    <w:p>
      <w:pPr>
        <w:spacing w:after="0" w:line="212" w:lineRule="exact"/>
        <w:rPr>
          <w:sz w:val="20"/>
          <w:szCs w:val="20"/>
          <w:color w:val="auto"/>
        </w:rPr>
      </w:pPr>
    </w:p>
    <w:p>
      <w:pPr>
        <w:ind w:left="1780" w:hanging="476"/>
        <w:spacing w:after="0"/>
        <w:tabs>
          <w:tab w:leader="none" w:pos="1780" w:val="left"/>
        </w:tabs>
        <w:numPr>
          <w:ilvl w:val="0"/>
          <w:numId w:val="1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to any other Lender or Issuing Bank, to it at its address or fax number set forth in its Administrative Questionnaire.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not given during normal business hours for the recipient, such notice or communication shall be deemed to have been given at the opening of business on the next Business Day of the recipient, or (iii) delivered through any Electronic Systems or Approved Electronic Platforms, as applicable, to the extent provided in paragraph</w:t>
      </w:r>
    </w:p>
    <w:p>
      <w:pPr>
        <w:spacing w:after="0" w:line="2" w:lineRule="exact"/>
        <w:rPr>
          <w:sz w:val="20"/>
          <w:szCs w:val="20"/>
          <w:color w:val="auto"/>
        </w:rPr>
      </w:pPr>
    </w:p>
    <w:p>
      <w:pPr>
        <w:ind w:left="280" w:hanging="272"/>
        <w:spacing w:after="0"/>
        <w:tabs>
          <w:tab w:leader="none" w:pos="28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below shall be effective as provided in such paragraph (b).</w:t>
      </w:r>
    </w:p>
    <w:p>
      <w:pPr>
        <w:spacing w:after="0" w:line="212" w:lineRule="exact"/>
        <w:rPr>
          <w:rFonts w:ascii="Times New Roman" w:cs="Times New Roman" w:eastAsia="Times New Roman" w:hAnsi="Times New Roman"/>
          <w:sz w:val="19"/>
          <w:szCs w:val="19"/>
          <w:color w:val="auto"/>
        </w:rPr>
      </w:pPr>
    </w:p>
    <w:p>
      <w:pPr>
        <w:jc w:val="both"/>
        <w:ind w:firstLine="656"/>
        <w:spacing w:after="0" w:line="250" w:lineRule="auto"/>
        <w:tabs>
          <w:tab w:leader="none" w:pos="1128" w:val="left"/>
        </w:tabs>
        <w:numPr>
          <w:ilvl w:val="1"/>
          <w:numId w:val="1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0" w:lineRule="exact"/>
        <w:rPr>
          <w:rFonts w:ascii="Times New Roman" w:cs="Times New Roman" w:eastAsia="Times New Roman" w:hAnsi="Times New Roman"/>
          <w:sz w:val="19"/>
          <w:szCs w:val="19"/>
          <w:color w:val="010000"/>
        </w:rPr>
      </w:pPr>
    </w:p>
    <w:p>
      <w:pPr>
        <w:ind w:right="20" w:firstLine="656"/>
        <w:spacing w:after="0" w:line="280" w:lineRule="auto"/>
        <w:tabs>
          <w:tab w:leader="none" w:pos="1110" w:val="left"/>
        </w:tabs>
        <w:numPr>
          <w:ilvl w:val="1"/>
          <w:numId w:val="1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party hereto may change its address, facsimile number or e-mail address for notices and other communications hereunder by notice to the other parties hereto.</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09" w:right="339" w:bottom="1440" w:gutter="0" w:footer="0" w:header="0"/>
          <w:type w:val="continuous"/>
        </w:sectPr>
      </w:pPr>
    </w:p>
    <w:bookmarkStart w:id="149" w:name="page150"/>
    <w:bookmarkEnd w:id="149"/>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9.02.</w:t>
      </w:r>
      <w:r>
        <w:rPr>
          <w:sz w:val="20"/>
          <w:szCs w:val="20"/>
          <w:color w:val="auto"/>
        </w:rPr>
        <w:tab/>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065"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98" w:lineRule="exact"/>
        <w:rPr>
          <w:rFonts w:ascii="Times New Roman" w:cs="Times New Roman" w:eastAsia="Times New Roman" w:hAnsi="Times New Roman"/>
          <w:sz w:val="19"/>
          <w:szCs w:val="19"/>
          <w:color w:val="010000"/>
        </w:rPr>
      </w:pPr>
    </w:p>
    <w:p>
      <w:pPr>
        <w:jc w:val="both"/>
        <w:ind w:firstLine="656"/>
        <w:spacing w:after="0" w:line="249" w:lineRule="auto"/>
        <w:tabs>
          <w:tab w:leader="none" w:pos="1201" w:val="left"/>
        </w:tabs>
        <w:numPr>
          <w:ilvl w:val="0"/>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provided in Section 2.09 with respect to any Incremental Facility Amendment or modification of the </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and subject to Sections 2.14(b) and (c) and Sections 9.02(c) and (e),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Secured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2.09(d) or Section 2.18(b) or (d) in a manner that would alter the ratable reduction of Revolving Commitments or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(it being understood that, solely with the consent of the parties prescribed by Section 2.09 to be parties to an Incremental Facility Amendment, additional Revolving Commitments may be included in the determination of Required Lenders on substantially the same basis as the initial Revolving Commitments and Loans are included on the Effective Date), (F) release the Borrower or release any Loan Guarantor from its obligation under its Loan Guaranty (except as otherwise permitted herein or in the other Loan Documents), without the written consent of each Lender (other than any Defaulting Lender), (G) except as provided in clause (c) of this Section or in any Collateral Document, release all or substantially all of the Collateral without the written consent of each Lender (other than any Defaulting Lender), or (H) subordinate the Liens on the Collateral or subordinate the right of payment of the Secured Obligations without the written consent of each Lender;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2.06 or any Letter of Credit Agreement or any letter of credit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09"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xml:space="preserve"> to reflect assignments entered into pursuant to Section 9.04.</w:t>
      </w:r>
    </w:p>
    <w:p>
      <w:pPr>
        <w:spacing w:after="0" w:line="188" w:lineRule="exact"/>
        <w:rPr>
          <w:sz w:val="20"/>
          <w:szCs w:val="20"/>
          <w:color w:val="auto"/>
        </w:rPr>
      </w:pPr>
    </w:p>
    <w:p>
      <w:pPr>
        <w:jc w:val="both"/>
        <w:ind w:firstLine="656"/>
        <w:spacing w:after="0" w:line="266" w:lineRule="auto"/>
        <w:tabs>
          <w:tab w:leader="none" w:pos="1061" w:val="left"/>
        </w:tabs>
        <w:numPr>
          <w:ilvl w:val="1"/>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(or receipt of a backstop letter of credit if agreed by the affected Lender) of all Unliquidated Obligations in a manner reasonably satisfactory to each affected Lender, (ii) constituting property being Disposed of if the Loan Party Disposing of such property certifies to the Administrative 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auto"/>
        </w:rPr>
        <w:t xml:space="preserve"> Subsidiary, the Administrative Agent is authorized to release the Loan Guaranty provided by such </w:t>
      </w:r>
      <w:r>
        <w:rPr>
          <w:rFonts w:ascii="Times New Roman" w:cs="Times New Roman" w:eastAsia="Times New Roman" w:hAnsi="Times New Roman"/>
          <w:sz w:val="18"/>
          <w:szCs w:val="18"/>
          <w:u w:val="single" w:color="auto"/>
          <w:color w:val="0000FF"/>
        </w:rPr>
        <w:t>Restricted</w:t>
      </w:r>
      <w:r>
        <w:rPr>
          <w:rFonts w:ascii="Times New Roman" w:cs="Times New Roman" w:eastAsia="Times New Roman" w:hAnsi="Times New Roman"/>
          <w:sz w:val="18"/>
          <w:szCs w:val="18"/>
          <w:color w:val="auto"/>
        </w:rPr>
        <w:t xml:space="preserve"> Subsidiary,</w:t>
      </w:r>
    </w:p>
    <w:p>
      <w:pPr>
        <w:spacing w:after="0" w:line="2" w:lineRule="exact"/>
        <w:rPr>
          <w:rFonts w:ascii="Times New Roman" w:cs="Times New Roman" w:eastAsia="Times New Roman" w:hAnsi="Times New Roman"/>
          <w:sz w:val="18"/>
          <w:szCs w:val="18"/>
          <w:color w:val="010000"/>
        </w:rPr>
      </w:pPr>
    </w:p>
    <w:p>
      <w:pPr>
        <w:jc w:val="both"/>
        <w:ind w:firstLine="8"/>
        <w:spacing w:after="0" w:line="249" w:lineRule="auto"/>
        <w:tabs>
          <w:tab w:leader="none" w:pos="37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constituting property leased to a Loan Party under a lease which has expired or been terminated in a transaction permitted under this Agreement, (iv) as required to effect any Disposition of such Collateral in connection with any exercise of remedies of the Administrative Agent and the Lenders pursuant to Article VII, (v) in the event such property becomes an Excluded Asset and no longer constitutes Collateral or (vi) owned by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that ceases to be a Loan Party. Except as provided in the preceding sentence, the Administrative Agent will not release any Liens on Collateral without the prior written authorization of the Required Lenders or, to the extent required by Section 9.02(b), all of the Lenders (and it is acknowledged and agreed that the Administrative Agent may release any Collateral with such written authorization).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In connection with any release pursuant to this Section, the Administrative Agent shall (and is hereby irrevocably authorized by each Secured Party to) execute and deliver to any Loan Party, at such Loan Party’s expense and without recourse or warranty to or by the Administrative Agent or any other Secured Party, all documents that such Loan Party shall reasonably request to evidence such release. Any execution and delivery by the Administrative Agent of documents in connection with any such release shall be without recourse to or warranty by the Administrative Agent. In addition, each of the Secured Parties, on behalf of itself and any of its Affiliates that are Secured Parties, irrevocably authorizes the Administrative Agent (or its designee), at its option and in its discretion, (x) to subordinate any Lien on any assets granted to or held by the Administrative Agent under any Loan Document to the holder of any Lien on such property that is permitted by Section 6.02(b) or 6.02(d) (each as in effect on the date hereof), or (y)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(x)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01" w:lineRule="exact"/>
        <w:rPr>
          <w:rFonts w:ascii="Times New Roman" w:cs="Times New Roman" w:eastAsia="Times New Roman" w:hAnsi="Times New Roman"/>
          <w:sz w:val="19"/>
          <w:szCs w:val="19"/>
          <w:color w:val="auto"/>
        </w:rPr>
      </w:pPr>
    </w:p>
    <w:p>
      <w:pPr>
        <w:jc w:val="both"/>
        <w:ind w:firstLine="656"/>
        <w:spacing w:after="0" w:line="256" w:lineRule="auto"/>
        <w:tabs>
          <w:tab w:leader="none" w:pos="1111" w:val="left"/>
        </w:tabs>
        <w:numPr>
          <w:ilvl w:val="1"/>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in connection with any proposed amendment, restatement, supplement, modification,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9"/>
          <w:szCs w:val="19"/>
          <w:u w:val="single" w:color="auto"/>
          <w:color w:val="auto"/>
        </w:rPr>
        <w:t>Non-Consenting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then the Borrower may elect to replace a Non-Consenting Lender as a Lender party to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09" w:right="339" w:bottom="1440" w:gutter="0" w:footer="0" w:header="0"/>
        </w:sectPr>
      </w:pPr>
    </w:p>
    <w:bookmarkStart w:id="151" w:name="page152"/>
    <w:bookmarkEnd w:id="151"/>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such replacement Lender agrees to the applicable proposed amendment, restatement, supplement, modification, waiver or consent and (iii)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93" w:lineRule="exact"/>
        <w:rPr>
          <w:sz w:val="20"/>
          <w:szCs w:val="20"/>
          <w:color w:val="auto"/>
        </w:rPr>
      </w:pPr>
    </w:p>
    <w:p>
      <w:pPr>
        <w:ind w:firstLine="656"/>
        <w:spacing w:after="0" w:line="265" w:lineRule="auto"/>
        <w:tabs>
          <w:tab w:leader="none" w:pos="1049" w:val="left"/>
        </w:tabs>
        <w:numPr>
          <w:ilvl w:val="0"/>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7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9.03.</w:t>
      </w:r>
      <w:r>
        <w:rPr>
          <w:sz w:val="20"/>
          <w:szCs w:val="20"/>
          <w:color w:val="auto"/>
        </w:rPr>
        <w:tab/>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0" w:lineRule="auto"/>
        <w:tabs>
          <w:tab w:leader="none" w:pos="1060"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Loan Parties, jointly and severally, shall pay all (i) reasonable and documented out-of-pocket expenses incurred by the Administrative Agent and its Affiliates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 connection with the syndication and distribution (including, without limitation, via the internet or through an Electronic System or Approved Electronic Platform) of the credit facility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any counsel (but limited to the reasonable and documented fees and out-of-pocket expenses of one primary counsel and one local counsel in each relevant material jurisdiction and one additional counsel in the case of any conflicts (in each case, excluding allocated costs of in-house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4"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84" w:val="left"/>
        </w:tabs>
        <w:numPr>
          <w:ilvl w:val="0"/>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To the extent permitted by applicable law (i) neither the Borrower nor any other Loan Party shall assert, and the Borrower and each other Loan Party hereby waives, any claim against the Administrative Agent, the Arrangers, the Issuing Bank and any Lender, and any Related Party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09" w:right="339" w:bottom="1440" w:gutter="0" w:footer="0" w:header="0"/>
        </w:sectPr>
      </w:pPr>
    </w:p>
    <w:bookmarkStart w:id="152" w:name="page153"/>
    <w:bookmarkEnd w:id="152"/>
    <w:p>
      <w:pPr>
        <w:jc w:val="both"/>
        <w:spacing w:after="0" w:line="267" w:lineRule="auto"/>
        <w:rPr>
          <w:sz w:val="20"/>
          <w:szCs w:val="20"/>
          <w:color w:val="auto"/>
        </w:rPr>
      </w:pPr>
      <w:r>
        <w:rPr>
          <w:rFonts w:ascii="Times New Roman" w:cs="Times New Roman" w:eastAsia="Times New Roman" w:hAnsi="Times New Roman"/>
          <w:sz w:val="18"/>
          <w:szCs w:val="18"/>
          <w:color w:val="auto"/>
        </w:rPr>
        <w:t>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for any Liabilities arising from the use by others of information or other materials (including, without limitation, any personal data) obtained through telecommunications, electronic or other information transmission systems (including the Internet), except to the extent they are found by a final, non-appealable judgment of a court of competent jurisdiction to result from the willful misconduct, bad faith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w:t>
      </w:r>
    </w:p>
    <w:p>
      <w:pPr>
        <w:spacing w:after="0" w:line="182" w:lineRule="exact"/>
        <w:rPr>
          <w:sz w:val="20"/>
          <w:szCs w:val="20"/>
          <w:color w:val="auto"/>
        </w:rPr>
      </w:pPr>
    </w:p>
    <w:p>
      <w:pPr>
        <w:jc w:val="both"/>
        <w:ind w:firstLine="656"/>
        <w:spacing w:after="0" w:line="250" w:lineRule="auto"/>
        <w:tabs>
          <w:tab w:leader="none" w:pos="1101" w:val="left"/>
        </w:tabs>
        <w:numPr>
          <w:ilvl w:val="1"/>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Loan Parties, jointly and severally, shall indemnify the Administrative Agent, the Arrangers, the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Liabilities and related expenses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or any Environmental Liability related in any way to a Loan Party or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(iv) [reserved],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resulted from (x) the bad faith, gross negligence or willful misconduct of such Indemnitee, (y) the breach by such Indemnitee of its express funding obligations under this Agreement pursuant to a claim initiated by the Borrower or (z) any disputes solely among Indemnitees and not arising out of any act or omission of the Borrower or any of its Affiliates (other than any proceeding against any Indemnitee solely in its capacity or in fulfilling its role as Administrative Agent, Issuing Bank, Swingline Lender, lead arrangers, bookrunner or any other similar role with respect to the credit facility evidenced by this Agreement), and in the case of legal fees and expenses, shall be limited to the reasonable fees and reasonable documented out-of-pocket expenses of one primary counsel and one local counsel in each relevant material jurisdiction (in each case, excluding allocated costs of in-house counsel). This Section 9.03(c) shall not apply with respect to Taxes other than any Taxes that represent losses, claims or damages arising from any non-Tax claim.</w:t>
      </w:r>
    </w:p>
    <w:p>
      <w:pPr>
        <w:spacing w:after="0" w:line="206"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1"/>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Lender Reimbursement</w:t>
      </w:r>
      <w:r>
        <w:rPr>
          <w:rFonts w:ascii="Times New Roman" w:cs="Times New Roman" w:eastAsia="Times New Roman" w:hAnsi="Times New Roman"/>
          <w:sz w:val="19"/>
          <w:szCs w:val="19"/>
          <w:color w:val="auto"/>
        </w:rPr>
        <w:t>. Each Lender severally agrees to pay any amount required to be paid by any Loan Party under paragraphs (a),</w:t>
      </w:r>
    </w:p>
    <w:p>
      <w:pPr>
        <w:spacing w:after="0" w:line="17" w:lineRule="exact"/>
        <w:rPr>
          <w:rFonts w:ascii="Times New Roman" w:cs="Times New Roman" w:eastAsia="Times New Roman" w:hAnsi="Times New Roman"/>
          <w:sz w:val="19"/>
          <w:szCs w:val="19"/>
          <w:color w:val="010000"/>
        </w:rPr>
      </w:pPr>
    </w:p>
    <w:p>
      <w:pPr>
        <w:ind w:left="300" w:hanging="292"/>
        <w:spacing w:after="0"/>
        <w:tabs>
          <w:tab w:leader="none" w:pos="30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 (c) of this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to the Administrative Agent, the Swingline Lender and the Issuing Bank, and each Related Party of any of the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foregoing Persons (each, an “</w:t>
      </w:r>
      <w:r>
        <w:rPr>
          <w:rFonts w:ascii="Times New Roman" w:cs="Times New Roman" w:eastAsia="Times New Roman" w:hAnsi="Times New Roman"/>
          <w:sz w:val="19"/>
          <w:szCs w:val="19"/>
          <w:u w:val="single" w:color="auto"/>
          <w:color w:val="auto"/>
        </w:rPr>
        <w:t>Agent-Related Person</w:t>
      </w:r>
      <w:r>
        <w:rPr>
          <w:rFonts w:ascii="Times New Roman" w:cs="Times New Roman" w:eastAsia="Times New Roman" w:hAnsi="Times New Roman"/>
          <w:sz w:val="19"/>
          <w:szCs w:val="19"/>
          <w:color w:val="auto"/>
        </w:rPr>
        <w:t>”)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09" w:right="339" w:bottom="1440" w:gutter="0" w:footer="0" w:header="0"/>
        </w:sectPr>
      </w:pPr>
    </w:p>
    <w:bookmarkStart w:id="153" w:name="page154"/>
    <w:bookmarkEnd w:id="153"/>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bad faith, gross negligence or willful misconduct, and in the case of legal fees and expenses, shall be limited to the reasonable fees and reasonable documented out-of-pocket expenses of one primary counsel and one local counsel in each relevant material jurisdiction, except in cases where there is a conflict of interest (in each case, excluding allocated costs of in-house counsel). The agreements in this Section shall survive the termination of this Agreement and Payment in Full of the Secured Obligations.</w:t>
      </w:r>
    </w:p>
    <w:p>
      <w:pPr>
        <w:spacing w:after="0" w:line="199" w:lineRule="exact"/>
        <w:rPr>
          <w:sz w:val="20"/>
          <w:szCs w:val="20"/>
          <w:color w:val="auto"/>
        </w:rPr>
      </w:pPr>
    </w:p>
    <w:p>
      <w:pPr>
        <w:ind w:left="660" w:right="2000" w:hanging="4"/>
        <w:spacing w:after="0" w:line="489" w:lineRule="auto"/>
        <w:tabs>
          <w:tab w:leader="none" w:pos="1059" w:val="left"/>
        </w:tabs>
        <w:numPr>
          <w:ilvl w:val="0"/>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xml:space="preserve">. All amounts due under this Section 9.03 shall be payable promptly after written demand therefor. </w:t>
      </w:r>
      <w:r>
        <w:rPr>
          <w:rFonts w:ascii="Times New Roman" w:cs="Times New Roman" w:eastAsia="Times New Roman" w:hAnsi="Times New Roman"/>
          <w:sz w:val="19"/>
          <w:szCs w:val="19"/>
          <w:color w:val="010000"/>
        </w:rPr>
        <w:t xml:space="preserve">SECTION 9.04. </w:t>
      </w:r>
      <w:r>
        <w:rPr>
          <w:rFonts w:ascii="Times New Roman" w:cs="Times New Roman" w:eastAsia="Times New Roman" w:hAnsi="Times New Roman"/>
          <w:sz w:val="19"/>
          <w:szCs w:val="19"/>
          <w:u w:val="single" w:color="auto"/>
          <w:color w:val="000000"/>
        </w:rPr>
        <w:t>Successors and Assigns</w:t>
      </w:r>
      <w:r>
        <w:rPr>
          <w:rFonts w:ascii="Times New Roman" w:cs="Times New Roman" w:eastAsia="Times New Roman" w:hAnsi="Times New Roman"/>
          <w:sz w:val="19"/>
          <w:szCs w:val="19"/>
          <w:color w:val="000000"/>
        </w:rPr>
        <w:t>.</w:t>
      </w:r>
    </w:p>
    <w:p>
      <w:pPr>
        <w:spacing w:after="0" w:line="1" w:lineRule="exact"/>
        <w:rPr>
          <w:sz w:val="20"/>
          <w:szCs w:val="20"/>
          <w:color w:val="auto"/>
        </w:rPr>
      </w:pPr>
    </w:p>
    <w:p>
      <w:pPr>
        <w:jc w:val="both"/>
        <w:ind w:firstLine="656"/>
        <w:spacing w:after="0" w:line="251" w:lineRule="auto"/>
        <w:tabs>
          <w:tab w:leader="none" w:pos="1082" w:val="left"/>
        </w:tabs>
        <w:numPr>
          <w:ilvl w:val="0"/>
          <w:numId w:val="1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8"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122" w:val="left"/>
        </w:tabs>
        <w:numPr>
          <w:ilvl w:val="0"/>
          <w:numId w:val="1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conditioned or delayed) of:</w:t>
      </w:r>
    </w:p>
    <w:p>
      <w:pPr>
        <w:spacing w:after="0" w:line="188" w:lineRule="exact"/>
        <w:rPr>
          <w:rFonts w:ascii="Times New Roman" w:cs="Times New Roman" w:eastAsia="Times New Roman" w:hAnsi="Times New Roman"/>
          <w:sz w:val="19"/>
          <w:szCs w:val="19"/>
          <w:color w:val="010000"/>
        </w:rPr>
      </w:pPr>
    </w:p>
    <w:p>
      <w:pPr>
        <w:jc w:val="both"/>
        <w:ind w:left="1300" w:firstLine="652"/>
        <w:spacing w:after="0" w:line="266" w:lineRule="auto"/>
        <w:tabs>
          <w:tab w:leader="none" w:pos="2417" w:val="left"/>
        </w:tabs>
        <w:numPr>
          <w:ilvl w:val="2"/>
          <w:numId w:val="1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or, if an Event of Default under clauses (a), (b),</w:t>
      </w:r>
    </w:p>
    <w:p>
      <w:pPr>
        <w:spacing w:after="0" w:line="1" w:lineRule="exact"/>
        <w:rPr>
          <w:rFonts w:ascii="Times New Roman" w:cs="Times New Roman" w:eastAsia="Times New Roman" w:hAnsi="Times New Roman"/>
          <w:sz w:val="18"/>
          <w:szCs w:val="18"/>
          <w:color w:val="010000"/>
        </w:rPr>
      </w:pPr>
    </w:p>
    <w:p>
      <w:pPr>
        <w:ind w:left="1300" w:firstLine="4"/>
        <w:spacing w:after="0" w:line="264" w:lineRule="auto"/>
        <w:tabs>
          <w:tab w:leader="none" w:pos="1586"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with respect to a breach of Section 6.12), (h), (i) or (m) under Article VII has occurred and is continuing, any other assignee;</w:t>
      </w:r>
    </w:p>
    <w:p>
      <w:pPr>
        <w:spacing w:after="0" w:line="179" w:lineRule="exact"/>
        <w:rPr>
          <w:rFonts w:ascii="Times New Roman" w:cs="Times New Roman" w:eastAsia="Times New Roman" w:hAnsi="Times New Roman"/>
          <w:sz w:val="19"/>
          <w:szCs w:val="19"/>
          <w:color w:val="auto"/>
        </w:rPr>
      </w:pPr>
    </w:p>
    <w:p>
      <w:pPr>
        <w:jc w:val="both"/>
        <w:ind w:left="1300" w:firstLine="652"/>
        <w:spacing w:after="0" w:line="258" w:lineRule="auto"/>
        <w:tabs>
          <w:tab w:leader="none" w:pos="2404" w:val="left"/>
        </w:tabs>
        <w:numPr>
          <w:ilvl w:val="2"/>
          <w:numId w:val="1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 shall be required for an assignment to an assignee that is a Lender (other than a Defaulting Lender) with a Revolving Commitment immediately prior to giving effect to such assignment;</w:t>
      </w:r>
    </w:p>
    <w:p>
      <w:pPr>
        <w:spacing w:after="0" w:line="186" w:lineRule="exact"/>
        <w:rPr>
          <w:rFonts w:ascii="Times New Roman" w:cs="Times New Roman" w:eastAsia="Times New Roman" w:hAnsi="Times New Roman"/>
          <w:sz w:val="19"/>
          <w:szCs w:val="19"/>
          <w:color w:val="010000"/>
        </w:rPr>
      </w:pPr>
    </w:p>
    <w:p>
      <w:pPr>
        <w:ind w:left="2400" w:hanging="448"/>
        <w:spacing w:after="0"/>
        <w:tabs>
          <w:tab w:leader="none" w:pos="2400" w:val="left"/>
        </w:tabs>
        <w:numPr>
          <w:ilvl w:val="2"/>
          <w:numId w:val="1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Issuing Bank; and</w:t>
      </w:r>
    </w:p>
    <w:p>
      <w:pPr>
        <w:spacing w:after="0" w:line="227" w:lineRule="exact"/>
        <w:rPr>
          <w:rFonts w:ascii="Times New Roman" w:cs="Times New Roman" w:eastAsia="Times New Roman" w:hAnsi="Times New Roman"/>
          <w:sz w:val="19"/>
          <w:szCs w:val="19"/>
          <w:color w:val="010000"/>
        </w:rPr>
      </w:pPr>
    </w:p>
    <w:p>
      <w:pPr>
        <w:ind w:left="2400" w:hanging="448"/>
        <w:spacing w:after="0"/>
        <w:tabs>
          <w:tab w:leader="none" w:pos="2400" w:val="left"/>
        </w:tabs>
        <w:numPr>
          <w:ilvl w:val="2"/>
          <w:numId w:val="1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09" w:right="339" w:bottom="1440" w:gutter="0" w:footer="0" w:header="0"/>
        </w:sectPr>
      </w:pPr>
    </w:p>
    <w:bookmarkStart w:id="154" w:name="page155"/>
    <w:bookmarkEnd w:id="154"/>
    <w:p>
      <w:pPr>
        <w:ind w:left="1720" w:hanging="416"/>
        <w:spacing w:after="0"/>
        <w:tabs>
          <w:tab w:leader="none" w:pos="1720" w:val="left"/>
        </w:tabs>
        <w:numPr>
          <w:ilvl w:val="0"/>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Assignments shall be subject to the following additional conditions:</w:t>
      </w:r>
    </w:p>
    <w:p>
      <w:pPr>
        <w:spacing w:after="0" w:line="227" w:lineRule="exact"/>
        <w:rPr>
          <w:rFonts w:ascii="Times New Roman" w:cs="Times New Roman" w:eastAsia="Times New Roman" w:hAnsi="Times New Roman"/>
          <w:sz w:val="19"/>
          <w:szCs w:val="19"/>
          <w:color w:val="010000"/>
        </w:rPr>
      </w:pPr>
    </w:p>
    <w:p>
      <w:pPr>
        <w:jc w:val="both"/>
        <w:ind w:left="1300" w:firstLine="652"/>
        <w:spacing w:after="0" w:line="254" w:lineRule="auto"/>
        <w:tabs>
          <w:tab w:leader="none" w:pos="2403" w:val="left"/>
        </w:tabs>
        <w:numPr>
          <w:ilvl w:val="1"/>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under clauses (a), (b), (d) (solely with respect to a breach of Section 6.12), (h), (i) or (m) has occurred and is continuing under Article VII has occurred and is continuing;</w:t>
      </w:r>
    </w:p>
    <w:p>
      <w:pPr>
        <w:spacing w:after="0" w:line="176" w:lineRule="exact"/>
        <w:rPr>
          <w:rFonts w:ascii="Times New Roman" w:cs="Times New Roman" w:eastAsia="Times New Roman" w:hAnsi="Times New Roman"/>
          <w:sz w:val="19"/>
          <w:szCs w:val="19"/>
          <w:color w:val="010000"/>
        </w:rPr>
      </w:pPr>
    </w:p>
    <w:p>
      <w:pPr>
        <w:ind w:left="1300" w:firstLine="652"/>
        <w:spacing w:after="0" w:line="280" w:lineRule="auto"/>
        <w:tabs>
          <w:tab w:leader="none" w:pos="2433" w:val="left"/>
        </w:tabs>
        <w:numPr>
          <w:ilvl w:val="1"/>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partial assignment shall be made as an assignment of a proportionate part of all the assigning Lender’s rights and obligations under this Agreement;</w:t>
      </w:r>
    </w:p>
    <w:p>
      <w:pPr>
        <w:spacing w:after="0" w:line="165" w:lineRule="exact"/>
        <w:rPr>
          <w:rFonts w:ascii="Times New Roman" w:cs="Times New Roman" w:eastAsia="Times New Roman" w:hAnsi="Times New Roman"/>
          <w:sz w:val="19"/>
          <w:szCs w:val="19"/>
          <w:color w:val="010000"/>
        </w:rPr>
      </w:pPr>
    </w:p>
    <w:p>
      <w:pPr>
        <w:jc w:val="both"/>
        <w:ind w:left="1300" w:firstLine="652"/>
        <w:spacing w:after="0" w:line="256" w:lineRule="auto"/>
        <w:tabs>
          <w:tab w:leader="none" w:pos="2535" w:val="left"/>
        </w:tabs>
        <w:numPr>
          <w:ilvl w:val="1"/>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88" w:lineRule="exact"/>
        <w:rPr>
          <w:rFonts w:ascii="Times New Roman" w:cs="Times New Roman" w:eastAsia="Times New Roman" w:hAnsi="Times New Roman"/>
          <w:sz w:val="19"/>
          <w:szCs w:val="19"/>
          <w:color w:val="010000"/>
        </w:rPr>
      </w:pPr>
    </w:p>
    <w:p>
      <w:pPr>
        <w:jc w:val="both"/>
        <w:ind w:left="1300" w:firstLine="652"/>
        <w:spacing w:after="0" w:line="255" w:lineRule="auto"/>
        <w:tabs>
          <w:tab w:leader="none" w:pos="2404" w:val="left"/>
        </w:tabs>
        <w:numPr>
          <w:ilvl w:val="1"/>
          <w:numId w:val="1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For the purposes of this Section 9.04(b), the terms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have the following meanings: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means a (a) natural person, (b) Defaulting Lender or its Parent, (c) company, investment vehicle or trust for, or owned and operated for the primary benefit of, a natural person or relative(s) thereof, or (d) a Loan Party or a Subsidiary or other Affiliate of a Loan Party.</w:t>
      </w:r>
    </w:p>
    <w:p>
      <w:pPr>
        <w:spacing w:after="0" w:line="178" w:lineRule="exact"/>
        <w:rPr>
          <w:sz w:val="20"/>
          <w:szCs w:val="20"/>
          <w:color w:val="auto"/>
        </w:rPr>
      </w:pPr>
    </w:p>
    <w:p>
      <w:pPr>
        <w:jc w:val="both"/>
        <w:ind w:firstLine="1304"/>
        <w:spacing w:after="0" w:line="251" w:lineRule="auto"/>
        <w:tabs>
          <w:tab w:leader="none" w:pos="1815" w:val="left"/>
        </w:tabs>
        <w:numPr>
          <w:ilvl w:val="0"/>
          <w:numId w:val="1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09" w:right="339" w:bottom="1440" w:gutter="0" w:footer="0" w:header="0"/>
        </w:sectPr>
      </w:pPr>
    </w:p>
    <w:bookmarkStart w:id="155" w:name="page156"/>
    <w:bookmarkEnd w:id="155"/>
    <w:p>
      <w:pPr>
        <w:jc w:val="both"/>
        <w:ind w:firstLine="1304"/>
        <w:spacing w:after="0" w:line="254" w:lineRule="auto"/>
        <w:tabs>
          <w:tab w:leader="none" w:pos="1839" w:val="left"/>
        </w:tabs>
        <w:numPr>
          <w:ilvl w:val="1"/>
          <w:numId w:val="1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absent manifest error,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90" w:lineRule="exact"/>
        <w:rPr>
          <w:rFonts w:ascii="Times New Roman" w:cs="Times New Roman" w:eastAsia="Times New Roman" w:hAnsi="Times New Roman"/>
          <w:sz w:val="19"/>
          <w:szCs w:val="19"/>
          <w:color w:val="010000"/>
        </w:rPr>
      </w:pPr>
    </w:p>
    <w:p>
      <w:pPr>
        <w:jc w:val="both"/>
        <w:ind w:firstLine="1304"/>
        <w:spacing w:after="0" w:line="251" w:lineRule="auto"/>
        <w:tabs>
          <w:tab w:leader="none" w:pos="1710" w:val="left"/>
        </w:tabs>
        <w:numPr>
          <w:ilvl w:val="1"/>
          <w:numId w:val="1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the tax forms required by Section 2.17(f)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9" w:lineRule="exact"/>
        <w:rPr>
          <w:rFonts w:ascii="Times New Roman" w:cs="Times New Roman" w:eastAsia="Times New Roman" w:hAnsi="Times New Roman"/>
          <w:sz w:val="19"/>
          <w:szCs w:val="19"/>
          <w:color w:val="010000"/>
        </w:rPr>
      </w:pPr>
    </w:p>
    <w:p>
      <w:pPr>
        <w:jc w:val="both"/>
        <w:ind w:firstLine="656"/>
        <w:spacing w:after="0" w:line="250" w:lineRule="auto"/>
        <w:tabs>
          <w:tab w:leader="none" w:pos="1083" w:val="left"/>
        </w:tabs>
        <w:numPr>
          <w:ilvl w:val="0"/>
          <w:numId w:val="1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may, without the consent of, or notice to, the Borrower, the Administrative Agent, the Swingline Lender or the Issuing Bank, sell participations to one or more banks or other entities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other than an Ineligible Institution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 maintain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09" w:right="339" w:bottom="1440" w:gutter="0" w:footer="0" w:header="0"/>
        </w:sectPr>
      </w:pPr>
    </w:p>
    <w:bookmarkStart w:id="156" w:name="page157"/>
    <w:bookmarkEnd w:id="156"/>
    <w:p>
      <w:pPr>
        <w:jc w:val="both"/>
        <w:spacing w:after="0" w:line="251" w:lineRule="auto"/>
        <w:rPr>
          <w:sz w:val="20"/>
          <w:szCs w:val="20"/>
          <w:color w:val="auto"/>
        </w:rPr>
      </w:pPr>
      <w:r>
        <w:rPr>
          <w:rFonts w:ascii="Times New Roman" w:cs="Times New Roman" w:eastAsia="Times New Roman" w:hAnsi="Times New Roman"/>
          <w:sz w:val="19"/>
          <w:szCs w:val="19"/>
          <w:color w:val="auto"/>
        </w:rPr>
        <w:t>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8" w:lineRule="exact"/>
        <w:rPr>
          <w:sz w:val="20"/>
          <w:szCs w:val="20"/>
          <w:color w:val="auto"/>
        </w:rPr>
      </w:pPr>
    </w:p>
    <w:p>
      <w:pPr>
        <w:jc w:val="both"/>
        <w:ind w:firstLine="656"/>
        <w:spacing w:after="0" w:line="261" w:lineRule="auto"/>
        <w:tabs>
          <w:tab w:leader="none" w:pos="1116" w:val="left"/>
        </w:tabs>
        <w:numPr>
          <w:ilvl w:val="0"/>
          <w:numId w:val="1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010000"/>
        </w:rPr>
        <w:t xml:space="preserve">SECTION 9.05. </w:t>
      </w:r>
      <w:r>
        <w:rPr>
          <w:rFonts w:ascii="Times New Roman" w:cs="Times New Roman" w:eastAsia="Times New Roman" w:hAnsi="Times New Roman"/>
          <w:sz w:val="19"/>
          <w:szCs w:val="19"/>
          <w:u w:val="single" w:color="auto"/>
          <w:color w:val="000000"/>
        </w:rPr>
        <w:t>Survival</w:t>
      </w:r>
      <w:r>
        <w:rPr>
          <w:rFonts w:ascii="Times New Roman" w:cs="Times New Roman" w:eastAsia="Times New Roman" w:hAnsi="Times New Roman"/>
          <w:sz w:val="19"/>
          <w:szCs w:val="19"/>
          <w:color w:val="000000"/>
        </w:rPr>
        <w:t>. All covenants, agreements, representations and warranties made by the Loan Parties in the Loan Documents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Secured Obligations.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other Loan Document or any provision hereof or thereof.</w:t>
      </w:r>
    </w:p>
    <w:p>
      <w:pPr>
        <w:spacing w:after="0" w:line="19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9.06.</w:t>
      </w:r>
      <w:r>
        <w:rPr>
          <w:sz w:val="20"/>
          <w:szCs w:val="20"/>
          <w:color w:val="auto"/>
        </w:rPr>
        <w:tab/>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6"/>
        <w:spacing w:after="0" w:line="254" w:lineRule="auto"/>
        <w:tabs>
          <w:tab w:leader="none" w:pos="1144" w:val="left"/>
        </w:tabs>
        <w:numPr>
          <w:ilvl w:val="0"/>
          <w:numId w:val="1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57" w:val="left"/>
        </w:tabs>
        <w:numPr>
          <w:ilvl w:val="0"/>
          <w:numId w:val="1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that is an Electronic Signature transmitted by telecopy, emailed pdf. or any other electronic means that reproduces an image of an actual executed signature page shall be effective as delivery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09" w:right="339" w:bottom="1440" w:gutter="0" w:footer="0" w:header="0"/>
        </w:sectPr>
      </w:pPr>
    </w:p>
    <w:bookmarkStart w:id="157" w:name="page158"/>
    <w:bookmarkEnd w:id="157"/>
    <w:p>
      <w:pPr>
        <w:jc w:val="both"/>
        <w:spacing w:after="0" w:line="263" w:lineRule="auto"/>
        <w:rPr>
          <w:sz w:val="20"/>
          <w:szCs w:val="20"/>
          <w:color w:val="auto"/>
        </w:rPr>
      </w:pPr>
      <w:r>
        <w:rPr>
          <w:rFonts w:ascii="Times New Roman" w:cs="Times New Roman" w:eastAsia="Times New Roman" w:hAnsi="Times New Roman"/>
          <w:sz w:val="18"/>
          <w:szCs w:val="18"/>
          <w:color w:val="auto"/>
        </w:rPr>
        <w:t>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spacing w:after="0" w:line="12" w:lineRule="exact"/>
        <w:rPr>
          <w:sz w:val="20"/>
          <w:szCs w:val="20"/>
          <w:color w:val="auto"/>
        </w:rPr>
      </w:pPr>
    </w:p>
    <w:p>
      <w:pPr>
        <w:jc w:val="both"/>
        <w:ind w:firstLine="8"/>
        <w:spacing w:after="0" w:line="251" w:lineRule="auto"/>
        <w:tabs>
          <w:tab w:leader="none" w:pos="30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9.07. </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Any provision of any Loan Document held to be invalid, illegal or unenforceable in any jurisdiction shall,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9.08. </w:t>
      </w:r>
      <w:r>
        <w:rPr>
          <w:rFonts w:ascii="Times New Roman" w:cs="Times New Roman" w:eastAsia="Times New Roman" w:hAnsi="Times New Roman"/>
          <w:sz w:val="19"/>
          <w:szCs w:val="19"/>
          <w:u w:val="single" w:color="auto"/>
          <w:color w:val="000000"/>
        </w:rPr>
        <w:t>Right of Setoff</w:t>
      </w:r>
      <w:r>
        <w:rPr>
          <w:rFonts w:ascii="Times New Roman" w:cs="Times New Roman" w:eastAsia="Times New Roman" w:hAnsi="Times New Roman"/>
          <w:sz w:val="19"/>
          <w:szCs w:val="19"/>
          <w:color w:val="000000"/>
        </w:rPr>
        <w:t>. If an Event of Default shall have occurred and be continuing, each Lender, the Issuing Bank, and each 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the Issuing Bank or any such Affiliate, to or for the credit or the account of any Loan Party against any and all of the Secured Obligations now or hereafter existing and owing to such Lender or the Issuing Bank or their respective Affiliates, irrespective of whether or not such Lender, the Issuing Bank or such Affiliate shall have made any demand under this Agreement or any other Loan Document and although such obligations of the Loan Parties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in the event that any Defaulting Lender shall exercise any such right of setoff, (x) all amounts so set off shall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09" w:right="339" w:bottom="1440" w:gutter="0" w:footer="0" w:header="0"/>
        </w:sectPr>
      </w:pPr>
    </w:p>
    <w:bookmarkStart w:id="158" w:name="page159"/>
    <w:bookmarkEnd w:id="158"/>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and the Administrative Agent of such setoff or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7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9"/>
          <w:szCs w:val="19"/>
          <w:color w:val="010000"/>
        </w:rPr>
        <w:t>SECTION 9.09.</w:t>
      </w:r>
      <w:r>
        <w:rPr>
          <w:sz w:val="20"/>
          <w:szCs w:val="20"/>
          <w:color w:val="auto"/>
        </w:rPr>
        <w:tab/>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80" w:lineRule="auto"/>
        <w:tabs>
          <w:tab w:leader="none" w:pos="1070" w:val="left"/>
        </w:tabs>
        <w:numPr>
          <w:ilvl w:val="0"/>
          <w:numId w:val="1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Documents (other than those containing a contrary express choice of law provision) shall be governed by and construed in accordance with and governed by the law of the State of New York.</w:t>
      </w:r>
    </w:p>
    <w:p>
      <w:pPr>
        <w:spacing w:after="0" w:line="165" w:lineRule="exact"/>
        <w:rPr>
          <w:rFonts w:ascii="Times New Roman" w:cs="Times New Roman" w:eastAsia="Times New Roman" w:hAnsi="Times New Roman"/>
          <w:sz w:val="19"/>
          <w:szCs w:val="19"/>
          <w:color w:val="010000"/>
        </w:rPr>
      </w:pPr>
    </w:p>
    <w:p>
      <w:pPr>
        <w:jc w:val="both"/>
        <w:ind w:firstLine="656"/>
        <w:spacing w:after="0" w:line="256" w:lineRule="auto"/>
        <w:tabs>
          <w:tab w:leader="none" w:pos="1073" w:val="left"/>
        </w:tabs>
        <w:numPr>
          <w:ilvl w:val="0"/>
          <w:numId w:val="1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8" w:lineRule="exact"/>
        <w:rPr>
          <w:rFonts w:ascii="Times New Roman" w:cs="Times New Roman" w:eastAsia="Times New Roman" w:hAnsi="Times New Roman"/>
          <w:sz w:val="19"/>
          <w:szCs w:val="19"/>
          <w:color w:val="010000"/>
        </w:rPr>
      </w:pPr>
    </w:p>
    <w:p>
      <w:pPr>
        <w:jc w:val="both"/>
        <w:ind w:firstLine="656"/>
        <w:spacing w:after="0" w:line="251" w:lineRule="auto"/>
        <w:tabs>
          <w:tab w:leader="none" w:pos="1087" w:val="left"/>
        </w:tabs>
        <w:numPr>
          <w:ilvl w:val="0"/>
          <w:numId w:val="1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92" w:lineRule="exact"/>
        <w:rPr>
          <w:rFonts w:ascii="Times New Roman" w:cs="Times New Roman" w:eastAsia="Times New Roman" w:hAnsi="Times New Roman"/>
          <w:sz w:val="19"/>
          <w:szCs w:val="19"/>
          <w:color w:val="010000"/>
        </w:rPr>
      </w:pPr>
    </w:p>
    <w:p>
      <w:pPr>
        <w:jc w:val="both"/>
        <w:ind w:firstLine="656"/>
        <w:spacing w:after="0" w:line="275" w:lineRule="auto"/>
        <w:tabs>
          <w:tab w:leader="none" w:pos="1059"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09" w:right="339" w:bottom="1440" w:gutter="0" w:footer="0" w:header="0"/>
        </w:sectPr>
      </w:pPr>
    </w:p>
    <w:bookmarkStart w:id="159" w:name="page160"/>
    <w:bookmarkEnd w:id="159"/>
    <w:p>
      <w:pPr>
        <w:jc w:val="both"/>
        <w:ind w:firstLine="656"/>
        <w:spacing w:after="0" w:line="266" w:lineRule="auto"/>
        <w:tabs>
          <w:tab w:leader="none" w:pos="1049" w:val="left"/>
        </w:tabs>
        <w:numPr>
          <w:ilvl w:val="0"/>
          <w:numId w:val="1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010000"/>
        </w:rPr>
        <w:t xml:space="preserve">SECTION 9.10. </w:t>
      </w:r>
      <w:r>
        <w:rPr>
          <w:rFonts w:ascii="Times New Roman" w:cs="Times New Roman" w:eastAsia="Times New Roman" w:hAnsi="Times New Roman"/>
          <w:sz w:val="19"/>
          <w:szCs w:val="19"/>
          <w:u w:val="single" w:color="auto"/>
          <w:color w:val="000000"/>
        </w:rPr>
        <w:t>WAIVER OF JURY TRIAL</w:t>
      </w:r>
      <w:r>
        <w:rPr>
          <w:rFonts w:ascii="Times New Roman" w:cs="Times New Roman" w:eastAsia="Times New Roman" w:hAnsi="Times New Roman"/>
          <w:sz w:val="19"/>
          <w:szCs w:val="19"/>
          <w:color w:val="000000"/>
        </w:rPr>
        <w:t>. EACH PARTY HERETO HEREBY IRREVOCABLY WAIVES, TO THE FULLEST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010000"/>
        </w:rPr>
        <w:t xml:space="preserve">SECTION 9.11. </w:t>
      </w:r>
      <w:r>
        <w:rPr>
          <w:rFonts w:ascii="Times New Roman" w:cs="Times New Roman" w:eastAsia="Times New Roman" w:hAnsi="Times New Roman"/>
          <w:sz w:val="19"/>
          <w:szCs w:val="19"/>
          <w:u w:val="single" w:color="auto"/>
          <w:color w:val="000000"/>
        </w:rPr>
        <w:t>Headings</w:t>
      </w:r>
      <w:r>
        <w:rPr>
          <w:rFonts w:ascii="Times New Roman" w:cs="Times New Roman" w:eastAsia="Times New Roman" w:hAnsi="Times New Roman"/>
          <w:sz w:val="19"/>
          <w:szCs w:val="19"/>
          <w:color w:val="000000"/>
        </w:rPr>
        <w:t>. Article and Section headings and the Table of Contents used herein are for convenience of reference only, are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not part of this Agreement and shall not affect the construction of, or be taken into consideration in interpreting, this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9"/>
          <w:szCs w:val="19"/>
          <w:color w:val="010000"/>
        </w:rPr>
        <w:t xml:space="preserve">SECTION 9.12. </w:t>
      </w:r>
      <w:r>
        <w:rPr>
          <w:rFonts w:ascii="Times New Roman" w:cs="Times New Roman" w:eastAsia="Times New Roman" w:hAnsi="Times New Roman"/>
          <w:sz w:val="19"/>
          <w:szCs w:val="19"/>
          <w:u w:val="single" w:color="auto"/>
          <w:color w:val="000000"/>
        </w:rPr>
        <w:t>Confidentiality</w:t>
      </w:r>
      <w:r>
        <w:rPr>
          <w:rFonts w:ascii="Times New Roman" w:cs="Times New Roman" w:eastAsia="Times New Roman" w:hAnsi="Times New Roman"/>
          <w:sz w:val="19"/>
          <w:szCs w:val="19"/>
          <w:color w:val="000000"/>
        </w:rPr>
        <w:t>. Each of the Administrative Agent, the Issuing Bank and the Lenders agrees to maintain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confidentiality of the Information (as defined below), except that Information may be disclosed (a) to its Affiliates and to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on a confidential basis to (1) any rating agency in connection with rating the Borrower or its Subsidiaries or the credit facility provided for herein or (2) the CUSIP Service Bureau or any similar agency in connection with the issuance and monitoring of CUSIP numbers with respect to the credit facility provided for herein, (h) with the consent of the Borrower, (i) to any Person providing a Guarantee of all or any portion of the Secured Obligations, or (j)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EACH LENDER ACKNOWLEDGES THAT INFORMATION AS DEFINED IN SECTION 9.12 FURNISHED TO IT PURSUANT TO THIS AGREEMENT MAY INCLUDE MATERIAL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09" w:right="339" w:bottom="1440" w:gutter="0" w:footer="0" w:header="0"/>
        </w:sectPr>
      </w:pPr>
    </w:p>
    <w:bookmarkStart w:id="160" w:name="page161"/>
    <w:bookmarkEnd w:id="160"/>
    <w:p>
      <w:pPr>
        <w:jc w:val="both"/>
        <w:spacing w:after="0" w:line="256" w:lineRule="auto"/>
        <w:rPr>
          <w:sz w:val="20"/>
          <w:szCs w:val="20"/>
          <w:color w:val="auto"/>
        </w:rPr>
      </w:pPr>
      <w:r>
        <w:rPr>
          <w:rFonts w:ascii="Times New Roman" w:cs="Times New Roman" w:eastAsia="Times New Roman" w:hAnsi="Times New Roman"/>
          <w:sz w:val="19"/>
          <w:szCs w:val="19"/>
          <w:color w:val="auto"/>
        </w:rPr>
        <w:t>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9.13. </w:t>
      </w:r>
      <w:r>
        <w:rPr>
          <w:rFonts w:ascii="Times New Roman" w:cs="Times New Roman" w:eastAsia="Times New Roman" w:hAnsi="Times New Roman"/>
          <w:sz w:val="19"/>
          <w:szCs w:val="19"/>
          <w:u w:val="single" w:color="auto"/>
          <w:color w:val="000000"/>
        </w:rPr>
        <w:t>Several Obligations; Nonreliance; Violation of Law</w:t>
      </w:r>
      <w:r>
        <w:rPr>
          <w:rFonts w:ascii="Times New Roman" w:cs="Times New Roman" w:eastAsia="Times New Roman" w:hAnsi="Times New Roman"/>
          <w:sz w:val="19"/>
          <w:szCs w:val="19"/>
          <w:color w:val="000000"/>
        </w:rPr>
        <w:t>. The respective obligations of the Lenders hereunder are several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 in violation of any Requirement of Law.</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9.14. </w:t>
      </w:r>
      <w:r>
        <w:rPr>
          <w:rFonts w:ascii="Times New Roman" w:cs="Times New Roman" w:eastAsia="Times New Roman" w:hAnsi="Times New Roman"/>
          <w:sz w:val="19"/>
          <w:szCs w:val="19"/>
          <w:u w:val="single" w:color="auto"/>
          <w:color w:val="000000"/>
        </w:rPr>
        <w:t>USA PATRIOT Act</w:t>
      </w:r>
      <w:r>
        <w:rPr>
          <w:rFonts w:ascii="Times New Roman" w:cs="Times New Roman" w:eastAsia="Times New Roman" w:hAnsi="Times New Roman"/>
          <w:sz w:val="19"/>
          <w:szCs w:val="19"/>
          <w:color w:val="000000"/>
        </w:rPr>
        <w:t>. Each Lender that is subject to the requirements of the USA PATRIOT Act hereby notifies each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010000"/>
        </w:rPr>
        <w:t xml:space="preserve">SECTION 9.15. </w:t>
      </w:r>
      <w:r>
        <w:rPr>
          <w:rFonts w:ascii="Times New Roman" w:cs="Times New Roman" w:eastAsia="Times New Roman" w:hAnsi="Times New Roman"/>
          <w:sz w:val="19"/>
          <w:szCs w:val="19"/>
          <w:u w:val="single" w:color="auto"/>
          <w:color w:val="000000"/>
        </w:rPr>
        <w:t>Disclosure</w:t>
      </w:r>
      <w:r>
        <w:rPr>
          <w:rFonts w:ascii="Times New Roman" w:cs="Times New Roman" w:eastAsia="Times New Roman" w:hAnsi="Times New Roman"/>
          <w:sz w:val="19"/>
          <w:szCs w:val="19"/>
          <w:color w:val="000000"/>
        </w:rPr>
        <w:t>. Each Loan Party, each Lender and the Issuing Bank hereby acknowledges and agrees that the Administrative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Agent and/or its Affiliates from time to time may hold investments in, make other loans to or have other relationships with, any of the Loan Parties and their respective Affiliates.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9.16. </w:t>
      </w:r>
      <w:r>
        <w:rPr>
          <w:rFonts w:ascii="Times New Roman" w:cs="Times New Roman" w:eastAsia="Times New Roman" w:hAnsi="Times New Roman"/>
          <w:sz w:val="19"/>
          <w:szCs w:val="19"/>
          <w:u w:val="single" w:color="auto"/>
          <w:color w:val="000000"/>
        </w:rPr>
        <w:t>Appointment for Perfection</w:t>
      </w:r>
      <w:r>
        <w:rPr>
          <w:rFonts w:ascii="Times New Roman" w:cs="Times New Roman" w:eastAsia="Times New Roman" w:hAnsi="Times New Roman"/>
          <w:sz w:val="19"/>
          <w:szCs w:val="19"/>
          <w:color w:val="000000"/>
        </w:rPr>
        <w:t>. Each Lender hereby appoints each other Lender as its agent for the purpose of perfecting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9.17. </w:t>
      </w:r>
      <w:r>
        <w:rPr>
          <w:rFonts w:ascii="Times New Roman" w:cs="Times New Roman" w:eastAsia="Times New Roman" w:hAnsi="Times New Roman"/>
          <w:sz w:val="19"/>
          <w:szCs w:val="19"/>
          <w:u w:val="single" w:color="auto"/>
          <w:color w:val="000000"/>
        </w:rPr>
        <w:t>Interest Rate Limitation</w:t>
      </w:r>
      <w:r>
        <w:rPr>
          <w:rFonts w:ascii="Times New Roman" w:cs="Times New Roman" w:eastAsia="Times New Roman" w:hAnsi="Times New Roman"/>
          <w:sz w:val="19"/>
          <w:szCs w:val="19"/>
          <w:color w:val="000000"/>
        </w:rPr>
        <w:t>. Notwithstanding anything herein to the contrary, if at any time the interest rate applicable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000000"/>
        </w:rPr>
        <w:t>Charges</w:t>
      </w:r>
      <w:r>
        <w:rPr>
          <w:rFonts w:ascii="Times New Roman" w:cs="Times New Roman" w:eastAsia="Times New Roman" w:hAnsi="Times New Roman"/>
          <w:sz w:val="19"/>
          <w:szCs w:val="19"/>
          <w:color w:val="000000"/>
        </w:rPr>
        <w:t>”), shall exceed the maximum lawful rate (the “</w:t>
      </w:r>
      <w:r>
        <w:rPr>
          <w:rFonts w:ascii="Times New Roman" w:cs="Times New Roman" w:eastAsia="Times New Roman" w:hAnsi="Times New Roman"/>
          <w:sz w:val="19"/>
          <w:szCs w:val="19"/>
          <w:u w:val="single" w:color="auto"/>
          <w:color w:val="000000"/>
        </w:rPr>
        <w:t>Maximum Rate</w:t>
      </w:r>
      <w:r>
        <w:rPr>
          <w:rFonts w:ascii="Times New Roman" w:cs="Times New Roman" w:eastAsia="Times New Roman" w:hAnsi="Times New Roman"/>
          <w:sz w:val="19"/>
          <w:szCs w:val="19"/>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w:t>
      </w:r>
    </w:p>
    <w:p>
      <w:pPr>
        <w:spacing w:after="0" w:line="18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010000"/>
        </w:rPr>
        <w:t xml:space="preserve">SECTION 9.18. </w:t>
      </w:r>
      <w:r>
        <w:rPr>
          <w:rFonts w:ascii="Times New Roman" w:cs="Times New Roman" w:eastAsia="Times New Roman" w:hAnsi="Times New Roman"/>
          <w:sz w:val="19"/>
          <w:szCs w:val="19"/>
          <w:u w:val="single" w:color="auto"/>
          <w:color w:val="000000"/>
        </w:rPr>
        <w:t>No Fiduciary Duty, etc.</w:t>
      </w:r>
      <w:r>
        <w:rPr>
          <w:rFonts w:ascii="Times New Roman" w:cs="Times New Roman" w:eastAsia="Times New Roman" w:hAnsi="Times New Roman"/>
          <w:sz w:val="19"/>
          <w:szCs w:val="19"/>
          <w:color w:val="000000"/>
        </w:rPr>
        <w:t>. (a) Each Loan Party acknowledges and agrees, and acknowledges its Subsidiaries’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understanding, that no Credit Party will have any obligations except those obligations expressly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09" w:right="339" w:bottom="1440" w:gutter="0" w:footer="0" w:header="0"/>
        </w:sectPr>
      </w:pPr>
    </w:p>
    <w:bookmarkStart w:id="161" w:name="page162"/>
    <w:bookmarkEnd w:id="161"/>
    <w:p>
      <w:pPr>
        <w:jc w:val="both"/>
        <w:spacing w:after="0" w:line="254" w:lineRule="auto"/>
        <w:rPr>
          <w:sz w:val="20"/>
          <w:szCs w:val="20"/>
          <w:color w:val="auto"/>
        </w:rPr>
      </w:pPr>
      <w:r>
        <w:rPr>
          <w:rFonts w:ascii="Times New Roman" w:cs="Times New Roman" w:eastAsia="Times New Roman" w:hAnsi="Times New Roman"/>
          <w:sz w:val="19"/>
          <w:szCs w:val="19"/>
          <w:color w:val="auto"/>
        </w:rPr>
        <w:t>forth herein and in the other Loan Documents and each Credit Party is acting solely in the capacity of an arm’s length contractual counterparty to the Loan Parties with respect to the Loan Documents and the transactions contemplated therein and not as a financial advisor or a fiduciary to, or an agent of, any Loan Party or any other person. Each Loan Party agrees that it will not assert any claim against any Credit Party based on an alleged breach of fiduciary duty by such Credit Party in connection with this Agreement and the transactions contemplated by the Loan Documents. Additionally, each Loan Party acknowledges and agrees that no Credit Party is advising the Loan Parties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by the Loan Documents, and the Credit Parties shall have no responsibility or liability to any Loan Party with respect thereto.</w:t>
      </w:r>
    </w:p>
    <w:p>
      <w:pPr>
        <w:spacing w:after="0" w:line="175" w:lineRule="exact"/>
        <w:rPr>
          <w:sz w:val="20"/>
          <w:szCs w:val="20"/>
          <w:color w:val="auto"/>
        </w:rPr>
      </w:pPr>
    </w:p>
    <w:p>
      <w:pPr>
        <w:jc w:val="both"/>
        <w:ind w:firstLine="656"/>
        <w:spacing w:after="0" w:line="254" w:lineRule="auto"/>
        <w:tabs>
          <w:tab w:leader="none" w:pos="1074"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8" w:lineRule="exact"/>
        <w:rPr>
          <w:rFonts w:ascii="Times New Roman" w:cs="Times New Roman" w:eastAsia="Times New Roman" w:hAnsi="Times New Roman"/>
          <w:sz w:val="19"/>
          <w:szCs w:val="19"/>
          <w:color w:val="auto"/>
        </w:rPr>
      </w:pPr>
    </w:p>
    <w:p>
      <w:pPr>
        <w:jc w:val="both"/>
        <w:ind w:firstLine="656"/>
        <w:spacing w:after="0" w:line="251" w:lineRule="auto"/>
        <w:tabs>
          <w:tab w:leader="none" w:pos="1075"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9.19. </w:t>
      </w:r>
      <w:r>
        <w:rPr>
          <w:rFonts w:ascii="Times New Roman" w:cs="Times New Roman" w:eastAsia="Times New Roman" w:hAnsi="Times New Roman"/>
          <w:sz w:val="19"/>
          <w:szCs w:val="19"/>
          <w:u w:val="single" w:color="auto"/>
          <w:color w:val="000000"/>
        </w:rPr>
        <w:t>Marketing Consent</w:t>
      </w:r>
      <w:r>
        <w:rPr>
          <w:rFonts w:ascii="Times New Roman" w:cs="Times New Roman" w:eastAsia="Times New Roman" w:hAnsi="Times New Roman"/>
          <w:sz w:val="19"/>
          <w:szCs w:val="19"/>
          <w:color w:val="000000"/>
        </w:rPr>
        <w:t>. The Borrower hereby authorizes Chase and its affiliates (collectively, the “</w:t>
      </w:r>
      <w:r>
        <w:rPr>
          <w:rFonts w:ascii="Times New Roman" w:cs="Times New Roman" w:eastAsia="Times New Roman" w:hAnsi="Times New Roman"/>
          <w:sz w:val="19"/>
          <w:szCs w:val="19"/>
          <w:u w:val="single" w:color="auto"/>
          <w:color w:val="000000"/>
        </w:rPr>
        <w:t>Chase Parties</w:t>
      </w:r>
      <w:r>
        <w:rPr>
          <w:rFonts w:ascii="Times New Roman" w:cs="Times New Roman" w:eastAsia="Times New Roman" w:hAnsi="Times New Roman"/>
          <w:sz w:val="19"/>
          <w:szCs w:val="19"/>
          <w:color w:val="000000"/>
        </w:rPr>
        <w:t>”), MUFG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its affiliates (collectively, the “</w:t>
      </w:r>
      <w:r>
        <w:rPr>
          <w:rFonts w:ascii="Times New Roman" w:cs="Times New Roman" w:eastAsia="Times New Roman" w:hAnsi="Times New Roman"/>
          <w:sz w:val="19"/>
          <w:szCs w:val="19"/>
          <w:u w:val="single" w:color="auto"/>
          <w:color w:val="000000"/>
        </w:rPr>
        <w:t>MUFG Parties</w:t>
      </w:r>
      <w:r>
        <w:rPr>
          <w:rFonts w:ascii="Times New Roman" w:cs="Times New Roman" w:eastAsia="Times New Roman" w:hAnsi="Times New Roman"/>
          <w:sz w:val="19"/>
          <w:szCs w:val="19"/>
          <w:color w:val="000000"/>
        </w:rPr>
        <w:t>”) and SVB and its affiliates (collectively, the “</w:t>
      </w:r>
      <w:r>
        <w:rPr>
          <w:rFonts w:ascii="Times New Roman" w:cs="Times New Roman" w:eastAsia="Times New Roman" w:hAnsi="Times New Roman"/>
          <w:sz w:val="19"/>
          <w:szCs w:val="19"/>
          <w:u w:val="single" w:color="auto"/>
          <w:color w:val="000000"/>
        </w:rPr>
        <w:t>SVB Parties</w:t>
      </w:r>
      <w:r>
        <w:rPr>
          <w:rFonts w:ascii="Times New Roman" w:cs="Times New Roman" w:eastAsia="Times New Roman" w:hAnsi="Times New Roman"/>
          <w:sz w:val="19"/>
          <w:szCs w:val="19"/>
          <w:color w:val="000000"/>
        </w:rPr>
        <w:t>”), at their respective sole expense, and without any prior approval by the Borrower, to include the Borrower’s name and logo in advertising, marketing, tombstones, case studies and training materials, and to give such other publicity to this Agreement as the Chase Parties, the MUFG Parties or the SVB Parties may from time to time determine in their sole discretion provided that notwithstanding the foregoing, no such advertising, marketing, tombstones, case studies, training materials, or other publicity may disclose any information that is restricted from being disclosed pursuant to the Loan Documents or that has not previously been disclosed by the Borrower in an 8-K or similar public filing. The foregoing authorization shall remain in effect unless the Borrower notifies Chase, MUFG or SVB in writing that such authorization is revoked.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9.20. </w:t>
      </w:r>
      <w:r>
        <w:rPr>
          <w:rFonts w:ascii="Times New Roman" w:cs="Times New Roman" w:eastAsia="Times New Roman" w:hAnsi="Times New Roman"/>
          <w:sz w:val="19"/>
          <w:szCs w:val="19"/>
          <w:u w:val="single" w:color="auto"/>
          <w:color w:val="000000"/>
        </w:rPr>
        <w:t>Acknowledgment and Consent to Bail-In of Affected Financial Institutions</w:t>
      </w:r>
      <w:r>
        <w:rPr>
          <w:rFonts w:ascii="Times New Roman" w:cs="Times New Roman" w:eastAsia="Times New Roman" w:hAnsi="Times New Roman"/>
          <w:sz w:val="19"/>
          <w:szCs w:val="19"/>
          <w:color w:val="000000"/>
        </w:rPr>
        <w:t>. Notwithstanding anything to the contrary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09" w:right="339" w:bottom="1440" w:gutter="0" w:footer="0" w:header="0"/>
        </w:sectPr>
      </w:pPr>
    </w:p>
    <w:bookmarkStart w:id="162" w:name="page163"/>
    <w:bookmarkEnd w:id="162"/>
    <w:p>
      <w:pPr>
        <w:ind w:right="20" w:firstLine="656"/>
        <w:spacing w:after="0" w:line="280" w:lineRule="auto"/>
        <w:tabs>
          <w:tab w:leader="none" w:pos="1139" w:val="left"/>
        </w:tabs>
        <w:numPr>
          <w:ilvl w:val="0"/>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5" w:lineRule="exact"/>
        <w:rPr>
          <w:rFonts w:ascii="Times New Roman" w:cs="Times New Roman" w:eastAsia="Times New Roman" w:hAnsi="Times New Roman"/>
          <w:sz w:val="19"/>
          <w:szCs w:val="19"/>
          <w:color w:val="010000"/>
        </w:rPr>
      </w:pPr>
    </w:p>
    <w:p>
      <w:pPr>
        <w:ind w:left="1060" w:hanging="404"/>
        <w:spacing w:after="0"/>
        <w:tabs>
          <w:tab w:leader="none" w:pos="1060" w:val="left"/>
        </w:tabs>
        <w:numPr>
          <w:ilvl w:val="0"/>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3" w:lineRule="exact"/>
        <w:rPr>
          <w:rFonts w:ascii="Times New Roman" w:cs="Times New Roman" w:eastAsia="Times New Roman" w:hAnsi="Times New Roman"/>
          <w:sz w:val="19"/>
          <w:szCs w:val="19"/>
          <w:color w:val="010000"/>
        </w:rPr>
      </w:pPr>
    </w:p>
    <w:p>
      <w:pPr>
        <w:ind w:left="1680" w:hanging="376"/>
        <w:spacing w:after="0"/>
        <w:tabs>
          <w:tab w:leader="none" w:pos="1680" w:val="left"/>
        </w:tabs>
        <w:numPr>
          <w:ilvl w:val="1"/>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reduction in full or in part or cancellation of any such liability;</w:t>
      </w:r>
    </w:p>
    <w:p>
      <w:pPr>
        <w:spacing w:after="0" w:line="227" w:lineRule="exact"/>
        <w:rPr>
          <w:rFonts w:ascii="Times New Roman" w:cs="Times New Roman" w:eastAsia="Times New Roman" w:hAnsi="Times New Roman"/>
          <w:sz w:val="19"/>
          <w:szCs w:val="19"/>
          <w:color w:val="010000"/>
        </w:rPr>
      </w:pPr>
    </w:p>
    <w:p>
      <w:pPr>
        <w:jc w:val="both"/>
        <w:ind w:left="660" w:firstLine="644"/>
        <w:spacing w:after="0" w:line="261" w:lineRule="auto"/>
        <w:tabs>
          <w:tab w:leader="none" w:pos="1784" w:val="left"/>
        </w:tabs>
        <w:numPr>
          <w:ilvl w:val="1"/>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0" w:lineRule="exact"/>
        <w:rPr>
          <w:rFonts w:ascii="Times New Roman" w:cs="Times New Roman" w:eastAsia="Times New Roman" w:hAnsi="Times New Roman"/>
          <w:sz w:val="19"/>
          <w:szCs w:val="19"/>
          <w:color w:val="010000"/>
        </w:rPr>
      </w:pPr>
    </w:p>
    <w:p>
      <w:pPr>
        <w:ind w:left="660" w:firstLine="644"/>
        <w:spacing w:after="0" w:line="280" w:lineRule="auto"/>
        <w:tabs>
          <w:tab w:leader="none" w:pos="1801" w:val="left"/>
        </w:tabs>
        <w:numPr>
          <w:ilvl w:val="1"/>
          <w:numId w:val="1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9.21. </w:t>
      </w:r>
      <w:r>
        <w:rPr>
          <w:rFonts w:ascii="Times New Roman" w:cs="Times New Roman" w:eastAsia="Times New Roman" w:hAnsi="Times New Roman"/>
          <w:sz w:val="19"/>
          <w:szCs w:val="19"/>
          <w:u w:val="single" w:color="auto"/>
          <w:color w:val="000000"/>
        </w:rPr>
        <w:t>Acknowledgement Regarding Any Supported QFCs</w:t>
      </w:r>
      <w:r>
        <w:rPr>
          <w:rFonts w:ascii="Times New Roman" w:cs="Times New Roman" w:eastAsia="Times New Roman" w:hAnsi="Times New Roman"/>
          <w:sz w:val="19"/>
          <w:szCs w:val="19"/>
          <w:color w:val="000000"/>
        </w:rPr>
        <w:t>(a) . To the extent that the Loan Documents provide support,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through a guarantee or otherwise, for Swap Agreements or any other agreement or instrument that is a QFC (such support “</w:t>
      </w:r>
      <w:r>
        <w:rPr>
          <w:rFonts w:ascii="Times New Roman" w:cs="Times New Roman" w:eastAsia="Times New Roman" w:hAnsi="Times New Roman"/>
          <w:sz w:val="19"/>
          <w:szCs w:val="19"/>
          <w:u w:val="single" w:color="auto"/>
          <w:color w:val="000000"/>
        </w:rPr>
        <w:t>QFC Credit Support</w:t>
      </w:r>
      <w:r>
        <w:rPr>
          <w:rFonts w:ascii="Times New Roman" w:cs="Times New Roman" w:eastAsia="Times New Roman" w:hAnsi="Times New Roman"/>
          <w:sz w:val="19"/>
          <w:szCs w:val="19"/>
          <w:color w:val="000000"/>
        </w:rPr>
        <w:t>” and each such QFC a “</w:t>
      </w:r>
      <w:r>
        <w:rPr>
          <w:rFonts w:ascii="Times New Roman" w:cs="Times New Roman" w:eastAsia="Times New Roman" w:hAnsi="Times New Roman"/>
          <w:sz w:val="19"/>
          <w:szCs w:val="19"/>
          <w:u w:val="single" w:color="auto"/>
          <w:color w:val="000000"/>
        </w:rPr>
        <w:t>Supported QFC</w:t>
      </w:r>
      <w:r>
        <w:rPr>
          <w:rFonts w:ascii="Times New Roman" w:cs="Times New Roman" w:eastAsia="Times New Roman" w:hAnsi="Times New Roman"/>
          <w:sz w:val="19"/>
          <w:szCs w:val="19"/>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000000"/>
        </w:rPr>
        <w:t>U.S. Special Resolution Regimes</w:t>
      </w:r>
      <w:r>
        <w:rPr>
          <w:rFonts w:ascii="Times New Roman" w:cs="Times New Roman" w:eastAsia="Times New Roman" w:hAnsi="Times New Roman"/>
          <w:sz w:val="19"/>
          <w:szCs w:val="19"/>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010000"/>
        </w:rPr>
        <w:t>ARTICLE X</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Loan Guaranty</w:t>
      </w:r>
    </w:p>
    <w:p>
      <w:pPr>
        <w:spacing w:after="0" w:line="1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10.01. </w:t>
      </w:r>
      <w:r>
        <w:rPr>
          <w:rFonts w:ascii="Times New Roman" w:cs="Times New Roman" w:eastAsia="Times New Roman" w:hAnsi="Times New Roman"/>
          <w:sz w:val="19"/>
          <w:szCs w:val="19"/>
          <w:u w:val="single" w:color="auto"/>
          <w:color w:val="000000"/>
        </w:rPr>
        <w:t>Guaranty</w:t>
      </w:r>
      <w:r>
        <w:rPr>
          <w:rFonts w:ascii="Times New Roman" w:cs="Times New Roman" w:eastAsia="Times New Roman" w:hAnsi="Times New Roman"/>
          <w:sz w:val="19"/>
          <w:szCs w:val="19"/>
          <w:color w:val="000000"/>
        </w:rPr>
        <w:t>. Each Loan Guarantor hereby agrees that it is jointly and severally liable for, and, as a primary obligor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not merely as surety, absolutely, unconditionally and irrevocably guarantees to the Secured Parties, the prompt payment when due, whether at stated maturity, upon acceleration or otherwise, and at all times thereafter, of the Guaranteed Obligations of such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09" w:right="339" w:bottom="1440" w:gutter="0" w:footer="0" w:header="0"/>
        </w:sectPr>
      </w:pPr>
    </w:p>
    <w:bookmarkStart w:id="163" w:name="page164"/>
    <w:bookmarkEnd w:id="163"/>
    <w:p>
      <w:pPr>
        <w:jc w:val="both"/>
        <w:spacing w:after="0" w:line="280" w:lineRule="auto"/>
        <w:rPr>
          <w:sz w:val="20"/>
          <w:szCs w:val="20"/>
          <w:color w:val="auto"/>
        </w:rPr>
      </w:pPr>
      <w:r>
        <w:rPr>
          <w:rFonts w:ascii="Times New Roman" w:cs="Times New Roman" w:eastAsia="Times New Roman" w:hAnsi="Times New Roman"/>
          <w:sz w:val="19"/>
          <w:szCs w:val="19"/>
          <w:color w:val="auto"/>
        </w:rPr>
        <w:t>Guaranty apply to and may be enforced by or on behalf of any domestic or foreign branch or Affiliate of any Lender that extended any portion of the Guaranteed Obligations.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10.02. </w:t>
      </w:r>
      <w:r>
        <w:rPr>
          <w:rFonts w:ascii="Times New Roman" w:cs="Times New Roman" w:eastAsia="Times New Roman" w:hAnsi="Times New Roman"/>
          <w:sz w:val="19"/>
          <w:szCs w:val="19"/>
          <w:u w:val="single" w:color="auto"/>
          <w:color w:val="000000"/>
        </w:rPr>
        <w:t>Guaranty of Payment</w:t>
      </w:r>
      <w:r>
        <w:rPr>
          <w:rFonts w:ascii="Times New Roman" w:cs="Times New Roman" w:eastAsia="Times New Roman" w:hAnsi="Times New Roman"/>
          <w:sz w:val="19"/>
          <w:szCs w:val="19"/>
          <w:color w:val="000000"/>
        </w:rPr>
        <w:t>. This Loan Guaranty is a guaranty of payment and not of collection. Each Loan Guarantor waives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any right to require the Administrative Agent, the Issuing Bank or any Lender to sue the Borrower, any Loan Guarantor, any other guarantor of, or any other Person obligated for all or any part of the Guaranteed Obligations (each, an “</w:t>
      </w:r>
      <w:r>
        <w:rPr>
          <w:rFonts w:ascii="Times New Roman" w:cs="Times New Roman" w:eastAsia="Times New Roman" w:hAnsi="Times New Roman"/>
          <w:sz w:val="19"/>
          <w:szCs w:val="19"/>
          <w:u w:val="single" w:color="auto"/>
          <w:color w:val="000000"/>
        </w:rPr>
        <w:t>Obligated Party</w:t>
      </w:r>
      <w:r>
        <w:rPr>
          <w:rFonts w:ascii="Times New Roman" w:cs="Times New Roman" w:eastAsia="Times New Roman" w:hAnsi="Times New Roman"/>
          <w:sz w:val="19"/>
          <w:szCs w:val="19"/>
          <w:color w:val="000000"/>
        </w:rPr>
        <w:t>”), or otherwise to enforce its payment against any collateral securing all or any part of the Guaranteed Obligations.</w:t>
      </w:r>
    </w:p>
    <w:p>
      <w:pPr>
        <w:spacing w:after="0" w:line="188"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9"/>
          <w:szCs w:val="19"/>
          <w:color w:val="010000"/>
        </w:rPr>
        <w:t>SECTION 10.03.</w:t>
      </w:r>
      <w:r>
        <w:rPr>
          <w:sz w:val="20"/>
          <w:szCs w:val="20"/>
          <w:color w:val="auto"/>
        </w:rPr>
        <w:tab/>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106" w:val="left"/>
        </w:tabs>
        <w:numPr>
          <w:ilvl w:val="1"/>
          <w:numId w:val="1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97"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078" w:val="left"/>
        </w:tabs>
        <w:numPr>
          <w:ilvl w:val="1"/>
          <w:numId w:val="1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64" w:lineRule="exact"/>
        <w:rPr>
          <w:rFonts w:ascii="Times New Roman" w:cs="Times New Roman" w:eastAsia="Times New Roman" w:hAnsi="Times New Roman"/>
          <w:sz w:val="19"/>
          <w:szCs w:val="19"/>
          <w:color w:val="010000"/>
        </w:rPr>
      </w:pPr>
    </w:p>
    <w:p>
      <w:pPr>
        <w:jc w:val="both"/>
        <w:ind w:firstLine="656"/>
        <w:spacing w:after="0" w:line="271" w:lineRule="auto"/>
        <w:tabs>
          <w:tab w:leader="none" w:pos="1051" w:val="left"/>
        </w:tabs>
        <w:numPr>
          <w:ilvl w:val="1"/>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2" w:lineRule="exact"/>
        <w:rPr>
          <w:rFonts w:ascii="Times New Roman" w:cs="Times New Roman" w:eastAsia="Times New Roman" w:hAnsi="Times New Roman"/>
          <w:sz w:val="18"/>
          <w:szCs w:val="18"/>
          <w:color w:val="010000"/>
        </w:rPr>
      </w:pPr>
    </w:p>
    <w:p>
      <w:pPr>
        <w:jc w:val="both"/>
        <w:ind w:firstLine="8"/>
        <w:spacing w:after="0" w:line="251" w:lineRule="auto"/>
        <w:tabs>
          <w:tab w:leader="none" w:pos="364"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010000"/>
        </w:rPr>
        <w:t xml:space="preserve">SECTION 10.04. </w:t>
      </w:r>
      <w:r>
        <w:rPr>
          <w:rFonts w:ascii="Times New Roman" w:cs="Times New Roman" w:eastAsia="Times New Roman" w:hAnsi="Times New Roman"/>
          <w:sz w:val="19"/>
          <w:szCs w:val="19"/>
          <w:u w:val="single" w:color="auto"/>
          <w:color w:val="000000"/>
        </w:rPr>
        <w:t>Defenses Waived</w:t>
      </w:r>
      <w:r>
        <w:rPr>
          <w:rFonts w:ascii="Times New Roman" w:cs="Times New Roman" w:eastAsia="Times New Roman" w:hAnsi="Times New Roman"/>
          <w:sz w:val="19"/>
          <w:szCs w:val="19"/>
          <w:color w:val="000000"/>
        </w:rPr>
        <w:t>. To the fullest extent permitted by applicable law, each Loan Guarantor hereby waives any defense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09"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19"/>
          <w:szCs w:val="19"/>
          <w:color w:val="auto"/>
        </w:rPr>
        <w:t>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010000"/>
        </w:rPr>
        <w:t xml:space="preserve">SECTION 10.05. </w:t>
      </w:r>
      <w:r>
        <w:rPr>
          <w:rFonts w:ascii="Times New Roman" w:cs="Times New Roman" w:eastAsia="Times New Roman" w:hAnsi="Times New Roman"/>
          <w:sz w:val="19"/>
          <w:szCs w:val="19"/>
          <w:u w:val="single" w:color="auto"/>
          <w:color w:val="000000"/>
        </w:rPr>
        <w:t>Rights of Subrogation</w:t>
      </w:r>
      <w:r>
        <w:rPr>
          <w:rFonts w:ascii="Times New Roman" w:cs="Times New Roman" w:eastAsia="Times New Roman" w:hAnsi="Times New Roman"/>
          <w:sz w:val="19"/>
          <w:szCs w:val="19"/>
          <w:color w:val="000000"/>
        </w:rPr>
        <w:t>. No Loan Guarantor will assert any right, claim or cause of action, including, without limitation,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10.06. </w:t>
      </w:r>
      <w:r>
        <w:rPr>
          <w:rFonts w:ascii="Times New Roman" w:cs="Times New Roman" w:eastAsia="Times New Roman" w:hAnsi="Times New Roman"/>
          <w:sz w:val="19"/>
          <w:szCs w:val="19"/>
          <w:u w:val="single" w:color="auto"/>
          <w:color w:val="000000"/>
        </w:rPr>
        <w:t>Reinstatement; Stay of Acceleration</w:t>
      </w:r>
      <w:r>
        <w:rPr>
          <w:rFonts w:ascii="Times New Roman" w:cs="Times New Roman" w:eastAsia="Times New Roman" w:hAnsi="Times New Roman"/>
          <w:sz w:val="19"/>
          <w:szCs w:val="19"/>
          <w:color w:val="000000"/>
        </w:rPr>
        <w:t>. If at any time any payment of any portion of the Guaranteed Obligations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010000"/>
        </w:rPr>
        <w:t xml:space="preserve">SECTION 10.07.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Each Loan Guarantor assumes all responsibility for being and keeping itself informed of the Borrower’s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9"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9"/>
          <w:szCs w:val="19"/>
          <w:color w:val="010000"/>
        </w:rPr>
        <w:t>SECTION 10.08.</w:t>
      </w:r>
      <w:r>
        <w:rPr>
          <w:sz w:val="20"/>
          <w:szCs w:val="20"/>
          <w:color w:val="auto"/>
        </w:rPr>
        <w:tab/>
      </w:r>
      <w:r>
        <w:rPr>
          <w:rFonts w:ascii="Times New Roman" w:cs="Times New Roman" w:eastAsia="Times New Roman" w:hAnsi="Times New Roman"/>
          <w:sz w:val="18"/>
          <w:szCs w:val="18"/>
          <w:u w:val="single" w:color="auto"/>
          <w:color w:val="auto"/>
        </w:rPr>
        <w:t>Release of Loan Guarantors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56"/>
        <w:spacing w:after="0" w:line="254" w:lineRule="auto"/>
        <w:tabs>
          <w:tab w:leader="none" w:pos="1063"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 Subsidiary Guarantor shall automatically be released from its obligations under the Loan Guaranty upon the consummation of any transaction permitted by this Agreement as a result of which such Subsidiary Guarantor ceases to be a </w:t>
      </w:r>
      <w:r>
        <w:rPr>
          <w:rFonts w:ascii="Times New Roman" w:cs="Times New Roman" w:eastAsia="Times New Roman" w:hAnsi="Times New Roman"/>
          <w:sz w:val="19"/>
          <w:szCs w:val="19"/>
          <w:u w:val="single" w:color="auto"/>
          <w:color w:val="0000FF"/>
        </w:rPr>
        <w:t>Restricted</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90"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02"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Further, the Administrative Agent may (and is hereby irrevocably authorized by each Lender to), upon the request of the Borrower, release any Subsidiary Guarantor from its obligations under the Loan Guaranty if such Subsidiary Guarantor is no longer a Material Domestic Subsidiary.</w:t>
      </w:r>
    </w:p>
    <w:p>
      <w:pPr>
        <w:spacing w:after="0" w:line="164" w:lineRule="exact"/>
        <w:rPr>
          <w:rFonts w:ascii="Times New Roman" w:cs="Times New Roman" w:eastAsia="Times New Roman" w:hAnsi="Times New Roman"/>
          <w:sz w:val="19"/>
          <w:szCs w:val="19"/>
          <w:color w:val="010000"/>
        </w:rPr>
      </w:pPr>
    </w:p>
    <w:p>
      <w:pPr>
        <w:jc w:val="both"/>
        <w:ind w:firstLine="656"/>
        <w:spacing w:after="0" w:line="266" w:lineRule="auto"/>
        <w:tabs>
          <w:tab w:leader="none" w:pos="1134"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Payment in Full of all Guaranteed Obligations,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78"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9"/>
          <w:szCs w:val="19"/>
          <w:color w:val="010000"/>
        </w:rPr>
        <w:t>SECTION 10.09.</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09" w:right="339" w:bottom="1440" w:gutter="0" w:footer="0" w:header="0"/>
        </w:sectPr>
      </w:pPr>
    </w:p>
    <w:bookmarkStart w:id="165" w:name="page166"/>
    <w:bookmarkEnd w:id="165"/>
    <w:p>
      <w:pPr>
        <w:jc w:val="both"/>
        <w:ind w:firstLine="648"/>
        <w:spacing w:after="0" w:line="254" w:lineRule="auto"/>
        <w:rPr>
          <w:sz w:val="20"/>
          <w:szCs w:val="20"/>
          <w:color w:val="auto"/>
        </w:rPr>
      </w:pPr>
      <w:r>
        <w:rPr>
          <w:rFonts w:ascii="Times New Roman" w:cs="Times New Roman" w:eastAsia="Times New Roman" w:hAnsi="Times New Roman"/>
          <w:sz w:val="19"/>
          <w:szCs w:val="19"/>
          <w:color w:val="010000"/>
        </w:rPr>
        <w:t xml:space="preserve">SECTION 10.10. </w:t>
      </w:r>
      <w:r>
        <w:rPr>
          <w:rFonts w:ascii="Times New Roman" w:cs="Times New Roman" w:eastAsia="Times New Roman" w:hAnsi="Times New Roman"/>
          <w:sz w:val="19"/>
          <w:szCs w:val="19"/>
          <w:u w:val="single" w:color="auto"/>
          <w:color w:val="000000"/>
        </w:rPr>
        <w:t>Maximum Liability</w:t>
      </w:r>
      <w:r>
        <w:rPr>
          <w:rFonts w:ascii="Times New Roman" w:cs="Times New Roman" w:eastAsia="Times New Roman" w:hAnsi="Times New Roman"/>
          <w:sz w:val="19"/>
          <w:szCs w:val="19"/>
          <w:color w:val="000000"/>
        </w:rPr>
        <w:t>. Notwithstanding any other provision of this Loan Guaranty, the amount guaranteed by each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92"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9"/>
          <w:szCs w:val="19"/>
          <w:color w:val="010000"/>
        </w:rPr>
        <w:t>SECTION 10.11.</w:t>
      </w:r>
      <w:r>
        <w:rPr>
          <w:sz w:val="20"/>
          <w:szCs w:val="20"/>
          <w:color w:val="auto"/>
        </w:rPr>
        <w:tab/>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1086"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that any Loan Guarantor shall make a payment under this Loan Guaranty (a “</w:t>
      </w:r>
      <w:r>
        <w:rPr>
          <w:rFonts w:ascii="Times New Roman" w:cs="Times New Roman" w:eastAsia="Times New Roman" w:hAnsi="Times New Roman"/>
          <w:sz w:val="19"/>
          <w:szCs w:val="19"/>
          <w:u w:val="single" w:color="auto"/>
          <w:color w:val="auto"/>
        </w:rPr>
        <w:t>Guarantor Payment</w:t>
      </w:r>
      <w:r>
        <w:rPr>
          <w:rFonts w:ascii="Times New Roman" w:cs="Times New Roman" w:eastAsia="Times New Roman" w:hAnsi="Times New Roman"/>
          <w:sz w:val="19"/>
          <w:szCs w:val="19"/>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8" w:lineRule="exact"/>
        <w:rPr>
          <w:rFonts w:ascii="Times New Roman" w:cs="Times New Roman" w:eastAsia="Times New Roman" w:hAnsi="Times New Roman"/>
          <w:sz w:val="19"/>
          <w:szCs w:val="19"/>
          <w:color w:val="010000"/>
        </w:rPr>
      </w:pPr>
    </w:p>
    <w:p>
      <w:pPr>
        <w:jc w:val="both"/>
        <w:ind w:firstLine="656"/>
        <w:spacing w:after="0" w:line="255" w:lineRule="auto"/>
        <w:tabs>
          <w:tab w:leader="none" w:pos="1055"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9" w:lineRule="exact"/>
        <w:rPr>
          <w:rFonts w:ascii="Times New Roman" w:cs="Times New Roman" w:eastAsia="Times New Roman" w:hAnsi="Times New Roman"/>
          <w:sz w:val="19"/>
          <w:szCs w:val="19"/>
          <w:color w:val="010000"/>
        </w:rPr>
      </w:pPr>
    </w:p>
    <w:p>
      <w:pPr>
        <w:jc w:val="both"/>
        <w:ind w:firstLine="656"/>
        <w:spacing w:after="0" w:line="258" w:lineRule="auto"/>
        <w:tabs>
          <w:tab w:leader="none" w:pos="1071"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86" w:lineRule="exact"/>
        <w:rPr>
          <w:rFonts w:ascii="Times New Roman" w:cs="Times New Roman" w:eastAsia="Times New Roman" w:hAnsi="Times New Roman"/>
          <w:sz w:val="19"/>
          <w:szCs w:val="19"/>
          <w:color w:val="010000"/>
        </w:rPr>
      </w:pPr>
    </w:p>
    <w:p>
      <w:pPr>
        <w:ind w:firstLine="656"/>
        <w:spacing w:after="0" w:line="280" w:lineRule="auto"/>
        <w:tabs>
          <w:tab w:leader="none" w:pos="1157"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hereto acknowledge that the rights of contribution and indemnification hereunder shall constitute assets of the Loan Guarantor or Loan Guarantors to which such contribution and indemnification is owing.</w:t>
      </w:r>
    </w:p>
    <w:p>
      <w:pPr>
        <w:spacing w:after="0" w:line="165" w:lineRule="exact"/>
        <w:rPr>
          <w:rFonts w:ascii="Times New Roman" w:cs="Times New Roman" w:eastAsia="Times New Roman" w:hAnsi="Times New Roman"/>
          <w:sz w:val="19"/>
          <w:szCs w:val="19"/>
          <w:color w:val="010000"/>
        </w:rPr>
      </w:pPr>
    </w:p>
    <w:p>
      <w:pPr>
        <w:ind w:firstLine="656"/>
        <w:spacing w:after="0" w:line="280" w:lineRule="auto"/>
        <w:tabs>
          <w:tab w:leader="none" w:pos="1060"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rights of the indemnifying Loan Guarantors against other Loan Guarantors under this Section 10.11 shall be exercisable upon the Payment in Full of the Guaranteed Obligations and the termination of this Agreement.</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010000"/>
        </w:rPr>
        <w:t xml:space="preserve">SECTION 10.12. </w:t>
      </w:r>
      <w:r>
        <w:rPr>
          <w:rFonts w:ascii="Times New Roman" w:cs="Times New Roman" w:eastAsia="Times New Roman" w:hAnsi="Times New Roman"/>
          <w:sz w:val="19"/>
          <w:szCs w:val="19"/>
          <w:u w:val="single" w:color="auto"/>
          <w:color w:val="000000"/>
        </w:rPr>
        <w:t>Liability Cumulative</w:t>
      </w:r>
      <w:r>
        <w:rPr>
          <w:rFonts w:ascii="Times New Roman" w:cs="Times New Roman" w:eastAsia="Times New Roman" w:hAnsi="Times New Roman"/>
          <w:sz w:val="19"/>
          <w:szCs w:val="19"/>
          <w:color w:val="000000"/>
        </w:rPr>
        <w:t>. The liability of each Loan Party as a Loan Guarantor under this Article X is in addition to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010000"/>
        </w:rPr>
        <w:t xml:space="preserve">SECTION 10.13. </w:t>
      </w:r>
      <w:r>
        <w:rPr>
          <w:rFonts w:ascii="Times New Roman" w:cs="Times New Roman" w:eastAsia="Times New Roman" w:hAnsi="Times New Roman"/>
          <w:sz w:val="19"/>
          <w:szCs w:val="19"/>
          <w:u w:val="single" w:color="auto"/>
          <w:color w:val="000000"/>
        </w:rPr>
        <w:t>Keepwell</w:t>
      </w:r>
      <w:r>
        <w:rPr>
          <w:rFonts w:ascii="Times New Roman" w:cs="Times New Roman" w:eastAsia="Times New Roman" w:hAnsi="Times New Roman"/>
          <w:sz w:val="19"/>
          <w:szCs w:val="19"/>
          <w:color w:val="000000"/>
        </w:rPr>
        <w:t>. Each Qualified ECP Guarantor hereby jointly and severally absolutely, unconditionally and irrevocably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undertakes to provide such funds or other support as may be needed from time to time by each other Loan Party to honor all of its obligations under this Guarantee in respect of a Swap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09"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9"/>
          <w:szCs w:val="19"/>
          <w:color w:val="auto"/>
        </w:rPr>
        <w:t>(provided,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09"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29,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29,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29,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29,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decimal"/>
      <w:start w:val="2"/>
    </w:lvl>
  </w:abstractNum>
  <w:abstractNum w:abstractNumId="4">
    <w:nsid w:val="71C91298"/>
    <w:multiLevelType w:val="hybridMultilevel"/>
    <w:lvl w:ilvl="0">
      <w:lvlJc w:val="left"/>
      <w:lvlText w:val="%1."/>
      <w:numFmt w:val="decimal"/>
      <w:start w:val="3"/>
    </w:lvl>
  </w:abstractNum>
  <w:abstractNum w:abstractNumId="5">
    <w:nsid w:val="9DAF632"/>
    <w:multiLevelType w:val="hybridMultilevel"/>
    <w:lvl w:ilvl="0">
      <w:lvlJc w:val="left"/>
      <w:lvlText w:val="%1."/>
      <w:numFmt w:val="decimal"/>
      <w:start w:val="4"/>
    </w:lvl>
  </w:abstractNum>
  <w:abstractNum w:abstractNumId="6">
    <w:nsid w:val="53299938"/>
    <w:multiLevelType w:val="hybridMultilevel"/>
    <w:lvl w:ilvl="0">
      <w:lvlJc w:val="left"/>
      <w:lvlText w:val="%1."/>
      <w:numFmt w:val="decimal"/>
      <w:start w:val="5"/>
    </w:lvl>
  </w:abstractNum>
  <w:abstractNum w:abstractNumId="7">
    <w:nsid w:val="1FBFE8E0"/>
    <w:multiLevelType w:val="hybridMultilevel"/>
    <w:lvl w:ilvl="0">
      <w:lvlJc w:val="left"/>
      <w:lvlText w:val="%1."/>
      <w:numFmt w:val="decimal"/>
      <w:start w:val="6"/>
    </w:lvl>
  </w:abstractNum>
  <w:abstractNum w:abstractNumId="8">
    <w:nsid w:val="5092CA79"/>
    <w:multiLevelType w:val="hybridMultilevel"/>
    <w:lvl w:ilvl="0">
      <w:lvlJc w:val="left"/>
      <w:lvlText w:val="(%1)"/>
      <w:numFmt w:val="decimal"/>
      <w:start w:val="1"/>
    </w:lvl>
  </w:abstractNum>
  <w:abstractNum w:abstractNumId="9">
    <w:nsid w:val="1D545C4D"/>
    <w:multiLevelType w:val="hybridMultilevel"/>
    <w:lvl w:ilvl="0">
      <w:lvlJc w:val="left"/>
      <w:lvlText w:val="(%1)"/>
      <w:numFmt w:val="decimal"/>
      <w:start w:val="1"/>
    </w:lvl>
  </w:abstractNum>
  <w:abstractNum w:abstractNumId="10">
    <w:nsid w:val="59ADEA3D"/>
    <w:multiLevelType w:val="hybridMultilevel"/>
    <w:lvl w:ilvl="0">
      <w:lvlJc w:val="left"/>
      <w:lvlText w:val="%1."/>
      <w:numFmt w:val="decimal"/>
      <w:start w:val="7"/>
    </w:lvl>
  </w:abstractNum>
  <w:abstractNum w:abstractNumId="11">
    <w:nsid w:val="288F1A34"/>
    <w:multiLevelType w:val="hybridMultilevel"/>
    <w:lvl w:ilvl="0">
      <w:lvlJc w:val="left"/>
      <w:lvlText w:val="%1."/>
      <w:numFmt w:val="decimal"/>
      <w:start w:val="8"/>
    </w:lvl>
  </w:abstractNum>
  <w:abstractNum w:abstractNumId="12">
    <w:nsid w:val="2A155DBC"/>
    <w:multiLevelType w:val="hybridMultilevel"/>
    <w:lvl w:ilvl="0">
      <w:lvlJc w:val="left"/>
      <w:lvlText w:val="%1."/>
      <w:numFmt w:val="decimal"/>
      <w:start w:val="9"/>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1)"/>
      <w:numFmt w:val="decimal"/>
      <w:start w:val="1"/>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1)"/>
      <w:numFmt w:val="decimal"/>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1."/>
      <w:numFmt w:val="decimal"/>
      <w:start w:val="1"/>
    </w:lvl>
  </w:abstractNum>
  <w:abstractNum w:abstractNumId="20">
    <w:nsid w:val="23D86AAC"/>
    <w:multiLevelType w:val="hybridMultilevel"/>
    <w:lvl w:ilvl="0">
      <w:lvlJc w:val="left"/>
      <w:lvlText w:val="%1."/>
      <w:numFmt w:val="decimal"/>
      <w:start w:val="2"/>
    </w:lvl>
  </w:abstractNum>
  <w:abstractNum w:abstractNumId="21">
    <w:nsid w:val="45E6D486"/>
    <w:multiLevelType w:val="hybridMultilevel"/>
    <w:lvl w:ilvl="0">
      <w:lvlJc w:val="left"/>
      <w:lvlText w:val="(%1)"/>
      <w:numFmt w:val="lowerLetter"/>
      <w:start w:val="1"/>
    </w:lvl>
  </w:abstractNum>
  <w:abstractNum w:abstractNumId="22">
    <w:nsid w:val="5C10FE21"/>
    <w:multiLevelType w:val="hybridMultilevel"/>
    <w:lvl w:ilvl="0">
      <w:lvlJc w:val="left"/>
      <w:lvlText w:val="(%1)"/>
      <w:numFmt w:val="lowerLetter"/>
      <w:start w:val="2"/>
    </w:lvl>
  </w:abstractNum>
  <w:abstractNum w:abstractNumId="23">
    <w:nsid w:val="E7FFA2B"/>
    <w:multiLevelType w:val="hybridMultilevel"/>
    <w:lvl w:ilvl="0">
      <w:lvlJc w:val="left"/>
      <w:lvlText w:val="%1."/>
      <w:numFmt w:val="decimal"/>
      <w:start w:val="3"/>
    </w:lvl>
  </w:abstractNum>
  <w:abstractNum w:abstractNumId="24">
    <w:nsid w:val="3C5991AA"/>
    <w:multiLevelType w:val="hybridMultilevel"/>
    <w:lvl w:ilvl="0">
      <w:lvlJc w:val="left"/>
      <w:lvlText w:val="(%1)"/>
      <w:numFmt w:val="lowerLetter"/>
      <w:start w:val="1"/>
    </w:lvl>
  </w:abstractNum>
  <w:abstractNum w:abstractNumId="25">
    <w:nsid w:val="4BD8591A"/>
    <w:multiLevelType w:val="hybridMultilevel"/>
    <w:lvl w:ilvl="0">
      <w:lvlJc w:val="left"/>
      <w:lvlText w:val="%1."/>
      <w:numFmt w:val="decimal"/>
      <w:start w:val="4"/>
    </w:lvl>
  </w:abstractNum>
  <w:abstractNum w:abstractNumId="26">
    <w:nsid w:val="78DF6A55"/>
    <w:multiLevelType w:val="hybridMultilevel"/>
    <w:lvl w:ilvl="0">
      <w:lvlJc w:val="left"/>
      <w:lvlText w:val="(%1)"/>
      <w:numFmt w:val="lowerLetter"/>
      <w:start w:val="1"/>
    </w:lvl>
  </w:abstractNum>
  <w:abstractNum w:abstractNumId="27">
    <w:nsid w:val="39B7AAA2"/>
    <w:multiLevelType w:val="hybridMultilevel"/>
    <w:lvl w:ilvl="0">
      <w:lvlJc w:val="left"/>
      <w:lvlText w:val="%1."/>
      <w:numFmt w:val="decimal"/>
      <w:start w:val="5"/>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3"/>
    </w:lvl>
  </w:abstractNum>
  <w:abstractNum w:abstractNumId="30">
    <w:nsid w:val="379E21B5"/>
    <w:multiLevelType w:val="hybridMultilevel"/>
    <w:lvl w:ilvl="0">
      <w:lvlJc w:val="left"/>
      <w:lvlText w:val="%1."/>
      <w:numFmt w:val="decimal"/>
      <w:start w:val="6"/>
    </w:lvl>
  </w:abstractNum>
  <w:abstractNum w:abstractNumId="31">
    <w:nsid w:val="69E373"/>
    <w:multiLevelType w:val="hybridMultilevel"/>
    <w:lvl w:ilvl="0">
      <w:lvlJc w:val="left"/>
      <w:lvlText w:val="1"/>
      <w:numFmt w:val="bullet"/>
      <w:start w:val="1"/>
    </w:lvl>
  </w:abstractNum>
  <w:abstractNum w:abstractNumId="32">
    <w:nsid w:val="2C27173B"/>
    <w:multiLevelType w:val="hybridMultilevel"/>
    <w:lvl w:ilvl="0">
      <w:lvlJc w:val="left"/>
      <w:lvlText w:val="(%1)"/>
      <w:numFmt w:val="lowerLetter"/>
      <w:start w:val="2"/>
    </w:lvl>
  </w:abstractNum>
  <w:abstractNum w:abstractNumId="33">
    <w:nsid w:val="4C9B0904"/>
    <w:multiLevelType w:val="hybridMultilevel"/>
    <w:lvl w:ilvl="0">
      <w:lvlJc w:val="left"/>
      <w:lvlText w:val="(%1)"/>
      <w:numFmt w:val="lowerLetter"/>
      <w:start w:val="4"/>
    </w:lvl>
  </w:abstractNum>
  <w:abstractNum w:abstractNumId="34">
    <w:nsid w:val="6AA7B75C"/>
    <w:multiLevelType w:val="hybridMultilevel"/>
    <w:lvl w:ilvl="0">
      <w:lvlJc w:val="left"/>
      <w:lvlText w:val="(%1)"/>
      <w:numFmt w:val="decimal"/>
      <w:start w:val="1"/>
    </w:lvl>
  </w:abstractNum>
  <w:abstractNum w:abstractNumId="35">
    <w:nsid w:val="1DF029D3"/>
    <w:multiLevelType w:val="hybridMultilevel"/>
    <w:lvl w:ilvl="0">
      <w:lvlJc w:val="left"/>
      <w:lvlText w:val="(%1)"/>
      <w:numFmt w:val="decimal"/>
      <w:start w:val="1"/>
    </w:lvl>
  </w:abstractNum>
  <w:abstractNum w:abstractNumId="36">
    <w:nsid w:val="5675FF36"/>
    <w:multiLevelType w:val="hybridMultilevel"/>
    <w:lvl w:ilvl="0">
      <w:lvlJc w:val="left"/>
      <w:lvlText w:val="(%1)"/>
      <w:numFmt w:val="decimal"/>
      <w:start w:val="1"/>
    </w:lvl>
  </w:abstractNum>
  <w:abstractNum w:abstractNumId="37">
    <w:nsid w:val="3DD15094"/>
    <w:multiLevelType w:val="hybridMultilevel"/>
    <w:lvl w:ilvl="0">
      <w:lvlJc w:val="left"/>
      <w:lvlText w:val="(%1)"/>
      <w:numFmt w:val="lowerLetter"/>
      <w:start w:val="1"/>
    </w:lvl>
    <w:lvl w:ilvl="1">
      <w:lvlJc w:val="left"/>
      <w:lvlText w:val="(%2)"/>
      <w:numFmt w:val="lowerRoman"/>
      <w:start w:val="1"/>
    </w:lvl>
  </w:abstractNum>
  <w:abstractNum w:abstractNumId="38">
    <w:nsid w:val="3DB012B3"/>
    <w:multiLevelType w:val="hybridMultilevel"/>
    <w:lvl w:ilvl="0">
      <w:lvlJc w:val="left"/>
      <w:lvlText w:val="%1"/>
      <w:numFmt w:val="lowerLetter"/>
      <w:start w:val="1"/>
    </w:lvl>
    <w:lvl w:ilvl="1">
      <w:lvlJc w:val="left"/>
      <w:lvlText w:val="(%2)"/>
      <w:numFmt w:val="lowerRoman"/>
      <w:start w:val="12"/>
    </w:lvl>
  </w:abstractNum>
  <w:abstractNum w:abstractNumId="39">
    <w:nsid w:val="2708C9AF"/>
    <w:multiLevelType w:val="hybridMultilevel"/>
    <w:lvl w:ilvl="0">
      <w:lvlJc w:val="left"/>
      <w:lvlText w:val="(%1)"/>
      <w:numFmt w:val="lowerLetter"/>
      <w:start w:val="3"/>
    </w:lvl>
    <w:lvl w:ilvl="1">
      <w:lvlJc w:val="left"/>
      <w:lvlText w:val="(%2)"/>
      <w:numFmt w:val="lowerRoman"/>
      <w:start w:val="1"/>
    </w:lvl>
  </w:abstractNum>
  <w:abstractNum w:abstractNumId="40">
    <w:nsid w:val="5B25ACE2"/>
    <w:multiLevelType w:val="hybridMultilevel"/>
    <w:lvl w:ilvl="0">
      <w:lvlJc w:val="left"/>
      <w:lvlText w:val="(%1)"/>
      <w:numFmt w:val="lowerRoman"/>
      <w:start w:val="2"/>
    </w:lvl>
  </w:abstractNum>
  <w:abstractNum w:abstractNumId="41">
    <w:nsid w:val="175DFCF0"/>
    <w:multiLevelType w:val="hybridMultilevel"/>
    <w:lvl w:ilvl="0">
      <w:lvlJc w:val="left"/>
      <w:lvlText w:val="(%1)"/>
      <w:numFmt w:val="lowerRoman"/>
      <w:start w:val="1"/>
    </w:lvl>
  </w:abstractNum>
  <w:abstractNum w:abstractNumId="42">
    <w:nsid w:val="4F97E3E4"/>
    <w:multiLevelType w:val="hybridMultilevel"/>
    <w:lvl w:ilvl="0">
      <w:lvlJc w:val="left"/>
      <w:lvlText w:val="(%1)"/>
      <w:numFmt w:val="lowerRoman"/>
      <w:start w:val="2"/>
    </w:lvl>
  </w:abstractNum>
  <w:abstractNum w:abstractNumId="43">
    <w:nsid w:val="53B0A9E"/>
    <w:multiLevelType w:val="hybridMultilevel"/>
    <w:lvl w:ilvl="0">
      <w:lvlJc w:val="left"/>
      <w:lvlText w:val="(%1)"/>
      <w:numFmt w:val="lowerLetter"/>
      <w:start w:val="2"/>
    </w:lvl>
  </w:abstractNum>
  <w:abstractNum w:abstractNumId="44">
    <w:nsid w:val="34FD6B4F"/>
    <w:multiLevelType w:val="hybridMultilevel"/>
    <w:lvl w:ilvl="0">
      <w:lvlJc w:val="left"/>
      <w:lvlText w:val="(%1)"/>
      <w:numFmt w:val="lowerLetter"/>
      <w:start w:val="1"/>
    </w:lvl>
  </w:abstractNum>
  <w:abstractNum w:abstractNumId="45">
    <w:nsid w:val="5915FF32"/>
    <w:multiLevelType w:val="hybridMultilevel"/>
    <w:lvl w:ilvl="0">
      <w:lvlJc w:val="left"/>
      <w:lvlText w:val="(%1)"/>
      <w:numFmt w:val="lowerLetter"/>
      <w:start w:val="4"/>
    </w:lvl>
  </w:abstractNum>
  <w:abstractNum w:abstractNumId="46">
    <w:nsid w:val="56438D15"/>
    <w:multiLevelType w:val="hybridMultilevel"/>
    <w:lvl w:ilvl="0">
      <w:lvlJc w:val="left"/>
      <w:lvlText w:val="(%1)"/>
      <w:numFmt w:val="lowerLetter"/>
      <w:start w:val="1"/>
    </w:lvl>
  </w:abstractNum>
  <w:abstractNum w:abstractNumId="47">
    <w:nsid w:val="519E3149"/>
    <w:multiLevelType w:val="hybridMultilevel"/>
    <w:lvl w:ilvl="0">
      <w:lvlJc w:val="left"/>
      <w:lvlText w:val="(%1)"/>
      <w:numFmt w:val="lowerLetter"/>
      <w:start w:val="1"/>
    </w:lvl>
  </w:abstractNum>
  <w:abstractNum w:abstractNumId="48">
    <w:nsid w:val="2C6E4AFD"/>
    <w:multiLevelType w:val="hybridMultilevel"/>
    <w:lvl w:ilvl="0">
      <w:lvlJc w:val="left"/>
      <w:lvlText w:val="(%1)"/>
      <w:numFmt w:val="lowerLetter"/>
      <w:start w:val="5"/>
    </w:lvl>
  </w:abstractNum>
  <w:abstractNum w:abstractNumId="49">
    <w:nsid w:val="17A1B582"/>
    <w:multiLevelType w:val="hybridMultilevel"/>
    <w:lvl w:ilvl="0">
      <w:lvlJc w:val="left"/>
      <w:lvlText w:val="(%1)"/>
      <w:numFmt w:val="decimal"/>
      <w:start w:val="519"/>
    </w:lvl>
  </w:abstractNum>
  <w:abstractNum w:abstractNumId="50">
    <w:nsid w:val="4DF72E4E"/>
    <w:multiLevelType w:val="hybridMultilevel"/>
    <w:lvl w:ilvl="0">
      <w:lvlJc w:val="left"/>
      <w:lvlText w:val="(%1)"/>
      <w:numFmt w:val="lowerLetter"/>
      <w:start w:val="2"/>
    </w:lvl>
  </w:abstractNum>
  <w:abstractNum w:abstractNumId="51">
    <w:nsid w:val="5046B5A9"/>
    <w:multiLevelType w:val="hybridMultilevel"/>
    <w:lvl w:ilvl="0">
      <w:lvlJc w:val="left"/>
      <w:lvlText w:val="(%1)"/>
      <w:numFmt w:val="lowerLetter"/>
      <w:start w:val="1"/>
    </w:lvl>
  </w:abstractNum>
  <w:abstractNum w:abstractNumId="52">
    <w:nsid w:val="5D888A08"/>
    <w:multiLevelType w:val="hybridMultilevel"/>
    <w:lvl w:ilvl="0">
      <w:lvlJc w:val="left"/>
      <w:lvlText w:val="(%1)"/>
      <w:numFmt w:val="lowerLetter"/>
      <w:start w:val="1"/>
    </w:lvl>
  </w:abstractNum>
  <w:abstractNum w:abstractNumId="53">
    <w:nsid w:val="2A082C70"/>
    <w:multiLevelType w:val="hybridMultilevel"/>
    <w:lvl w:ilvl="0">
      <w:lvlJc w:val="left"/>
      <w:lvlText w:val="(%1)"/>
      <w:numFmt w:val="lowerLetter"/>
      <w:start w:val="2"/>
    </w:lvl>
    <w:lvl w:ilvl="1">
      <w:lvlJc w:val="left"/>
      <w:lvlText w:val="(%2)"/>
      <w:numFmt w:val="lowerRoman"/>
      <w:start w:val="1"/>
    </w:lvl>
  </w:abstractNum>
  <w:abstractNum w:abstractNumId="54">
    <w:nsid w:val="5EC6AFD4"/>
    <w:multiLevelType w:val="hybridMultilevel"/>
    <w:lvl w:ilvl="0">
      <w:lvlJc w:val="left"/>
      <w:lvlText w:val="(%1)"/>
      <w:numFmt w:val="lowerLetter"/>
      <w:start w:val="1"/>
    </w:lvl>
  </w:abstractNum>
  <w:abstractNum w:abstractNumId="55">
    <w:nsid w:val="19E21BB2"/>
    <w:multiLevelType w:val="hybridMultilevel"/>
    <w:lvl w:ilvl="0">
      <w:lvlJc w:val="left"/>
      <w:lvlText w:val="(%1)"/>
      <w:numFmt w:val="lowerLetter"/>
      <w:start w:val="4"/>
    </w:lvl>
  </w:abstractNum>
  <w:abstractNum w:abstractNumId="56">
    <w:nsid w:val="75E0858A"/>
    <w:multiLevelType w:val="hybridMultilevel"/>
    <w:lvl w:ilvl="0">
      <w:lvlJc w:val="left"/>
      <w:lvlText w:val="(%1)"/>
      <w:numFmt w:val="lowerRoman"/>
      <w:start w:val="1"/>
    </w:lvl>
  </w:abstractNum>
  <w:abstractNum w:abstractNumId="57">
    <w:nsid w:val="57A61A29"/>
    <w:multiLevelType w:val="hybridMultilevel"/>
    <w:lvl w:ilvl="0">
      <w:lvlJc w:val="left"/>
      <w:lvlText w:val="(%1)"/>
      <w:numFmt w:val="lowerLetter"/>
      <w:start w:val="1"/>
    </w:lvl>
  </w:abstractNum>
  <w:abstractNum w:abstractNumId="58">
    <w:nsid w:val="5399C654"/>
    <w:multiLevelType w:val="hybridMultilevel"/>
    <w:lvl w:ilvl="0">
      <w:lvlJc w:val="left"/>
      <w:lvlText w:val="(%1)"/>
      <w:numFmt w:val="lowerLetter"/>
      <w:start w:val="3"/>
    </w:lvl>
  </w:abstractNum>
  <w:abstractNum w:abstractNumId="59">
    <w:nsid w:val="20EE1348"/>
    <w:multiLevelType w:val="hybridMultilevel"/>
    <w:lvl w:ilvl="0">
      <w:lvlJc w:val="left"/>
      <w:lvlText w:val="(%1)"/>
      <w:numFmt w:val="lowerLetter"/>
      <w:start w:val="1"/>
    </w:lvl>
  </w:abstractNum>
  <w:abstractNum w:abstractNumId="60">
    <w:nsid w:val="4427069A"/>
    <w:multiLevelType w:val="hybridMultilevel"/>
    <w:lvl w:ilvl="0">
      <w:lvlJc w:val="left"/>
      <w:lvlText w:val="%1"/>
      <w:numFmt w:val="lowerLetter"/>
      <w:start w:val="1"/>
    </w:lvl>
    <w:lvl w:ilvl="1">
      <w:lvlJc w:val="left"/>
      <w:lvlText w:val="(%2)"/>
      <w:numFmt w:val="lowerRoman"/>
      <w:start w:val="1"/>
    </w:lvl>
  </w:abstractNum>
  <w:abstractNum w:abstractNumId="61">
    <w:nsid w:val="B37E80A"/>
    <w:multiLevelType w:val="hybridMultilevel"/>
    <w:lvl w:ilvl="0">
      <w:lvlJc w:val="left"/>
      <w:lvlText w:val="(%1)"/>
      <w:numFmt w:val="lowerLetter"/>
      <w:start w:val="3"/>
    </w:lvl>
    <w:lvl w:ilvl="1">
      <w:lvlJc w:val="left"/>
      <w:lvlText w:val="%2"/>
      <w:numFmt w:val="lowerRoman"/>
      <w:start w:val="1"/>
    </w:lvl>
  </w:abstractNum>
  <w:abstractNum w:abstractNumId="62">
    <w:nsid w:val="2157F6BC"/>
    <w:multiLevelType w:val="hybridMultilevel"/>
    <w:lvl w:ilvl="0">
      <w:lvlJc w:val="left"/>
      <w:lvlText w:val="(%1)"/>
      <w:numFmt w:val="lowerLetter"/>
      <w:start w:val="6"/>
    </w:lvl>
  </w:abstractNum>
  <w:abstractNum w:abstractNumId="63">
    <w:nsid w:val="704E1DD5"/>
    <w:multiLevelType w:val="hybridMultilevel"/>
    <w:lvl w:ilvl="0">
      <w:lvlJc w:val="left"/>
      <w:lvlText w:val="(%1)"/>
      <w:numFmt w:val="lowerLetter"/>
      <w:start w:val="8"/>
    </w:lvl>
    <w:lvl w:ilvl="1">
      <w:lvlJc w:val="left"/>
      <w:lvlText w:val="(%2)"/>
      <w:numFmt w:val="lowerRoman"/>
      <w:start w:val="1"/>
    </w:lvl>
  </w:abstractNum>
  <w:abstractNum w:abstractNumId="64">
    <w:nsid w:val="57D2F10E"/>
    <w:multiLevelType w:val="hybridMultilevel"/>
    <w:lvl w:ilvl="0">
      <w:lvlJc w:val="left"/>
      <w:lvlText w:val="(%1)"/>
      <w:numFmt w:val="lowerLetter"/>
      <w:start w:val="11"/>
    </w:lvl>
  </w:abstractNum>
  <w:abstractNum w:abstractNumId="65">
    <w:nsid w:val="BFFAE18"/>
    <w:multiLevelType w:val="hybridMultilevel"/>
    <w:lvl w:ilvl="0">
      <w:lvlJc w:val="left"/>
      <w:lvlText w:val="(%1)"/>
      <w:numFmt w:val="lowerLetter"/>
      <w:start w:val="1"/>
    </w:lvl>
  </w:abstractNum>
  <w:abstractNum w:abstractNumId="66">
    <w:nsid w:val="E3E47A8"/>
    <w:multiLevelType w:val="hybridMultilevel"/>
    <w:lvl w:ilvl="0">
      <w:lvlJc w:val="left"/>
      <w:lvlText w:val="(%1)"/>
      <w:numFmt w:val="lowerLetter"/>
      <w:start w:val="2"/>
    </w:lvl>
  </w:abstractNum>
  <w:abstractNum w:abstractNumId="67">
    <w:nsid w:val="2E48F044"/>
    <w:multiLevelType w:val="hybridMultilevel"/>
    <w:lvl w:ilvl="0">
      <w:lvlJc w:val="left"/>
      <w:lvlText w:val="(%1)"/>
      <w:numFmt w:val="lowerLetter"/>
      <w:start w:val="1"/>
    </w:lvl>
    <w:lvl w:ilvl="1">
      <w:lvlJc w:val="left"/>
      <w:lvlText w:val="(%2)"/>
      <w:numFmt w:val="lowerRoman"/>
      <w:start w:val="1"/>
    </w:lvl>
  </w:abstractNum>
  <w:abstractNum w:abstractNumId="68">
    <w:nsid w:val="49D0FEAC"/>
    <w:multiLevelType w:val="hybridMultilevel"/>
    <w:lvl w:ilvl="0">
      <w:lvlJc w:val="left"/>
      <w:lvlText w:val="(%1)"/>
      <w:numFmt w:val="lowerRoman"/>
      <w:start w:val="4"/>
    </w:lvl>
  </w:abstractNum>
  <w:abstractNum w:abstractNumId="69">
    <w:nsid w:val="4BEE5A5B"/>
    <w:multiLevelType w:val="hybridMultilevel"/>
    <w:lvl w:ilvl="0">
      <w:lvlJc w:val="left"/>
      <w:lvlText w:val="(%1)"/>
      <w:numFmt w:val="lowerLetter"/>
      <w:start w:val="4"/>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lowerLetter"/>
      <w:start w:val="22"/>
    </w:lvl>
    <w:lvl w:ilvl="1">
      <w:lvlJc w:val="left"/>
      <w:lvlText w:val="(%2)"/>
      <w:numFmt w:val="lowerLetter"/>
      <w:start w:val="6"/>
    </w:lvl>
  </w:abstractNum>
  <w:abstractNum w:abstractNumId="72">
    <w:nsid w:val="634C574C"/>
    <w:multiLevelType w:val="hybridMultilevel"/>
    <w:lvl w:ilvl="0">
      <w:lvlJc w:val="left"/>
      <w:lvlText w:val="(%1)"/>
      <w:numFmt w:val="lowerLetter"/>
      <w:start w:val="9"/>
    </w:lvl>
    <w:lvl w:ilvl="1">
      <w:lvlJc w:val="left"/>
      <w:lvlText w:val="(%2)"/>
      <w:numFmt w:val="lowerLetter"/>
      <w:start w:val="7"/>
    </w:lvl>
  </w:abstractNum>
  <w:abstractNum w:abstractNumId="73">
    <w:nsid w:val="24E99DD7"/>
    <w:multiLevelType w:val="hybridMultilevel"/>
    <w:lvl w:ilvl="0">
      <w:lvlJc w:val="left"/>
      <w:lvlText w:val="(%1)"/>
      <w:numFmt w:val="lowerLetter"/>
      <w:start w:val="1"/>
    </w:lvl>
  </w:abstractNum>
  <w:abstractNum w:abstractNumId="74">
    <w:nsid w:val="2A31B62D"/>
    <w:multiLevelType w:val="hybridMultilevel"/>
    <w:lvl w:ilvl="0">
      <w:lvlJc w:val="left"/>
      <w:lvlText w:val="(%1)"/>
      <w:numFmt w:val="lowerLetter"/>
      <w:start w:val="1"/>
    </w:lvl>
  </w:abstractNum>
  <w:abstractNum w:abstractNumId="75">
    <w:nsid w:val="1849C29B"/>
    <w:multiLevelType w:val="hybridMultilevel"/>
    <w:lvl w:ilvl="0">
      <w:lvlJc w:val="left"/>
      <w:lvlText w:val="(%1)"/>
      <w:numFmt w:val="lowerLetter"/>
      <w:start w:val="1"/>
    </w:lvl>
  </w:abstractNum>
  <w:abstractNum w:abstractNumId="76">
    <w:nsid w:val="7DFF9D09"/>
    <w:multiLevelType w:val="hybridMultilevel"/>
    <w:lvl w:ilvl="0">
      <w:lvlJc w:val="left"/>
      <w:lvlText w:val="(%1)"/>
      <w:numFmt w:val="lowerLetter"/>
      <w:start w:val="3"/>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9">
    <w:nsid w:val="2A6DE80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0">
    <w:nsid w:val="1816F8C4"/>
    <w:multiLevelType w:val="hybridMultilevel"/>
    <w:lvl w:ilvl="0">
      <w:lvlJc w:val="left"/>
      <w:lvlText w:val="(%1)"/>
      <w:numFmt w:val="lowerRoman"/>
      <w:start w:val="2"/>
    </w:lvl>
  </w:abstractNum>
  <w:abstractNum w:abstractNumId="81">
    <w:nsid w:val="37DF2233"/>
    <w:multiLevelType w:val="hybridMultilevel"/>
    <w:lvl w:ilvl="0">
      <w:lvlJc w:val="left"/>
      <w:lvlText w:val="(%1)"/>
      <w:numFmt w:val="lowerLetter"/>
      <w:start w:val="2"/>
    </w:lvl>
  </w:abstractNum>
  <w:abstractNum w:abstractNumId="82">
    <w:nsid w:val="7AB49DAF"/>
    <w:multiLevelType w:val="hybridMultilevel"/>
    <w:lvl w:ilvl="0">
      <w:lvlJc w:val="left"/>
      <w:lvlText w:val="%1"/>
      <w:numFmt w:val="lowerLetter"/>
      <w:start w:val="1"/>
    </w:lvl>
    <w:lvl w:ilvl="1">
      <w:lvlJc w:val="left"/>
      <w:lvlText w:val="(%2)"/>
      <w:numFmt w:val="lowerLetter"/>
      <w:start w:val="3"/>
    </w:lvl>
  </w:abstractNum>
  <w:abstractNum w:abstractNumId="83">
    <w:nsid w:val="759F82CD"/>
    <w:multiLevelType w:val="hybridMultilevel"/>
    <w:lvl w:ilvl="0">
      <w:lvlJc w:val="left"/>
      <w:lvlText w:val="(%1)"/>
      <w:numFmt w:val="lowerLetter"/>
      <w:start w:val="35"/>
    </w:lvl>
    <w:lvl w:ilvl="1">
      <w:lvlJc w:val="left"/>
      <w:lvlText w:val="(%2)"/>
      <w:numFmt w:val="lowerLetter"/>
      <w:start w:val="5"/>
    </w:lvl>
  </w:abstractNum>
  <w:abstractNum w:abstractNumId="84">
    <w:nsid w:val="61E74EA3"/>
    <w:multiLevelType w:val="hybridMultilevel"/>
    <w:lvl w:ilvl="0">
      <w:lvlJc w:val="left"/>
      <w:lvlText w:val="(%1)"/>
      <w:numFmt w:val="lowerLetter"/>
      <w:start w:val="9"/>
    </w:lvl>
    <w:lvl w:ilvl="1">
      <w:lvlJc w:val="left"/>
      <w:lvlText w:val="%2"/>
      <w:numFmt w:val="lowerLetter"/>
      <w:start w:val="1"/>
    </w:lvl>
  </w:abstractNum>
  <w:abstractNum w:abstractNumId="85">
    <w:nsid w:val="597B4D84"/>
    <w:multiLevelType w:val="hybridMultilevel"/>
    <w:lvl w:ilvl="0">
      <w:lvlJc w:val="left"/>
      <w:lvlText w:val="(%1)"/>
      <w:numFmt w:val="lowerLetter"/>
      <w:start w:val="1"/>
    </w:lvl>
    <w:lvl w:ilvl="1">
      <w:lvlJc w:val="left"/>
      <w:lvlText w:val="(%2)"/>
      <w:numFmt w:val="lowerRoman"/>
      <w:start w:val="1"/>
    </w:lvl>
  </w:abstractNum>
  <w:abstractNum w:abstractNumId="86">
    <w:nsid w:val="F819E7F"/>
    <w:multiLevelType w:val="hybridMultilevel"/>
    <w:lvl w:ilvl="0">
      <w:lvlJc w:val="left"/>
      <w:lvlText w:val="(%1)"/>
      <w:numFmt w:val="lowerLetter"/>
      <w:start w:val="2"/>
    </w:lvl>
  </w:abstractNum>
  <w:abstractNum w:abstractNumId="87">
    <w:nsid w:val="57C7D42D"/>
    <w:multiLevelType w:val="hybridMultilevel"/>
    <w:lvl w:ilvl="0">
      <w:lvlJc w:val="left"/>
      <w:lvlText w:val="(%1)"/>
      <w:numFmt w:val="lowerLetter"/>
      <w:start w:val="4"/>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1"/>
    </w:lvl>
  </w:abstractNum>
  <w:abstractNum w:abstractNumId="90">
    <w:nsid w:val="78B5E776"/>
    <w:multiLevelType w:val="hybridMultilevel"/>
    <w:lvl w:ilvl="0">
      <w:lvlJc w:val="left"/>
      <w:lvlText w:val="(%1)"/>
      <w:numFmt w:val="lowerLetter"/>
      <w:start w:val="2"/>
    </w:lvl>
    <w:lvl w:ilvl="1">
      <w:lvlJc w:val="left"/>
      <w:lvlText w:val="(%2)"/>
      <w:numFmt w:val="lowerRoman"/>
      <w:start w:val="1"/>
    </w:lvl>
  </w:abstractNum>
  <w:abstractNum w:abstractNumId="91">
    <w:nsid w:val="75486E47"/>
    <w:multiLevelType w:val="hybridMultilevel"/>
    <w:lvl w:ilvl="0">
      <w:lvlJc w:val="left"/>
      <w:lvlText w:val="(%1)"/>
      <w:numFmt w:val="upperLetter"/>
      <w:start w:val="1"/>
    </w:lvl>
    <w:lvl w:ilvl="1">
      <w:lvlJc w:val="left"/>
      <w:lvlText w:val="(%2)"/>
      <w:numFmt w:val="decimal"/>
      <w:start w:val="1"/>
    </w:lvl>
  </w:abstractNum>
  <w:abstractNum w:abstractNumId="92">
    <w:nsid w:val="6E534CDE"/>
    <w:multiLevelType w:val="hybridMultilevel"/>
    <w:lvl w:ilvl="0">
      <w:lvlJc w:val="left"/>
      <w:lvlText w:val="(%1)"/>
      <w:numFmt w:val="upperLetter"/>
      <w:start w:val="2"/>
    </w:lvl>
    <w:lvl w:ilvl="1">
      <w:lvlJc w:val="left"/>
      <w:lvlText w:val="(%2)"/>
      <w:numFmt w:val="decimal"/>
      <w:start w:val="4"/>
    </w:lvl>
  </w:abstractNum>
  <w:abstractNum w:abstractNumId="93">
    <w:nsid w:val="1A0DDE32"/>
    <w:multiLevelType w:val="hybridMultilevel"/>
    <w:lvl w:ilvl="0">
      <w:lvlJc w:val="left"/>
      <w:lvlText w:val="(%1)"/>
      <w:numFmt w:val="lowerLetter"/>
      <w:start w:val="7"/>
    </w:lvl>
  </w:abstractNum>
  <w:abstractNum w:abstractNumId="94">
    <w:nsid w:val="65968C1C"/>
    <w:multiLevelType w:val="hybridMultilevel"/>
    <w:lvl w:ilvl="0">
      <w:lvlJc w:val="left"/>
      <w:lvlText w:val="(%1)"/>
      <w:numFmt w:val="lowerLetter"/>
      <w:start w:val="1"/>
    </w:lvl>
  </w:abstractNum>
  <w:abstractNum w:abstractNumId="95">
    <w:nsid w:val="46263DEC"/>
    <w:multiLevelType w:val="hybridMultilevel"/>
    <w:lvl w:ilvl="0">
      <w:lvlJc w:val="left"/>
      <w:lvlText w:val="(%1)"/>
      <w:numFmt w:val="lowerLetter"/>
      <w:start w:val="2"/>
    </w:lvl>
  </w:abstractNum>
  <w:abstractNum w:abstractNumId="96">
    <w:nsid w:val="260D8C4A"/>
    <w:multiLevelType w:val="hybridMultilevel"/>
    <w:lvl w:ilvl="0">
      <w:lvlJc w:val="left"/>
      <w:lvlText w:val="(%1)"/>
      <w:numFmt w:val="lowerLetter"/>
      <w:start w:val="3"/>
    </w:lvl>
  </w:abstractNum>
  <w:abstractNum w:abstractNumId="97">
    <w:nsid w:val="73D4D3C4"/>
    <w:multiLevelType w:val="hybridMultilevel"/>
    <w:lvl w:ilvl="0">
      <w:lvlJc w:val="left"/>
      <w:lvlText w:val="(%1)"/>
      <w:numFmt w:val="lowerLetter"/>
      <w:start w:val="5"/>
    </w:lvl>
  </w:abstractNum>
  <w:abstractNum w:abstractNumId="98">
    <w:nsid w:val="746F2E30"/>
    <w:multiLevelType w:val="hybridMultilevel"/>
    <w:lvl w:ilvl="0">
      <w:lvlJc w:val="left"/>
      <w:lvlText w:val="(%1)"/>
      <w:numFmt w:val="lowerLetter"/>
      <w:start w:val="1"/>
    </w:lvl>
  </w:abstractNum>
  <w:abstractNum w:abstractNumId="99">
    <w:nsid w:val="6FDE8AF6"/>
    <w:multiLevelType w:val="hybridMultilevel"/>
    <w:lvl w:ilvl="0">
      <w:lvlJc w:val="left"/>
      <w:lvlText w:val="(%1)"/>
      <w:numFmt w:val="lowerLetter"/>
      <w:start w:val="2"/>
    </w:lvl>
  </w:abstractNum>
  <w:abstractNum w:abstractNumId="100">
    <w:nsid w:val="3FC32E20"/>
    <w:multiLevelType w:val="hybridMultilevel"/>
    <w:lvl w:ilvl="0">
      <w:lvlJc w:val="left"/>
      <w:lvlText w:val="(%1)"/>
      <w:numFmt w:val="lowerLetter"/>
      <w:start w:val="1"/>
    </w:lvl>
  </w:abstractNum>
  <w:abstractNum w:abstractNumId="101">
    <w:nsid w:val="49C0E823"/>
    <w:multiLevelType w:val="hybridMultilevel"/>
    <w:lvl w:ilvl="0">
      <w:lvlJc w:val="left"/>
      <w:lvlText w:val="(%1)"/>
      <w:numFmt w:val="lowerLetter"/>
      <w:start w:val="2"/>
    </w:lvl>
  </w:abstractNum>
  <w:abstractNum w:abstractNumId="102">
    <w:nsid w:val="14D53685"/>
    <w:multiLevelType w:val="hybridMultilevel"/>
    <w:lvl w:ilvl="0">
      <w:lvlJc w:val="left"/>
      <w:lvlText w:val="(%1)"/>
      <w:numFmt w:val="lowerLetter"/>
      <w:start w:val="3"/>
    </w:lvl>
    <w:lvl w:ilvl="1">
      <w:lvlJc w:val="left"/>
      <w:lvlText w:val="(%2)"/>
      <w:numFmt w:val="lowerRoman"/>
      <w:start w:val="1"/>
    </w:lvl>
  </w:abstractNum>
  <w:abstractNum w:abstractNumId="103">
    <w:nsid w:val="230F856C"/>
    <w:multiLevelType w:val="hybridMultilevel"/>
    <w:lvl w:ilvl="0">
      <w:lvlJc w:val="left"/>
      <w:lvlText w:val="%1"/>
      <w:numFmt w:val="lowerRoman"/>
      <w:start w:val="1"/>
    </w:lvl>
    <w:lvl w:ilvl="1">
      <w:lvlJc w:val="left"/>
      <w:lvlText w:val="(%2)"/>
      <w:numFmt w:val="lowerRoman"/>
      <w:start w:val="4"/>
    </w:lvl>
  </w:abstractNum>
  <w:abstractNum w:abstractNumId="104">
    <w:nsid w:val="6EAA85FB"/>
    <w:multiLevelType w:val="hybridMultilevel"/>
    <w:lvl w:ilvl="0">
      <w:lvlJc w:val="left"/>
      <w:lvlText w:val="(%1)"/>
      <w:numFmt w:val="lowerRoman"/>
      <w:start w:val="1"/>
    </w:lvl>
    <w:lvl w:ilvl="1">
      <w:lvlJc w:val="left"/>
      <w:lvlText w:val="%2"/>
      <w:numFmt w:val="lowerRoman"/>
      <w:start w:val="1"/>
    </w:lvl>
  </w:abstractNum>
  <w:abstractNum w:abstractNumId="105">
    <w:nsid w:val="3F06ECB2"/>
    <w:multiLevelType w:val="hybridMultilevel"/>
    <w:lvl w:ilvl="0">
      <w:lvlJc w:val="left"/>
      <w:lvlText w:val="(%1)"/>
      <w:numFmt w:val="lowerLetter"/>
      <w:start w:val="5"/>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2"/>
    </w:lvl>
  </w:abstractNum>
  <w:abstractNum w:abstractNumId="108">
    <w:nsid w:val="3F7C2FF4"/>
    <w:multiLevelType w:val="hybridMultilevel"/>
    <w:lvl w:ilvl="0">
      <w:lvlJc w:val="left"/>
      <w:lvlText w:val="(%1)"/>
      <w:numFmt w:val="lowerLetter"/>
      <w:start w:val="1"/>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1"/>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Letter"/>
      <w:start w:val="2"/>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5"/>
    </w:lvl>
  </w:abstractNum>
  <w:abstractNum w:abstractNumId="115">
    <w:nsid w:val="3F07ACC3"/>
    <w:multiLevelType w:val="hybridMultilevel"/>
    <w:lvl w:ilvl="0">
      <w:lvlJc w:val="left"/>
      <w:lvlText w:val="%1"/>
      <w:numFmt w:val="lowerLetter"/>
      <w:start w:val="1"/>
    </w:lvl>
    <w:lvl w:ilvl="1">
      <w:lvlJc w:val="left"/>
      <w:lvlText w:val="(%2)"/>
      <w:numFmt w:val="lowerLetter"/>
      <w:start w:val="1"/>
    </w:lvl>
  </w:abstractNum>
  <w:abstractNum w:abstractNumId="116">
    <w:nsid w:val="6B47F63E"/>
    <w:multiLevelType w:val="hybridMultilevel"/>
    <w:lvl w:ilvl="0">
      <w:lvlJc w:val="left"/>
      <w:lvlText w:val="(%1)"/>
      <w:numFmt w:val="lowerLetter"/>
      <w:start w:val="9"/>
    </w:lvl>
    <w:lvl w:ilvl="1">
      <w:lvlJc w:val="left"/>
      <w:lvlText w:val="(%2)"/>
      <w:numFmt w:val="lowerLetter"/>
      <w:start w:val="4"/>
    </w:lvl>
  </w:abstractNum>
  <w:abstractNum w:abstractNumId="117">
    <w:nsid w:val="5CB44A05"/>
    <w:multiLevelType w:val="hybridMultilevel"/>
    <w:lvl w:ilvl="0">
      <w:lvlJc w:val="left"/>
      <w:lvlText w:val="(%1)"/>
      <w:numFmt w:val="lowerLetter"/>
      <w:start w:val="5"/>
    </w:lvl>
  </w:abstractNum>
  <w:abstractNum w:abstractNumId="118">
    <w:nsid w:val="16CF80F1"/>
    <w:multiLevelType w:val="hybridMultilevel"/>
    <w:lvl w:ilvl="0">
      <w:lvlJc w:val="left"/>
      <w:lvlText w:val="(%1)"/>
      <w:numFmt w:val="lowerLetter"/>
      <w:start w:val="13"/>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4"/>
    </w:lvl>
  </w:abstractNum>
  <w:abstractNum w:abstractNumId="122">
    <w:nsid w:val="11B1CC33"/>
    <w:multiLevelType w:val="hybridMultilevel"/>
    <w:lvl w:ilvl="0">
      <w:lvlJc w:val="left"/>
      <w:lvlText w:val="(%1)"/>
      <w:numFmt w:val="lowerLetter"/>
      <w:start w:val="1"/>
    </w:lvl>
  </w:abstractNum>
  <w:abstractNum w:abstractNumId="123">
    <w:nsid w:val="2E22FBB7"/>
    <w:multiLevelType w:val="hybridMultilevel"/>
    <w:lvl w:ilvl="0">
      <w:lvlJc w:val="left"/>
      <w:lvlText w:val="(%1)"/>
      <w:numFmt w:val="lowerLetter"/>
      <w:start w:val="1"/>
    </w:lvl>
  </w:abstractNum>
  <w:abstractNum w:abstractNumId="124">
    <w:nsid w:val="29934699"/>
    <w:multiLevelType w:val="hybridMultilevel"/>
    <w:lvl w:ilvl="0">
      <w:lvlJc w:val="left"/>
      <w:lvlText w:val="(%1)"/>
      <w:numFmt w:val="lowerLetter"/>
      <w:start w:val="1"/>
    </w:lvl>
  </w:abstractNum>
  <w:abstractNum w:abstractNumId="125">
    <w:nsid w:val="77485850"/>
    <w:multiLevelType w:val="hybridMultilevel"/>
    <w:lvl w:ilvl="0">
      <w:lvlJc w:val="left"/>
      <w:lvlText w:val="(%1)"/>
      <w:numFmt w:val="lowerLetter"/>
      <w:start w:val="25"/>
    </w:lvl>
    <w:lvl w:ilvl="1">
      <w:lvlJc w:val="left"/>
      <w:lvlText w:val="(%2)"/>
      <w:numFmt w:val="lowerLetter"/>
      <w:start w:val="2"/>
    </w:lvl>
  </w:abstractNum>
  <w:abstractNum w:abstractNumId="126">
    <w:nsid w:val="744939A3"/>
    <w:multiLevelType w:val="hybridMultilevel"/>
    <w:lvl w:ilvl="0">
      <w:lvlJc w:val="left"/>
      <w:lvlText w:val="(%1)"/>
      <w:numFmt w:val="lowerLetter"/>
      <w:start w:val="9"/>
    </w:lvl>
    <w:lvl w:ilvl="1">
      <w:lvlJc w:val="left"/>
      <w:lvlText w:val="%2"/>
      <w:numFmt w:val="lowerLetter"/>
      <w:start w:val="1"/>
    </w:lvl>
  </w:abstractNum>
  <w:abstractNum w:abstractNumId="127">
    <w:nsid w:val="4FA0D2E3"/>
    <w:multiLevelType w:val="hybridMultilevel"/>
    <w:lvl w:ilvl="0">
      <w:lvlJc w:val="left"/>
      <w:lvlText w:val="(%1)"/>
      <w:numFmt w:val="lowerLetter"/>
      <w:start w:val="3"/>
    </w:lvl>
    <w:lvl w:ilvl="1">
      <w:lvlJc w:val="left"/>
      <w:lvlText w:val="(%2)"/>
      <w:numFmt w:val="lowerLetter"/>
      <w:start w:val="5"/>
    </w:lvl>
  </w:abstractNum>
  <w:abstractNum w:abstractNumId="128">
    <w:nsid w:val="6B1D2C14"/>
    <w:multiLevelType w:val="hybridMultilevel"/>
    <w:lvl w:ilvl="0">
      <w:lvlJc w:val="left"/>
      <w:lvlText w:val="(%1)"/>
      <w:numFmt w:val="lowerLetter"/>
      <w:start w:val="1"/>
    </w:lvl>
  </w:abstractNum>
  <w:abstractNum w:abstractNumId="129">
    <w:nsid w:val="68B867D3"/>
    <w:multiLevelType w:val="hybridMultilevel"/>
    <w:lvl w:ilvl="0">
      <w:lvlJc w:val="left"/>
      <w:lvlText w:val="%1"/>
      <w:numFmt w:val="decimal"/>
      <w:start w:val="1"/>
    </w:lvl>
    <w:lvl w:ilvl="1">
      <w:lvlJc w:val="left"/>
      <w:lvlText w:val="(%2)"/>
      <w:numFmt w:val="lowerLetter"/>
      <w:start w:val="3"/>
    </w:lvl>
  </w:abstractNum>
  <w:abstractNum w:abstractNumId="130">
    <w:nsid w:val="3F7F5DD9"/>
    <w:multiLevelType w:val="hybridMultilevel"/>
    <w:lvl w:ilvl="0">
      <w:lvlJc w:val="left"/>
      <w:lvlText w:val="(%1)"/>
      <w:numFmt w:val="decimal"/>
      <w:start w:val="3"/>
    </w:lvl>
    <w:lvl w:ilvl="1">
      <w:lvlJc w:val="left"/>
      <w:lvlText w:val="%2"/>
      <w:numFmt w:val="lowerLetter"/>
      <w:start w:val="1"/>
    </w:lvl>
  </w:abstractNum>
  <w:abstractNum w:abstractNumId="131">
    <w:nsid w:val="2AE05A34"/>
    <w:multiLevelType w:val="hybridMultilevel"/>
    <w:lvl w:ilvl="0">
      <w:lvlJc w:val="left"/>
      <w:lvlText w:val="(%1)"/>
      <w:numFmt w:val="lowerRoman"/>
      <w:start w:val="3"/>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7"/>
    </w:lvl>
  </w:abstractNum>
  <w:abstractNum w:abstractNumId="134">
    <w:nsid w:val="4DEFDFA0"/>
    <w:multiLevelType w:val="hybridMultilevel"/>
    <w:lvl w:ilvl="0">
      <w:lvlJc w:val="left"/>
      <w:lvlText w:val="(%1)"/>
      <w:numFmt w:val="lowerLetter"/>
      <w:start w:val="1"/>
    </w:lvl>
  </w:abstractNum>
  <w:abstractNum w:abstractNumId="135">
    <w:nsid w:val="2123D5F2"/>
    <w:multiLevelType w:val="hybridMultilevel"/>
    <w:lvl w:ilvl="0">
      <w:lvlJc w:val="left"/>
      <w:lvlText w:val="(%1)"/>
      <w:numFmt w:val="lowerLetter"/>
      <w:start w:val="4"/>
    </w:lvl>
  </w:abstractNum>
  <w:abstractNum w:abstractNumId="136">
    <w:nsid w:val="135B8110"/>
    <w:multiLevelType w:val="hybridMultilevel"/>
    <w:lvl w:ilvl="0">
      <w:lvlJc w:val="left"/>
      <w:lvlText w:val="(%1)"/>
      <w:numFmt w:val="lowerLetter"/>
      <w:start w:val="13"/>
    </w:lvl>
  </w:abstractNum>
  <w:abstractNum w:abstractNumId="137">
    <w:nsid w:val="94927A8"/>
    <w:multiLevelType w:val="hybridMultilevel"/>
    <w:lvl w:ilvl="0">
      <w:lvlJc w:val="left"/>
      <w:lvlText w:val="(%1)"/>
      <w:numFmt w:val="lowerLetter"/>
      <w:start w:val="1"/>
    </w:lvl>
  </w:abstractNum>
  <w:abstractNum w:abstractNumId="138">
    <w:nsid w:val="DCDF8F6"/>
    <w:multiLevelType w:val="hybridMultilevel"/>
    <w:lvl w:ilvl="0">
      <w:lvlJc w:val="left"/>
      <w:lvlText w:val="%1"/>
      <w:numFmt w:val="lowerLetter"/>
      <w:start w:val="1"/>
    </w:lvl>
    <w:lvl w:ilvl="1">
      <w:lvlJc w:val="left"/>
      <w:lvlText w:val="(%2)"/>
      <w:numFmt w:val="lowerLetter"/>
      <w:start w:val="1"/>
    </w:lvl>
  </w:abstractNum>
  <w:abstractNum w:abstractNumId="139">
    <w:nsid w:val="52D7B105"/>
    <w:multiLevelType w:val="hybridMultilevel"/>
    <w:lvl w:ilvl="0">
      <w:lvlJc w:val="left"/>
      <w:lvlText w:val="(%1)"/>
      <w:numFmt w:val="lowerLetter"/>
      <w:start w:val="35"/>
    </w:lvl>
    <w:lvl w:ilvl="1">
      <w:lvlJc w:val="left"/>
      <w:lvlText w:val="(%2)"/>
      <w:numFmt w:val="lowerLetter"/>
      <w:start w:val="4"/>
    </w:lvl>
  </w:abstractNum>
  <w:abstractNum w:abstractNumId="140">
    <w:nsid w:val="2E8A6394"/>
    <w:multiLevelType w:val="hybridMultilevel"/>
    <w:lvl w:ilvl="0">
      <w:lvlJc w:val="left"/>
      <w:lvlText w:val="(%1)"/>
      <w:numFmt w:val="lowerLetter"/>
      <w:start w:val="9"/>
    </w:lvl>
  </w:abstractNum>
  <w:abstractNum w:abstractNumId="141">
    <w:nsid w:val="24E60401"/>
    <w:multiLevelType w:val="hybridMultilevel"/>
    <w:lvl w:ilvl="0">
      <w:lvlJc w:val="left"/>
      <w:lvlText w:val="(%1)"/>
      <w:numFmt w:val="lowerLetter"/>
      <w:start w:val="23"/>
    </w:lvl>
  </w:abstractNum>
  <w:abstractNum w:abstractNumId="142">
    <w:nsid w:val="2A6AD9BE"/>
    <w:multiLevelType w:val="hybridMultilevel"/>
    <w:lvl w:ilvl="0">
      <w:lvlJc w:val="left"/>
      <w:lvlText w:val="(%1)"/>
      <w:numFmt w:val="lowerLetter"/>
      <w:start w:val="1"/>
    </w:lvl>
  </w:abstractNum>
  <w:abstractNum w:abstractNumId="143">
    <w:nsid w:val="BAAC1B4"/>
    <w:multiLevelType w:val="hybridMultilevel"/>
    <w:lvl w:ilvl="0">
      <w:lvlJc w:val="left"/>
      <w:lvlText w:val="(%1)"/>
      <w:numFmt w:val="lowerLetter"/>
      <w:start w:val="14"/>
    </w:lvl>
  </w:abstractNum>
  <w:abstractNum w:abstractNumId="144">
    <w:nsid w:val="36B2ACBC"/>
    <w:multiLevelType w:val="hybridMultilevel"/>
    <w:lvl w:ilvl="0">
      <w:lvlJc w:val="left"/>
      <w:lvlText w:val="(%1)"/>
      <w:numFmt w:val="lowerLetter"/>
      <w:start w:val="1"/>
    </w:lvl>
    <w:lvl w:ilvl="1">
      <w:lvlJc w:val="left"/>
      <w:lvlText w:val="(%2)"/>
      <w:numFmt w:val="lowerRoman"/>
      <w:start w:val="1"/>
    </w:lvl>
  </w:abstractNum>
  <w:abstractNum w:abstractNumId="145">
    <w:nsid w:val="779D8544"/>
    <w:multiLevelType w:val="hybridMultilevel"/>
    <w:lvl w:ilvl="0">
      <w:lvlJc w:val="left"/>
      <w:lvlText w:val="(%1)"/>
      <w:numFmt w:val="lowerRoman"/>
      <w:start w:val="4"/>
    </w:lvl>
    <w:lvl w:ilvl="1">
      <w:lvlJc w:val="left"/>
      <w:lvlText w:val="(%2)"/>
      <w:numFmt w:val="lowerRoman"/>
      <w:start w:val="6"/>
    </w:lvl>
  </w:abstractNum>
  <w:abstractNum w:abstractNumId="146">
    <w:nsid w:val="4AB26E78"/>
    <w:multiLevelType w:val="hybridMultilevel"/>
    <w:lvl w:ilvl="0">
      <w:lvlJc w:val="left"/>
      <w:lvlText w:val="(%1)"/>
      <w:numFmt w:val="lowerLetter"/>
      <w:start w:val="2"/>
    </w:lvl>
    <w:lvl w:ilvl="1">
      <w:lvlJc w:val="left"/>
      <w:lvlText w:val="(%2)"/>
      <w:numFmt w:val="lowerRoman"/>
      <w:start w:val="1"/>
    </w:lvl>
  </w:abstractNum>
  <w:abstractNum w:abstractNumId="147">
    <w:nsid w:val="21FAA2FA"/>
    <w:multiLevelType w:val="hybridMultilevel"/>
    <w:lvl w:ilvl="0">
      <w:lvlJc w:val="left"/>
      <w:lvlText w:val="(%1)"/>
      <w:numFmt w:val="lowerRoman"/>
      <w:start w:val="5"/>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decimal"/>
      <w:start w:val="15"/>
    </w:lvl>
    <w:lvl w:ilvl="1">
      <w:lvlJc w:val="left"/>
      <w:lvlText w:val="(%2)"/>
      <w:numFmt w:val="lowerLetter"/>
      <w:start w:val="6"/>
    </w:lvl>
  </w:abstractNum>
  <w:abstractNum w:abstractNumId="151">
    <w:nsid w:val="14217E23"/>
    <w:multiLevelType w:val="hybridMultilevel"/>
    <w:lvl w:ilvl="0">
      <w:lvlJc w:val="left"/>
      <w:lvlText w:val="(%1)"/>
      <w:numFmt w:val="lowerLetter"/>
      <w:start w:val="15"/>
    </w:lvl>
  </w:abstractNum>
  <w:abstractNum w:abstractNumId="152">
    <w:nsid w:val="710757D0"/>
    <w:multiLevelType w:val="hybridMultilevel"/>
    <w:lvl w:ilvl="0">
      <w:lvlJc w:val="left"/>
      <w:lvlText w:val="(%1)"/>
      <w:numFmt w:val="lowerLetter"/>
      <w:start w:val="1"/>
    </w:lvl>
  </w:abstractNum>
  <w:abstractNum w:abstractNumId="153">
    <w:nsid w:val="5015CD1A"/>
    <w:multiLevelType w:val="hybridMultilevel"/>
    <w:lvl w:ilvl="0">
      <w:lvlJc w:val="left"/>
      <w:lvlText w:val="(%1)"/>
      <w:numFmt w:val="lowerLetter"/>
      <w:start w:val="3"/>
    </w:lvl>
    <w:lvl w:ilvl="1">
      <w:lvlJc w:val="left"/>
      <w:lvlText w:val="(%2)"/>
      <w:numFmt w:val="lowerRoman"/>
      <w:start w:val="1"/>
    </w:lvl>
  </w:abstractNum>
  <w:abstractNum w:abstractNumId="154">
    <w:nsid w:val="424479DA"/>
    <w:multiLevelType w:val="hybridMultilevel"/>
    <w:lvl w:ilvl="0">
      <w:lvlJc w:val="left"/>
      <w:lvlText w:val="(%1)"/>
      <w:numFmt w:val="lowerLetter"/>
      <w:start w:val="6"/>
    </w:lvl>
    <w:lvl w:ilvl="1">
      <w:lvlJc w:val="left"/>
      <w:lvlText w:val="(%2)"/>
      <w:numFmt w:val="lowerRoman"/>
      <w:start w:val="1"/>
    </w:lvl>
  </w:abstractNum>
  <w:abstractNum w:abstractNumId="155">
    <w:nsid w:val="1A9A9E69"/>
    <w:multiLevelType w:val="hybridMultilevel"/>
    <w:lvl w:ilvl="0">
      <w:lvlJc w:val="left"/>
      <w:lvlText w:val="(%1)"/>
      <w:numFmt w:val="lowerLetter"/>
      <w:start w:val="7"/>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2"/>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3"/>
    </w:lvl>
  </w:abstractNum>
  <w:abstractNum w:abstractNumId="160">
    <w:nsid w:val="1F461B51"/>
    <w:multiLevelType w:val="hybridMultilevel"/>
    <w:lvl w:ilvl="0">
      <w:lvlJc w:val="left"/>
      <w:lvlText w:val="(%1)"/>
      <w:numFmt w:val="lowerLetter"/>
      <w:start w:val="4"/>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3">
    <w:nsid w:val="51BF6B48"/>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64">
    <w:nsid w:val="7E0F6384"/>
    <w:multiLevelType w:val="hybridMultilevel"/>
    <w:lvl w:ilvl="0">
      <w:lvlJc w:val="left"/>
      <w:lvlText w:val="%1"/>
      <w:numFmt w:val="lowerLetter"/>
      <w:start w:val="1"/>
    </w:lvl>
    <w:lvl w:ilvl="1">
      <w:lvlJc w:val="left"/>
      <w:lvlText w:val="(%2)"/>
      <w:numFmt w:val="lowerRoman"/>
      <w:start w:val="3"/>
    </w:lvl>
  </w:abstractNum>
  <w:abstractNum w:abstractNumId="165">
    <w:nsid w:val="2B4B8B53"/>
    <w:multiLevelType w:val="hybridMultilevel"/>
    <w:lvl w:ilvl="0">
      <w:lvlJc w:val="left"/>
      <w:lvlText w:val="(%1)"/>
      <w:numFmt w:val="lowerLetter"/>
      <w:start w:val="4"/>
    </w:lvl>
    <w:lvl w:ilvl="1">
      <w:lvlJc w:val="left"/>
      <w:lvlText w:val="%2"/>
      <w:numFmt w:val="lowerRoman"/>
      <w:start w:val="1"/>
    </w:lvl>
  </w:abstractNum>
  <w:abstractNum w:abstractNumId="166">
    <w:nsid w:val="72E3413A"/>
    <w:multiLevelType w:val="hybridMultilevel"/>
    <w:lvl w:ilvl="0">
      <w:lvlJc w:val="left"/>
      <w:lvlText w:val="(%1)"/>
      <w:numFmt w:val="lowerLetter"/>
      <w:start w:val="1"/>
    </w:lvl>
  </w:abstractNum>
  <w:abstractNum w:abstractNumId="167">
    <w:nsid w:val="116AE494"/>
    <w:multiLevelType w:val="hybridMultilevel"/>
    <w:lvl w:ilvl="0">
      <w:lvlJc w:val="left"/>
      <w:lvlText w:val="(%1)"/>
      <w:numFmt w:val="lowerLetter"/>
      <w:start w:val="2"/>
    </w:lvl>
  </w:abstractNum>
  <w:abstractNum w:abstractNumId="168">
    <w:nsid w:val="3494B2FB"/>
    <w:multiLevelType w:val="hybridMultilevel"/>
    <w:lvl w:ilvl="0">
      <w:lvlJc w:val="left"/>
      <w:lvlText w:val="(%1)"/>
      <w:numFmt w:val="lowerLetter"/>
      <w:start w:val="1"/>
    </w:lvl>
    <w:lvl w:ilvl="1">
      <w:lvlJc w:val="left"/>
      <w:lvlText w:val="(%2)"/>
      <w:numFmt w:val="lowerRoman"/>
      <w:start w:val="1"/>
    </w:lvl>
  </w:abstractNum>
  <w:abstractNum w:abstractNumId="169">
    <w:nsid w:val="B13A31"/>
    <w:multiLevelType w:val="hybridMultilevel"/>
    <w:lvl w:ilvl="0">
      <w:lvlJc w:val="left"/>
      <w:lvlText w:val="(%1)"/>
      <w:numFmt w:val="lowerRoman"/>
      <w:start w:val="10"/>
    </w:lvl>
  </w:abstractNum>
  <w:abstractNum w:abstractNumId="170">
    <w:nsid w:val="64429599"/>
    <w:multiLevelType w:val="hybridMultilevel"/>
    <w:lvl w:ilvl="0">
      <w:lvlJc w:val="left"/>
      <w:lvlText w:val="(%1)"/>
      <w:numFmt w:val="lowerLetter"/>
      <w:start w:val="3"/>
    </w:lvl>
  </w:abstractNum>
  <w:abstractNum w:abstractNumId="171">
    <w:nsid w:val="631F1690"/>
    <w:multiLevelType w:val="hybridMultilevel"/>
    <w:lvl w:ilvl="0">
      <w:lvlJc w:val="left"/>
      <w:lvlText w:val="(%1)"/>
      <w:numFmt w:val="lowerLetter"/>
      <w:start w:val="1"/>
    </w:lvl>
    <w:lvl w:ilvl="1">
      <w:lvlJc w:val="left"/>
      <w:lvlText w:val="(%2)"/>
      <w:numFmt w:val="lowerLetter"/>
      <w:start w:val="9"/>
    </w:lvl>
  </w:abstractNum>
  <w:abstractNum w:abstractNumId="172">
    <w:nsid w:val="25973E32"/>
    <w:multiLevelType w:val="hybridMultilevel"/>
    <w:lvl w:ilvl="0">
      <w:lvlJc w:val="left"/>
      <w:lvlText w:val="(%1)"/>
      <w:numFmt w:val="lowerRoman"/>
      <w:start w:val="2"/>
    </w:lvl>
  </w:abstractNum>
  <w:abstractNum w:abstractNumId="173">
    <w:nsid w:val="EAD6F57"/>
    <w:multiLevelType w:val="hybridMultilevel"/>
    <w:lvl w:ilvl="0">
      <w:lvlJc w:val="left"/>
      <w:lvlText w:val="(%1)"/>
      <w:numFmt w:val="lowerRoman"/>
      <w:start w:val="3"/>
    </w:lvl>
  </w:abstractNum>
  <w:abstractNum w:abstractNumId="174">
    <w:nsid w:val="6EC9D844"/>
    <w:multiLevelType w:val="hybridMultilevel"/>
    <w:lvl w:ilvl="0">
      <w:lvlJc w:val="left"/>
      <w:lvlText w:val="(%1)"/>
      <w:numFmt w:val="lowerLetter"/>
      <w:start w:val="2"/>
    </w:lvl>
    <w:lvl w:ilvl="1">
      <w:lvlJc w:val="left"/>
      <w:lvlText w:val="(%2)"/>
      <w:numFmt w:val="lowerLetter"/>
      <w:start w:val="2"/>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1"/>
      <w:numFmt w:val="lowerLetter"/>
      <w:start w:val="1"/>
    </w:lvl>
    <w:lvl w:ilvl="1">
      <w:lvlJc w:val="left"/>
      <w:lvlText w:val="(%2)"/>
      <w:numFmt w:val="lowerLetter"/>
      <w:start w:val="3"/>
    </w:lvl>
  </w:abstractNum>
  <w:abstractNum w:abstractNumId="177">
    <w:nsid w:val="397C46BC"/>
    <w:multiLevelType w:val="hybridMultilevel"/>
    <w:lvl w:ilvl="0">
      <w:lvlJc w:val="left"/>
      <w:lvlText w:val="(%1)"/>
      <w:numFmt w:val="lowerLetter"/>
      <w:start w:val="61"/>
    </w:lvl>
    <w:lvl w:ilvl="1">
      <w:lvlJc w:val="left"/>
      <w:lvlText w:val="(%2)"/>
      <w:numFmt w:val="lowerLetter"/>
      <w:start w:val="4"/>
    </w:lvl>
  </w:abstractNum>
  <w:abstractNum w:abstractNumId="178">
    <w:nsid w:val="7E448DE9"/>
    <w:multiLevelType w:val="hybridMultilevel"/>
    <w:lvl w:ilvl="0">
      <w:lvlJc w:val="left"/>
      <w:lvlText w:val="(%1)"/>
      <w:numFmt w:val="lowerLetter"/>
      <w:start w:val="5"/>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Letter"/>
      <w:start w:val="1"/>
    </w:lvl>
    <w:lvl w:ilvl="1">
      <w:lvlJc w:val="left"/>
      <w:lvlText w:val="(%2)"/>
      <w:numFmt w:val="lowerLetter"/>
      <w:start w:val="3"/>
    </w:lvl>
  </w:abstractNum>
  <w:abstractNum w:abstractNumId="181">
    <w:nsid w:val="3CA88ECF"/>
    <w:multiLevelType w:val="hybridMultilevel"/>
    <w:lvl w:ilvl="0">
      <w:lvlJc w:val="left"/>
      <w:lvlText w:val="(%1)"/>
      <w:numFmt w:val="lowerLetter"/>
      <w:start w:val="2"/>
    </w:lvl>
    <w:lvl w:ilvl="1">
      <w:lvlJc w:val="left"/>
      <w:lvlText w:val="%2"/>
      <w:numFmt w:val="lowerLetter"/>
      <w:start w:val="1"/>
    </w:lvl>
  </w:abstractNum>
  <w:abstractNum w:abstractNumId="182">
    <w:nsid w:val="6EBE4208"/>
    <w:multiLevelType w:val="hybridMultilevel"/>
    <w:lvl w:ilvl="0">
      <w:lvlJc w:val="left"/>
      <w:lvlText w:val="(%1)"/>
      <w:numFmt w:val="lowerLetter"/>
      <w:start w:val="5"/>
    </w:lvl>
  </w:abstractNum>
  <w:abstractNum w:abstractNumId="183">
    <w:nsid w:val="C058DF5"/>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184">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85">
    <w:nsid w:val="3102BBE2"/>
    <w:multiLevelType w:val="hybridMultilevel"/>
    <w:lvl w:ilvl="0">
      <w:lvlJc w:val="left"/>
      <w:lvlText w:val="(%1)"/>
      <w:numFmt w:val="lowerRoman"/>
      <w:start w:val="2"/>
    </w:lvl>
    <w:lvl w:ilvl="1">
      <w:lvlJc w:val="left"/>
      <w:lvlText w:val="(%2)"/>
      <w:numFmt w:val="upperLetter"/>
      <w:start w:val="1"/>
    </w:lvl>
  </w:abstractNum>
  <w:abstractNum w:abstractNumId="186">
    <w:nsid w:val="26A02C5E"/>
    <w:multiLevelType w:val="hybridMultilevel"/>
    <w:lvl w:ilvl="0">
      <w:lvlJc w:val="left"/>
      <w:lvlText w:val="(%1)"/>
      <w:numFmt w:val="lowerRoman"/>
      <w:start w:val="3"/>
    </w:lvl>
  </w:abstractNum>
  <w:abstractNum w:abstractNumId="187">
    <w:nsid w:val="541C8153"/>
    <w:multiLevelType w:val="hybridMultilevel"/>
    <w:lvl w:ilvl="0">
      <w:lvlJc w:val="left"/>
      <w:lvlText w:val="%1"/>
      <w:numFmt w:val="lowerLetter"/>
      <w:start w:val="1"/>
    </w:lvl>
    <w:lvl w:ilvl="1">
      <w:lvlJc w:val="left"/>
      <w:lvlText w:val="(%2)"/>
      <w:numFmt w:val="lowerRoman"/>
      <w:start w:val="4"/>
    </w:lvl>
  </w:abstractNum>
  <w:abstractNum w:abstractNumId="188">
    <w:nsid w:val="67906F60"/>
    <w:multiLevelType w:val="hybridMultilevel"/>
    <w:lvl w:ilvl="0">
      <w:lvlJc w:val="left"/>
      <w:lvlText w:val="(%1)"/>
      <w:numFmt w:val="lowerLetter"/>
      <w:start w:val="3"/>
    </w:lvl>
    <w:lvl w:ilvl="1">
      <w:lvlJc w:val="left"/>
      <w:lvlText w:val="%2"/>
      <w:numFmt w:val="lowerRoman"/>
      <w:start w:val="1"/>
    </w:lvl>
  </w:abstractNum>
  <w:abstractNum w:abstractNumId="189">
    <w:nsid w:val="10DB9DAA"/>
    <w:multiLevelType w:val="hybridMultilevel"/>
    <w:lvl w:ilvl="0">
      <w:lvlJc w:val="left"/>
      <w:lvlText w:val="(%1)"/>
      <w:numFmt w:val="lowerLetter"/>
      <w:start w:val="4"/>
    </w:lvl>
  </w:abstractNum>
  <w:abstractNum w:abstractNumId="190">
    <w:nsid w:val="697D2D2"/>
    <w:multiLevelType w:val="hybridMultilevel"/>
    <w:lvl w:ilvl="0">
      <w:lvlJc w:val="left"/>
      <w:lvlText w:val="(%1)"/>
      <w:numFmt w:val="lowerLetter"/>
      <w:start w:val="1"/>
    </w:lvl>
  </w:abstractNum>
  <w:abstractNum w:abstractNumId="191">
    <w:nsid w:val="6D68AB2"/>
    <w:multiLevelType w:val="hybridMultilevel"/>
    <w:lvl w:ilvl="0">
      <w:lvlJc w:val="left"/>
      <w:lvlText w:val="(%1)"/>
      <w:numFmt w:val="upperLetter"/>
      <w:start w:val="3"/>
    </w:lvl>
  </w:abstractNum>
  <w:abstractNum w:abstractNumId="192">
    <w:nsid w:val="3A966CD0"/>
    <w:multiLevelType w:val="hybridMultilevel"/>
    <w:lvl w:ilvl="0">
      <w:lvlJc w:val="left"/>
      <w:lvlText w:val="(%1)"/>
      <w:numFmt w:val="lowerLetter"/>
      <w:start w:val="1"/>
    </w:lvl>
  </w:abstractNum>
  <w:abstractNum w:abstractNumId="193">
    <w:nsid w:val="63F37E85"/>
    <w:multiLevelType w:val="hybridMultilevel"/>
    <w:lvl w:ilvl="0">
      <w:lvlJc w:val="left"/>
      <w:lvlText w:val="(%1)"/>
      <w:numFmt w:val="lowerLetter"/>
      <w:start w:val="5"/>
    </w:lvl>
  </w:abstractNum>
  <w:abstractNum w:abstractNumId="194">
    <w:nsid w:val="5895F5FA"/>
    <w:multiLevelType w:val="hybridMultilevel"/>
    <w:lvl w:ilvl="0">
      <w:lvlJc w:val="left"/>
      <w:lvlText w:val="(%1)"/>
      <w:numFmt w:val="lowerLetter"/>
      <w:start w:val="2"/>
    </w:lvl>
  </w:abstractNum>
  <w:abstractNum w:abstractNumId="195">
    <w:nsid w:val="38A5D054"/>
    <w:multiLevelType w:val="hybridMultilevel"/>
    <w:lvl w:ilvl="0">
      <w:lvlJc w:val="left"/>
      <w:lvlText w:val="(%1)"/>
      <w:numFmt w:val="lowerLetter"/>
      <w:start w:val="1"/>
    </w:lvl>
    <w:lvl w:ilvl="1">
      <w:lvlJc w:val="left"/>
      <w:lvlText w:val="(%2)"/>
      <w:numFmt w:val="lowerRoman"/>
      <w:start w:val="1"/>
    </w:lvl>
  </w:abstractNum>
  <w:abstractNum w:abstractNumId="196">
    <w:nsid w:val="F3F09D8"/>
    <w:multiLevelType w:val="hybridMultilevel"/>
    <w:lvl w:ilvl="0">
      <w:lvlJc w:val="left"/>
      <w:lvlText w:val="%1"/>
      <w:numFmt w:val="lowerLetter"/>
      <w:start w:val="1"/>
    </w:lvl>
    <w:lvl w:ilvl="1">
      <w:lvlJc w:val="left"/>
      <w:lvlText w:val="(%2)"/>
      <w:numFmt w:val="lowerLetter"/>
      <w:start w:val="1"/>
    </w:lvl>
  </w:abstractNum>
  <w:abstractNum w:abstractNumId="197">
    <w:nsid w:val="4B793735"/>
    <w:multiLevelType w:val="hybridMultilevel"/>
    <w:lvl w:ilvl="0">
      <w:lvlJc w:val="left"/>
      <w:lvlText w:val="(%1)"/>
      <w:numFmt w:val="lowerLetter"/>
      <w:start w:val="61"/>
    </w:lvl>
    <w:lvl w:ilvl="1">
      <w:lvlJc w:val="left"/>
      <w:lvlText w:val="%2"/>
      <w:numFmt w:val="lowerLetter"/>
      <w:start w:val="1"/>
    </w:lvl>
  </w:abstractNum>
  <w:abstractNum w:abstractNumId="198">
    <w:nsid w:val="4A10B4E8"/>
    <w:multiLevelType w:val="hybridMultilevel"/>
    <w:lvl w:ilvl="0">
      <w:lvlJc w:val="left"/>
      <w:lvlText w:val="(%1)"/>
      <w:numFmt w:val="lowerLetter"/>
      <w:start w:val="1"/>
    </w:lvl>
  </w:abstractNum>
  <w:abstractNum w:abstractNumId="199">
    <w:nsid w:val="43D3BCD4"/>
    <w:multiLevelType w:val="hybridMultilevel"/>
    <w:lvl w:ilvl="0">
      <w:lvlJc w:val="left"/>
      <w:lvlText w:val="(%1)"/>
      <w:numFmt w:val="lowerLetter"/>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2024-10-29T16:23:46Z</dcterms:created>
  <dcterms:modified xsi:type="dcterms:W3CDTF">2024-10-29T16:23:46Z</dcterms:modified>
</cp:coreProperties>
</file>