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001-40994</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NerdWallet, Inc.</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(Exact name of registrant as specified in its charter)</w:t>
      </w:r>
    </w:p>
    <w:tbl>
      <w:tblPr>
        <w:tblW w:w="8128" w:type="dxa"/>
        <w:jc w:val="left"/>
        <w:tblInd w:w="0" w:type="dxa"/>
        <w:tblLayout w:type="fixed"/>
        <w:tblCellMar>
          <w:top w:w="28" w:type="dxa"/>
          <w:left w:w="28" w:type="dxa"/>
          <w:bottom w:w="28" w:type="dxa"/>
          <w:right w:w="28" w:type="dxa"/>
        </w:tblCellMar>
      </w:tblPr>
      <w:tblGrid>
        <w:gridCol w:w="1848"/>
        <w:gridCol w:w="1623"/>
        <w:gridCol w:w="1643"/>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45-4180440</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(I.R.S. Employer Identification No.)</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19 S. B Street, Suite 9, San Mateo, California 94401</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(Address of principal executive offices) (Zip code)</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(415) 549-8913</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(Registrant's telephone number, including area code)</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Securities registered pursuant to Section 12(b) of the Act: </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Name of each exchange on which registered</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Class A common stock, $0.0001 par value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NRDS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The Nasdaq Global Market</w:t>
            </w:r>
          </w:p>
        </w:tc>
      </w:tr>
    </w:tbl>
    <w:p>
      <w:pPr>
        <w:pStyle w:val="TextBody"/>
        <w:bidi w:val="0"/>
        <w:spacing w:lineRule="auto" w:line="288" w:before="0" w:after="120"/>
        <w:jc w:val="both"/>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19"/>
        </w:rPr>
        <w:t xml:space="preserve">Indicate by check mark whether the registrant is a shell company (as defined in Rule 12b-2 of the Act). Yes ☐ 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The registrant had outstanding 32,237,522 shares of Class A common stock and 31,685,652 shares of Class B common stock as of August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Index to Form 10-Q</w:t>
      </w:r>
    </w:p>
    <w:p>
      <w:pPr>
        <w:pStyle w:val="TextBody"/>
        <w:bidi w:val="0"/>
        <w:spacing w:before="0" w:after="180"/>
        <w:jc w:val="center"/>
        <w:rPr/>
      </w:pPr>
      <w:r>
        <w:rPr/>
      </w:r>
    </w:p>
    <w:tbl>
      <w:tblPr>
        <w:tblW w:w="9058" w:type="dxa"/>
        <w:jc w:val="center"/>
        <w:tblInd w:w="0" w:type="dxa"/>
        <w:tblLayout w:type="fixed"/>
        <w:tblCellMar>
          <w:top w:w="28" w:type="dxa"/>
          <w:left w:w="28" w:type="dxa"/>
          <w:bottom w:w="28" w:type="dxa"/>
          <w:right w:w="28" w:type="dxa"/>
        </w:tblCellMar>
      </w:tblPr>
      <w:tblGrid>
        <w:gridCol w:w="141"/>
        <w:gridCol w:w="124"/>
        <w:gridCol w:w="124"/>
        <w:gridCol w:w="264"/>
        <w:gridCol w:w="264"/>
        <w:gridCol w:w="266"/>
        <w:gridCol w:w="2453"/>
        <w:gridCol w:w="2453"/>
        <w:gridCol w:w="2458"/>
        <w:gridCol w:w="149"/>
        <w:gridCol w:w="149"/>
        <w:gridCol w:w="21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3">
              <w:r>
                <w:rPr>
                  <w:rStyle w:val="InternetLink"/>
                  <w:rFonts w:ascii="Times New Roman;serif" w:hAnsi="Times New Roman;serif"/>
                  <w:b/>
                  <w:color w:val="0000FF"/>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3">
              <w:r>
                <w:rPr>
                  <w:rStyle w:val="InternetLink"/>
                  <w:rFonts w:ascii="Times New Roman;serif" w:hAnsi="Times New Roman;serif"/>
                  <w:b/>
                  <w:color w:val="0000FF"/>
                  <w:sz w:val="20"/>
                  <w:u w:val="singl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6">
              <w:r>
                <w:rPr>
                  <w:rStyle w:val="InternetLink"/>
                  <w:rFonts w:ascii="Times New Roman;serif" w:hAnsi="Times New Roman;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9">
              <w:r>
                <w:rPr>
                  <w:rStyle w:val="InternetLink"/>
                  <w:rFonts w:ascii="Times New Roman;serif" w:hAnsi="Times New Roman;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22">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22">
              <w:r>
                <w:rPr>
                  <w:rStyle w:val="InternetLink"/>
                  <w:rFonts w:ascii="Times New Roman;serif" w:hAnsi="Times New Roman;serif"/>
                  <w:b w:val="false"/>
                  <w:strike w:val="false"/>
                  <w:dstrike w:val="false"/>
                  <w:color w:val="000000"/>
                  <w:sz w:val="20"/>
                  <w:u w:val="none"/>
                  <w:effect w:val="none"/>
                </w:rPr>
                <w:t>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25">
              <w:r>
                <w:rPr>
                  <w:rStyle w:val="InternetLink"/>
                  <w:rFonts w:ascii="Times New Roman;serif" w:hAnsi="Times New Roman;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25">
              <w:r>
                <w:rPr>
                  <w:rStyle w:val="InternetLink"/>
                  <w:rFonts w:ascii="Times New Roman;serif" w:hAnsi="Times New Roman;serif"/>
                  <w:b w:val="false"/>
                  <w:strike w:val="false"/>
                  <w:dstrike w:val="false"/>
                  <w:color w:val="000000"/>
                  <w:sz w:val="20"/>
                  <w:u w:val="none"/>
                  <w:effect w:val="none"/>
                </w:rPr>
                <w:t>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ind w:left="0" w:right="0" w:hanging="270"/>
              <w:jc w:val="left"/>
              <w:rPr/>
            </w:pPr>
            <w:hyperlink w:anchor="i513539610d1041e8858cb533294e55e6_28">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28">
              <w:r>
                <w:rPr>
                  <w:rStyle w:val="InternetLink"/>
                  <w:rFonts w:ascii="Times New Roman;serif" w:hAnsi="Times New Roman;serif"/>
                  <w:b w:val="false"/>
                  <w:strike w:val="false"/>
                  <w:dstrike w:val="false"/>
                  <w:color w:val="000000"/>
                  <w:sz w:val="20"/>
                  <w:u w:val="none"/>
                  <w:effect w:val="none"/>
                </w:rPr>
                <w:t>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31">
              <w:r>
                <w:rPr>
                  <w:rStyle w:val="InternetLink"/>
                  <w:rFonts w:ascii="Times New Roman;serif" w:hAnsi="Times New Roman;serif"/>
                  <w:b w:val="false"/>
                  <w:strike w:val="false"/>
                  <w:dstrike w:val="false"/>
                  <w:color w:val="000000"/>
                  <w:sz w:val="20"/>
                  <w:u w:val="none"/>
                  <w:effect w:val="none"/>
                </w:rPr>
                <w:t>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34">
              <w:r>
                <w:rPr>
                  <w:rStyle w:val="InternetLink"/>
                  <w:rFonts w:ascii="Times New Roman;serif" w:hAnsi="Times New Roman;serif"/>
                  <w:b w:val="false"/>
                  <w:strike w:val="false"/>
                  <w:dstrike w:val="false"/>
                  <w:color w:val="000000"/>
                  <w:sz w:val="20"/>
                  <w:u w:val="none"/>
                  <w:effect w:val="none"/>
                </w:rPr>
                <w:t>10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64">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64">
              <w:r>
                <w:rPr>
                  <w:rStyle w:val="InternetLink"/>
                  <w:rFonts w:ascii="Times New Roman;serif" w:hAnsi="Times New Roman;serif"/>
                  <w:b w:val="false"/>
                  <w:strike w:val="false"/>
                  <w:dstrike w:val="false"/>
                  <w:color w:val="000000"/>
                  <w:sz w:val="20"/>
                  <w:u w:val="none"/>
                  <w:effect w:val="none"/>
                </w:rPr>
                <w:t>17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97">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9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97">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00">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0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00">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03">
              <w:r>
                <w:rPr>
                  <w:rStyle w:val="InternetLink"/>
                  <w:rFonts w:ascii="Times New Roman;serif" w:hAnsi="Times New Roman;serif"/>
                  <w:b/>
                  <w:color w:val="0000FF"/>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03">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0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0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06">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09">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0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09">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12">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12">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12">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15">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15">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15">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18">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18">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18">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21">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21">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21">
              <w:r>
                <w:rPr>
                  <w:rStyle w:val="InternetLink"/>
                  <w:rFonts w:ascii="Times New Roman;serif" w:hAnsi="Times New Roman;serif"/>
                  <w:b w:val="false"/>
                  <w:strike w:val="false"/>
                  <w:dstrike w:val="false"/>
                  <w:color w:val="000000"/>
                  <w:sz w:val="20"/>
                  <w:u w:val="none"/>
                  <w:effect w:val="none"/>
                </w:rPr>
                <w:t>29</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27">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13539610d1041e8858cb533294e55e6_127">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27">
              <w:r>
                <w:rPr>
                  <w:rStyle w:val="InternetLink"/>
                  <w:rFonts w:ascii="Times New Roman;serif" w:hAnsi="Times New Roman;serif"/>
                  <w:b w:val="false"/>
                  <w:strike w:val="false"/>
                  <w:dstrike w:val="false"/>
                  <w:color w:val="000000"/>
                  <w:sz w:val="20"/>
                  <w:u w:val="none"/>
                  <w:effect w:val="none"/>
                </w:rPr>
                <w:t>30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7" w:type="dxa"/>
            <w:gridSpan w:val="9"/>
            <w:tcBorders/>
            <w:tcMar>
              <w:top w:w="0" w:type="dxa"/>
              <w:left w:w="0" w:type="dxa"/>
              <w:bottom w:w="0" w:type="dxa"/>
              <w:right w:w="0" w:type="dxa"/>
            </w:tcMar>
            <w:vAlign w:val="center"/>
          </w:tcPr>
          <w:p>
            <w:pPr>
              <w:pStyle w:val="TableContents"/>
              <w:bidi w:val="0"/>
              <w:spacing w:lineRule="auto" w:line="268" w:before="0" w:after="0"/>
              <w:jc w:val="both"/>
              <w:rPr/>
            </w:pPr>
            <w:hyperlink w:anchor="i513539610d1041e8858cb533294e55e6_130">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13539610d1041e8858cb533294e55e6_130">
              <w:r>
                <w:rPr>
                  <w:rStyle w:val="InternetLink"/>
                  <w:rFonts w:ascii="Times New Roman;serif" w:hAnsi="Times New Roman;serif"/>
                  <w:b w:val="false"/>
                  <w:strike w:val="false"/>
                  <w:dstrike w:val="false"/>
                  <w:color w:val="000000"/>
                  <w:sz w:val="20"/>
                  <w:u w:val="none"/>
                  <w:effect w:val="none"/>
                </w:rPr>
                <w:t>31</w:t>
              </w:r>
            </w:hyperlink>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the impact of macroeconomic developments, including inflation, interest rates, credit market conditions and general economic uncertainty, on our business, operating results, financial condition, and stock price;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our expectations regarding future financial and operational performance, including total revenue, cost of revenue, non</w:t>
      </w:r>
      <w:r>
        <w:rPr>
          <w:color w:val="000000"/>
        </w:rPr>
        <w:noBreakHyphen/>
      </w:r>
      <w:r>
        <w:rPr>
          <w:rFonts w:ascii="Times New Roman;serif" w:hAnsi="Times New Roman;serif"/>
          <w:b w:val="false"/>
          <w:color w:val="000000"/>
          <w:sz w:val="20"/>
        </w:rPr>
        <w:t xml:space="preserve">GAAP operating income (loss) and adjusted EBITDA;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our ability to grow traffic, engagement, and monetization on our platform; </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expected returns on marketing investments and brand campaigns;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consumer and small and mid-sized business (SMB) demand for products and services offered through our platform;</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our ability to increase user registrations, improve repeat usage rates, and convert users into matches with financial services partners;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expansion within existing and new verticals, including new products, services, and features that are competitive, compliant with applicable regulations, and responsive to market needs;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geographic changes in operations;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maintaining and expanding relationships with existing financial services partners and identifying new ones;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developing scalable technology and data capabilities to provide personalized guidance and enhance user engagement;</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strengthening brand awareness, credibility, and consumer and SMB trust;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producing high quality, engaging consumer and SMB content and tools;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adapting to evolving consumer and SMB financial interests and behaviors;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competing effectively in existing and new markets;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maintaining the security, reliability, and availability of our platform;</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protecting and enhancing our intellectual property portfolio;</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attracting, developing, and retaining highly skilled and diverse talent;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complying with evolving laws, regulations, and supervisory expectations applicable to our business;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the adequacy of our cash, cash equivalents, and investments to meet liquidity needs;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managing growth, scaling infrastructure, and preserving our corporate culture;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identifying, executing, and successfully integrating acquisitions; and</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achieving expected synergies, accretion, and other benefits from completed acquisitions.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elsewhere in this Quarterly Report on Form 10-Q, in Part I, Item 1A. Risk Factors in our Annual Report on Form 10-K for the year ended December 31, 2025, as well as in our subsequent periodic filings with the U.S. Securities and Exchange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reflect potential impacts from future acquisitions, mergers, dispositions, joint ventures, or investments.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0"/>
        <w:gridCol w:w="2289"/>
        <w:gridCol w:w="2298"/>
        <w:gridCol w:w="109"/>
        <w:gridCol w:w="109"/>
        <w:gridCol w:w="109"/>
        <w:gridCol w:w="211"/>
        <w:gridCol w:w="631"/>
        <w:gridCol w:w="109"/>
        <w:gridCol w:w="109"/>
        <w:gridCol w:w="109"/>
        <w:gridCol w:w="109"/>
        <w:gridCol w:w="241"/>
        <w:gridCol w:w="722"/>
        <w:gridCol w:w="180"/>
      </w:tblGrid>
      <w:tr>
        <w:trPr/>
        <w:tc>
          <w:tcPr>
            <w:tcW w:w="287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stock—$0.0001 par value per share—296,686 shares authorized; 63,879 and 71,289 shares issued and outstanding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461.1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2"/>
        <w:gridCol w:w="1439"/>
        <w:gridCol w:w="144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6"/>
      </w:tblGrid>
      <w:tr>
        <w:trPr/>
        <w:tc>
          <w:tcPr>
            <w:tcW w:w="216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Used in Computing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tbl>
      <w:tblPr>
        <w:tblW w:w="7631" w:type="dxa"/>
        <w:jc w:val="left"/>
        <w:tblInd w:w="0" w:type="dxa"/>
        <w:tblLayout w:type="fixed"/>
        <w:tblCellMar>
          <w:top w:w="28" w:type="dxa"/>
          <w:left w:w="28" w:type="dxa"/>
          <w:bottom w:w="28" w:type="dxa"/>
          <w:right w:w="28" w:type="dxa"/>
        </w:tblCellMar>
      </w:tblPr>
      <w:tblGrid>
        <w:gridCol w:w="1183"/>
        <w:gridCol w:w="1037"/>
        <w:gridCol w:w="1049"/>
        <w:gridCol w:w="109"/>
        <w:gridCol w:w="109"/>
        <w:gridCol w:w="109"/>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995"/>
        <w:gridCol w:w="457"/>
        <w:gridCol w:w="459"/>
        <w:gridCol w:w="109"/>
        <w:gridCol w:w="109"/>
        <w:gridCol w:w="109"/>
        <w:gridCol w:w="368"/>
        <w:gridCol w:w="368"/>
        <w:gridCol w:w="196"/>
        <w:gridCol w:w="109"/>
        <w:gridCol w:w="109"/>
        <w:gridCol w:w="109"/>
        <w:gridCol w:w="211"/>
        <w:gridCol w:w="406"/>
        <w:gridCol w:w="109"/>
        <w:gridCol w:w="109"/>
        <w:gridCol w:w="109"/>
        <w:gridCol w:w="109"/>
        <w:gridCol w:w="233"/>
        <w:gridCol w:w="699"/>
        <w:gridCol w:w="120"/>
        <w:gridCol w:w="109"/>
        <w:gridCol w:w="109"/>
        <w:gridCol w:w="109"/>
        <w:gridCol w:w="414"/>
        <w:gridCol w:w="827"/>
        <w:gridCol w:w="215"/>
        <w:gridCol w:w="109"/>
        <w:gridCol w:w="109"/>
        <w:gridCol w:w="109"/>
        <w:gridCol w:w="244"/>
        <w:gridCol w:w="730"/>
        <w:gridCol w:w="126"/>
        <w:gridCol w:w="109"/>
        <w:gridCol w:w="109"/>
        <w:gridCol w:w="109"/>
        <w:gridCol w:w="224"/>
        <w:gridCol w:w="671"/>
        <w:gridCol w:w="171"/>
      </w:tblGrid>
      <w:tr>
        <w:trPr/>
        <w:tc>
          <w:tcPr>
            <w:tcW w:w="99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71,289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374.5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65,791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570.2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63,879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578.6</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(252.6)</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325.8</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995"/>
        <w:gridCol w:w="457"/>
        <w:gridCol w:w="459"/>
        <w:gridCol w:w="109"/>
        <w:gridCol w:w="109"/>
        <w:gridCol w:w="109"/>
        <w:gridCol w:w="368"/>
        <w:gridCol w:w="368"/>
        <w:gridCol w:w="196"/>
        <w:gridCol w:w="109"/>
        <w:gridCol w:w="109"/>
        <w:gridCol w:w="109"/>
        <w:gridCol w:w="211"/>
        <w:gridCol w:w="406"/>
        <w:gridCol w:w="109"/>
        <w:gridCol w:w="109"/>
        <w:gridCol w:w="109"/>
        <w:gridCol w:w="109"/>
        <w:gridCol w:w="233"/>
        <w:gridCol w:w="699"/>
        <w:gridCol w:w="120"/>
        <w:gridCol w:w="109"/>
        <w:gridCol w:w="109"/>
        <w:gridCol w:w="109"/>
        <w:gridCol w:w="414"/>
        <w:gridCol w:w="827"/>
        <w:gridCol w:w="215"/>
        <w:gridCol w:w="109"/>
        <w:gridCol w:w="109"/>
        <w:gridCol w:w="109"/>
        <w:gridCol w:w="244"/>
        <w:gridCol w:w="730"/>
        <w:gridCol w:w="126"/>
        <w:gridCol w:w="109"/>
        <w:gridCol w:w="109"/>
        <w:gridCol w:w="109"/>
        <w:gridCol w:w="224"/>
        <w:gridCol w:w="671"/>
        <w:gridCol w:w="171"/>
      </w:tblGrid>
      <w:tr>
        <w:trPr/>
        <w:tc>
          <w:tcPr>
            <w:tcW w:w="99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Balance as of December 31,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74,108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537.9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75,223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547.9</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(158.1)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390.0</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tbl>
      <w:tblPr>
        <w:tblW w:w="9186" w:type="dxa"/>
        <w:jc w:val="center"/>
        <w:tblInd w:w="0" w:type="dxa"/>
        <w:tblLayout w:type="fixed"/>
        <w:tblCellMar>
          <w:top w:w="28" w:type="dxa"/>
          <w:left w:w="28" w:type="dxa"/>
          <w:bottom w:w="28" w:type="dxa"/>
          <w:right w:w="28" w:type="dxa"/>
        </w:tblCellMar>
      </w:tblPr>
      <w:tblGrid>
        <w:gridCol w:w="2428"/>
        <w:gridCol w:w="2130"/>
        <w:gridCol w:w="2162"/>
        <w:gridCol w:w="109"/>
        <w:gridCol w:w="109"/>
        <w:gridCol w:w="109"/>
        <w:gridCol w:w="211"/>
        <w:gridCol w:w="511"/>
        <w:gridCol w:w="109"/>
        <w:gridCol w:w="109"/>
        <w:gridCol w:w="109"/>
        <w:gridCol w:w="109"/>
        <w:gridCol w:w="211"/>
        <w:gridCol w:w="616"/>
        <w:gridCol w:w="154"/>
      </w:tblGrid>
      <w:tr>
        <w:trPr/>
        <w:tc>
          <w:tcPr>
            <w:tcW w:w="242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Liquidation of 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 (repayment)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71"/>
        <w:gridCol w:w="2523"/>
        <w:gridCol w:w="2554"/>
        <w:gridCol w:w="109"/>
        <w:gridCol w:w="109"/>
        <w:gridCol w:w="109"/>
        <w:gridCol w:w="211"/>
        <w:gridCol w:w="406"/>
        <w:gridCol w:w="109"/>
        <w:gridCol w:w="109"/>
        <w:gridCol w:w="109"/>
        <w:gridCol w:w="109"/>
        <w:gridCol w:w="211"/>
        <w:gridCol w:w="511"/>
        <w:gridCol w:w="155"/>
      </w:tblGrid>
      <w:tr>
        <w:trPr/>
        <w:tc>
          <w:tcPr>
            <w:tcW w:w="2871"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 recorded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 recorded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 Related to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1.The Company and Basis of Presentation</w:t>
      </w:r>
    </w:p>
    <w:p>
      <w:pPr>
        <w:pStyle w:val="TextBody"/>
        <w:bidi w:val="0"/>
        <w:spacing w:lineRule="auto" w:line="288" w:before="0" w:after="180"/>
        <w:ind w:left="0" w:right="0" w:firstLine="360"/>
        <w:jc w:val="both"/>
        <w:rPr/>
      </w:pPr>
      <w:r>
        <w:rPr>
          <w:rFonts w:ascii="Times New Roman;serif" w:hAnsi="Times New Roman;serif"/>
          <w:b/>
          <w:color w:val="000000"/>
          <w:sz w:val="20"/>
        </w:rPr>
        <w:t>The Company—</w:t>
      </w:r>
      <w:r>
        <w:rPr>
          <w:rFonts w:ascii="Times New Roman;serif" w:hAnsi="Times New Roman;serif"/>
          <w:b w:val="false"/>
          <w:color w:val="000000"/>
          <w:sz w:val="20"/>
        </w:rPr>
        <w:t>NerdWallet, Inc., a Delaware corporation, was formed on December 29, 2011. NerdWallet, Inc. and its subsidiaries (collectively, the Company) provide trusted guidance about finance through its platform, which connects consumers and small and mid-sized businesses (SMBs) with providers of financial products, and access to regulated financial services offered through our subsidiaries.</w:t>
      </w:r>
    </w:p>
    <w:p>
      <w:pPr>
        <w:pStyle w:val="TextBody"/>
        <w:bidi w:val="0"/>
        <w:spacing w:lineRule="auto" w:line="288" w:before="0" w:after="180"/>
        <w:ind w:left="0" w:right="0" w:firstLine="360"/>
        <w:jc w:val="both"/>
        <w:rPr/>
      </w:pPr>
      <w:r>
        <w:rPr>
          <w:rFonts w:ascii="Times New Roman;serif" w:hAnsi="Times New Roman;serif"/>
          <w:b/>
          <w:color w:val="000000"/>
          <w:sz w:val="20"/>
        </w:rPr>
        <w:t>Basis of Consolidation and Presentation—</w:t>
      </w:r>
      <w:r>
        <w:rPr>
          <w:rFonts w:ascii="Times New Roman;serif" w:hAnsi="Times New Roman;serif"/>
          <w:b w:val="false"/>
          <w:color w:val="000000"/>
          <w:sz w:val="20"/>
        </w:rPr>
        <w:t xml:space="preserve">The accompanying unaudited interim condensed consolidated financial statements have been prepared in accordance with 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2025.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six months ended June 30, 2025 have been reclassified to conform to the presentation as of and for the three and six months ended June 30, 2026. The results of operations for the three and six months ended June 30, 2026 are not necessarily indicative of the results to be expected for the full year or any other future period.</w:t>
      </w:r>
    </w:p>
    <w:p>
      <w:pPr>
        <w:pStyle w:val="TextBody"/>
        <w:bidi w:val="0"/>
        <w:spacing w:lineRule="auto" w:line="288" w:before="0" w:after="180"/>
        <w:ind w:left="0" w:right="0" w:firstLine="360"/>
        <w:jc w:val="both"/>
        <w:rPr/>
      </w:pPr>
      <w:r>
        <w:rPr>
          <w:rFonts w:ascii="Times New Roman;serif" w:hAnsi="Times New Roman;serif"/>
          <w:b/>
          <w:color w:val="000000"/>
          <w:sz w:val="20"/>
        </w:rPr>
        <w:t>Segments—</w:t>
      </w:r>
      <w:r>
        <w:rPr>
          <w:rFonts w:ascii="Times New Roman;serif" w:hAnsi="Times New Roman;serif"/>
          <w:b w:val="false"/>
          <w:color w:val="000000"/>
          <w:sz w:val="20"/>
        </w:rPr>
        <w:t>The Company has one operating segment. The measure of segment assets is presented as total assets in the condensed consolidated balance sheets.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segment costs and expenses, along with a reconciliation to income from operations, are as follows:</w:t>
      </w:r>
    </w:p>
    <w:tbl>
      <w:tblPr>
        <w:tblW w:w="9131" w:type="dxa"/>
        <w:jc w:val="left"/>
        <w:tblInd w:w="0" w:type="dxa"/>
        <w:tblLayout w:type="fixed"/>
        <w:tblCellMar>
          <w:top w:w="28" w:type="dxa"/>
          <w:left w:w="28" w:type="dxa"/>
          <w:bottom w:w="28" w:type="dxa"/>
          <w:right w:w="28" w:type="dxa"/>
        </w:tblCellMar>
      </w:tblPr>
      <w:tblGrid>
        <w:gridCol w:w="1437"/>
        <w:gridCol w:w="1262"/>
        <w:gridCol w:w="127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costs and expenses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Gross of capitalized internally developed software costs.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Primarily includes cost of revenue and non-personnel-related operating expenses (each excluding depreciation and amortization), acquisition-related expenses and retention, and brand marketing.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included in consolidated net income (loss) are presented in the condensed consolidated statements of operations, and comprised of other income (expense), net, and income tax provision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color w:val="000000"/>
          <w:sz w:val="20"/>
        </w:rPr>
        <w:t>Sales and Marketing</w:t>
      </w:r>
      <w:r>
        <w:rPr>
          <w:color w:val="000000"/>
        </w:rPr>
        <w:t>—</w:t>
      </w:r>
      <w:r>
        <w:rPr>
          <w:rFonts w:ascii="Times New Roman;serif" w:hAnsi="Times New Roman;serif"/>
          <w:b w:val="false"/>
          <w:color w:val="000000"/>
          <w:sz w:val="20"/>
        </w:rPr>
        <w:t>Components of sales and marketing expenses are as follows:</w:t>
      </w:r>
    </w:p>
    <w:tbl>
      <w:tblPr>
        <w:tblW w:w="7527"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color w:val="000000"/>
          <w:sz w:val="20"/>
        </w:rPr>
        <w:t>Related Party Transaction</w:t>
      </w:r>
      <w:r>
        <w:rPr>
          <w:color w:val="000000"/>
        </w:rPr>
        <w:t>—</w:t>
      </w:r>
      <w:r>
        <w:rPr>
          <w:rFonts w:ascii="Times New Roman;serif" w:hAnsi="Times New Roman;serif"/>
          <w:b w:val="false"/>
          <w:color w:val="000000"/>
          <w:sz w:val="20"/>
        </w:rPr>
        <w:t>The Company is party to a services agreement with a marketing platform, which was co-founded by a former executive officer of the Company. Total expense to this vendor under the services agreement was $0.9 million and $1.7 million for the three and six months ended June 30, 2026, respectively, which was included in sales and marketing expense in the condensed consolidated statements of income. The amount due to this vendor was $0.7 million as of June 30, 2026, of which $0.4 million was included in accounts payable and $0.3 million in accrued expenses and other current liabilities in the condensed consolidated balance sheet.</w:t>
      </w:r>
    </w:p>
    <w:p>
      <w:pPr>
        <w:pStyle w:val="TextBody"/>
        <w:bidi w:val="0"/>
        <w:spacing w:lineRule="auto" w:line="288" w:before="0" w:after="180"/>
        <w:ind w:left="0" w:right="0" w:firstLine="360"/>
        <w:jc w:val="both"/>
        <w:rPr/>
      </w:pPr>
      <w:r>
        <w:rPr>
          <w:rFonts w:ascii="Times New Roman;serif" w:hAnsi="Times New Roman;serif"/>
          <w:b/>
          <w:color w:val="000000"/>
          <w:sz w:val="20"/>
        </w:rPr>
        <w:t>Significant Accounting Policies</w:t>
      </w:r>
      <w:r>
        <w:rPr>
          <w:color w:val="000000"/>
        </w:rPr>
        <w:t>—</w:t>
      </w:r>
      <w:r>
        <w:rPr>
          <w:rFonts w:ascii="Times New Roman;serif" w:hAnsi="Times New Roman;serif"/>
          <w:b w:val="false"/>
          <w:color w:val="000000"/>
          <w:sz w:val="20"/>
        </w:rPr>
        <w:t>During the six months ended June 30, 2026, there have been no material changes to the Company’s significant accounting policies as disclosed in Note 1–The Company and its Significant Accounting Policies in the notes to the consolidated financial statements in the Company’s Annual Report on Form 10-K for the year ended December 31, 2025.</w:t>
      </w:r>
    </w:p>
    <w:p>
      <w:pPr>
        <w:pStyle w:val="TextBody"/>
        <w:bidi w:val="0"/>
        <w:spacing w:lineRule="auto" w:line="288" w:before="0" w:after="180"/>
        <w:ind w:left="0" w:right="0" w:firstLine="360"/>
        <w:jc w:val="both"/>
        <w:rPr/>
      </w:pPr>
      <w:r>
        <w:rPr>
          <w:rFonts w:ascii="Times New Roman;serif" w:hAnsi="Times New Roman;serif"/>
          <w:b/>
          <w:color w:val="000000"/>
          <w:sz w:val="20"/>
        </w:rPr>
        <w:t>Recently Adopted Accounting Pronouncement</w:t>
      </w:r>
      <w:r>
        <w:rPr>
          <w:color w:val="000000"/>
        </w:rPr>
        <w:t>—</w:t>
      </w:r>
      <w:r>
        <w:rPr>
          <w:rFonts w:ascii="Times New Roman;serif" w:hAnsi="Times New Roman;serif"/>
          <w:b w:val="false"/>
          <w:color w:val="000000"/>
          <w:sz w:val="20"/>
        </w:rPr>
        <w:t xml:space="preserve">In July 2025, the Financial Accounting Standards Board issued Accounting Standards Update (ASU) No.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which provides a practical expedient related to the estimation of expected credit losses for current accounts receivable and current contract assets that arise from transactions accounted for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practical expedient allows an entity to assume that current conditions as of the balance sheet date do not change for the remaining life of the asset. The Company adopted the provisions of ASU 2025-05 as of January 1, 2026, and such adoption did not have an impact on the Company’s financial condition and results of operations within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three months ended March 31, 2026, the Company presents revenue disaggregated by user groups: Consumer and SMB. This presentation is consistent with recent changes in how management evaluates the Company’s financial and business performance, including the information currently reviewed by the Company’s chief operating decision maker. Consumer revenue includes revenue from financial products and services intended for individual consumers, including insurance, credit cards, loans, bank accounts and other products and services. Consumer revenue includes the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the Company’s revenue based on user group:</w:t>
      </w:r>
    </w:p>
    <w:tbl>
      <w:tblPr>
        <w:tblW w:w="6507" w:type="dxa"/>
        <w:jc w:val="left"/>
        <w:tblInd w:w="0" w:type="dxa"/>
        <w:tblLayout w:type="fixed"/>
        <w:tblCellMar>
          <w:top w:w="28" w:type="dxa"/>
          <w:left w:w="28" w:type="dxa"/>
          <w:bottom w:w="28" w:type="dxa"/>
          <w:right w:w="28" w:type="dxa"/>
        </w:tblCellMar>
      </w:tblPr>
      <w:tblGrid>
        <w:gridCol w:w="488"/>
        <w:gridCol w:w="429"/>
        <w:gridCol w:w="433"/>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 asset recorded within prepaid expenses and other current assets on the condensed consolidated balance sheet related to estimated variable consideration was $6.4 million and $3.5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assets that are measured at fair value on a recurring basis, by level, within the fair value hierarchy are summarized as follows:</w:t>
      </w:r>
    </w:p>
    <w:tbl>
      <w:tblPr>
        <w:tblW w:w="9461" w:type="dxa"/>
        <w:jc w:val="left"/>
        <w:tblInd w:w="0" w:type="dxa"/>
        <w:tblLayout w:type="fixed"/>
        <w:tblCellMar>
          <w:top w:w="28" w:type="dxa"/>
          <w:left w:w="28" w:type="dxa"/>
          <w:bottom w:w="28" w:type="dxa"/>
          <w:right w:w="28" w:type="dxa"/>
        </w:tblCellMar>
      </w:tblPr>
      <w:tblGrid>
        <w:gridCol w:w="1487"/>
        <w:gridCol w:w="1305"/>
        <w:gridCol w:w="1318"/>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67.0</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4.Significant Condensed Consolidated Balance Sheet Components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made a strategic investment of $2.0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 and any related gains or losses would be included in other gains (losses), net on the Company’s condensed consolidated statements of operations. Equity investments without readily determinable fair values were $2.0 million as of June 30, 2026, and there were no related changes in carrying amount or impairment during the six months ended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includes capitalized software development costs, net of accumulated amortization, of $27.2 million and $29.7 million as of June 30, 2026 and December 31, 2025, respectively. The Company capitalized $4.0 million and $8.5 million of software development costs during the three and six months ended June 30, 2026, respectively, and $4.7 million and $9.8 million during the three and six months ended June 30, 2025, respectively. The Company recorded amortization expense related to capitalized software development costs of $5.3 million and $11.0 million, respectively, during the three and six months ended June 30, 2026 and $8.9 million and $17.7 million during the three and six months ended June 30, 2025, respectively.</w:t>
      </w:r>
    </w:p>
    <w:p>
      <w:pPr>
        <w:pStyle w:val="TextBody"/>
        <w:bidi w:val="0"/>
        <w:spacing w:lineRule="auto" w:line="288" w:before="0" w:after="180"/>
        <w:ind w:left="0" w:right="0" w:firstLine="360"/>
        <w:jc w:val="both"/>
        <w:rPr/>
      </w:pPr>
      <w:r>
        <w:rPr>
          <w:rFonts w:ascii="Times New Roman;serif" w:hAnsi="Times New Roman;serif"/>
          <w:b w:val="false"/>
          <w:color w:val="000000"/>
          <w:sz w:val="20"/>
        </w:rPr>
        <w:t>Accrued expenses and other current liabilities includes unbilled accounts payable of $47.4 million and $46.9 million, short</w:t>
      </w:r>
      <w:r>
        <w:rPr>
          <w:color w:val="000000"/>
        </w:rPr>
        <w:noBreakHyphen/>
      </w:r>
      <w:r>
        <w:rPr>
          <w:rFonts w:ascii="Times New Roman;serif" w:hAnsi="Times New Roman;serif"/>
          <w:b w:val="false"/>
          <w:color w:val="000000"/>
          <w:sz w:val="20"/>
        </w:rPr>
        <w:t>term borrowings under a warehouse line of credit of $5.1 million and $6.9 million, and operating lease liabilities of $2.0 million and $1.9 million, as of June 30, 2026 and December 31,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liabilities—noncurrent includes operating lease liabilities of $5.1 million and $6.1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5.Business Combination</w:t>
      </w:r>
    </w:p>
    <w:p>
      <w:pPr>
        <w:pStyle w:val="TextBody"/>
        <w:bidi w:val="0"/>
        <w:spacing w:lineRule="auto" w:line="288" w:before="0" w:after="180"/>
        <w:ind w:left="0" w:right="0" w:firstLine="360"/>
        <w:jc w:val="both"/>
        <w:rPr/>
      </w:pPr>
      <w:r>
        <w:rPr>
          <w:rFonts w:ascii="Times New Roman;serif" w:hAnsi="Times New Roman;serif"/>
          <w:b/>
          <w:color w:val="000000"/>
          <w:sz w:val="20"/>
        </w:rPr>
        <w:t>Acquisition of College Finance Company, LLC.—</w:t>
      </w:r>
      <w:r>
        <w:rPr>
          <w:rFonts w:ascii="Times New Roman;serif" w:hAnsi="Times New Roman;serif"/>
          <w:b w:val="false"/>
          <w:color w:val="000000"/>
          <w:sz w:val="20"/>
        </w:rPr>
        <w:t>On February 20, 2026, the Company entered into a Membership Interest Purchase Agreement with inspHIRE IO Corp., d/b/a Candidly, pursuant to which the Company acquired 100% of the outstanding membership interests of College Finance Company, LLC (College Finance), which operates a student loan marketplace to connect borrowers with lenders. The preliminary purchase consideration for this acquisition was $17.2 million in cash which was paid during the six months ended June 30, 2026, including $1.5 million which was placed into escrow to secure potential post-closing indemnification rights.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assets acquired totaled $7.7 million, and was primarily comprised of $1.1 million of cash and cash equivalents, and $5.0 million in intangible assets. The intangible assets acquired were comprised of $3.6 million for developed technology and $1.4 million for a trade name, each with a three-year estimated useful life. The fair value of liabilities assumed totaled $3.4 million, and was primarily comprised of $3.2 million in accounts payable. Additionally, the Company recorded $12.9 million of goodwill, which is primarily attributable to synergies from combining the operations of the Company and College Finance, as well as the value ascribed to the knowledge and experience of the continuing key employees. For income tax purposes, the acquisition is an asset purchase and goodwill is tax deductible.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this acquisition, the Company’s Board of Directors granted restricted stock units (RSUs) with an aggregate grant-date fair value of $3.1 million to certain continuing key employees of College Finance. The RSUs generally vest over four years subject to a one-year cliff and quarterly vesting thereafter, with vesting generally subject to the grantees’ continued employment with the Company. The fair value of these RSUs is recognized as stock-based compensation expense ratably over the respective vesting terms of the RSUs. The fair value of these RSUs is excluded from the purchase consideration and accounted for separately from the business combination.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of $1.1 million were incurred during the six months ended June 30, 2026, and are included in general and administrative expense on the condensed consolidated statements of operations.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contributions from this acquisition following the closing date through June 30, 2026 were not material to the Company’s revenue and operating income for the three and six months ended June 30, 2026. Pro forma results of operations have not been provided to reflect this acquisition as such results would not have been materially different from the Company’s reported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6.Commitments and Contingencies</w:t>
      </w:r>
    </w:p>
    <w:p>
      <w:pPr>
        <w:pStyle w:val="TextBody"/>
        <w:bidi w:val="0"/>
        <w:spacing w:lineRule="auto" w:line="288" w:before="0" w:after="180"/>
        <w:ind w:left="0" w:right="0" w:firstLine="360"/>
        <w:jc w:val="both"/>
        <w:rPr/>
      </w:pPr>
      <w:r>
        <w:rPr>
          <w:rFonts w:ascii="Times New Roman;serif" w:hAnsi="Times New Roman;serif"/>
          <w:b/>
          <w:color w:val="000000"/>
          <w:sz w:val="20"/>
        </w:rPr>
        <w:t>Commitments and Other Financial Arrangements</w:t>
      </w:r>
      <w:r>
        <w:rPr>
          <w:color w:val="000000"/>
        </w:rPr>
        <w:t>—</w:t>
      </w:r>
      <w:r>
        <w:rPr>
          <w:rFonts w:ascii="Times New Roman;serif" w:hAnsi="Times New Roman;serif"/>
          <w:b w:val="false"/>
          <w:color w:val="000000"/>
          <w:sz w:val="20"/>
        </w:rPr>
        <w:t xml:space="preserve">The Company has certain financial commitments and other arrangements including unused letters of credit, commitments under leases, and an outstanding warehouse line of credit. As of June 30, 2026, there were no material changes to the Company’s commitments and other financial arrangements as disclosed in Note 8–Commitments and Contingencies in the notes to the consolidated financial statements in the Company’s Annual Report on Form 10-K for the year ended December 31, 2025. </w:t>
      </w:r>
    </w:p>
    <w:p>
      <w:pPr>
        <w:pStyle w:val="TextBody"/>
        <w:bidi w:val="0"/>
        <w:spacing w:lineRule="auto" w:line="288" w:before="0" w:after="180"/>
        <w:ind w:left="0" w:right="0" w:firstLine="360"/>
        <w:jc w:val="both"/>
        <w:rPr/>
      </w:pPr>
      <w:r>
        <w:rPr>
          <w:rFonts w:ascii="Times New Roman;serif" w:hAnsi="Times New Roman;serif"/>
          <w:b/>
          <w:color w:val="000000"/>
          <w:sz w:val="20"/>
        </w:rPr>
        <w:t>Litigation and Other Legal Matters</w:t>
      </w:r>
      <w:r>
        <w:rPr>
          <w:color w:val="000000"/>
        </w:rPr>
        <w:t>—</w:t>
      </w:r>
      <w:r>
        <w:rPr>
          <w:rFonts w:ascii="Times New Roman;serif" w:hAnsi="Times New Roman;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7.Stockholders’ Equity</w:t>
      </w:r>
    </w:p>
    <w:p>
      <w:pPr>
        <w:pStyle w:val="TextBody"/>
        <w:bidi w:val="0"/>
        <w:spacing w:lineRule="auto" w:line="288" w:before="0" w:after="180"/>
        <w:ind w:left="0" w:right="0" w:firstLine="360"/>
        <w:jc w:val="both"/>
        <w:rPr/>
      </w:pPr>
      <w:r>
        <w:rPr>
          <w:rFonts w:ascii="Times New Roman;serif" w:hAnsi="Times New Roman;serif"/>
          <w:b/>
          <w:color w:val="000000"/>
          <w:sz w:val="20"/>
        </w:rPr>
        <w:t>Share Repurchase Program</w:t>
      </w:r>
      <w:r>
        <w:rPr>
          <w:color w:val="000000"/>
        </w:rPr>
        <w:t>—</w:t>
      </w:r>
      <w:r>
        <w:rPr>
          <w:rFonts w:ascii="Times New Roman;serif" w:hAnsi="Times New Roman;serif"/>
          <w:b w:val="false"/>
          <w:color w:val="000000"/>
          <w:sz w:val="20"/>
        </w:rPr>
        <w:t xml:space="preserve">The Company maintains a share repurchase program under which the Company may purchase shares of its Class A common stock (the Repurchase Program), originally authorized by its Board of Directors in May 2023 and subsequently increased through additional authorizations from time to time. In February 2026, the Company’s Board of Directors approved an increase of $100.0 million to the amount authorized for repurchases under the Repurchase Program.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repurchased 2.8 million and 8.7 million shares of Class A common stock for $23.0 million and $89.2 million during the three and six months ended June 30, 2026, respectively, and did not repurchase any shares during the six months ended June 30, 2025. Additionally, the Company paid $0.4 million of excise taxes during the six months ended June 30, 2026 which related to previous share repurchases. The remaining share repurchase authorization under the Repurchase Program is $67.0 million as of June 30, 2026.</w:t>
      </w:r>
    </w:p>
    <w:p>
      <w:pPr>
        <w:pStyle w:val="TextBody"/>
        <w:bidi w:val="0"/>
        <w:spacing w:lineRule="auto" w:line="288" w:before="0" w:after="180"/>
        <w:ind w:left="0" w:right="0" w:firstLine="360"/>
        <w:jc w:val="both"/>
        <w:rPr/>
      </w:pPr>
      <w:r>
        <w:rPr>
          <w:rFonts w:ascii="Times New Roman;serif" w:hAnsi="Times New Roman;serif"/>
          <w:b/>
          <w:color w:val="000000"/>
          <w:sz w:val="20"/>
        </w:rPr>
        <w:t>Equity Incentive Plans</w:t>
      </w:r>
      <w:r>
        <w:rPr>
          <w:color w:val="000000"/>
        </w:rPr>
        <w:t>—</w:t>
      </w:r>
      <w:r>
        <w:rPr>
          <w:rFonts w:ascii="Times New Roman;serif" w:hAnsi="Times New Roman;serif"/>
          <w:b w:val="false"/>
          <w:color w:val="000000"/>
          <w:sz w:val="20"/>
        </w:rPr>
        <w:t>The 2021 Equity Incentive Plan and the predecessor 2012 Equity Incentive Plan, both as amended, along with the 2022 Inducement Equity Incentive Plan (collectively, the Plans) comprise the equity incentive plans of the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3.6 million shares effective January 1, 2026.</w:t>
      </w:r>
    </w:p>
    <w:p>
      <w:pPr>
        <w:pStyle w:val="TextBody"/>
        <w:bidi w:val="0"/>
        <w:spacing w:lineRule="auto" w:line="288" w:before="0" w:after="120"/>
        <w:ind w:left="0" w:right="0" w:firstLine="360"/>
        <w:jc w:val="both"/>
        <w:rPr/>
      </w:pPr>
      <w:r>
        <w:rPr>
          <w:rFonts w:ascii="Times New Roman;serif" w:hAnsi="Times New Roman;serif"/>
          <w:b/>
          <w:color w:val="000000"/>
          <w:sz w:val="20"/>
        </w:rPr>
        <w:t>Stock Options</w:t>
      </w:r>
      <w:r>
        <w:rPr>
          <w:color w:val="000000"/>
        </w:rPr>
        <w:t>—</w:t>
      </w:r>
      <w:r>
        <w:rPr>
          <w:rFonts w:ascii="Times New Roman;serif" w:hAnsi="Times New Roman;serif"/>
          <w:b w:val="false"/>
          <w:color w:val="000000"/>
          <w:sz w:val="20"/>
        </w:rPr>
        <w:t>A summary of the Company’s stock option activity for its Plans is as follows:</w:t>
      </w:r>
    </w:p>
    <w:tbl>
      <w:tblPr>
        <w:tblW w:w="10205" w:type="dxa"/>
        <w:jc w:val="left"/>
        <w:tblInd w:w="0" w:type="dxa"/>
        <w:tblLayout w:type="fixed"/>
        <w:tblCellMar>
          <w:top w:w="28" w:type="dxa"/>
          <w:left w:w="28" w:type="dxa"/>
          <w:bottom w:w="28" w:type="dxa"/>
          <w:right w:w="28" w:type="dxa"/>
        </w:tblCellMar>
      </w:tblPr>
      <w:tblGrid>
        <w:gridCol w:w="1312"/>
        <w:gridCol w:w="1153"/>
        <w:gridCol w:w="1156"/>
        <w:gridCol w:w="109"/>
        <w:gridCol w:w="109"/>
        <w:gridCol w:w="109"/>
        <w:gridCol w:w="373"/>
        <w:gridCol w:w="373"/>
        <w:gridCol w:w="375"/>
        <w:gridCol w:w="109"/>
        <w:gridCol w:w="109"/>
        <w:gridCol w:w="109"/>
        <w:gridCol w:w="331"/>
        <w:gridCol w:w="968"/>
        <w:gridCol w:w="172"/>
        <w:gridCol w:w="109"/>
        <w:gridCol w:w="109"/>
        <w:gridCol w:w="109"/>
        <w:gridCol w:w="490"/>
        <w:gridCol w:w="490"/>
        <w:gridCol w:w="491"/>
        <w:gridCol w:w="109"/>
        <w:gridCol w:w="109"/>
        <w:gridCol w:w="109"/>
        <w:gridCol w:w="290"/>
        <w:gridCol w:w="705"/>
        <w:gridCol w:w="218"/>
      </w:tblGrid>
      <w:tr>
        <w:trPr/>
        <w:tc>
          <w:tcPr>
            <w:tcW w:w="131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Options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Contractual Life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Intrinsic Value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December 31,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June 30,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Vested and exercisable as of June 30, 2026</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0.2 million of stock options with both service-based and performance-based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was $5.99 per share. The aggregate intrinsic value of options exercised was $0.5 million for the six months ended June 30, 2026.</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per-share fair value of each stock option granted was determined on the date of grant using the following weighted-average assumptions:</w:t>
      </w:r>
    </w:p>
    <w:tbl>
      <w:tblPr>
        <w:tblW w:w="4327"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233"/>
        <w:gridCol w:w="233"/>
        <w:gridCol w:w="292"/>
        <w:gridCol w:w="117"/>
        <w:gridCol w:w="117"/>
        <w:gridCol w:w="117"/>
        <w:gridCol w:w="233"/>
        <w:gridCol w:w="233"/>
        <w:gridCol w:w="340"/>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pPr>
      <w:r>
        <w:rPr>
          <w:rFonts w:ascii="Times New Roman;serif" w:hAnsi="Times New Roman;serif"/>
          <w:b/>
          <w:color w:val="000000"/>
          <w:sz w:val="20"/>
        </w:rPr>
        <w:t>Restricted Stock Units</w:t>
      </w:r>
      <w:r>
        <w:rPr>
          <w:color w:val="000000"/>
        </w:rPr>
        <w:t>—</w:t>
      </w:r>
      <w:r>
        <w:rPr>
          <w:rFonts w:ascii="Times New Roman;serif" w:hAnsi="Times New Roman;serif"/>
          <w:b w:val="false"/>
          <w:color w:val="000000"/>
          <w:sz w:val="20"/>
        </w:rPr>
        <w:t>A summary of the Company’s outstanding nonvested RSUs for its Plans is as follows:</w:t>
      </w:r>
    </w:p>
    <w:tbl>
      <w:tblPr>
        <w:tblW w:w="6579" w:type="dxa"/>
        <w:jc w:val="left"/>
        <w:tblInd w:w="0" w:type="dxa"/>
        <w:tblLayout w:type="fixed"/>
        <w:tblCellMar>
          <w:top w:w="28" w:type="dxa"/>
          <w:left w:w="28" w:type="dxa"/>
          <w:bottom w:w="28" w:type="dxa"/>
          <w:right w:w="28" w:type="dxa"/>
        </w:tblCellMar>
      </w:tblPr>
      <w:tblGrid>
        <w:gridCol w:w="1125"/>
        <w:gridCol w:w="989"/>
        <w:gridCol w:w="991"/>
        <w:gridCol w:w="109"/>
        <w:gridCol w:w="109"/>
        <w:gridCol w:w="109"/>
        <w:gridCol w:w="434"/>
        <w:gridCol w:w="434"/>
        <w:gridCol w:w="436"/>
        <w:gridCol w:w="109"/>
        <w:gridCol w:w="109"/>
        <w:gridCol w:w="109"/>
        <w:gridCol w:w="326"/>
        <w:gridCol w:w="951"/>
        <w:gridCol w:w="239"/>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Units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w:t>
              <w:br/>
              <w:t>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Nonvested as of December 31,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Forfeited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less than 0.1 million of RSUs with both service-based and performance-based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fair value of shares that vested under RSUs was $10.9 million during the six months ended June 30, 2026.</w:t>
      </w:r>
    </w:p>
    <w:p>
      <w:pPr>
        <w:pStyle w:val="TextBody"/>
        <w:bidi w:val="0"/>
        <w:spacing w:lineRule="auto" w:line="288" w:before="0" w:after="180"/>
        <w:ind w:left="0" w:right="0" w:firstLine="360"/>
        <w:jc w:val="both"/>
        <w:rPr/>
      </w:pPr>
      <w:r>
        <w:rPr>
          <w:rFonts w:ascii="Times New Roman;serif" w:hAnsi="Times New Roman;serif"/>
          <w:b/>
          <w:color w:val="000000"/>
          <w:sz w:val="20"/>
        </w:rPr>
        <w:t>Employee Stock Purchase Plan</w:t>
      </w:r>
      <w:r>
        <w:rPr>
          <w:color w:val="000000"/>
        </w:rPr>
        <w:t>—</w:t>
      </w:r>
      <w:r>
        <w:rPr>
          <w:rFonts w:ascii="Times New Roman;serif" w:hAnsi="Times New Roman;serif"/>
          <w:b w:val="false"/>
          <w:color w:val="000000"/>
          <w:sz w:val="20"/>
        </w:rPr>
        <w:t>The terms of the Employee Stock Purchase Plan (ESPP) provide for automatic increases in the number of shares 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2026. Prior to capitalizing amounts related to software development costs, the Company recognized stock-based compensation related to the ESPP of $0.2 million and $0.4 million, during the three and six months ended June 30, 2026, respectively, and $0.2 million and $0.5 million during the three and six months ended June 30, 2025, respectively.</w:t>
      </w:r>
    </w:p>
    <w:p>
      <w:pPr>
        <w:pStyle w:val="TextBody"/>
        <w:bidi w:val="0"/>
        <w:spacing w:lineRule="auto" w:line="288" w:before="0" w:after="120"/>
        <w:ind w:left="0" w:right="0" w:firstLine="360"/>
        <w:jc w:val="both"/>
        <w:rPr/>
      </w:pPr>
      <w:r>
        <w:rPr>
          <w:rFonts w:ascii="Times New Roman;serif" w:hAnsi="Times New Roman;serif"/>
          <w:b/>
          <w:color w:val="000000"/>
          <w:sz w:val="20"/>
        </w:rPr>
        <w:t>Stock-Based Compensation</w:t>
      </w:r>
      <w:r>
        <w:rPr>
          <w:color w:val="000000"/>
        </w:rPr>
        <w:t>—</w:t>
      </w:r>
      <w:r>
        <w:rPr>
          <w:rFonts w:ascii="Times New Roman;serif" w:hAnsi="Times New Roman;serif"/>
          <w:b w:val="false"/>
          <w:color w:val="000000"/>
          <w:sz w:val="20"/>
        </w:rPr>
        <w:t>The Company recognized stock-based compensation under the Plans and ESPP as follows:</w:t>
      </w:r>
    </w:p>
    <w:tbl>
      <w:tblPr>
        <w:tblW w:w="7422" w:type="dxa"/>
        <w:jc w:val="left"/>
        <w:tblInd w:w="0" w:type="dxa"/>
        <w:tblLayout w:type="fixed"/>
        <w:tblCellMar>
          <w:top w:w="28" w:type="dxa"/>
          <w:left w:w="28" w:type="dxa"/>
          <w:bottom w:w="28" w:type="dxa"/>
          <w:right w:w="28" w:type="dxa"/>
        </w:tblCellMar>
      </w:tblPr>
      <w:tblGrid>
        <w:gridCol w:w="1044"/>
        <w:gridCol w:w="918"/>
        <w:gridCol w:w="933"/>
        <w:gridCol w:w="109"/>
        <w:gridCol w:w="109"/>
        <w:gridCol w:w="109"/>
        <w:gridCol w:w="211"/>
        <w:gridCol w:w="421"/>
        <w:gridCol w:w="109"/>
        <w:gridCol w:w="109"/>
        <w:gridCol w:w="109"/>
        <w:gridCol w:w="109"/>
        <w:gridCol w:w="211"/>
        <w:gridCol w:w="421"/>
        <w:gridCol w:w="109"/>
        <w:gridCol w:w="109"/>
        <w:gridCol w:w="109"/>
        <w:gridCol w:w="109"/>
        <w:gridCol w:w="211"/>
        <w:gridCol w:w="526"/>
        <w:gridCol w:w="109"/>
        <w:gridCol w:w="109"/>
        <w:gridCol w:w="109"/>
        <w:gridCol w:w="109"/>
        <w:gridCol w:w="211"/>
        <w:gridCol w:w="52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stock-based compensation capitalized related to software development costs was $0.5 million and $0.8 million during the three months ended June 30, 2026 and 2025, respectively, and $1.1 million and $1.6 million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8.Income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provisions for interim reporting periods during 2026 and 2025 were determined using an estimated annual effective tax rate which is adjusted for discrete items occurring during the periods presented. The Company’s effective tax rates for the three and six months ended June 30, 2026 differ from the U.S. federal statutory income tax rate of 21% primarily due to state taxes, stock-based compensation and interest on uncertain tax positions. The primary difference between the Company’s effective tax rates and the U.S. federal statutory income tax rates for the three and six months ended June 30, 2025 was due to discrete items related to stock-based compensation and uncertain tax positions, partially offset by research and development credits. The Company maintains a valuation allowance on its California deferred tax assets, which consist primarily of tax credits, as of June 30, 2026. The Company’s judgment regarding the likelihood of realization of these deferred tax assets could change in future periods, which could result in a material impact to the Company’s income tax provision in the period of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9.Net Income per Basic and Diluted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basic and diluted per share computations for net income attributable to common stockholders:</w:t>
      </w:r>
    </w:p>
    <w:tbl>
      <w:tblPr>
        <w:tblW w:w="10205" w:type="dxa"/>
        <w:jc w:val="left"/>
        <w:tblInd w:w="0" w:type="dxa"/>
        <w:tblLayout w:type="fixed"/>
        <w:tblCellMar>
          <w:top w:w="28" w:type="dxa"/>
          <w:left w:w="28" w:type="dxa"/>
          <w:bottom w:w="28" w:type="dxa"/>
          <w:right w:w="28" w:type="dxa"/>
        </w:tblCellMar>
      </w:tblPr>
      <w:tblGrid>
        <w:gridCol w:w="2012"/>
        <w:gridCol w:w="1754"/>
        <w:gridCol w:w="1761"/>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5"/>
      </w:tblGrid>
      <w:tr>
        <w:trPr/>
        <w:tc>
          <w:tcPr>
            <w:tcW w:w="201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dilutive RSUs, stock options and ESPP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computation of diluted net income per share because including them would have been antidilutive:</w:t>
      </w:r>
    </w:p>
    <w:tbl>
      <w:tblPr>
        <w:tblW w:w="8489" w:type="dxa"/>
        <w:jc w:val="left"/>
        <w:tblInd w:w="0" w:type="dxa"/>
        <w:tblLayout w:type="fixed"/>
        <w:tblCellMar>
          <w:top w:w="28" w:type="dxa"/>
          <w:left w:w="28" w:type="dxa"/>
          <w:bottom w:w="28" w:type="dxa"/>
          <w:right w:w="28" w:type="dxa"/>
        </w:tblCellMar>
      </w:tblPr>
      <w:tblGrid>
        <w:gridCol w:w="1621"/>
        <w:gridCol w:w="1425"/>
        <w:gridCol w:w="1439"/>
        <w:gridCol w:w="109"/>
        <w:gridCol w:w="109"/>
        <w:gridCol w:w="109"/>
        <w:gridCol w:w="203"/>
        <w:gridCol w:w="203"/>
        <w:gridCol w:w="178"/>
        <w:gridCol w:w="178"/>
        <w:gridCol w:w="178"/>
        <w:gridCol w:w="178"/>
        <w:gridCol w:w="203"/>
        <w:gridCol w:w="203"/>
        <w:gridCol w:w="178"/>
        <w:gridCol w:w="109"/>
        <w:gridCol w:w="109"/>
        <w:gridCol w:w="109"/>
        <w:gridCol w:w="203"/>
        <w:gridCol w:w="203"/>
        <w:gridCol w:w="156"/>
        <w:gridCol w:w="154"/>
        <w:gridCol w:w="154"/>
        <w:gridCol w:w="154"/>
        <w:gridCol w:w="203"/>
        <w:gridCol w:w="203"/>
        <w:gridCol w:w="218"/>
      </w:tblGrid>
      <w:tr>
        <w:trPr/>
        <w:tc>
          <w:tcPr>
            <w:tcW w:w="16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NerdWallet, Inc. (NerdWallet, we, our, or us) provides consumers and small and mid-sized businesses (SMBs) with trusted guidance across a broad range of finance topics through a digital platform that integrates independent editorial content, comparison tools, data-driven product marketplaces, and access to regulated financial services offered through our subsidiaries. Our mission is to provide clarity for all of life’s financial decisions. Our vision is a world where everyone makes financial decisions with confidence.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enables users to compare financial products, access educational resources, receive personalized insights, and connect with third-party providers across credit cards, banking, insurance, lending, investing, wealth management, and other financial categories. We generate revenue primarily through referral fees, lead generation, and partner-based monetization, as well as through revenue derived from brokering and advisory services.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model is designed to be partner-neutral and to support transparent consumer and SMB choice by offering side-by-side comparisons and unbiased information supported by editorial standards.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we entered into a Membership Interest Purchase Agreement with inspHIRE IO Corp., d/b/a Candidly, pursuant to which we acquired 100% of the outstanding membership interests of College Finance Company, LLC, which operates a student loan marketplace to connect borrowers with lenders. The preliminary purchase consideration for this acquisition was $17.2 million in cash which was paid during the six months ended June 30, 2026, including $1.5 million which was placed into escrow to secure potential post-closing indemnification rights.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as part of our ongoing efforts to align our operations with our strategic priorities, we have ceased revenue-generating operations outside of North America. We do not expect this action to have a material impact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bidi w:val="0"/>
        <w:spacing w:lineRule="auto" w:line="288" w:before="0" w:after="180"/>
        <w:ind w:left="0" w:right="0" w:firstLine="360"/>
        <w:jc w:val="both"/>
        <w:rPr/>
      </w:pPr>
      <w:r>
        <w:rPr>
          <w:rFonts w:ascii="Times New Roman;serif" w:hAnsi="Times New Roman;serif"/>
          <w:b/>
          <w:i/>
          <w:color w:val="000000"/>
          <w:sz w:val="20"/>
        </w:rPr>
        <w:t>Non-GAAP operating income (loss):</w:t>
      </w:r>
      <w:r>
        <w:rPr>
          <w:color w:val="000000"/>
        </w:rPr>
        <w:t xml:space="preserve"> </w:t>
      </w:r>
      <w:r>
        <w:rPr>
          <w:rFonts w:ascii="Times New Roman;serif" w:hAnsi="Times New Roman;serif"/>
          <w:b w:val="false"/>
          <w:color w:val="000000"/>
          <w:sz w:val="20"/>
        </w:rPr>
        <w:t>We define non-GAAP operating income (loss) as income (loss) from operations adjusted to exclude depreciation and amortization, and further exclude (1) losses (gains) on disposals of assets, (2) acquisition-related costs, and (3) restructuring charges. We also reduce income from operations, or increase loss from operations, for capitalized internally developed software costs.</w:t>
      </w:r>
    </w:p>
    <w:p>
      <w:pPr>
        <w:pStyle w:val="TextBody"/>
        <w:bidi w:val="0"/>
        <w:spacing w:lineRule="auto" w:line="288" w:before="0" w:after="180"/>
        <w:ind w:left="0" w:right="0" w:firstLine="360"/>
        <w:jc w:val="both"/>
        <w:rPr/>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color w:val="000000"/>
          <w:sz w:val="20"/>
        </w:rPr>
        <w:t xml:space="preserve">We define adjusted EBITDA as net income (loss) from continuing operations adjusted to exclude depreciation and amortization, interest income (expense), net, other gains (losses), net, and provision (benefit) for income taxes, and further exclude (1) losses (gains) on disposals of assets, (2) stock-based compensation, (3) acquisition-related costs, and (4) restructuring charges.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recurring, non-cash charges, such as amortization of software, depreciation of property and equipment, amortization of intangible assets,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acquisition-related costs, including acquisition-related retention compensation under compensatory retention agreements with certain key employees, and acquisition-related transaction expenses;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 implemented in 2024;</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financial measures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results of operations for the periods presented. The following discussion should be read in conjunction with the condensed consolidated financial statements and related notes included elsewhere in this Quarterly Report on Form 10-Q. </w:t>
      </w:r>
    </w:p>
    <w:tbl>
      <w:tblPr>
        <w:tblW w:w="7541" w:type="dxa"/>
        <w:jc w:val="left"/>
        <w:tblInd w:w="0" w:type="dxa"/>
        <w:tblLayout w:type="fixed"/>
        <w:tblCellMar>
          <w:top w:w="28" w:type="dxa"/>
          <w:left w:w="28" w:type="dxa"/>
          <w:bottom w:w="28" w:type="dxa"/>
          <w:right w:w="28" w:type="dxa"/>
        </w:tblCellMar>
      </w:tblPr>
      <w:tblGrid>
        <w:gridCol w:w="862"/>
        <w:gridCol w:w="757"/>
        <w:gridCol w:w="76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as follows:</w:t>
      </w:r>
    </w:p>
    <w:tbl>
      <w:tblPr>
        <w:tblW w:w="6596" w:type="dxa"/>
        <w:jc w:val="left"/>
        <w:tblInd w:w="0" w:type="dxa"/>
        <w:tblLayout w:type="fixed"/>
        <w:tblCellMar>
          <w:top w:w="28" w:type="dxa"/>
          <w:left w:w="28" w:type="dxa"/>
          <w:bottom w:w="28" w:type="dxa"/>
          <w:right w:w="28" w:type="dxa"/>
        </w:tblCellMar>
      </w:tblPr>
      <w:tblGrid>
        <w:gridCol w:w="845"/>
        <w:gridCol w:w="742"/>
        <w:gridCol w:w="752"/>
        <w:gridCol w:w="109"/>
        <w:gridCol w:w="109"/>
        <w:gridCol w:w="109"/>
        <w:gridCol w:w="196"/>
        <w:gridCol w:w="37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condensed consolidated statements of operations as a percentage of revenue:</w:t>
      </w:r>
    </w:p>
    <w:tbl>
      <w:tblPr>
        <w:tblW w:w="6773" w:type="dxa"/>
        <w:jc w:val="left"/>
        <w:tblInd w:w="0" w:type="dxa"/>
        <w:tblLayout w:type="fixed"/>
        <w:tblCellMar>
          <w:top w:w="28" w:type="dxa"/>
          <w:left w:w="28" w:type="dxa"/>
          <w:bottom w:w="28" w:type="dxa"/>
          <w:right w:w="28" w:type="dxa"/>
        </w:tblCellMar>
      </w:tblPr>
      <w:tblGrid>
        <w:gridCol w:w="861"/>
        <w:gridCol w:w="759"/>
        <w:gridCol w:w="764"/>
        <w:gridCol w:w="109"/>
        <w:gridCol w:w="109"/>
        <w:gridCol w:w="109"/>
        <w:gridCol w:w="210"/>
        <w:gridCol w:w="211"/>
        <w:gridCol w:w="333"/>
        <w:gridCol w:w="134"/>
        <w:gridCol w:w="134"/>
        <w:gridCol w:w="134"/>
        <w:gridCol w:w="210"/>
        <w:gridCol w:w="211"/>
        <w:gridCol w:w="333"/>
        <w:gridCol w:w="109"/>
        <w:gridCol w:w="109"/>
        <w:gridCol w:w="109"/>
        <w:gridCol w:w="210"/>
        <w:gridCol w:w="211"/>
        <w:gridCol w:w="292"/>
        <w:gridCol w:w="117"/>
        <w:gridCol w:w="117"/>
        <w:gridCol w:w="117"/>
        <w:gridCol w:w="210"/>
        <w:gridCol w:w="211"/>
        <w:gridCol w:w="340"/>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from operations decreased $3.7 million, or 35%, for the three months ended June 30, 2026, and increased $22.8 million, or 200%, for the six months ended June 30, 2026, compared to the three and six months ended June 30, 2025, as revenue increased $10.4 million and $23.4 million, respectively, while operating expenses increased $14.1 million and $0.6 million, respectively, primarily attributable to increases of $17.4 million and $6.8 million in sales and marketing expenses, respectively, as well as a $2.0 million increase in general and administrative expenses for the six months ended June 30, 2026, partially offset by decreases of $3.2 million and $7.8 million in cost of revenues,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decreased $3.9 million, or 48%, for the three months ended June 30, 2026, and increased $16.3 million, or 195%, for the six months ended June 30, 2026, compared to the three and six months ended June 30, 2025, primarily driven by a $3.7 million decrease in income operations for the three months ended June 30, 2026 and a $22.8 million increase in income from operations for the six months ended June 30, 2026, partially offset by a $6.2 million increase in income tax provision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three months ended March 31, 2026, we present revenue disaggregated by our user groups: Consumer and SMB. This presentation is consistent with recent changes in how management evaluates our financial and business performance, including the information currently reviewed by our chief operating decision maker. Consumer revenue includes revenue from financial products and services intended for individual consumers, including insurance, credit cards, loans, banking and other products and services. Consumer revenue includes our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our revenue based on user group:</w:t>
      </w:r>
    </w:p>
    <w:tbl>
      <w:tblPr>
        <w:tblW w:w="10457" w:type="dxa"/>
        <w:jc w:val="left"/>
        <w:tblInd w:w="0" w:type="dxa"/>
        <w:tblLayout w:type="fixed"/>
        <w:tblCellMar>
          <w:top w:w="28" w:type="dxa"/>
          <w:left w:w="28" w:type="dxa"/>
          <w:bottom w:w="28" w:type="dxa"/>
          <w:right w:w="28" w:type="dxa"/>
        </w:tblCellMar>
      </w:tblPr>
      <w:tblGrid>
        <w:gridCol w:w="347"/>
        <w:gridCol w:w="305"/>
        <w:gridCol w:w="294"/>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88"/>
        <w:gridCol w:w="188"/>
        <w:gridCol w:w="301"/>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88"/>
        <w:gridCol w:w="188"/>
        <w:gridCol w:w="346"/>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increased $10.4 million, or 6%, and $23.4 million, or 6%, for the three and six months ended June 30, 2026 compared to the three and six months ended June 30, 2025, respectively, as growth in Consumer revenue was partially offset by lower SMB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Consumer revenue increased $13.3 million, or 8%, and $30.6 million, or 9%, for the three and six months ended June 30, 2026 compared to the three and six months ended June 30, 2025, respectively, primarily driven by increases of $9.6 million and $30.5 million from deposit accounts, respectively, as partners expanded budgets, and $12.3 million and $25.0 million from personal loans, respectively, as we expanded our marketplace offerings to serve a broader range of borrowers, partially offset by decreases of $8.6 million and $21.1 million from consumer credit cards, respectively, primarily due to continued pressures in organic search traffic that have persisted for multiple quarters.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SMB revenue decreased $2.9 million, or 11%, and $7.2 million, or 13%, for the three and six months ended June 30, 2026 compared to the three and six months ended June 30, 2025, respectively, primarily due to continued pressures in organic search traffic, partially offset by increases in business loan originations.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Costs and Expenses</w:t>
      </w:r>
      <w:r>
        <w:rPr>
          <w:color w:val="000000"/>
        </w:rPr>
        <w:t xml:space="preserve"> </w:t>
      </w:r>
    </w:p>
    <w:tbl>
      <w:tblPr>
        <w:tblW w:w="10697" w:type="dxa"/>
        <w:jc w:val="left"/>
        <w:tblInd w:w="0" w:type="dxa"/>
        <w:tblLayout w:type="fixed"/>
        <w:tblCellMar>
          <w:top w:w="28" w:type="dxa"/>
          <w:left w:w="28" w:type="dxa"/>
          <w:bottom w:w="28" w:type="dxa"/>
          <w:right w:w="28" w:type="dxa"/>
        </w:tblCellMar>
      </w:tblPr>
      <w:tblGrid>
        <w:gridCol w:w="609"/>
        <w:gridCol w:w="443"/>
        <w:gridCol w:w="239"/>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88"/>
        <w:gridCol w:w="188"/>
        <w:gridCol w:w="301"/>
        <w:gridCol w:w="109"/>
        <w:gridCol w:w="109"/>
        <w:gridCol w:w="109"/>
        <w:gridCol w:w="211"/>
        <w:gridCol w:w="631"/>
        <w:gridCol w:w="109"/>
        <w:gridCol w:w="109"/>
        <w:gridCol w:w="109"/>
        <w:gridCol w:w="109"/>
        <w:gridCol w:w="211"/>
        <w:gridCol w:w="631"/>
        <w:gridCol w:w="109"/>
        <w:gridCol w:w="109"/>
        <w:gridCol w:w="109"/>
        <w:gridCol w:w="109"/>
        <w:gridCol w:w="211"/>
        <w:gridCol w:w="421"/>
        <w:gridCol w:w="109"/>
        <w:gridCol w:w="109"/>
        <w:gridCol w:w="109"/>
        <w:gridCol w:w="109"/>
        <w:gridCol w:w="188"/>
        <w:gridCol w:w="188"/>
        <w:gridCol w:w="346"/>
      </w:tblGrid>
      <w:tr>
        <w:trPr/>
        <w:tc>
          <w:tcPr>
            <w:tcW w:w="6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decreased $3.2 million, or 19%, and $7.8 million, or 22%, for the three and six months ended June 30, 2026 compared to the three and six months ended June 30, 2025, respectively, primarily due to decreases of $3.5 million and $6.5 million, respectively, in amortization expense related to capitalized software development costs, as well as a $1.8 million decrease related to third-party service and data charges for the six months ended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sales and marketing expense, including as a percentage of total sales and marketing expense, are as follows:</w:t>
      </w:r>
    </w:p>
    <w:tbl>
      <w:tblPr>
        <w:tblW w:w="10479" w:type="dxa"/>
        <w:jc w:val="left"/>
        <w:tblInd w:w="0" w:type="dxa"/>
        <w:tblLayout w:type="fixed"/>
        <w:tblCellMar>
          <w:top w:w="28" w:type="dxa"/>
          <w:left w:w="28" w:type="dxa"/>
          <w:bottom w:w="28" w:type="dxa"/>
          <w:right w:w="28" w:type="dxa"/>
        </w:tblCellMar>
      </w:tblPr>
      <w:tblGrid>
        <w:gridCol w:w="407"/>
        <w:gridCol w:w="357"/>
        <w:gridCol w:w="362"/>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46"/>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able to adjust our marketing spend to reflect changes in external factors and consumer behavior.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$17.4 million, or 14%, and $6.8 million, or 2%, for the three and six months ended June 30, 2026 compared to the three and six months ended June 30, 2025, respectively, as increases in performance marketing expenses of $26.6 million and $50.7 million, respectively, were partially offset by decreases in other marketing expenses of $9.2 million and $43.9 million, respectively, primarily due to lower brand marketing expenses.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$0.3 million, or 1%, and $2.0 million, or 7%, for the three and six months ended June 30, 2026 compared to the three and six months ended June 30, 2025, with the increase for the six-month period primarily attributable to a $1.5 million increase in personnel-related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613"/>
        <w:gridCol w:w="490"/>
        <w:gridCol w:w="495"/>
        <w:gridCol w:w="109"/>
        <w:gridCol w:w="109"/>
        <w:gridCol w:w="109"/>
        <w:gridCol w:w="211"/>
        <w:gridCol w:w="421"/>
        <w:gridCol w:w="109"/>
        <w:gridCol w:w="109"/>
        <w:gridCol w:w="109"/>
        <w:gridCol w:w="109"/>
        <w:gridCol w:w="211"/>
        <w:gridCol w:w="421"/>
        <w:gridCol w:w="109"/>
        <w:gridCol w:w="109"/>
        <w:gridCol w:w="109"/>
        <w:gridCol w:w="109"/>
        <w:gridCol w:w="211"/>
        <w:gridCol w:w="456"/>
        <w:gridCol w:w="109"/>
        <w:gridCol w:w="109"/>
        <w:gridCol w:w="109"/>
        <w:gridCol w:w="109"/>
        <w:gridCol w:w="188"/>
        <w:gridCol w:w="188"/>
        <w:gridCol w:w="336"/>
        <w:gridCol w:w="109"/>
        <w:gridCol w:w="109"/>
        <w:gridCol w:w="109"/>
        <w:gridCol w:w="211"/>
        <w:gridCol w:w="421"/>
        <w:gridCol w:w="109"/>
        <w:gridCol w:w="109"/>
        <w:gridCol w:w="109"/>
        <w:gridCol w:w="109"/>
        <w:gridCol w:w="211"/>
        <w:gridCol w:w="421"/>
        <w:gridCol w:w="109"/>
        <w:gridCol w:w="109"/>
        <w:gridCol w:w="109"/>
        <w:gridCol w:w="109"/>
        <w:gridCol w:w="211"/>
        <w:gridCol w:w="456"/>
        <w:gridCol w:w="109"/>
        <w:gridCol w:w="109"/>
        <w:gridCol w:w="109"/>
        <w:gridCol w:w="109"/>
        <w:gridCol w:w="188"/>
        <w:gridCol w:w="188"/>
        <w:gridCol w:w="387"/>
      </w:tblGrid>
      <w:tr>
        <w:trPr/>
        <w:tc>
          <w:tcPr>
            <w:tcW w:w="6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$0.5 million, or 59%, and $0.3 million, or 20%, for the three and six months ended June 30, 2026 compared to the three and six months ended June 30, 2025, respectively, primarily attributable to lower interest income reflecting lower average cash balances in interest-earning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estimated annual effective tax rate which is adjusted for discrete items occurring during the period. We had income tax provisions of $3.0 million and $10.6 million for the three and six months ended June 30, 2026, and $3.3 million and $4.4 million for the three and six months ended June 30, 2025, respectively. Our effective tax rate was 41.2% and 29.9% for the three and six months ended June 30, 2026, and 28.9% and 34.5% for the three and six months ended June 30, 2025, respectively. Our effective tax rate for the three and six months ended June 30, 2026 differs from the U.S. federal statutory income tax rate of 21% primarily due to state taxes, stock-based compensation and interest on uncertain tax positions. Our effective tax rate for the three and six months ended June 30, 2025 differed from the U.S. federal statutory income tax rate of 21% primarily due to discrete items related to stock-based compensation and uncertain tax positions, partially offset by research and development credits.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valuation allowance on our California deferred tax assets, which consist primarily of tax credits, as of June 30, 2026. Our judgment regarding the likelihood of realization of these deferred tax assets could change in future periods, which could result in a material impact to our income tax provision in the period of change.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reconciling non-GAAP operating income to income from operations, and adjusted EBITDA to net income, the most comparable GAAP financial measures, as follows:</w:t>
      </w:r>
    </w:p>
    <w:tbl>
      <w:tblPr>
        <w:tblW w:w="9359" w:type="dxa"/>
        <w:jc w:val="left"/>
        <w:tblInd w:w="0" w:type="dxa"/>
        <w:tblLayout w:type="fixed"/>
        <w:tblCellMar>
          <w:top w:w="28" w:type="dxa"/>
          <w:left w:w="28" w:type="dxa"/>
          <w:bottom w:w="28" w:type="dxa"/>
          <w:right w:w="28" w:type="dxa"/>
        </w:tblCellMar>
      </w:tblPr>
      <w:tblGrid>
        <w:gridCol w:w="1435"/>
        <w:gridCol w:w="1260"/>
        <w:gridCol w:w="1279"/>
        <w:gridCol w:w="109"/>
        <w:gridCol w:w="109"/>
        <w:gridCol w:w="109"/>
        <w:gridCol w:w="211"/>
        <w:gridCol w:w="526"/>
        <w:gridCol w:w="271"/>
        <w:gridCol w:w="109"/>
        <w:gridCol w:w="109"/>
        <w:gridCol w:w="109"/>
        <w:gridCol w:w="211"/>
        <w:gridCol w:w="526"/>
        <w:gridCol w:w="271"/>
        <w:gridCol w:w="109"/>
        <w:gridCol w:w="109"/>
        <w:gridCol w:w="109"/>
        <w:gridCol w:w="211"/>
        <w:gridCol w:w="526"/>
        <w:gridCol w:w="271"/>
        <w:gridCol w:w="109"/>
        <w:gridCol w:w="109"/>
        <w:gridCol w:w="109"/>
        <w:gridCol w:w="211"/>
        <w:gridCol w:w="526"/>
        <w:gridCol w:w="316"/>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Non-GAAP operating income margin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non-GAAP operating income as a percentage of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adjusted EBITDA as a percentage of revenue.</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 for a discussion of the changes in income from operations and net income for the three and six months ended June 30, 2026 compared to the three and six months ended June 30,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operating income decreased $8.5 million, or 41%, and increased $15.9 million, or 53%, for the three and six months ended June 30, 2026 compared to the three and six months ended June 30, 2025, respectively, primarily due to a $3.7 million decrease in income from operations for the three months ended June 30, 2026 and a $22.8 million increase in income from operations for the six months ended June 30, 2026, as well as the impacts of decreases in depreciation and amortization of $3.4 million and $6.3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decreased $10.5 million, or 31%, for the three months ended June 30, 2026 compared to the three months ended June 30, 2025, reflecting decreases of $3.9 million in net income and $6.6 million in adjustments to reconcile adjusted EBITDA to net income, primarily comprised of decreases of $3.4 million in depreciation and amortization, $1.3 million in stock-based compensation, and $0.9 million in acquisition-related expenses. Adjusted EBITDA increased $13.6 million, or 25%, for the six months ended June 30, 2026 compared to the six months ended June 30, 2025, as a $16.3 million increase in net income was partially offset by a $2.7 million decrease in adjustments to reconcile adjusted EBITDA to net income, primarily comprised of decreases of $6.3 million in depreciation and amortization and $1.0 million in stock-based compensation, as well as $1.6 million of acquisition-related retention in the six months ended June 30, 2025, partially offset by a $6.2 million increase in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to meet our business requirements and plans, both in the short-term (i.e., the next twelve months from June 30, 2026)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cash and cash equivalents of $62.0 million and $98.3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Known Contractual and Other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description of contractual commitments as of June 30, 2026 is included in Note 6–Commitments and Contingencies in the notes to our condensed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six months ended June 30, 2026, there have been no material changes in our purchase obligations as disclosed in “Management’s Discussion and Analysis of Financial Condition and Results of Operations–Liquidity and Capital Resources” in our Annual Report on Form 10-K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Trends, Uncertainties and Anticipated Sources of Funds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TextBody"/>
        <w:bidi w:val="0"/>
        <w:spacing w:lineRule="auto" w:line="288" w:before="0" w:after="180"/>
        <w:ind w:left="0" w:right="0" w:firstLine="360"/>
        <w:jc w:val="both"/>
        <w:rPr/>
      </w:pPr>
      <w:r>
        <w:rPr>
          <w:rFonts w:ascii="Times New Roman;serif" w:hAnsi="Times New Roman;serif"/>
          <w:b/>
          <w:i/>
          <w:color w:val="000000"/>
          <w:sz w:val="20"/>
        </w:rPr>
        <w:t xml:space="preserve">Share Repurchase Program: </w:t>
      </w:r>
      <w:r>
        <w:rPr>
          <w:rFonts w:ascii="Times New Roman;serif" w:hAnsi="Times New Roman;serif"/>
          <w:b w:val="false"/>
          <w:color w:val="000000"/>
          <w:sz w:val="20"/>
        </w:rPr>
        <w:t>We maintain a share repurchase program under which we may purchase shares of our Class A common stock (the Repurchase Program), originally authorized by our Board of Directors in May 2023 and subsequently increased through additional authorizations from time to time. In February 2026, our Board of Directors approved an increase of $100.0 million to the amount authorized for repurchases under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 time to time, enter into Rule 10b5</w:t>
      </w:r>
      <w:r>
        <w:rPr>
          <w:color w:val="000000"/>
        </w:rPr>
        <w:noBreakHyphen/>
      </w:r>
      <w:r>
        <w:rPr>
          <w:rFonts w:ascii="Times New Roman;serif" w:hAnsi="Times New Roman;serif"/>
          <w:b w:val="false"/>
          <w:color w:val="000000"/>
          <w:sz w:val="20"/>
        </w:rPr>
        <w:t>1 trading plans to facilitate repurchases. Shares repurchased under the Repurchase Program are retired. We expect to fund repurchases with existing cash and cash equivalents. We repurchased 8.7 million shares of Class A common stock for $89.2 million, including costs associated with the repurchases, during the six months ended June 30, 2026. Additionally, we paid $0.4 million of excise taxes during the six months ended June 30, 2026 which related to previous share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i/>
          <w:color w:val="000000"/>
          <w:sz w:val="20"/>
        </w:rPr>
        <w:t>Credit Facility:</w:t>
      </w:r>
      <w:r>
        <w:rPr>
          <w:color w:val="000000"/>
        </w:rPr>
        <w:t xml:space="preserve"> </w:t>
      </w:r>
      <w:r>
        <w:rPr>
          <w:rFonts w:ascii="Times New Roman;serif" w:hAnsi="Times New Roman;serif"/>
          <w:b w:val="false"/>
          <w:color w:val="000000"/>
          <w:sz w:val="20"/>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June 30, 2026 or December 31, 2025. The available amount to borrow under our Credit Agreement was $124.5 million at both June 30, 2026 and December 31, 2025, which was equal to the available amount under the Credit Agreement of $125.0 million, net of letters of credit of $0.5 million. Our Credit Agreement contains certain customary financial and non-financial covenants. We were in compliance with all covenants as of June 30, 2026 and December 31, 2025.</w:t>
      </w:r>
    </w:p>
    <w:p>
      <w:pPr>
        <w:pStyle w:val="TextBody"/>
        <w:bidi w:val="0"/>
        <w:spacing w:lineRule="auto" w:line="288" w:before="0" w:after="180"/>
        <w:ind w:left="0" w:right="0" w:firstLine="360"/>
        <w:jc w:val="both"/>
        <w:rPr/>
      </w:pPr>
      <w:r>
        <w:rPr>
          <w:rFonts w:ascii="Times New Roman;serif" w:hAnsi="Times New Roman;serif"/>
          <w:b/>
          <w:i/>
          <w:color w:val="000000"/>
          <w:sz w:val="20"/>
        </w:rPr>
        <w:t xml:space="preserve">Warehouse Line of Credit: </w:t>
      </w:r>
      <w:r>
        <w:rPr>
          <w:rFonts w:ascii="Times New Roman;serif" w:hAnsi="Times New Roman;serif"/>
          <w:b w:val="false"/>
          <w:color w:val="000000"/>
          <w:sz w:val="20"/>
        </w:rPr>
        <w:t>Next Door Lending LLC (NDL), a wholly-owned subsidiary, maintains a $15.0 million warehouse line of credit, which may be increased to $18.75 million for up to 90 days subject to certain requirements, to provide NDL short-term funding for mortgage loans originated for sale. Borrowings under the warehouse line of credit bear interest at the greater of the interest rate of the underlying mortgage loans held for sale, subject to a 5.25% minimum rate, and are secured by the underlying promissory notes of the mortgage loans held for sale, as well as NDL’s other assets. The warehouse line of credit matures on February 1, 2027. NDL had $5.1 million outstanding under the warehouse line of credit as of June 30, 2026, which is included in accrued expenses and other current liabilities on our condensed consolidated balance sheet. The warehouse line of credit requires NDL to comply with certain minimum tangible net worth, liquidity, and insurance requirements. NDL was in compliance with all covenants as of June 30, 2026 and December 31,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TextBody"/>
        <w:bidi w:val="0"/>
        <w:spacing w:lineRule="auto" w:line="333" w:before="0" w:after="180"/>
        <w:jc w:val="both"/>
        <w:rPr>
          <w:rFonts w:ascii="Times New Roman;serif" w:hAnsi="Times New Roman;serif"/>
          <w:b/>
          <w:i/>
          <w:color w:val="000000"/>
          <w:sz w:val="20"/>
        </w:rPr>
      </w:pPr>
      <w:r>
        <w:rPr>
          <w:rFonts w:ascii="Times New Roman;serif" w:hAnsi="Times New Roman;serif"/>
          <w:b/>
          <w:i/>
          <w:color w:val="000000"/>
          <w:sz w:val="20"/>
        </w:rPr>
        <w:t>Sources and Uses of Capital Resources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520" w:type="dxa"/>
        <w:jc w:val="left"/>
        <w:tblInd w:w="0" w:type="dxa"/>
        <w:tblLayout w:type="fixed"/>
        <w:tblCellMar>
          <w:top w:w="28" w:type="dxa"/>
          <w:left w:w="28" w:type="dxa"/>
          <w:bottom w:w="28" w:type="dxa"/>
          <w:right w:w="28" w:type="dxa"/>
        </w:tblCellMar>
      </w:tblPr>
      <w:tblGrid>
        <w:gridCol w:w="1837"/>
        <w:gridCol w:w="1615"/>
        <w:gridCol w:w="1632"/>
        <w:gridCol w:w="109"/>
        <w:gridCol w:w="109"/>
        <w:gridCol w:w="109"/>
        <w:gridCol w:w="211"/>
        <w:gridCol w:w="586"/>
        <w:gridCol w:w="109"/>
        <w:gridCol w:w="109"/>
        <w:gridCol w:w="109"/>
        <w:gridCol w:w="109"/>
        <w:gridCol w:w="211"/>
        <w:gridCol w:w="51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$32.7 million for the six months ended June 30, 2026 compared to the six months ended June 30, 2025, driven by increases of $16.3 million in net income and $3.0 million in non-cash charges, as well as a $10.0 million net cash inflow from changes in operating assets and liabilities for the six months ended June 30, 2026 as compared to a $3.4 million net cash outflow for the six months ended June 30, 2025. The increase in non-cash charges was primarily due to an $11.8 million increase in deferred taxes, partially offset by decreases of $6.3 million in depreciation and amortization, $1.0 million in stock-based compensation, and $1.0 million in other losses, net. The change to net cash inflow from changes in operating assets and liabilities was primarily due to a $1.8 million decrease in mortgage loans held for sale for the six months ended June 30, 2026, as compared to a $9.0 million increase for the six months ended June 30,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$9.7 million for the six months ended June 30, 2026 compared to the six months ended June 30, 2025, primarily due to an $11.1 million increase in cash paid for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net cash used in financing activities of $89.4 million for the six months ended June 30, 2026, as compared to net cash provided by financing activities of $8.9 million for the six months ended June 30, 2025, with the change primarily due to an $88.5 million increase in repurchases of Class A common stock, as well as $1.7 million of net repayment on our warehouse line of credit for the six months ended June 30, 2026 as compared to $8.7 million of net borrowing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from the market risk disclosures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defined under Rules 13a-15(e) and 15d-15(e) of the Securities Exchange Act of 1934, as amended (the Exchange Act)). Management, under the supervision and with the participation of our Chief Executive Officer and our Chief Financial Officer, evaluated the effectiveness of the Company’s disclosure controls and procedures pursuant to Exchange Act Rule 13a-15(b) as of June 30, 2026. Based on that evaluation, the Chief Executive Officer and the Chief Financial Officer concluded that these disclosure controls and procedures were effective as of June 30,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identified in connection with the evaluation required by Rules 13a-15(d) and 15d-15(d) of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6–Commitments and Contingencies in the notes to condensed consolidated financial statements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2025 and in our subsequent periodic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share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487"/>
        <w:gridCol w:w="428"/>
        <w:gridCol w:w="435"/>
        <w:gridCol w:w="109"/>
        <w:gridCol w:w="109"/>
        <w:gridCol w:w="109"/>
        <w:gridCol w:w="461"/>
        <w:gridCol w:w="456"/>
        <w:gridCol w:w="458"/>
        <w:gridCol w:w="109"/>
        <w:gridCol w:w="109"/>
        <w:gridCol w:w="109"/>
        <w:gridCol w:w="307"/>
        <w:gridCol w:w="745"/>
        <w:gridCol w:w="159"/>
        <w:gridCol w:w="109"/>
        <w:gridCol w:w="109"/>
        <w:gridCol w:w="109"/>
        <w:gridCol w:w="772"/>
        <w:gridCol w:w="767"/>
        <w:gridCol w:w="770"/>
        <w:gridCol w:w="109"/>
        <w:gridCol w:w="109"/>
        <w:gridCol w:w="109"/>
        <w:gridCol w:w="635"/>
        <w:gridCol w:w="1543"/>
        <w:gridCol w:w="474"/>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Price Paid per Share</w:t>
            </w:r>
            <w:r>
              <w:rPr>
                <w:rFonts w:ascii="Times New Roman;serif" w:hAnsi="Times New Roman;serif"/>
                <w:b/>
                <w:i/>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On May 2, 2023, we announced that our Board of Directors authorized a plan under which we may repurchase up to $20 million of our Class A common stock and, following our utilization of that share repurchase authorization, we announced on October 26, 2023, September 9, 2024, October 29, 2024, September 13, 2025, December 16, 2025, and February 25, 2026 that our Board of Directors approved additional share repurchase authorizations under which we may repurchase up to an additional $30 million, $50 million, $25 million, $50 million, $50 million, and $100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Trading Plans of Directors or Executive Officers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 of the Exchange Act) adopted, modified or terminated a Rule 10b5-1 trading arrangement or a non-Rule 10b5-1 trading arrangement (as such terms are defined under Item 408 of Regulation S-K).</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486"/>
        <w:gridCol w:w="2486"/>
        <w:gridCol w:w="2490"/>
        <w:gridCol w:w="109"/>
        <w:gridCol w:w="109"/>
        <w:gridCol w:w="109"/>
        <w:gridCol w:w="421"/>
        <w:gridCol w:w="364"/>
        <w:gridCol w:w="523"/>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exhibit311-302certificatio.htm">
              <w:r>
                <w:rPr>
                  <w:rStyle w:val="InternetLink"/>
                  <w:rFonts w:ascii="Times New Roman;serif" w:hAnsi="Times New Roman;serif"/>
                  <w:b w:val="false"/>
                  <w:color w:val="000080"/>
                  <w:sz w:val="20"/>
                  <w:u w:val="single"/>
                </w:rPr>
                <w:t>Certification of Principal Executive Officer pursuant to Exchange Act Rules 13a-14(a) and 15d-14(a), as adopted pursuant to Section</w:t>
              </w:r>
            </w:hyperlink>
            <w:hyperlink w:anchor="exhibit311-302certificatio.htm">
              <w:r>
                <w:rPr>
                  <w:rStyle w:val="InternetLink"/>
                  <w:rFonts w:ascii="Times New Roman;serif" w:hAnsi="Times New Roman;serif"/>
                  <w:b w:val="false"/>
                  <w:color w:val="000080"/>
                  <w:sz w:val="20"/>
                  <w:u w:val="single"/>
                </w:rPr>
                <w:t> </w:t>
              </w:r>
            </w:hyperlink>
            <w:hyperlink w:anchor="exhibit311-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302certificatio.htm">
              <w:r>
                <w:rPr>
                  <w:rStyle w:val="InternetLink"/>
                  <w:rFonts w:ascii="Times New Roman;serif" w:hAnsi="Times New Roman;serif"/>
                  <w:b w:val="false"/>
                  <w:color w:val="000080"/>
                  <w:sz w:val="20"/>
                  <w:u w:val="single"/>
                </w:rPr>
                <w:t>Certification of Principal Financial Officer pursuant to Exchange Act Rules 13a-14(a) and 15d-14(a), as adopted pursuant to Section</w:t>
              </w:r>
            </w:hyperlink>
            <w:hyperlink w:anchor="exhibit312-302certificatio.htm">
              <w:r>
                <w:rPr>
                  <w:rStyle w:val="InternetLink"/>
                  <w:rFonts w:ascii="Times New Roman;serif" w:hAnsi="Times New Roman;serif"/>
                  <w:b w:val="false"/>
                  <w:color w:val="000080"/>
                  <w:sz w:val="20"/>
                  <w:u w:val="single"/>
                </w:rPr>
                <w:t> </w:t>
              </w:r>
            </w:hyperlink>
            <w:hyperlink w:anchor="exhibit312-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404certificati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404certificatio.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24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513539610d1041e8858cb533294e55e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9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17"/>
        <w:gridCol w:w="317"/>
        <w:gridCol w:w="31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NERDWALLET,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40" w:after="180"/>
        <w:ind w:left="0" w:right="0" w:firstLine="49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Tim Chen,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Jun Hyung Lee,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24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52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Jun Hyung Lee, Chief Financial Officer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424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14004</Words>
  <Characters>76711</Characters>
  <CharactersWithSpaces>89345</CharactersWithSpaces>
  <Paragraphs>2174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