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963"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Topline Capital Management,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544 EUCLID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NERDWALLET,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NRDS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65"/>
        <w:spacing w:after="0"/>
        <w:rPr>
          <w:sz w:val="20"/>
          <w:szCs w:val="20"/>
          <w:color w:val="auto"/>
        </w:rPr>
      </w:pPr>
      <w:r>
        <w:rPr>
          <w:rFonts w:ascii="Times New Roman" w:cs="Times New Roman" w:eastAsia="Times New Roman" w:hAnsi="Times New Roman"/>
          <w:sz w:val="17"/>
          <w:szCs w:val="17"/>
          <w:color w:val="0000FF"/>
        </w:rPr>
        <w:t>See Explanation in Footnotes</w:t>
      </w:r>
    </w:p>
    <w:p>
      <w:pPr>
        <w:spacing w:after="0" w:line="333" w:lineRule="exact"/>
        <w:rPr>
          <w:sz w:val="24"/>
          <w:szCs w:val="24"/>
          <w:color w:val="auto"/>
        </w:rPr>
      </w:pPr>
    </w:p>
    <w:p>
      <w:pPr>
        <w:sectPr>
          <w:pgSz w:w="11900" w:h="16963" w:orient="portrait"/>
          <w:cols w:equalWidth="0" w:num="3">
            <w:col w:w="3200" w:space="720"/>
            <w:col w:w="3095" w:space="720"/>
            <w:col w:w="3345"/>
          </w:cols>
          <w:pgMar w:left="460" w:top="219" w:right="359" w:bottom="0" w:gutter="0" w:footer="0" w:header="0"/>
          <w:type w:val="continuous"/>
        </w:sectPr>
      </w:pP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80" w:type="dxa"/>
            <w:vAlign w:val="bottom"/>
            <w:gridSpan w:val="9"/>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40" w:type="dxa"/>
            <w:vAlign w:val="bottom"/>
          </w:tcPr>
          <w:p>
            <w:pPr>
              <w:spacing w:after="0"/>
              <w:rPr>
                <w:sz w:val="13"/>
                <w:szCs w:val="13"/>
                <w:color w:val="auto"/>
              </w:rPr>
            </w:pPr>
          </w:p>
        </w:tc>
        <w:tc>
          <w:tcPr>
            <w:tcW w:w="3480" w:type="dxa"/>
            <w:vAlign w:val="bottom"/>
            <w:gridSpan w:val="8"/>
          </w:tcPr>
          <w:p>
            <w:pPr>
              <w:ind w:left="1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90402</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MONICA</w:t>
            </w:r>
          </w:p>
        </w:tc>
        <w:tc>
          <w:tcPr>
            <w:tcW w:w="112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9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gridSpan w:val="2"/>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vMerge w:val="continue"/>
          </w:tcPr>
          <w:p>
            <w:pPr>
              <w:spacing w:after="0"/>
              <w:rPr>
                <w:sz w:val="22"/>
                <w:szCs w:val="22"/>
                <w:color w:val="auto"/>
              </w:rPr>
            </w:pPr>
          </w:p>
        </w:tc>
        <w:tc>
          <w:tcPr>
            <w:tcW w:w="560" w:type="dxa"/>
            <w:vAlign w:val="bottom"/>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134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62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460" w:type="dxa"/>
            <w:vAlign w:val="bottom"/>
            <w:tcBorders>
              <w:bottom w:val="single" w:sz="8" w:color="2C2C2C"/>
            </w:tcBorders>
            <w:gridSpan w:val="7"/>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820" w:type="dxa"/>
            <w:vAlign w:val="bottom"/>
            <w:tcBorders>
              <w:top w:val="single" w:sz="8" w:color="2C2C2C"/>
            </w:tcBorders>
            <w:gridSpan w:val="18"/>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 Transaction</w:t>
            </w:r>
          </w:p>
        </w:tc>
        <w:tc>
          <w:tcPr>
            <w:tcW w:w="40" w:type="dxa"/>
            <w:vAlign w:val="bottom"/>
          </w:tcPr>
          <w:p>
            <w:pPr>
              <w:spacing w:after="0"/>
              <w:rPr>
                <w:sz w:val="15"/>
                <w:szCs w:val="15"/>
                <w:color w:val="auto"/>
              </w:rPr>
            </w:pP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0" w:type="dxa"/>
            <w:vAlign w:val="bottom"/>
          </w:tcPr>
          <w:p>
            <w:pPr>
              <w:spacing w:after="0"/>
              <w:rPr>
                <w:sz w:val="11"/>
                <w:szCs w:val="11"/>
                <w:color w:val="auto"/>
              </w:rPr>
            </w:pPr>
          </w:p>
        </w:tc>
        <w:tc>
          <w:tcPr>
            <w:tcW w:w="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3"/>
            <w:vMerge w:val="restart"/>
          </w:tcPr>
          <w:p>
            <w:pPr>
              <w:jc w:val="right"/>
              <w:ind w:right="200"/>
              <w:spacing w:after="0"/>
              <w:rPr>
                <w:sz w:val="20"/>
                <w:szCs w:val="20"/>
                <w:color w:val="auto"/>
              </w:rPr>
            </w:pPr>
            <w:r>
              <w:rPr>
                <w:rFonts w:ascii="Arial" w:cs="Arial" w:eastAsia="Arial" w:hAnsi="Arial"/>
                <w:sz w:val="12"/>
                <w:szCs w:val="12"/>
                <w:b w:val="1"/>
                <w:bCs w:val="1"/>
                <w:color w:val="auto"/>
                <w:w w:val="95"/>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Topline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20" w:type="dxa"/>
            <w:vAlign w:val="bottom"/>
            <w:gridSpan w:val="4"/>
          </w:tcPr>
          <w:p>
            <w:pPr>
              <w:jc w:val="center"/>
              <w:ind w:left="665"/>
              <w:spacing w:after="0"/>
              <w:rPr>
                <w:sz w:val="20"/>
                <w:szCs w:val="20"/>
                <w:color w:val="auto"/>
              </w:rPr>
            </w:pPr>
            <w:r>
              <w:rPr>
                <w:rFonts w:ascii="Times New Roman" w:cs="Times New Roman" w:eastAsia="Times New Roman" w:hAnsi="Times New Roman"/>
                <w:sz w:val="17"/>
                <w:szCs w:val="17"/>
                <w:color w:val="0000FF"/>
              </w:rPr>
              <w:t>06/26/2026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919,153</w:t>
            </w:r>
          </w:p>
        </w:tc>
        <w:tc>
          <w:tcPr>
            <w:tcW w:w="6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8.95</w:t>
            </w: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4,331,992</w:t>
            </w:r>
          </w:p>
        </w:tc>
        <w:tc>
          <w:tcPr>
            <w:tcW w:w="940" w:type="dxa"/>
            <w:vAlign w:val="bottom"/>
          </w:tcPr>
          <w:p>
            <w:pPr>
              <w:ind w:left="26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(1)(2)</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Topline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20" w:type="dxa"/>
            <w:vAlign w:val="bottom"/>
            <w:gridSpan w:val="4"/>
          </w:tcPr>
          <w:p>
            <w:pPr>
              <w:jc w:val="center"/>
              <w:ind w:left="665"/>
              <w:spacing w:after="0"/>
              <w:rPr>
                <w:sz w:val="20"/>
                <w:szCs w:val="20"/>
                <w:color w:val="auto"/>
              </w:rPr>
            </w:pPr>
            <w:r>
              <w:rPr>
                <w:rFonts w:ascii="Times New Roman" w:cs="Times New Roman" w:eastAsia="Times New Roman" w:hAnsi="Times New Roman"/>
                <w:sz w:val="17"/>
                <w:szCs w:val="17"/>
                <w:color w:val="0000FF"/>
              </w:rPr>
              <w:t>06/29/2026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587,835</w:t>
            </w:r>
          </w:p>
        </w:tc>
        <w:tc>
          <w:tcPr>
            <w:tcW w:w="6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9.22</w:t>
            </w: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3,744,157</w:t>
            </w:r>
          </w:p>
        </w:tc>
        <w:tc>
          <w:tcPr>
            <w:tcW w:w="940" w:type="dxa"/>
            <w:vAlign w:val="bottom"/>
          </w:tcPr>
          <w:p>
            <w:pPr>
              <w:ind w:left="26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(1)(2)</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Topline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20" w:type="dxa"/>
            <w:vAlign w:val="bottom"/>
            <w:gridSpan w:val="4"/>
          </w:tcPr>
          <w:p>
            <w:pPr>
              <w:jc w:val="center"/>
              <w:ind w:left="665"/>
              <w:spacing w:after="0"/>
              <w:rPr>
                <w:sz w:val="20"/>
                <w:szCs w:val="20"/>
                <w:color w:val="auto"/>
              </w:rPr>
            </w:pPr>
            <w:r>
              <w:rPr>
                <w:rFonts w:ascii="Times New Roman" w:cs="Times New Roman" w:eastAsia="Times New Roman" w:hAnsi="Times New Roman"/>
                <w:sz w:val="17"/>
                <w:szCs w:val="17"/>
                <w:color w:val="0000FF"/>
              </w:rPr>
              <w:t>06/30/2026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454,872</w:t>
            </w:r>
          </w:p>
        </w:tc>
        <w:tc>
          <w:tcPr>
            <w:tcW w:w="6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9.27</w:t>
            </w: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3,289,285</w:t>
            </w:r>
          </w:p>
        </w:tc>
        <w:tc>
          <w:tcPr>
            <w:tcW w:w="940" w:type="dxa"/>
            <w:vAlign w:val="bottom"/>
          </w:tcPr>
          <w:p>
            <w:pPr>
              <w:ind w:left="26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(1)(2)</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900" w:type="dxa"/>
            <w:vAlign w:val="bottom"/>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0" w:type="dxa"/>
            <w:vAlign w:val="bottom"/>
            <w:gridSpan w:val="14"/>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0" w:type="dxa"/>
            <w:vAlign w:val="bottom"/>
            <w:gridSpan w:val="4"/>
          </w:tcPr>
          <w:p>
            <w:pPr>
              <w:ind w:left="4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4"/>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000" w:type="dxa"/>
            <w:vAlign w:val="bottom"/>
            <w:tcBorders>
              <w:bottom w:val="single" w:sz="8" w:color="2C2C2C"/>
            </w:tcBorders>
            <w:gridSpan w:val="5"/>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7"/>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Topline Capital Management, LLC</w:t>
              </w:r>
            </w:hyperlink>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544 EUCLID STREET</w:t>
            </w: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SANTA MONICA CA</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90402</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-3397885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1" w:lineRule="exact"/>
        <w:rPr>
          <w:sz w:val="24"/>
          <w:szCs w:val="24"/>
          <w:color w:val="auto"/>
        </w:rPr>
      </w:pPr>
    </w:p>
    <w:p>
      <w:pPr>
        <w:spacing w:after="0"/>
        <w:rPr>
          <w:sz w:val="20"/>
          <w:szCs w:val="20"/>
          <w:color w:val="auto"/>
        </w:rPr>
      </w:pPr>
      <w:r>
        <w:rPr>
          <w:sz w:val="1"/>
          <w:szCs w:val="1"/>
          <w:color w:val="auto"/>
        </w:rPr>
        <w:drawing>
          <wp:inline distT="0" distB="0" distL="0" distR="0">
            <wp:extent cx="33655" cy="17335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3655" cy="173355"/>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63" w:orient="portrait"/>
          <w:cols w:equalWidth="0" w:num="1">
            <w:col w:w="11080"/>
          </w:cols>
          <w:pgMar w:left="460" w:top="219" w:right="359" w:bottom="0" w:gutter="0" w:footer="0" w:header="0"/>
          <w:type w:val="continuous"/>
        </w:sectPr>
      </w:pPr>
    </w:p>
    <w:bookmarkStart w:id="1" w:name="page2"/>
    <w:bookmarkEnd w:id="1"/>
    <w:p>
      <w:pPr>
        <w:ind w:left="80"/>
        <w:spacing w:after="0"/>
        <w:rPr>
          <w:rFonts w:ascii="Times New Roman" w:cs="Times New Roman" w:eastAsia="Times New Roman" w:hAnsi="Times New Roman"/>
          <w:sz w:val="21"/>
          <w:szCs w:val="21"/>
          <w:u w:val="single" w:color="auto"/>
          <w:color w:val="0000EE"/>
        </w:rPr>
      </w:pPr>
      <w:r>
        <w:rPr>
          <w:rFonts w:ascii="Times New Roman" w:cs="Times New Roman" w:eastAsia="Times New Roman" w:hAnsi="Times New Roman"/>
          <w:sz w:val="21"/>
          <w:szCs w:val="21"/>
          <w:u w:val="single" w:color="auto"/>
          <w:color w:val="0000EE"/>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5106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09240" cy="1510665"/>
                    </a:xfrm>
                    <a:prstGeom prst="rect">
                      <a:avLst/>
                    </a:prstGeom>
                    <a:noFill/>
                  </pic:spPr>
                </pic:pic>
              </a:graphicData>
            </a:graphic>
          </wp:anchor>
        </w:drawing>
      </w:r>
      <w:hyperlink r:id="rId18">
        <w:r>
          <w:rPr>
            <w:rFonts w:ascii="Times New Roman" w:cs="Times New Roman" w:eastAsia="Times New Roman" w:hAnsi="Times New Roman"/>
            <w:sz w:val="21"/>
            <w:szCs w:val="21"/>
            <w:u w:val="single" w:color="auto"/>
            <w:color w:val="0000EE"/>
          </w:rPr>
          <w:t>McBirney Collin</w:t>
        </w:r>
      </w:hyperlink>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50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544 EUCLID STREET</w:t>
            </w:r>
          </w:p>
        </w:tc>
        <w:tc>
          <w:tcPr>
            <w:tcW w:w="18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SANTA MONICA CA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90402</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5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are (i) Topline Capital Management, LLC, a registered investment adviser (TCM) and (ii) Collin McBirney, TCMs managing member</w:t>
      </w:r>
    </w:p>
    <w:p>
      <w:pPr>
        <w:spacing w:after="0" w:line="5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reporting person may be deemed to beneficially own more than 10% of the issuers outstanding shares of common stock. Each reporting person disclaims beneficial ownership of the shares of common stock reported herein except to the extent of its or his pecuniary interest therein, and this report shall not be deemed to be an admission that any reporting person is the beneficial owner of such shares for purposes of Section 16 or for any other purpose.</w:t>
      </w:r>
    </w:p>
    <w:p>
      <w:pPr>
        <w:spacing w:after="0" w:line="20" w:lineRule="exact"/>
        <w:rPr>
          <w:rFonts w:ascii="Times New Roman" w:cs="Times New Roman" w:eastAsia="Times New Roman" w:hAnsi="Times New Roman"/>
          <w:sz w:val="13"/>
          <w:szCs w:val="13"/>
          <w:color w:val="008000"/>
        </w:rPr>
      </w:pPr>
    </w:p>
    <w:p>
      <w:pPr>
        <w:ind w:right="8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common stock reported in Table I on this Form 4 are beneficially owned by Topline Capital Partners, LP, a Delaware limited partnership (the Fund). As a greater than 10% beneficial owner, the Fund is separately reporting its holdings in the issuers securities on a Form 4 filed concurrently herewith. Each of TCM, as the investment manager and general partner of the Fund, and Mr. McBirney, as managing member of TCM, may be deemed to be the beneficial owner of the shares of common stock beneficially owned by the Fund.</w:t>
      </w:r>
    </w:p>
    <w:p>
      <w:pPr>
        <w:spacing w:after="0" w:line="4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Topline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087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Collin McBirney, its 06/30/2026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64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Collin McBirney</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06/30/2026</w:t>
            </w: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2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20"/>
      </w:cols>
      <w:pgMar w:left="500" w:top="152"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13" Type="http://schemas.openxmlformats.org/officeDocument/2006/relationships/hyperlink" Target="http://www.sec.gov/cgi-bin/browse-edgar?action=getcompany&amp;CIK=0001792549" TargetMode="External"/><Relationship Id="rId14" Type="http://schemas.openxmlformats.org/officeDocument/2006/relationships/hyperlink" Target="http://www.sec.gov/cgi-bin/browse-edgar?action=getcompany&amp;CIK=0001625278" TargetMode="External"/><Relationship Id="rId18" Type="http://schemas.openxmlformats.org/officeDocument/2006/relationships/hyperlink" Target="http://www.sec.gov/cgi-bin/browse-edgar?action=getcompany&amp;CIK=00017925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2026-06-30T17:29:43Z</dcterms:created>
  <dcterms:modified xsi:type="dcterms:W3CDTF">2026-06-30T17:29:43Z</dcterms:modified>
</cp:coreProperties>
</file>