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193675</wp:posOffset>
            </wp:positionH>
            <wp:positionV relativeFrom="page">
              <wp:posOffset>816610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836930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jc w:val="center"/>
        <w:ind w:right="-1140"/>
        <w:spacing w:after="0"/>
        <w:rPr>
          <w:sz w:val="20"/>
          <w:szCs w:val="20"/>
          <w:color w:val="auto"/>
        </w:rPr>
      </w:pPr>
      <w:r>
        <w:rPr>
          <w:rFonts w:ascii="Arial" w:cs="Arial" w:eastAsia="Arial" w:hAnsi="Arial"/>
          <w:sz w:val="25"/>
          <w:szCs w:val="25"/>
          <w:b w:val="1"/>
          <w:bCs w:val="1"/>
          <w:color w:val="auto"/>
        </w:rPr>
        <w:t>UNITED STATES</w:t>
      </w:r>
    </w:p>
    <w:p>
      <w:pPr>
        <w:spacing w:after="0" w:line="36" w:lineRule="exact"/>
        <w:rPr>
          <w:sz w:val="24"/>
          <w:szCs w:val="24"/>
          <w:color w:val="auto"/>
        </w:rPr>
      </w:pPr>
    </w:p>
    <w:p>
      <w:pPr>
        <w:jc w:val="center"/>
        <w:ind w:right="-1140"/>
        <w:spacing w:after="0"/>
        <w:rPr>
          <w:sz w:val="20"/>
          <w:szCs w:val="20"/>
          <w:color w:val="auto"/>
        </w:rPr>
      </w:pPr>
      <w:r>
        <w:rPr>
          <w:rFonts w:ascii="Arial" w:cs="Arial" w:eastAsia="Arial" w:hAnsi="Arial"/>
          <w:sz w:val="25"/>
          <w:szCs w:val="25"/>
          <w:b w:val="1"/>
          <w:bCs w:val="1"/>
          <w:color w:val="auto"/>
        </w:rPr>
        <w:t>SECURITIES and EXCHANGE COMMISSION</w:t>
      </w:r>
    </w:p>
    <w:p>
      <w:pPr>
        <w:spacing w:after="0" w:line="23" w:lineRule="exact"/>
        <w:rPr>
          <w:sz w:val="24"/>
          <w:szCs w:val="24"/>
          <w:color w:val="auto"/>
        </w:rPr>
      </w:pPr>
    </w:p>
    <w:p>
      <w:pPr>
        <w:jc w:val="center"/>
        <w:ind w:right="-1140"/>
        <w:spacing w:after="0"/>
        <w:rPr>
          <w:sz w:val="20"/>
          <w:szCs w:val="20"/>
          <w:color w:val="auto"/>
        </w:rPr>
      </w:pPr>
      <w:r>
        <w:rPr>
          <w:rFonts w:ascii="Arial" w:cs="Arial" w:eastAsia="Arial" w:hAnsi="Arial"/>
          <w:sz w:val="17"/>
          <w:szCs w:val="17"/>
          <w:b w:val="1"/>
          <w:bCs w:val="1"/>
          <w:color w:val="auto"/>
        </w:rPr>
        <w:t>WASHINGTON, DC 20549</w:t>
      </w:r>
    </w:p>
    <w:p>
      <w:pPr>
        <w:ind w:left="4780"/>
        <w:spacing w:after="0"/>
        <w:rPr>
          <w:sz w:val="20"/>
          <w:szCs w:val="20"/>
          <w:color w:val="auto"/>
        </w:rPr>
      </w:pPr>
      <w:r>
        <w:rPr>
          <w:rFonts w:ascii="Arial" w:cs="Arial" w:eastAsia="Arial" w:hAnsi="Arial"/>
          <w:sz w:val="14"/>
          <w:szCs w:val="14"/>
          <w:color w:val="auto"/>
        </w:rPr>
        <w:t>______________________</w:t>
      </w:r>
    </w:p>
    <w:p>
      <w:pPr>
        <w:spacing w:after="0" w:line="156" w:lineRule="exact"/>
        <w:rPr>
          <w:sz w:val="24"/>
          <w:szCs w:val="24"/>
          <w:color w:val="auto"/>
        </w:rPr>
      </w:pPr>
    </w:p>
    <w:p>
      <w:pPr>
        <w:jc w:val="center"/>
        <w:ind w:right="-1140"/>
        <w:spacing w:after="0"/>
        <w:rPr>
          <w:sz w:val="20"/>
          <w:szCs w:val="20"/>
          <w:color w:val="auto"/>
        </w:rPr>
      </w:pPr>
      <w:r>
        <w:rPr>
          <w:rFonts w:ascii="Arial" w:cs="Arial" w:eastAsia="Arial" w:hAnsi="Arial"/>
          <w:sz w:val="25"/>
          <w:szCs w:val="25"/>
          <w:b w:val="1"/>
          <w:bCs w:val="1"/>
          <w:color w:val="auto"/>
        </w:rPr>
        <w:t>SCHEDULE 14A</w:t>
      </w:r>
    </w:p>
    <w:p>
      <w:pPr>
        <w:spacing w:after="0" w:line="49" w:lineRule="exact"/>
        <w:rPr>
          <w:sz w:val="24"/>
          <w:szCs w:val="24"/>
          <w:color w:val="auto"/>
        </w:rPr>
      </w:pPr>
    </w:p>
    <w:p>
      <w:pPr>
        <w:jc w:val="center"/>
        <w:ind w:right="-1140"/>
        <w:spacing w:after="0"/>
        <w:rPr>
          <w:sz w:val="20"/>
          <w:szCs w:val="20"/>
          <w:color w:val="auto"/>
        </w:rPr>
      </w:pPr>
      <w:r>
        <w:rPr>
          <w:rFonts w:ascii="Arial" w:cs="Arial" w:eastAsia="Arial" w:hAnsi="Arial"/>
          <w:sz w:val="17"/>
          <w:szCs w:val="17"/>
          <w:b w:val="1"/>
          <w:bCs w:val="1"/>
          <w:color w:val="auto"/>
        </w:rPr>
        <w:t>Proxy Statement Pursuant to Section 14(a) of the</w:t>
      </w:r>
    </w:p>
    <w:p>
      <w:pPr>
        <w:spacing w:after="0" w:line="6" w:lineRule="exact"/>
        <w:rPr>
          <w:sz w:val="24"/>
          <w:szCs w:val="24"/>
          <w:color w:val="auto"/>
        </w:rPr>
      </w:pPr>
    </w:p>
    <w:p>
      <w:pPr>
        <w:jc w:val="center"/>
        <w:ind w:right="-1140"/>
        <w:spacing w:after="0"/>
        <w:rPr>
          <w:sz w:val="20"/>
          <w:szCs w:val="20"/>
          <w:color w:val="auto"/>
        </w:rPr>
      </w:pPr>
      <w:r>
        <w:rPr>
          <w:rFonts w:ascii="Arial" w:cs="Arial" w:eastAsia="Arial" w:hAnsi="Arial"/>
          <w:sz w:val="17"/>
          <w:szCs w:val="17"/>
          <w:b w:val="1"/>
          <w:bCs w:val="1"/>
          <w:color w:val="auto"/>
        </w:rPr>
        <w:t>Securities Exchange Act of 1934</w:t>
      </w:r>
    </w:p>
    <w:p>
      <w:pPr>
        <w:spacing w:after="0" w:line="17" w:lineRule="exact"/>
        <w:rPr>
          <w:sz w:val="24"/>
          <w:szCs w:val="24"/>
          <w:color w:val="auto"/>
        </w:rPr>
      </w:pPr>
    </w:p>
    <w:p>
      <w:pPr>
        <w:ind w:left="4840"/>
        <w:spacing w:after="0"/>
        <w:tabs>
          <w:tab w:leader="none" w:pos="6360" w:val="left"/>
        </w:tabs>
        <w:rPr>
          <w:sz w:val="20"/>
          <w:szCs w:val="20"/>
          <w:color w:val="auto"/>
        </w:rPr>
      </w:pPr>
      <w:r>
        <w:rPr>
          <w:rFonts w:ascii="Arial" w:cs="Arial" w:eastAsia="Arial" w:hAnsi="Arial"/>
          <w:sz w:val="17"/>
          <w:szCs w:val="17"/>
          <w:b w:val="1"/>
          <w:bCs w:val="1"/>
          <w:color w:val="auto"/>
        </w:rPr>
        <w:t>(Amendment No.</w:t>
        <w:tab/>
        <w:t>)</w:t>
      </w:r>
    </w:p>
    <w:p>
      <w:pPr>
        <w:ind w:left="4780"/>
        <w:spacing w:after="0"/>
        <w:rPr>
          <w:sz w:val="20"/>
          <w:szCs w:val="20"/>
          <w:color w:val="auto"/>
        </w:rPr>
      </w:pPr>
      <w:r>
        <w:rPr>
          <w:rFonts w:ascii="Arial" w:cs="Arial" w:eastAsia="Arial" w:hAnsi="Arial"/>
          <w:sz w:val="14"/>
          <w:szCs w:val="14"/>
          <w:color w:val="auto"/>
        </w:rPr>
        <w:t>______________________</w:t>
      </w:r>
    </w:p>
    <w:p>
      <w:pPr>
        <w:spacing w:after="0" w:line="131" w:lineRule="exact"/>
        <w:rPr>
          <w:sz w:val="24"/>
          <w:szCs w:val="24"/>
          <w:color w:val="auto"/>
        </w:rPr>
      </w:pPr>
    </w:p>
    <w:p>
      <w:pPr>
        <w:spacing w:after="0" w:line="184" w:lineRule="exact"/>
        <w:rPr>
          <w:sz w:val="20"/>
          <w:szCs w:val="20"/>
          <w:color w:val="auto"/>
        </w:rPr>
      </w:pPr>
      <w:r>
        <w:rPr>
          <w:rFonts w:ascii="Arial" w:cs="Arial" w:eastAsia="Arial" w:hAnsi="Arial"/>
          <w:sz w:val="14"/>
          <w:szCs w:val="14"/>
          <w:color w:val="auto"/>
        </w:rPr>
        <w:t xml:space="preserve">Filed by the Registrant </w:t>
      </w:r>
      <w:r>
        <w:rPr>
          <w:rFonts w:ascii="MS PGothic" w:cs="MS PGothic" w:eastAsia="MS PGothic" w:hAnsi="MS PGothic"/>
          <w:sz w:val="16"/>
          <w:szCs w:val="16"/>
          <w:color w:val="auto"/>
        </w:rPr>
        <w:t>☒</w:t>
      </w:r>
    </w:p>
    <w:p>
      <w:pPr>
        <w:spacing w:after="0" w:line="221"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Filed by a Party other than the Registrant </w:t>
      </w:r>
      <w:r>
        <w:rPr>
          <w:rFonts w:ascii="Wingdings" w:cs="Wingdings" w:eastAsia="Wingdings" w:hAnsi="Wingdings"/>
          <w:sz w:val="14"/>
          <w:szCs w:val="14"/>
          <w:b w:val="1"/>
          <w:bCs w:val="1"/>
          <w:color w:val="auto"/>
        </w:rPr>
        <w:t>o</w:t>
      </w:r>
    </w:p>
    <w:p>
      <w:pPr>
        <w:spacing w:after="0" w:line="179"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w:t>
      </w:r>
    </w:p>
    <w:p>
      <w:pPr>
        <w:spacing w:after="0" w:line="179" w:lineRule="exact"/>
        <w:rPr>
          <w:sz w:val="24"/>
          <w:szCs w:val="24"/>
          <w:color w:val="auto"/>
        </w:rPr>
      </w:pPr>
    </w:p>
    <w:p>
      <w:pPr>
        <w:ind w:left="280" w:hanging="275"/>
        <w:spacing w:after="0"/>
        <w:tabs>
          <w:tab w:leader="none" w:pos="280" w:val="left"/>
        </w:tabs>
        <w:numPr>
          <w:ilvl w:val="0"/>
          <w:numId w:val="1"/>
        </w:numPr>
        <w:rPr>
          <w:rFonts w:ascii="Wingdings" w:cs="Wingdings" w:eastAsia="Wingdings" w:hAnsi="Wingdings"/>
          <w:sz w:val="14"/>
          <w:szCs w:val="14"/>
          <w:b w:val="1"/>
          <w:bCs w:val="1"/>
          <w:color w:val="auto"/>
        </w:rPr>
      </w:pPr>
      <w:r>
        <w:rPr>
          <w:rFonts w:ascii="Arial" w:cs="Arial" w:eastAsia="Arial" w:hAnsi="Arial"/>
          <w:sz w:val="14"/>
          <w:szCs w:val="14"/>
          <w:color w:val="auto"/>
        </w:rPr>
        <w:t>Preliminary Proxy Statement</w:t>
      </w:r>
    </w:p>
    <w:p>
      <w:pPr>
        <w:spacing w:after="0" w:line="22" w:lineRule="exact"/>
        <w:rPr>
          <w:rFonts w:ascii="Wingdings" w:cs="Wingdings" w:eastAsia="Wingdings" w:hAnsi="Wingdings"/>
          <w:sz w:val="14"/>
          <w:szCs w:val="14"/>
          <w:b w:val="1"/>
          <w:bCs w:val="1"/>
          <w:color w:val="auto"/>
        </w:rPr>
      </w:pPr>
    </w:p>
    <w:p>
      <w:pPr>
        <w:ind w:left="280" w:hanging="275"/>
        <w:spacing w:after="0"/>
        <w:tabs>
          <w:tab w:leader="none" w:pos="280" w:val="left"/>
        </w:tabs>
        <w:numPr>
          <w:ilvl w:val="0"/>
          <w:numId w:val="1"/>
        </w:numPr>
        <w:rPr>
          <w:rFonts w:ascii="Wingdings" w:cs="Wingdings" w:eastAsia="Wingdings" w:hAnsi="Wingdings"/>
          <w:sz w:val="14"/>
          <w:szCs w:val="14"/>
          <w:b w:val="1"/>
          <w:bCs w:val="1"/>
          <w:color w:val="auto"/>
        </w:rPr>
      </w:pPr>
      <w:r>
        <w:rPr>
          <w:rFonts w:ascii="Arial" w:cs="Arial" w:eastAsia="Arial" w:hAnsi="Arial"/>
          <w:sz w:val="14"/>
          <w:szCs w:val="14"/>
          <w:b w:val="1"/>
          <w:bCs w:val="1"/>
          <w:color w:val="auto"/>
        </w:rPr>
        <w:t>Confidential, For Use of the Commission Only (as permitted by Rule 14a-6(e)(2))</w:t>
      </w:r>
    </w:p>
    <w:p>
      <w:pPr>
        <w:spacing w:after="0" w:line="27" w:lineRule="exact"/>
        <w:rPr>
          <w:sz w:val="24"/>
          <w:szCs w:val="24"/>
          <w:color w:val="auto"/>
        </w:rPr>
      </w:pPr>
    </w:p>
    <w:p>
      <w:pPr>
        <w:ind w:right="8039" w:firstLine="5"/>
        <w:spacing w:after="0" w:line="251" w:lineRule="auto"/>
        <w:tabs>
          <w:tab w:leader="none" w:pos="290" w:val="left"/>
        </w:tabs>
        <w:numPr>
          <w:ilvl w:val="0"/>
          <w:numId w:val="2"/>
        </w:numPr>
        <w:rPr>
          <w:rFonts w:ascii="MS PGothic" w:cs="MS PGothic" w:eastAsia="MS PGothic" w:hAnsi="MS PGothic"/>
          <w:sz w:val="17"/>
          <w:szCs w:val="17"/>
          <w:color w:val="auto"/>
        </w:rPr>
      </w:pPr>
      <w:r>
        <w:rPr>
          <w:rFonts w:ascii="Arial" w:cs="Arial" w:eastAsia="Arial" w:hAnsi="Arial"/>
          <w:sz w:val="14"/>
          <w:szCs w:val="14"/>
          <w:color w:val="auto"/>
        </w:rPr>
        <w:t xml:space="preserve">Definitive Proxy Statement </w:t>
      </w:r>
      <w:r>
        <w:rPr>
          <w:rFonts w:ascii="Wingdings" w:cs="Wingdings" w:eastAsia="Wingdings" w:hAnsi="Wingdings"/>
          <w:sz w:val="14"/>
          <w:szCs w:val="14"/>
          <w:b w:val="1"/>
          <w:bCs w:val="1"/>
          <w:color w:val="auto"/>
        </w:rPr>
        <w:t xml:space="preserve">o </w:t>
      </w:r>
      <w:r>
        <w:rPr>
          <w:rFonts w:ascii="Arial" w:cs="Arial" w:eastAsia="Arial" w:hAnsi="Arial"/>
          <w:sz w:val="14"/>
          <w:szCs w:val="14"/>
          <w:color w:val="auto"/>
        </w:rPr>
        <w:t>Definitive Additional Materials</w:t>
      </w:r>
    </w:p>
    <w:p>
      <w:pPr>
        <w:spacing w:after="0" w:line="1" w:lineRule="exact"/>
        <w:rPr>
          <w:rFonts w:ascii="MS PGothic" w:cs="MS PGothic" w:eastAsia="MS PGothic" w:hAnsi="MS PGothic"/>
          <w:sz w:val="17"/>
          <w:szCs w:val="17"/>
          <w:color w:val="auto"/>
        </w:rPr>
      </w:pPr>
    </w:p>
    <w:p>
      <w:pPr>
        <w:spacing w:after="0"/>
        <w:rPr>
          <w:rFonts w:ascii="MS PGothic" w:cs="MS PGothic" w:eastAsia="MS PGothic" w:hAnsi="MS PGothic"/>
          <w:sz w:val="17"/>
          <w:szCs w:val="17"/>
          <w:color w:val="auto"/>
        </w:rPr>
      </w:pPr>
      <w:r>
        <w:rPr>
          <w:rFonts w:ascii="Wingdings" w:cs="Wingdings" w:eastAsia="Wingdings" w:hAnsi="Wingdings"/>
          <w:sz w:val="14"/>
          <w:szCs w:val="14"/>
          <w:b w:val="1"/>
          <w:bCs w:val="1"/>
          <w:color w:val="auto"/>
        </w:rPr>
        <w:t xml:space="preserve">o  </w:t>
      </w:r>
      <w:r>
        <w:rPr>
          <w:rFonts w:ascii="Arial" w:cs="Arial" w:eastAsia="Arial" w:hAnsi="Arial"/>
          <w:sz w:val="14"/>
          <w:szCs w:val="14"/>
          <w:color w:val="auto"/>
        </w:rPr>
        <w:t>Soliciting Material Under Rule 14a-12</w:t>
      </w:r>
    </w:p>
    <w:p>
      <w:pPr>
        <w:spacing w:after="0" w:line="241" w:lineRule="exact"/>
        <w:rPr>
          <w:sz w:val="24"/>
          <w:szCs w:val="24"/>
          <w:color w:val="auto"/>
        </w:rPr>
      </w:pPr>
    </w:p>
    <w:p>
      <w:pPr>
        <w:ind w:left="4060"/>
        <w:spacing w:after="0"/>
        <w:rPr>
          <w:sz w:val="20"/>
          <w:szCs w:val="20"/>
          <w:color w:val="auto"/>
        </w:rPr>
      </w:pPr>
      <w:r>
        <w:rPr>
          <w:rFonts w:ascii="Arial" w:cs="Arial" w:eastAsia="Arial" w:hAnsi="Arial"/>
          <w:sz w:val="34"/>
          <w:szCs w:val="34"/>
          <w:b w:val="1"/>
          <w:bCs w:val="1"/>
          <w:color w:val="auto"/>
        </w:rPr>
        <w:t>NERDWALLET, INC.</w:t>
      </w:r>
    </w:p>
    <w:p>
      <w:pPr>
        <w:spacing w:after="0" w:line="45" w:lineRule="exact"/>
        <w:rPr>
          <w:sz w:val="24"/>
          <w:szCs w:val="24"/>
          <w:color w:val="auto"/>
        </w:rPr>
      </w:pPr>
    </w:p>
    <w:p>
      <w:pPr>
        <w:ind w:left="4060"/>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173" w:lineRule="exact"/>
        <w:rPr>
          <w:sz w:val="24"/>
          <w:szCs w:val="24"/>
          <w:color w:val="auto"/>
        </w:rPr>
      </w:pPr>
    </w:p>
    <w:p>
      <w:pPr>
        <w:ind w:left="3700"/>
        <w:spacing w:after="0"/>
        <w:rPr>
          <w:sz w:val="20"/>
          <w:szCs w:val="20"/>
          <w:color w:val="auto"/>
        </w:rPr>
      </w:pPr>
      <w:r>
        <w:rPr>
          <w:rFonts w:ascii="Arial" w:cs="Arial" w:eastAsia="Arial" w:hAnsi="Arial"/>
          <w:sz w:val="11"/>
          <w:szCs w:val="11"/>
          <w:b w:val="1"/>
          <w:bCs w:val="1"/>
          <w:color w:val="auto"/>
        </w:rPr>
        <w:t>(Name of Person(s) Filing Proxy Statement, if Other Than the Registrant)</w:t>
      </w:r>
    </w:p>
    <w:p>
      <w:pPr>
        <w:spacing w:after="0" w:line="162" w:lineRule="exact"/>
        <w:rPr>
          <w:sz w:val="24"/>
          <w:szCs w:val="24"/>
          <w:color w:val="auto"/>
        </w:rPr>
      </w:pPr>
    </w:p>
    <w:p>
      <w:pPr>
        <w:spacing w:after="0"/>
        <w:rPr>
          <w:sz w:val="20"/>
          <w:szCs w:val="20"/>
          <w:color w:val="auto"/>
        </w:rPr>
      </w:pPr>
      <w:r>
        <w:rPr>
          <w:rFonts w:ascii="Arial" w:cs="Arial" w:eastAsia="Arial" w:hAnsi="Arial"/>
          <w:sz w:val="14"/>
          <w:szCs w:val="14"/>
          <w:color w:val="auto"/>
        </w:rPr>
        <w:t>Payment of Filing Fee (Check all boxes that apply):</w:t>
      </w:r>
    </w:p>
    <w:p>
      <w:pPr>
        <w:spacing w:after="0" w:line="176" w:lineRule="exact"/>
        <w:rPr>
          <w:sz w:val="24"/>
          <w:szCs w:val="24"/>
          <w:color w:val="auto"/>
        </w:rPr>
      </w:pPr>
    </w:p>
    <w:p>
      <w:pPr>
        <w:ind w:left="300" w:hanging="295"/>
        <w:spacing w:after="0"/>
        <w:tabs>
          <w:tab w:leader="none" w:pos="300" w:val="left"/>
        </w:tabs>
        <w:numPr>
          <w:ilvl w:val="0"/>
          <w:numId w:val="3"/>
        </w:numPr>
        <w:rPr>
          <w:rFonts w:ascii="MS PGothic" w:cs="MS PGothic" w:eastAsia="MS PGothic" w:hAnsi="MS PGothic"/>
          <w:sz w:val="17"/>
          <w:szCs w:val="17"/>
          <w:color w:val="auto"/>
        </w:rPr>
      </w:pPr>
      <w:r>
        <w:rPr>
          <w:rFonts w:ascii="Arial" w:cs="Arial" w:eastAsia="Arial" w:hAnsi="Arial"/>
          <w:sz w:val="14"/>
          <w:szCs w:val="14"/>
          <w:color w:val="auto"/>
        </w:rPr>
        <w:t>No fee required</w:t>
      </w:r>
    </w:p>
    <w:p>
      <w:pPr>
        <w:ind w:left="280" w:hanging="275"/>
        <w:spacing w:after="0" w:line="237" w:lineRule="auto"/>
        <w:tabs>
          <w:tab w:leader="none" w:pos="280" w:val="left"/>
        </w:tabs>
        <w:numPr>
          <w:ilvl w:val="0"/>
          <w:numId w:val="4"/>
        </w:numPr>
        <w:rPr>
          <w:rFonts w:ascii="Wingdings" w:cs="Wingdings" w:eastAsia="Wingdings" w:hAnsi="Wingdings"/>
          <w:sz w:val="14"/>
          <w:szCs w:val="14"/>
          <w:b w:val="1"/>
          <w:bCs w:val="1"/>
          <w:color w:val="auto"/>
        </w:rPr>
      </w:pPr>
      <w:r>
        <w:rPr>
          <w:rFonts w:ascii="Arial" w:cs="Arial" w:eastAsia="Arial" w:hAnsi="Arial"/>
          <w:sz w:val="14"/>
          <w:szCs w:val="14"/>
          <w:color w:val="auto"/>
        </w:rPr>
        <w:t>Fee paid previously with preliminary materials</w:t>
      </w:r>
    </w:p>
    <w:p>
      <w:pPr>
        <w:ind w:left="280" w:hanging="275"/>
        <w:spacing w:after="0"/>
        <w:tabs>
          <w:tab w:leader="none" w:pos="280" w:val="left"/>
        </w:tabs>
        <w:numPr>
          <w:ilvl w:val="0"/>
          <w:numId w:val="4"/>
        </w:numPr>
        <w:rPr>
          <w:rFonts w:ascii="Wingdings" w:cs="Wingdings" w:eastAsia="Wingdings" w:hAnsi="Wingdings"/>
          <w:sz w:val="14"/>
          <w:szCs w:val="14"/>
          <w:b w:val="1"/>
          <w:bCs w:val="1"/>
          <w:color w:val="auto"/>
        </w:rPr>
      </w:pPr>
      <w:r>
        <w:rPr>
          <w:rFonts w:ascii="Arial" w:cs="Arial" w:eastAsia="Arial" w:hAnsi="Arial"/>
          <w:sz w:val="14"/>
          <w:szCs w:val="14"/>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6153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160655</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0159"/>
          </w:cols>
          <w:pgMar w:left="300" w:top="1440" w:right="1440" w:bottom="1440"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1028700</wp:posOffset>
            </wp:positionH>
            <wp:positionV relativeFrom="page">
              <wp:posOffset>210185</wp:posOffset>
            </wp:positionV>
            <wp:extent cx="5497830" cy="71012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5497830" cy="7101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843280</wp:posOffset>
            </wp:positionV>
            <wp:extent cx="1724660" cy="262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724660" cy="262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3"/>
          <w:szCs w:val="13"/>
          <w:color w:val="auto"/>
        </w:rPr>
        <w:t>April 14, 2025</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Fellow Stockholders,</w:t>
      </w:r>
    </w:p>
    <w:p>
      <w:pPr>
        <w:spacing w:after="0" w:line="190" w:lineRule="exact"/>
        <w:rPr>
          <w:sz w:val="20"/>
          <w:szCs w:val="20"/>
          <w:color w:val="auto"/>
        </w:rPr>
      </w:pPr>
    </w:p>
    <w:p>
      <w:pPr>
        <w:ind w:right="240"/>
        <w:spacing w:after="0" w:line="283" w:lineRule="auto"/>
        <w:rPr>
          <w:sz w:val="20"/>
          <w:szCs w:val="20"/>
          <w:color w:val="auto"/>
        </w:rPr>
      </w:pPr>
      <w:r>
        <w:rPr>
          <w:rFonts w:ascii="Arial" w:cs="Arial" w:eastAsia="Arial" w:hAnsi="Arial"/>
          <w:sz w:val="13"/>
          <w:szCs w:val="13"/>
          <w:color w:val="auto"/>
        </w:rPr>
        <w:t>At NerdWallet, we are on a mission to provide clarity for all of life’s financial decisions: Wherever you are on your journey—financing your education, building your savings, shopping for your dream home, or investing your nest egg—we are here to help with unbiased, trusted guidance.</w:t>
      </w:r>
    </w:p>
    <w:p>
      <w:pPr>
        <w:spacing w:after="0" w:line="146" w:lineRule="exact"/>
        <w:rPr>
          <w:sz w:val="20"/>
          <w:szCs w:val="20"/>
          <w:color w:val="auto"/>
        </w:rPr>
      </w:pPr>
    </w:p>
    <w:p>
      <w:pPr>
        <w:ind w:right="140"/>
        <w:spacing w:after="0" w:line="261" w:lineRule="auto"/>
        <w:rPr>
          <w:sz w:val="20"/>
          <w:szCs w:val="20"/>
          <w:color w:val="auto"/>
        </w:rPr>
      </w:pPr>
      <w:r>
        <w:rPr>
          <w:rFonts w:ascii="Arial" w:cs="Arial" w:eastAsia="Arial" w:hAnsi="Arial"/>
          <w:sz w:val="13"/>
          <w:szCs w:val="13"/>
          <w:color w:val="auto"/>
        </w:rPr>
        <w:t>In 2024, our mission has galvanized us to new heights. Throughout the year, we worked hard to help more people in more ways. One way we did this was through our new membership product, NerdWallet+, which rewards members for healthy financial behaviors. Another was through new shopping integrations like the hands-on concierge service we established with our acquisition of Next Door Lending, a mortgage brokerage.</w:t>
      </w:r>
    </w:p>
    <w:p>
      <w:pPr>
        <w:spacing w:after="0" w:line="159" w:lineRule="exact"/>
        <w:rPr>
          <w:sz w:val="20"/>
          <w:szCs w:val="20"/>
          <w:color w:val="auto"/>
        </w:rPr>
      </w:pPr>
    </w:p>
    <w:p>
      <w:pPr>
        <w:spacing w:after="0" w:line="261" w:lineRule="auto"/>
        <w:rPr>
          <w:sz w:val="20"/>
          <w:szCs w:val="20"/>
          <w:color w:val="auto"/>
        </w:rPr>
      </w:pPr>
      <w:r>
        <w:rPr>
          <w:rFonts w:ascii="Arial" w:cs="Arial" w:eastAsia="Arial" w:hAnsi="Arial"/>
          <w:sz w:val="13"/>
          <w:szCs w:val="13"/>
          <w:color w:val="auto"/>
        </w:rPr>
        <w:t>I am really excited about what we accomplished on behalf of our users. This has all been thanks to the dedication of our incredible team. The Nerds embody our mission and values every day, showing up for consumers, each other, and themselves with integrity, perseverance, and creativity. Our goal is for NerdWallet to be a place where every Nerd has their chance to create change, and their contributions in 2024 make me feel confident that we are succeeding.</w:t>
      </w:r>
    </w:p>
    <w:p>
      <w:pPr>
        <w:spacing w:after="0" w:line="170" w:lineRule="exact"/>
        <w:rPr>
          <w:sz w:val="20"/>
          <w:szCs w:val="20"/>
          <w:color w:val="auto"/>
        </w:rPr>
      </w:pPr>
    </w:p>
    <w:p>
      <w:pPr>
        <w:ind w:right="440"/>
        <w:spacing w:after="0" w:line="266" w:lineRule="auto"/>
        <w:rPr>
          <w:sz w:val="20"/>
          <w:szCs w:val="20"/>
          <w:color w:val="auto"/>
        </w:rPr>
      </w:pPr>
      <w:r>
        <w:rPr>
          <w:rFonts w:ascii="Arial" w:cs="Arial" w:eastAsia="Arial" w:hAnsi="Arial"/>
          <w:sz w:val="13"/>
          <w:szCs w:val="13"/>
          <w:color w:val="auto"/>
        </w:rPr>
        <w:t>You can read more about our approach to building NerdWallet and our community of Nerds, as well as our commitments to the world beyond our walls, in our proxy statement, as well as on our website.</w:t>
      </w:r>
    </w:p>
    <w:p>
      <w:pPr>
        <w:spacing w:after="0" w:line="157" w:lineRule="exact"/>
        <w:rPr>
          <w:sz w:val="20"/>
          <w:szCs w:val="20"/>
          <w:color w:val="auto"/>
        </w:rPr>
      </w:pPr>
    </w:p>
    <w:p>
      <w:pPr>
        <w:ind w:right="260"/>
        <w:spacing w:after="0" w:line="283" w:lineRule="auto"/>
        <w:rPr>
          <w:sz w:val="20"/>
          <w:szCs w:val="20"/>
          <w:color w:val="auto"/>
        </w:rPr>
      </w:pPr>
      <w:r>
        <w:rPr>
          <w:rFonts w:ascii="Arial" w:cs="Arial" w:eastAsia="Arial" w:hAnsi="Arial"/>
          <w:sz w:val="13"/>
          <w:szCs w:val="13"/>
          <w:color w:val="auto"/>
        </w:rPr>
        <w:t>I am looking forward to hosting our Annual Meeting on May 21, 2025. At the meeting, you will have a chance to vote on the matters set forth in the accompanying Notice of 2025 Annual Meeting of Stockholders and Proxy Statement.</w:t>
      </w:r>
    </w:p>
    <w:p>
      <w:pPr>
        <w:spacing w:after="0" w:line="146" w:lineRule="exact"/>
        <w:rPr>
          <w:sz w:val="20"/>
          <w:szCs w:val="20"/>
          <w:color w:val="auto"/>
        </w:rPr>
      </w:pPr>
    </w:p>
    <w:p>
      <w:pPr>
        <w:ind w:right="40"/>
        <w:spacing w:after="0" w:line="283" w:lineRule="auto"/>
        <w:rPr>
          <w:sz w:val="20"/>
          <w:szCs w:val="20"/>
          <w:color w:val="auto"/>
        </w:rPr>
      </w:pPr>
      <w:r>
        <w:rPr>
          <w:rFonts w:ascii="Arial" w:cs="Arial" w:eastAsia="Arial" w:hAnsi="Arial"/>
          <w:sz w:val="13"/>
          <w:szCs w:val="13"/>
          <w:color w:val="auto"/>
        </w:rPr>
        <w:t>Your vote is important! Even if you plan to attend the Annual Meeting, please vote by internet, telephone or mail as soon as possible to ensure your vote is recorded promptly. The instructions set forth in the Notice of Internet Availability of Proxy Materials, proxy card or voting instruction card explain how to vote your shares.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On behalf of the Board of Directors, thank you for your continued support and confidence.</w:t>
      </w:r>
    </w:p>
    <w:p>
      <w:pPr>
        <w:spacing w:after="0" w:line="190" w:lineRule="exact"/>
        <w:rPr>
          <w:sz w:val="20"/>
          <w:szCs w:val="20"/>
          <w:color w:val="auto"/>
        </w:rPr>
      </w:pPr>
    </w:p>
    <w:p>
      <w:pPr>
        <w:spacing w:after="0"/>
        <w:rPr>
          <w:sz w:val="20"/>
          <w:szCs w:val="20"/>
          <w:color w:val="auto"/>
        </w:rPr>
      </w:pPr>
      <w:r>
        <w:rPr>
          <w:rFonts w:ascii="Arial" w:cs="Arial" w:eastAsia="Arial" w:hAnsi="Arial"/>
          <w:sz w:val="13"/>
          <w:szCs w:val="13"/>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187960</wp:posOffset>
            </wp:positionV>
            <wp:extent cx="1239520" cy="410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9520" cy="410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TIM CHEN</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Chief Executive Officer and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161530" cy="2895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289560"/>
                    </a:xfrm>
                    <a:prstGeom prst="rect">
                      <a:avLst/>
                    </a:prstGeom>
                    <a:noFill/>
                  </pic:spPr>
                </pic:pic>
              </a:graphicData>
            </a:graphic>
          </wp:anchor>
        </w:drawing>
      </w:r>
    </w:p>
    <w:p>
      <w:pPr>
        <w:sectPr>
          <w:pgSz w:w="11900" w:h="16838" w:orient="portrait"/>
          <w:cols w:equalWidth="0" w:num="1">
            <w:col w:w="11240"/>
          </w:cols>
          <w:pgMar w:left="300" w:top="1440" w:right="3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193675</wp:posOffset>
            </wp:positionH>
            <wp:positionV relativeFrom="page">
              <wp:posOffset>843280</wp:posOffset>
            </wp:positionV>
            <wp:extent cx="1724660" cy="262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724660" cy="262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34"/>
          <w:szCs w:val="34"/>
          <w:b w:val="1"/>
          <w:bCs w:val="1"/>
          <w:color w:val="auto"/>
        </w:rPr>
        <w:t>Notice of 2025 Annual Meeting of Stockholders</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uto"/>
        </w:rPr>
        <w:t>The accompanying proxy statement is provided in connection with the solicitation of proxies by the Board of Directors of NerdWallet, Inc. for use at the 2025 Annual Meeting of Stockholders.</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The Annual Meeting is being held virtually by live webcast on Wednesday, May 21, 2025, at 10:00 a.m., Pacific Time, to conduct the following items of business:</w:t>
      </w:r>
    </w:p>
    <w:p>
      <w:pPr>
        <w:spacing w:after="0" w:line="179" w:lineRule="exact"/>
        <w:rPr>
          <w:sz w:val="20"/>
          <w:szCs w:val="20"/>
          <w:color w:val="auto"/>
        </w:rPr>
      </w:pPr>
    </w:p>
    <w:p>
      <w:pPr>
        <w:ind w:left="380" w:right="480" w:hanging="248"/>
        <w:spacing w:after="0" w:line="266" w:lineRule="auto"/>
        <w:tabs>
          <w:tab w:leader="none" w:pos="380" w:val="left"/>
        </w:tabs>
        <w:numPr>
          <w:ilvl w:val="0"/>
          <w:numId w:val="5"/>
        </w:numPr>
        <w:rPr>
          <w:rFonts w:ascii="Arial" w:cs="Arial" w:eastAsia="Arial" w:hAnsi="Arial"/>
          <w:sz w:val="13"/>
          <w:szCs w:val="13"/>
          <w:color w:val="auto"/>
        </w:rPr>
      </w:pPr>
      <w:r>
        <w:rPr>
          <w:rFonts w:ascii="Arial" w:cs="Arial" w:eastAsia="Arial" w:hAnsi="Arial"/>
          <w:sz w:val="13"/>
          <w:szCs w:val="13"/>
          <w:color w:val="auto"/>
        </w:rPr>
        <w:t>To elect four nominees named in this proxy statement to our Board of Directors (“Board”), each to serve until the annual meeting in 2026 and until a successor has been duly elected and qualified, or until such director’s earlier resignation, retirement or other termination of service; and</w:t>
      </w:r>
    </w:p>
    <w:p>
      <w:pPr>
        <w:spacing w:after="0" w:line="146" w:lineRule="exact"/>
        <w:rPr>
          <w:rFonts w:ascii="Arial" w:cs="Arial" w:eastAsia="Arial" w:hAnsi="Arial"/>
          <w:sz w:val="13"/>
          <w:szCs w:val="13"/>
          <w:color w:val="auto"/>
        </w:rPr>
      </w:pPr>
    </w:p>
    <w:p>
      <w:pPr>
        <w:ind w:left="380" w:hanging="248"/>
        <w:spacing w:after="0"/>
        <w:tabs>
          <w:tab w:leader="none" w:pos="380" w:val="left"/>
        </w:tabs>
        <w:numPr>
          <w:ilvl w:val="0"/>
          <w:numId w:val="5"/>
        </w:numPr>
        <w:rPr>
          <w:rFonts w:ascii="Arial" w:cs="Arial" w:eastAsia="Arial" w:hAnsi="Arial"/>
          <w:sz w:val="13"/>
          <w:szCs w:val="13"/>
          <w:color w:val="auto"/>
        </w:rPr>
      </w:pPr>
      <w:r>
        <w:rPr>
          <w:rFonts w:ascii="Arial" w:cs="Arial" w:eastAsia="Arial" w:hAnsi="Arial"/>
          <w:sz w:val="13"/>
          <w:szCs w:val="13"/>
          <w:color w:val="auto"/>
        </w:rPr>
        <w:t>To ratify the appointment of Deloitte &amp; Touche LLP as our independent registered public accounting firm for the year ending December 31, 2025.</w:t>
      </w:r>
    </w:p>
    <w:p>
      <w:pPr>
        <w:spacing w:after="0" w:line="169" w:lineRule="exact"/>
        <w:rPr>
          <w:sz w:val="20"/>
          <w:szCs w:val="20"/>
          <w:color w:val="auto"/>
        </w:rPr>
      </w:pPr>
    </w:p>
    <w:p>
      <w:pPr>
        <w:ind w:right="240"/>
        <w:spacing w:after="0" w:line="266" w:lineRule="auto"/>
        <w:rPr>
          <w:sz w:val="20"/>
          <w:szCs w:val="20"/>
          <w:color w:val="auto"/>
        </w:rPr>
      </w:pPr>
      <w:r>
        <w:rPr>
          <w:rFonts w:ascii="Arial" w:cs="Arial" w:eastAsia="Arial" w:hAnsi="Arial"/>
          <w:sz w:val="13"/>
          <w:szCs w:val="13"/>
          <w:color w:val="auto"/>
        </w:rPr>
        <w:t>The accompanying proxy statement describes each of these items of business in detail. The stockholders will also act on any other business that may properly come before the Annual Meeting and any postponement, continuation or adjournment thereof. We have not received notice of any other matters that may properly be presented at the Annual Meeting.</w:t>
      </w:r>
    </w:p>
    <w:p>
      <w:pPr>
        <w:spacing w:after="0" w:line="146" w:lineRule="exact"/>
        <w:rPr>
          <w:sz w:val="20"/>
          <w:szCs w:val="20"/>
          <w:color w:val="auto"/>
        </w:rPr>
      </w:pPr>
    </w:p>
    <w:p>
      <w:pPr>
        <w:spacing w:after="0" w:line="261" w:lineRule="auto"/>
        <w:rPr>
          <w:sz w:val="20"/>
          <w:szCs w:val="20"/>
          <w:color w:val="auto"/>
        </w:rPr>
      </w:pPr>
      <w:r>
        <w:rPr>
          <w:rFonts w:ascii="Arial" w:cs="Arial" w:eastAsia="Arial" w:hAnsi="Arial"/>
          <w:sz w:val="13"/>
          <w:szCs w:val="13"/>
          <w:color w:val="auto"/>
        </w:rPr>
        <w:t>We will begin mailing a Notice of Internet Availability of Proxy Materials on or about April 14, 2025 to holders of record of shares of our Class A common stock and Class B common stock at the close of business on the record date, March 24, 2025. The Notice of Internet Availability of Proxy Materials contains information on how to access this notice, the proxy statement, the form of proxy and our 2024 Annual Report to stockholders over the Internet, as well as instructions on how to request a paper copy of these materials.</w:t>
      </w:r>
    </w:p>
    <w:p>
      <w:pPr>
        <w:spacing w:after="0" w:line="138" w:lineRule="exact"/>
        <w:rPr>
          <w:sz w:val="20"/>
          <w:szCs w:val="20"/>
          <w:color w:val="auto"/>
        </w:rPr>
      </w:pPr>
    </w:p>
    <w:p>
      <w:pPr>
        <w:ind w:right="160"/>
        <w:spacing w:after="0" w:line="266" w:lineRule="auto"/>
        <w:rPr>
          <w:sz w:val="20"/>
          <w:szCs w:val="20"/>
          <w:color w:val="auto"/>
        </w:rPr>
      </w:pPr>
      <w:r>
        <w:rPr>
          <w:rFonts w:ascii="Arial" w:cs="Arial" w:eastAsia="Arial" w:hAnsi="Arial"/>
          <w:sz w:val="13"/>
          <w:szCs w:val="13"/>
          <w:color w:val="auto"/>
        </w:rPr>
        <w:t>Only stockholders of record at the close of business on March 24, 2025, the date established by our Board as the record date, are entitled to receive notice of, and vote at, the Annual Meeting or any postponement, continuation, or adjournment thereof.</w:t>
      </w:r>
    </w:p>
    <w:p>
      <w:pPr>
        <w:spacing w:after="0" w:line="146" w:lineRule="exact"/>
        <w:rPr>
          <w:sz w:val="20"/>
          <w:szCs w:val="20"/>
          <w:color w:val="auto"/>
        </w:rPr>
      </w:pPr>
    </w:p>
    <w:p>
      <w:pPr>
        <w:ind w:right="120"/>
        <w:spacing w:after="0" w:line="261" w:lineRule="auto"/>
        <w:rPr>
          <w:sz w:val="20"/>
          <w:szCs w:val="20"/>
          <w:color w:val="auto"/>
        </w:rPr>
      </w:pPr>
      <w:r>
        <w:rPr>
          <w:rFonts w:ascii="Arial" w:cs="Arial" w:eastAsia="Arial" w:hAnsi="Arial"/>
          <w:sz w:val="13"/>
          <w:szCs w:val="13"/>
          <w:color w:val="auto"/>
        </w:rPr>
        <w:t>All stockholders are invited to attend the Annual Meeting by pre-registering at www.proxydocs.com/NRDS. You will be able to attend the Annual Meeting, submit appropriate questions to our management and Board, and vote your shares during the Annual Meeting. To participate in and vote at the Annual Meeting, stockholders will need the unique control number in their Notice of Internet Availability of Proxy Materials or proxy card. Additional information regarding the Annual Meeting is included in the accompanying proxy statement.</w:t>
      </w:r>
    </w:p>
    <w:p>
      <w:pPr>
        <w:spacing w:after="0" w:line="138" w:lineRule="exact"/>
        <w:rPr>
          <w:sz w:val="20"/>
          <w:szCs w:val="20"/>
          <w:color w:val="auto"/>
        </w:rPr>
      </w:pPr>
    </w:p>
    <w:p>
      <w:pPr>
        <w:ind w:right="520"/>
        <w:spacing w:after="0" w:line="266" w:lineRule="auto"/>
        <w:rPr>
          <w:sz w:val="20"/>
          <w:szCs w:val="20"/>
          <w:color w:val="auto"/>
        </w:rPr>
      </w:pPr>
      <w:r>
        <w:rPr>
          <w:rFonts w:ascii="Arial" w:cs="Arial" w:eastAsia="Arial" w:hAnsi="Arial"/>
          <w:sz w:val="13"/>
          <w:szCs w:val="13"/>
          <w:color w:val="auto"/>
        </w:rPr>
        <w:t>Your vote is very important. Whether or not you plan to participate in the Annual Meeting, we urge you to vote as soon as possible by telephone, by mail or over the Internet as described in the accompanying proxy statement.</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59690</wp:posOffset>
            </wp:positionV>
            <wp:extent cx="1320800" cy="2089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20800" cy="20891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EKUMENE M. LYSONGE</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Chief Legal Officer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315595</wp:posOffset>
            </wp:positionV>
            <wp:extent cx="7161530" cy="2895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289560"/>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4" w:name="page5"/>
    <w:bookmarkEnd w:id="4"/>
    <w:p>
      <w:pPr>
        <w:spacing w:after="0"/>
        <w:rPr>
          <w:sz w:val="20"/>
          <w:szCs w:val="20"/>
          <w:color w:val="auto"/>
        </w:rPr>
      </w:pPr>
      <w:r>
        <w:rPr>
          <w:rFonts w:ascii="Arial" w:cs="Arial" w:eastAsia="Arial" w:hAnsi="Arial"/>
          <w:sz w:val="33"/>
          <w:szCs w:val="33"/>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151130</wp:posOffset>
            </wp:positionV>
            <wp:extent cx="716153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0920"/>
          </w:cols>
          <w:pgMar w:left="300" w:top="1135" w:right="679" w:bottom="1440" w:gutter="0" w:footer="0" w:header="0"/>
        </w:sectPr>
      </w:pPr>
    </w:p>
    <w:p>
      <w:pPr>
        <w:spacing w:after="0" w:line="386"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4740" w:type="dxa"/>
            <w:vAlign w:val="bottom"/>
          </w:tcPr>
          <w:p>
            <w:pPr>
              <w:spacing w:after="0"/>
              <w:rPr>
                <w:sz w:val="20"/>
                <w:szCs w:val="20"/>
                <w:color w:val="auto"/>
              </w:rPr>
            </w:pPr>
            <w:r>
              <w:rPr>
                <w:rFonts w:ascii="Arial" w:cs="Arial" w:eastAsia="Arial" w:hAnsi="Arial"/>
                <w:sz w:val="13"/>
                <w:szCs w:val="13"/>
                <w:b w:val="1"/>
                <w:bCs w:val="1"/>
                <w:color w:val="0C6936"/>
              </w:rPr>
              <w:t>PROXY SUMMARY</w:t>
            </w:r>
          </w:p>
        </w:tc>
        <w:tc>
          <w:tcPr>
            <w:tcW w:w="260" w:type="dxa"/>
            <w:vAlign w:val="bottom"/>
          </w:tcPr>
          <w:p>
            <w:pPr>
              <w:jc w:val="center"/>
              <w:ind w:left="62"/>
              <w:spacing w:after="0"/>
              <w:rPr>
                <w:sz w:val="20"/>
                <w:szCs w:val="20"/>
                <w:color w:val="auto"/>
              </w:rPr>
            </w:pPr>
            <w:r>
              <w:rPr>
                <w:rFonts w:ascii="Arial" w:cs="Arial" w:eastAsia="Arial" w:hAnsi="Arial"/>
                <w:sz w:val="13"/>
                <w:szCs w:val="13"/>
                <w:b w:val="1"/>
                <w:bCs w:val="1"/>
                <w:color w:val="0C6936"/>
                <w:w w:val="82"/>
              </w:rPr>
              <w:t>1</w:t>
            </w:r>
          </w:p>
        </w:tc>
        <w:tc>
          <w:tcPr>
            <w:tcW w:w="0" w:type="dxa"/>
            <w:vAlign w:val="bottom"/>
          </w:tcPr>
          <w:p>
            <w:pPr>
              <w:spacing w:after="0"/>
              <w:rPr>
                <w:sz w:val="1"/>
                <w:szCs w:val="1"/>
                <w:color w:val="auto"/>
              </w:rPr>
            </w:pPr>
          </w:p>
        </w:tc>
      </w:tr>
      <w:tr>
        <w:trPr>
          <w:trHeight w:val="234"/>
        </w:trPr>
        <w:tc>
          <w:tcPr>
            <w:tcW w:w="4740" w:type="dxa"/>
            <w:vAlign w:val="bottom"/>
          </w:tcPr>
          <w:p>
            <w:pPr>
              <w:ind w:left="260"/>
              <w:spacing w:after="0"/>
              <w:rPr>
                <w:sz w:val="20"/>
                <w:szCs w:val="20"/>
                <w:color w:val="auto"/>
              </w:rPr>
            </w:pPr>
            <w:r>
              <w:rPr>
                <w:rFonts w:ascii="Arial" w:cs="Arial" w:eastAsia="Arial" w:hAnsi="Arial"/>
                <w:sz w:val="11"/>
                <w:szCs w:val="11"/>
                <w:color w:val="auto"/>
              </w:rPr>
              <w:t>2025 Annual Meeting of Stockholders</w:t>
            </w:r>
          </w:p>
        </w:tc>
        <w:tc>
          <w:tcPr>
            <w:tcW w:w="260" w:type="dxa"/>
            <w:vAlign w:val="bottom"/>
          </w:tcPr>
          <w:p>
            <w:pPr>
              <w:jc w:val="center"/>
              <w:ind w:left="62"/>
              <w:spacing w:after="0"/>
              <w:rPr>
                <w:sz w:val="20"/>
                <w:szCs w:val="20"/>
                <w:color w:val="auto"/>
              </w:rPr>
            </w:pPr>
            <w:r>
              <w:rPr>
                <w:rFonts w:ascii="Arial" w:cs="Arial" w:eastAsia="Arial" w:hAnsi="Arial"/>
                <w:sz w:val="11"/>
                <w:szCs w:val="11"/>
                <w:color w:val="auto"/>
                <w:w w:val="97"/>
              </w:rPr>
              <w:t>1</w:t>
            </w:r>
          </w:p>
        </w:tc>
        <w:tc>
          <w:tcPr>
            <w:tcW w:w="0" w:type="dxa"/>
            <w:vAlign w:val="bottom"/>
          </w:tcPr>
          <w:p>
            <w:pPr>
              <w:spacing w:after="0"/>
              <w:rPr>
                <w:sz w:val="1"/>
                <w:szCs w:val="1"/>
                <w:color w:val="auto"/>
              </w:rPr>
            </w:pPr>
          </w:p>
        </w:tc>
      </w:tr>
      <w:tr>
        <w:trPr>
          <w:trHeight w:val="244"/>
        </w:trPr>
        <w:tc>
          <w:tcPr>
            <w:tcW w:w="4740" w:type="dxa"/>
            <w:vAlign w:val="bottom"/>
          </w:tcPr>
          <w:p>
            <w:pPr>
              <w:ind w:left="260"/>
              <w:spacing w:after="0"/>
              <w:rPr>
                <w:sz w:val="20"/>
                <w:szCs w:val="20"/>
                <w:color w:val="auto"/>
              </w:rPr>
            </w:pPr>
            <w:r>
              <w:rPr>
                <w:rFonts w:ascii="Arial" w:cs="Arial" w:eastAsia="Arial" w:hAnsi="Arial"/>
                <w:sz w:val="11"/>
                <w:szCs w:val="11"/>
                <w:color w:val="auto"/>
              </w:rPr>
              <w:t>About NerdWallet</w:t>
            </w:r>
          </w:p>
        </w:tc>
        <w:tc>
          <w:tcPr>
            <w:tcW w:w="260" w:type="dxa"/>
            <w:vAlign w:val="bottom"/>
          </w:tcPr>
          <w:p>
            <w:pPr>
              <w:jc w:val="center"/>
              <w:ind w:left="62"/>
              <w:spacing w:after="0"/>
              <w:rPr>
                <w:sz w:val="20"/>
                <w:szCs w:val="20"/>
                <w:color w:val="auto"/>
              </w:rPr>
            </w:pPr>
            <w:r>
              <w:rPr>
                <w:rFonts w:ascii="Arial" w:cs="Arial" w:eastAsia="Arial" w:hAnsi="Arial"/>
                <w:sz w:val="11"/>
                <w:szCs w:val="11"/>
                <w:color w:val="auto"/>
                <w:w w:val="97"/>
              </w:rPr>
              <w:t>2</w:t>
            </w:r>
          </w:p>
        </w:tc>
        <w:tc>
          <w:tcPr>
            <w:tcW w:w="0" w:type="dxa"/>
            <w:vAlign w:val="bottom"/>
          </w:tcPr>
          <w:p>
            <w:pPr>
              <w:spacing w:after="0"/>
              <w:rPr>
                <w:sz w:val="1"/>
                <w:szCs w:val="1"/>
                <w:color w:val="auto"/>
              </w:rPr>
            </w:pPr>
          </w:p>
        </w:tc>
      </w:tr>
      <w:tr>
        <w:trPr>
          <w:trHeight w:val="244"/>
        </w:trPr>
        <w:tc>
          <w:tcPr>
            <w:tcW w:w="4740" w:type="dxa"/>
            <w:vAlign w:val="bottom"/>
          </w:tcPr>
          <w:p>
            <w:pPr>
              <w:ind w:left="260"/>
              <w:spacing w:after="0"/>
              <w:rPr>
                <w:sz w:val="20"/>
                <w:szCs w:val="20"/>
                <w:color w:val="auto"/>
              </w:rPr>
            </w:pPr>
            <w:r>
              <w:rPr>
                <w:rFonts w:ascii="Arial" w:cs="Arial" w:eastAsia="Arial" w:hAnsi="Arial"/>
                <w:sz w:val="11"/>
                <w:szCs w:val="11"/>
                <w:color w:val="auto"/>
              </w:rPr>
              <w:t>Human Capital Management</w:t>
            </w:r>
          </w:p>
        </w:tc>
        <w:tc>
          <w:tcPr>
            <w:tcW w:w="260" w:type="dxa"/>
            <w:vAlign w:val="bottom"/>
          </w:tcPr>
          <w:p>
            <w:pPr>
              <w:jc w:val="center"/>
              <w:ind w:left="62"/>
              <w:spacing w:after="0"/>
              <w:rPr>
                <w:sz w:val="20"/>
                <w:szCs w:val="20"/>
                <w:color w:val="auto"/>
              </w:rPr>
            </w:pPr>
            <w:r>
              <w:rPr>
                <w:rFonts w:ascii="Arial" w:cs="Arial" w:eastAsia="Arial" w:hAnsi="Arial"/>
                <w:sz w:val="11"/>
                <w:szCs w:val="11"/>
                <w:color w:val="auto"/>
                <w:w w:val="97"/>
              </w:rPr>
              <w:t>4</w:t>
            </w:r>
          </w:p>
        </w:tc>
        <w:tc>
          <w:tcPr>
            <w:tcW w:w="0" w:type="dxa"/>
            <w:vAlign w:val="bottom"/>
          </w:tcPr>
          <w:p>
            <w:pPr>
              <w:spacing w:after="0"/>
              <w:rPr>
                <w:sz w:val="1"/>
                <w:szCs w:val="1"/>
                <w:color w:val="auto"/>
              </w:rPr>
            </w:pPr>
          </w:p>
        </w:tc>
      </w:tr>
      <w:tr>
        <w:trPr>
          <w:trHeight w:val="244"/>
        </w:trPr>
        <w:tc>
          <w:tcPr>
            <w:tcW w:w="4740" w:type="dxa"/>
            <w:vAlign w:val="bottom"/>
          </w:tcPr>
          <w:p>
            <w:pPr>
              <w:ind w:left="260"/>
              <w:spacing w:after="0"/>
              <w:rPr>
                <w:sz w:val="20"/>
                <w:szCs w:val="20"/>
                <w:color w:val="auto"/>
              </w:rPr>
            </w:pPr>
            <w:r>
              <w:rPr>
                <w:rFonts w:ascii="Arial" w:cs="Arial" w:eastAsia="Arial" w:hAnsi="Arial"/>
                <w:sz w:val="11"/>
                <w:szCs w:val="11"/>
                <w:color w:val="auto"/>
              </w:rPr>
              <w:t>Director Nominees</w:t>
            </w:r>
          </w:p>
        </w:tc>
        <w:tc>
          <w:tcPr>
            <w:tcW w:w="260" w:type="dxa"/>
            <w:vAlign w:val="bottom"/>
          </w:tcPr>
          <w:p>
            <w:pPr>
              <w:jc w:val="center"/>
              <w:ind w:left="62"/>
              <w:spacing w:after="0"/>
              <w:rPr>
                <w:sz w:val="20"/>
                <w:szCs w:val="20"/>
                <w:color w:val="auto"/>
              </w:rPr>
            </w:pPr>
            <w:r>
              <w:rPr>
                <w:rFonts w:ascii="Arial" w:cs="Arial" w:eastAsia="Arial" w:hAnsi="Arial"/>
                <w:sz w:val="11"/>
                <w:szCs w:val="11"/>
                <w:color w:val="auto"/>
                <w:w w:val="97"/>
              </w:rPr>
              <w:t>5</w:t>
            </w:r>
          </w:p>
        </w:tc>
        <w:tc>
          <w:tcPr>
            <w:tcW w:w="0" w:type="dxa"/>
            <w:vAlign w:val="bottom"/>
          </w:tcPr>
          <w:p>
            <w:pPr>
              <w:spacing w:after="0"/>
              <w:rPr>
                <w:sz w:val="1"/>
                <w:szCs w:val="1"/>
                <w:color w:val="auto"/>
              </w:rPr>
            </w:pPr>
          </w:p>
        </w:tc>
      </w:tr>
      <w:tr>
        <w:trPr>
          <w:trHeight w:val="244"/>
        </w:trPr>
        <w:tc>
          <w:tcPr>
            <w:tcW w:w="4740" w:type="dxa"/>
            <w:vAlign w:val="bottom"/>
          </w:tcPr>
          <w:p>
            <w:pPr>
              <w:ind w:left="260"/>
              <w:spacing w:after="0"/>
              <w:rPr>
                <w:sz w:val="20"/>
                <w:szCs w:val="20"/>
                <w:color w:val="auto"/>
              </w:rPr>
            </w:pPr>
            <w:r>
              <w:rPr>
                <w:rFonts w:ascii="Arial" w:cs="Arial" w:eastAsia="Arial" w:hAnsi="Arial"/>
                <w:sz w:val="11"/>
                <w:szCs w:val="11"/>
                <w:color w:val="auto"/>
              </w:rPr>
              <w:t>A Diverse and Skilled Board</w:t>
            </w:r>
          </w:p>
        </w:tc>
        <w:tc>
          <w:tcPr>
            <w:tcW w:w="260" w:type="dxa"/>
            <w:vAlign w:val="bottom"/>
          </w:tcPr>
          <w:p>
            <w:pPr>
              <w:jc w:val="center"/>
              <w:ind w:left="62"/>
              <w:spacing w:after="0"/>
              <w:rPr>
                <w:sz w:val="20"/>
                <w:szCs w:val="20"/>
                <w:color w:val="auto"/>
              </w:rPr>
            </w:pPr>
            <w:r>
              <w:rPr>
                <w:rFonts w:ascii="Arial" w:cs="Arial" w:eastAsia="Arial" w:hAnsi="Arial"/>
                <w:sz w:val="11"/>
                <w:szCs w:val="11"/>
                <w:color w:val="auto"/>
                <w:w w:val="97"/>
              </w:rPr>
              <w:t>6</w:t>
            </w:r>
          </w:p>
        </w:tc>
        <w:tc>
          <w:tcPr>
            <w:tcW w:w="0" w:type="dxa"/>
            <w:vAlign w:val="bottom"/>
          </w:tcPr>
          <w:p>
            <w:pPr>
              <w:spacing w:after="0"/>
              <w:rPr>
                <w:sz w:val="1"/>
                <w:szCs w:val="1"/>
                <w:color w:val="auto"/>
              </w:rPr>
            </w:pPr>
          </w:p>
        </w:tc>
      </w:tr>
      <w:tr>
        <w:trPr>
          <w:trHeight w:val="244"/>
        </w:trPr>
        <w:tc>
          <w:tcPr>
            <w:tcW w:w="4740" w:type="dxa"/>
            <w:vAlign w:val="bottom"/>
          </w:tcPr>
          <w:p>
            <w:pPr>
              <w:ind w:left="260"/>
              <w:spacing w:after="0"/>
              <w:rPr>
                <w:sz w:val="20"/>
                <w:szCs w:val="20"/>
                <w:color w:val="auto"/>
              </w:rPr>
            </w:pPr>
            <w:r>
              <w:rPr>
                <w:rFonts w:ascii="Arial" w:cs="Arial" w:eastAsia="Arial" w:hAnsi="Arial"/>
                <w:sz w:val="11"/>
                <w:szCs w:val="11"/>
                <w:color w:val="auto"/>
              </w:rPr>
              <w:t>Executive Compensation</w:t>
            </w:r>
          </w:p>
        </w:tc>
        <w:tc>
          <w:tcPr>
            <w:tcW w:w="260" w:type="dxa"/>
            <w:vAlign w:val="bottom"/>
          </w:tcPr>
          <w:p>
            <w:pPr>
              <w:jc w:val="center"/>
              <w:ind w:left="62"/>
              <w:spacing w:after="0"/>
              <w:rPr>
                <w:sz w:val="20"/>
                <w:szCs w:val="20"/>
                <w:color w:val="auto"/>
              </w:rPr>
            </w:pPr>
            <w:r>
              <w:rPr>
                <w:rFonts w:ascii="Arial" w:cs="Arial" w:eastAsia="Arial" w:hAnsi="Arial"/>
                <w:sz w:val="11"/>
                <w:szCs w:val="11"/>
                <w:color w:val="auto"/>
                <w:w w:val="97"/>
              </w:rPr>
              <w:t>7</w:t>
            </w:r>
          </w:p>
        </w:tc>
        <w:tc>
          <w:tcPr>
            <w:tcW w:w="0" w:type="dxa"/>
            <w:vAlign w:val="bottom"/>
          </w:tcPr>
          <w:p>
            <w:pPr>
              <w:spacing w:after="0"/>
              <w:rPr>
                <w:sz w:val="1"/>
                <w:szCs w:val="1"/>
                <w:color w:val="auto"/>
              </w:rPr>
            </w:pPr>
          </w:p>
        </w:tc>
      </w:tr>
      <w:tr>
        <w:trPr>
          <w:trHeight w:val="234"/>
        </w:trPr>
        <w:tc>
          <w:tcPr>
            <w:tcW w:w="4740" w:type="dxa"/>
            <w:vAlign w:val="bottom"/>
          </w:tcPr>
          <w:p>
            <w:pPr>
              <w:ind w:left="260"/>
              <w:spacing w:after="0"/>
              <w:rPr>
                <w:sz w:val="20"/>
                <w:szCs w:val="20"/>
                <w:color w:val="auto"/>
              </w:rPr>
            </w:pPr>
            <w:r>
              <w:rPr>
                <w:rFonts w:ascii="Arial" w:cs="Arial" w:eastAsia="Arial" w:hAnsi="Arial"/>
                <w:sz w:val="11"/>
                <w:szCs w:val="11"/>
                <w:color w:val="auto"/>
              </w:rPr>
              <w:t>Corporate Governance Highlights—Reasonable Governance With A Controlling</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4740" w:type="dxa"/>
            <w:vAlign w:val="bottom"/>
          </w:tcPr>
          <w:p>
            <w:pPr>
              <w:ind w:left="260"/>
              <w:spacing w:after="0"/>
              <w:rPr>
                <w:sz w:val="20"/>
                <w:szCs w:val="20"/>
                <w:color w:val="auto"/>
              </w:rPr>
            </w:pPr>
            <w:r>
              <w:rPr>
                <w:rFonts w:ascii="Arial" w:cs="Arial" w:eastAsia="Arial" w:hAnsi="Arial"/>
                <w:sz w:val="11"/>
                <w:szCs w:val="11"/>
                <w:color w:val="auto"/>
              </w:rPr>
              <w:t>Stockholder</w:t>
            </w:r>
          </w:p>
        </w:tc>
        <w:tc>
          <w:tcPr>
            <w:tcW w:w="260" w:type="dxa"/>
            <w:vAlign w:val="bottom"/>
          </w:tcPr>
          <w:p>
            <w:pPr>
              <w:jc w:val="center"/>
              <w:ind w:left="62"/>
              <w:spacing w:after="0"/>
              <w:rPr>
                <w:sz w:val="20"/>
                <w:szCs w:val="20"/>
                <w:color w:val="auto"/>
              </w:rPr>
            </w:pPr>
            <w:r>
              <w:rPr>
                <w:rFonts w:ascii="Arial" w:cs="Arial" w:eastAsia="Arial" w:hAnsi="Arial"/>
                <w:sz w:val="11"/>
                <w:szCs w:val="11"/>
                <w:color w:val="auto"/>
                <w:w w:val="97"/>
              </w:rPr>
              <w:t>8</w:t>
            </w:r>
          </w:p>
        </w:tc>
        <w:tc>
          <w:tcPr>
            <w:tcW w:w="0" w:type="dxa"/>
            <w:vAlign w:val="bottom"/>
          </w:tcPr>
          <w:p>
            <w:pPr>
              <w:spacing w:after="0"/>
              <w:rPr>
                <w:sz w:val="1"/>
                <w:szCs w:val="1"/>
                <w:color w:val="auto"/>
              </w:rPr>
            </w:pPr>
          </w:p>
        </w:tc>
      </w:tr>
      <w:tr>
        <w:trPr>
          <w:trHeight w:val="244"/>
        </w:trPr>
        <w:tc>
          <w:tcPr>
            <w:tcW w:w="4740" w:type="dxa"/>
            <w:vAlign w:val="bottom"/>
          </w:tcPr>
          <w:p>
            <w:pPr>
              <w:ind w:left="260"/>
              <w:spacing w:after="0"/>
              <w:rPr>
                <w:sz w:val="20"/>
                <w:szCs w:val="20"/>
                <w:color w:val="auto"/>
              </w:rPr>
            </w:pPr>
            <w:r>
              <w:rPr>
                <w:rFonts w:ascii="Arial" w:cs="Arial" w:eastAsia="Arial" w:hAnsi="Arial"/>
                <w:sz w:val="11"/>
                <w:szCs w:val="11"/>
                <w:color w:val="auto"/>
              </w:rPr>
              <w:t>Environmental Social and Governance (ESG)</w:t>
            </w:r>
          </w:p>
        </w:tc>
        <w:tc>
          <w:tcPr>
            <w:tcW w:w="260" w:type="dxa"/>
            <w:vAlign w:val="bottom"/>
          </w:tcPr>
          <w:p>
            <w:pPr>
              <w:jc w:val="center"/>
              <w:ind w:left="62"/>
              <w:spacing w:after="0"/>
              <w:rPr>
                <w:sz w:val="20"/>
                <w:szCs w:val="20"/>
                <w:color w:val="auto"/>
              </w:rPr>
            </w:pPr>
            <w:r>
              <w:rPr>
                <w:rFonts w:ascii="Arial" w:cs="Arial" w:eastAsia="Arial" w:hAnsi="Arial"/>
                <w:sz w:val="11"/>
                <w:szCs w:val="11"/>
                <w:color w:val="auto"/>
                <w:w w:val="97"/>
              </w:rPr>
              <w:t>8</w:t>
            </w:r>
          </w:p>
        </w:tc>
        <w:tc>
          <w:tcPr>
            <w:tcW w:w="0" w:type="dxa"/>
            <w:vAlign w:val="bottom"/>
          </w:tcPr>
          <w:p>
            <w:pPr>
              <w:spacing w:after="0"/>
              <w:rPr>
                <w:sz w:val="1"/>
                <w:szCs w:val="1"/>
                <w:color w:val="auto"/>
              </w:rPr>
            </w:pPr>
          </w:p>
        </w:tc>
      </w:tr>
      <w:tr>
        <w:trPr>
          <w:trHeight w:val="244"/>
        </w:trPr>
        <w:tc>
          <w:tcPr>
            <w:tcW w:w="4740" w:type="dxa"/>
            <w:vAlign w:val="bottom"/>
          </w:tcPr>
          <w:p>
            <w:pPr>
              <w:ind w:left="260"/>
              <w:spacing w:after="0"/>
              <w:rPr>
                <w:sz w:val="20"/>
                <w:szCs w:val="20"/>
                <w:color w:val="auto"/>
              </w:rPr>
            </w:pPr>
            <w:r>
              <w:rPr>
                <w:rFonts w:ascii="Arial" w:cs="Arial" w:eastAsia="Arial" w:hAnsi="Arial"/>
                <w:sz w:val="11"/>
                <w:szCs w:val="11"/>
                <w:color w:val="auto"/>
              </w:rPr>
              <w:t>Human Capital Management Highlights</w:t>
            </w:r>
          </w:p>
        </w:tc>
        <w:tc>
          <w:tcPr>
            <w:tcW w:w="260" w:type="dxa"/>
            <w:vAlign w:val="bottom"/>
          </w:tcPr>
          <w:p>
            <w:pPr>
              <w:jc w:val="center"/>
              <w:ind w:left="82"/>
              <w:spacing w:after="0"/>
              <w:rPr>
                <w:sz w:val="20"/>
                <w:szCs w:val="20"/>
                <w:color w:val="auto"/>
              </w:rPr>
            </w:pPr>
            <w:r>
              <w:rPr>
                <w:rFonts w:ascii="Arial" w:cs="Arial" w:eastAsia="Arial" w:hAnsi="Arial"/>
                <w:sz w:val="11"/>
                <w:szCs w:val="11"/>
                <w:color w:val="auto"/>
                <w:w w:val="97"/>
              </w:rPr>
              <w:t>10</w:t>
            </w:r>
          </w:p>
        </w:tc>
        <w:tc>
          <w:tcPr>
            <w:tcW w:w="0" w:type="dxa"/>
            <w:vAlign w:val="bottom"/>
          </w:tcPr>
          <w:p>
            <w:pPr>
              <w:spacing w:after="0"/>
              <w:rPr>
                <w:sz w:val="1"/>
                <w:szCs w:val="1"/>
                <w:color w:val="auto"/>
              </w:rPr>
            </w:pPr>
          </w:p>
        </w:tc>
      </w:tr>
      <w:tr>
        <w:trPr>
          <w:trHeight w:val="265"/>
        </w:trPr>
        <w:tc>
          <w:tcPr>
            <w:tcW w:w="4740" w:type="dxa"/>
            <w:vAlign w:val="bottom"/>
          </w:tcPr>
          <w:p>
            <w:pPr>
              <w:spacing w:after="0"/>
              <w:rPr>
                <w:sz w:val="20"/>
                <w:szCs w:val="20"/>
                <w:color w:val="auto"/>
              </w:rPr>
            </w:pPr>
            <w:r>
              <w:rPr>
                <w:rFonts w:ascii="Arial" w:cs="Arial" w:eastAsia="Arial" w:hAnsi="Arial"/>
                <w:sz w:val="13"/>
                <w:szCs w:val="13"/>
                <w:b w:val="1"/>
                <w:bCs w:val="1"/>
                <w:color w:val="0C6936"/>
              </w:rPr>
              <w:t>PROPOSAL NO. 1—ELECTION OF DIRECTORS</w:t>
            </w:r>
          </w:p>
        </w:tc>
        <w:tc>
          <w:tcPr>
            <w:tcW w:w="260" w:type="dxa"/>
            <w:vAlign w:val="bottom"/>
          </w:tcPr>
          <w:p>
            <w:pPr>
              <w:jc w:val="center"/>
              <w:ind w:left="62"/>
              <w:spacing w:after="0"/>
              <w:rPr>
                <w:sz w:val="20"/>
                <w:szCs w:val="20"/>
                <w:color w:val="auto"/>
              </w:rPr>
            </w:pPr>
            <w:r>
              <w:rPr>
                <w:rFonts w:ascii="Arial" w:cs="Arial" w:eastAsia="Arial" w:hAnsi="Arial"/>
                <w:sz w:val="13"/>
                <w:szCs w:val="13"/>
                <w:b w:val="1"/>
                <w:bCs w:val="1"/>
                <w:color w:val="0C6936"/>
                <w:w w:val="96"/>
              </w:rPr>
              <w:t>11</w:t>
            </w:r>
          </w:p>
        </w:tc>
        <w:tc>
          <w:tcPr>
            <w:tcW w:w="0" w:type="dxa"/>
            <w:vAlign w:val="bottom"/>
          </w:tcPr>
          <w:p>
            <w:pPr>
              <w:spacing w:after="0"/>
              <w:rPr>
                <w:sz w:val="1"/>
                <w:szCs w:val="1"/>
                <w:color w:val="auto"/>
              </w:rPr>
            </w:pPr>
          </w:p>
        </w:tc>
      </w:tr>
      <w:tr>
        <w:trPr>
          <w:trHeight w:val="234"/>
        </w:trPr>
        <w:tc>
          <w:tcPr>
            <w:tcW w:w="4740" w:type="dxa"/>
            <w:vAlign w:val="bottom"/>
          </w:tcPr>
          <w:p>
            <w:pPr>
              <w:ind w:left="260"/>
              <w:spacing w:after="0"/>
              <w:rPr>
                <w:sz w:val="20"/>
                <w:szCs w:val="20"/>
                <w:color w:val="auto"/>
              </w:rPr>
            </w:pPr>
            <w:r>
              <w:rPr>
                <w:rFonts w:ascii="Arial" w:cs="Arial" w:eastAsia="Arial" w:hAnsi="Arial"/>
                <w:sz w:val="11"/>
                <w:szCs w:val="11"/>
                <w:color w:val="auto"/>
              </w:rPr>
              <w:t>Nominees</w:t>
            </w:r>
          </w:p>
        </w:tc>
        <w:tc>
          <w:tcPr>
            <w:tcW w:w="260" w:type="dxa"/>
            <w:vAlign w:val="bottom"/>
          </w:tcPr>
          <w:p>
            <w:pPr>
              <w:jc w:val="center"/>
              <w:ind w:left="82"/>
              <w:spacing w:after="0"/>
              <w:rPr>
                <w:sz w:val="20"/>
                <w:szCs w:val="20"/>
                <w:color w:val="auto"/>
              </w:rPr>
            </w:pPr>
            <w:r>
              <w:rPr>
                <w:rFonts w:ascii="Arial" w:cs="Arial" w:eastAsia="Arial" w:hAnsi="Arial"/>
                <w:sz w:val="11"/>
                <w:szCs w:val="11"/>
                <w:color w:val="auto"/>
                <w:w w:val="97"/>
              </w:rPr>
              <w:t>11</w:t>
            </w:r>
          </w:p>
        </w:tc>
        <w:tc>
          <w:tcPr>
            <w:tcW w:w="0" w:type="dxa"/>
            <w:vAlign w:val="bottom"/>
          </w:tcPr>
          <w:p>
            <w:pPr>
              <w:spacing w:after="0"/>
              <w:rPr>
                <w:sz w:val="1"/>
                <w:szCs w:val="1"/>
                <w:color w:val="auto"/>
              </w:rPr>
            </w:pPr>
          </w:p>
        </w:tc>
      </w:tr>
      <w:tr>
        <w:trPr>
          <w:trHeight w:val="223"/>
        </w:trPr>
        <w:tc>
          <w:tcPr>
            <w:tcW w:w="4740" w:type="dxa"/>
            <w:vAlign w:val="bottom"/>
          </w:tcPr>
          <w:p>
            <w:pPr>
              <w:ind w:left="260"/>
              <w:spacing w:after="0"/>
              <w:rPr>
                <w:sz w:val="20"/>
                <w:szCs w:val="20"/>
                <w:color w:val="auto"/>
              </w:rPr>
            </w:pPr>
            <w:r>
              <w:rPr>
                <w:rFonts w:ascii="Arial" w:cs="Arial" w:eastAsia="Arial" w:hAnsi="Arial"/>
                <w:sz w:val="11"/>
                <w:szCs w:val="11"/>
                <w:color w:val="auto"/>
              </w:rPr>
              <w:t>Recommendation</w:t>
            </w:r>
          </w:p>
        </w:tc>
        <w:tc>
          <w:tcPr>
            <w:tcW w:w="260" w:type="dxa"/>
            <w:vAlign w:val="bottom"/>
          </w:tcPr>
          <w:p>
            <w:pPr>
              <w:jc w:val="center"/>
              <w:ind w:left="82"/>
              <w:spacing w:after="0"/>
              <w:rPr>
                <w:sz w:val="20"/>
                <w:szCs w:val="20"/>
                <w:color w:val="auto"/>
              </w:rPr>
            </w:pPr>
            <w:r>
              <w:rPr>
                <w:rFonts w:ascii="Arial" w:cs="Arial" w:eastAsia="Arial" w:hAnsi="Arial"/>
                <w:sz w:val="11"/>
                <w:szCs w:val="11"/>
                <w:color w:val="auto"/>
                <w:w w:val="97"/>
              </w:rPr>
              <w:t>11</w:t>
            </w:r>
          </w:p>
        </w:tc>
        <w:tc>
          <w:tcPr>
            <w:tcW w:w="0" w:type="dxa"/>
            <w:vAlign w:val="bottom"/>
          </w:tcPr>
          <w:p>
            <w:pPr>
              <w:spacing w:after="0"/>
              <w:rPr>
                <w:sz w:val="1"/>
                <w:szCs w:val="1"/>
                <w:color w:val="auto"/>
              </w:rPr>
            </w:pPr>
          </w:p>
        </w:tc>
      </w:tr>
      <w:tr>
        <w:trPr>
          <w:trHeight w:val="223"/>
        </w:trPr>
        <w:tc>
          <w:tcPr>
            <w:tcW w:w="4740" w:type="dxa"/>
            <w:vAlign w:val="bottom"/>
          </w:tcPr>
          <w:p>
            <w:pPr>
              <w:ind w:left="260"/>
              <w:spacing w:after="0"/>
              <w:rPr>
                <w:sz w:val="20"/>
                <w:szCs w:val="20"/>
                <w:color w:val="auto"/>
              </w:rPr>
            </w:pPr>
            <w:r>
              <w:rPr>
                <w:rFonts w:ascii="Arial" w:cs="Arial" w:eastAsia="Arial" w:hAnsi="Arial"/>
                <w:sz w:val="11"/>
                <w:szCs w:val="11"/>
                <w:color w:val="auto"/>
              </w:rPr>
              <w:t>Director Background and Qualifications</w:t>
            </w:r>
          </w:p>
        </w:tc>
        <w:tc>
          <w:tcPr>
            <w:tcW w:w="260" w:type="dxa"/>
            <w:vAlign w:val="bottom"/>
          </w:tcPr>
          <w:p>
            <w:pPr>
              <w:jc w:val="center"/>
              <w:ind w:left="82"/>
              <w:spacing w:after="0"/>
              <w:rPr>
                <w:sz w:val="20"/>
                <w:szCs w:val="20"/>
                <w:color w:val="auto"/>
              </w:rPr>
            </w:pPr>
            <w:r>
              <w:rPr>
                <w:rFonts w:ascii="Arial" w:cs="Arial" w:eastAsia="Arial" w:hAnsi="Arial"/>
                <w:sz w:val="11"/>
                <w:szCs w:val="11"/>
                <w:color w:val="auto"/>
                <w:w w:val="97"/>
              </w:rPr>
              <w:t>12</w:t>
            </w:r>
          </w:p>
        </w:tc>
        <w:tc>
          <w:tcPr>
            <w:tcW w:w="0" w:type="dxa"/>
            <w:vAlign w:val="bottom"/>
          </w:tcPr>
          <w:p>
            <w:pPr>
              <w:spacing w:after="0"/>
              <w:rPr>
                <w:sz w:val="1"/>
                <w:szCs w:val="1"/>
                <w:color w:val="auto"/>
              </w:rPr>
            </w:pPr>
          </w:p>
        </w:tc>
      </w:tr>
      <w:tr>
        <w:trPr>
          <w:trHeight w:val="243"/>
        </w:trPr>
        <w:tc>
          <w:tcPr>
            <w:tcW w:w="4740" w:type="dxa"/>
            <w:vAlign w:val="bottom"/>
          </w:tcPr>
          <w:p>
            <w:pPr>
              <w:spacing w:after="0"/>
              <w:rPr>
                <w:sz w:val="20"/>
                <w:szCs w:val="20"/>
                <w:color w:val="auto"/>
              </w:rPr>
            </w:pPr>
            <w:r>
              <w:rPr>
                <w:rFonts w:ascii="Arial" w:cs="Arial" w:eastAsia="Arial" w:hAnsi="Arial"/>
                <w:sz w:val="13"/>
                <w:szCs w:val="13"/>
                <w:b w:val="1"/>
                <w:bCs w:val="1"/>
                <w:color w:val="0C6936"/>
              </w:rPr>
              <w:t>BOARD MATTERS</w:t>
            </w:r>
          </w:p>
        </w:tc>
        <w:tc>
          <w:tcPr>
            <w:tcW w:w="260" w:type="dxa"/>
            <w:vAlign w:val="bottom"/>
          </w:tcPr>
          <w:p>
            <w:pPr>
              <w:jc w:val="center"/>
              <w:ind w:left="62"/>
              <w:spacing w:after="0"/>
              <w:rPr>
                <w:sz w:val="20"/>
                <w:szCs w:val="20"/>
                <w:color w:val="auto"/>
              </w:rPr>
            </w:pPr>
            <w:r>
              <w:rPr>
                <w:rFonts w:ascii="Arial" w:cs="Arial" w:eastAsia="Arial" w:hAnsi="Arial"/>
                <w:sz w:val="13"/>
                <w:szCs w:val="13"/>
                <w:b w:val="1"/>
                <w:bCs w:val="1"/>
                <w:color w:val="0C6936"/>
                <w:w w:val="96"/>
              </w:rPr>
              <w:t>16</w:t>
            </w:r>
          </w:p>
        </w:tc>
        <w:tc>
          <w:tcPr>
            <w:tcW w:w="0" w:type="dxa"/>
            <w:vAlign w:val="bottom"/>
          </w:tcPr>
          <w:p>
            <w:pPr>
              <w:spacing w:after="0"/>
              <w:rPr>
                <w:sz w:val="1"/>
                <w:szCs w:val="1"/>
                <w:color w:val="auto"/>
              </w:rPr>
            </w:pPr>
          </w:p>
        </w:tc>
      </w:tr>
      <w:tr>
        <w:trPr>
          <w:trHeight w:val="234"/>
        </w:trPr>
        <w:tc>
          <w:tcPr>
            <w:tcW w:w="4740" w:type="dxa"/>
            <w:vAlign w:val="bottom"/>
          </w:tcPr>
          <w:p>
            <w:pPr>
              <w:ind w:left="260"/>
              <w:spacing w:after="0"/>
              <w:rPr>
                <w:sz w:val="20"/>
                <w:szCs w:val="20"/>
                <w:color w:val="auto"/>
              </w:rPr>
            </w:pPr>
            <w:r>
              <w:rPr>
                <w:rFonts w:ascii="Arial" w:cs="Arial" w:eastAsia="Arial" w:hAnsi="Arial"/>
                <w:sz w:val="11"/>
                <w:szCs w:val="11"/>
                <w:color w:val="auto"/>
              </w:rPr>
              <w:t>Director Nominations and Appointments</w:t>
            </w:r>
          </w:p>
        </w:tc>
        <w:tc>
          <w:tcPr>
            <w:tcW w:w="260" w:type="dxa"/>
            <w:vAlign w:val="bottom"/>
          </w:tcPr>
          <w:p>
            <w:pPr>
              <w:jc w:val="center"/>
              <w:ind w:left="82"/>
              <w:spacing w:after="0"/>
              <w:rPr>
                <w:sz w:val="20"/>
                <w:szCs w:val="20"/>
                <w:color w:val="auto"/>
              </w:rPr>
            </w:pPr>
            <w:r>
              <w:rPr>
                <w:rFonts w:ascii="Arial" w:cs="Arial" w:eastAsia="Arial" w:hAnsi="Arial"/>
                <w:sz w:val="11"/>
                <w:szCs w:val="11"/>
                <w:color w:val="auto"/>
                <w:w w:val="97"/>
              </w:rPr>
              <w:t>16</w:t>
            </w:r>
          </w:p>
        </w:tc>
        <w:tc>
          <w:tcPr>
            <w:tcW w:w="0" w:type="dxa"/>
            <w:vAlign w:val="bottom"/>
          </w:tcPr>
          <w:p>
            <w:pPr>
              <w:spacing w:after="0"/>
              <w:rPr>
                <w:sz w:val="1"/>
                <w:szCs w:val="1"/>
                <w:color w:val="auto"/>
              </w:rPr>
            </w:pPr>
          </w:p>
        </w:tc>
      </w:tr>
      <w:tr>
        <w:trPr>
          <w:trHeight w:val="244"/>
        </w:trPr>
        <w:tc>
          <w:tcPr>
            <w:tcW w:w="4740" w:type="dxa"/>
            <w:vAlign w:val="bottom"/>
          </w:tcPr>
          <w:p>
            <w:pPr>
              <w:ind w:left="260"/>
              <w:spacing w:after="0"/>
              <w:rPr>
                <w:sz w:val="20"/>
                <w:szCs w:val="20"/>
                <w:color w:val="auto"/>
              </w:rPr>
            </w:pPr>
            <w:r>
              <w:rPr>
                <w:rFonts w:ascii="Arial" w:cs="Arial" w:eastAsia="Arial" w:hAnsi="Arial"/>
                <w:sz w:val="11"/>
                <w:szCs w:val="11"/>
                <w:color w:val="auto"/>
              </w:rPr>
              <w:t>Family Relationships</w:t>
            </w:r>
          </w:p>
        </w:tc>
        <w:tc>
          <w:tcPr>
            <w:tcW w:w="260" w:type="dxa"/>
            <w:vAlign w:val="bottom"/>
          </w:tcPr>
          <w:p>
            <w:pPr>
              <w:jc w:val="center"/>
              <w:ind w:left="82"/>
              <w:spacing w:after="0"/>
              <w:rPr>
                <w:sz w:val="20"/>
                <w:szCs w:val="20"/>
                <w:color w:val="auto"/>
              </w:rPr>
            </w:pPr>
            <w:r>
              <w:rPr>
                <w:rFonts w:ascii="Arial" w:cs="Arial" w:eastAsia="Arial" w:hAnsi="Arial"/>
                <w:sz w:val="11"/>
                <w:szCs w:val="11"/>
                <w:color w:val="auto"/>
                <w:w w:val="97"/>
              </w:rPr>
              <w:t>17</w:t>
            </w:r>
          </w:p>
        </w:tc>
        <w:tc>
          <w:tcPr>
            <w:tcW w:w="0" w:type="dxa"/>
            <w:vAlign w:val="bottom"/>
          </w:tcPr>
          <w:p>
            <w:pPr>
              <w:spacing w:after="0"/>
              <w:rPr>
                <w:sz w:val="1"/>
                <w:szCs w:val="1"/>
                <w:color w:val="auto"/>
              </w:rPr>
            </w:pPr>
          </w:p>
        </w:tc>
      </w:tr>
      <w:tr>
        <w:trPr>
          <w:trHeight w:val="244"/>
        </w:trPr>
        <w:tc>
          <w:tcPr>
            <w:tcW w:w="4740" w:type="dxa"/>
            <w:vAlign w:val="bottom"/>
          </w:tcPr>
          <w:p>
            <w:pPr>
              <w:ind w:left="260"/>
              <w:spacing w:after="0"/>
              <w:rPr>
                <w:sz w:val="20"/>
                <w:szCs w:val="20"/>
                <w:color w:val="auto"/>
              </w:rPr>
            </w:pPr>
            <w:r>
              <w:rPr>
                <w:rFonts w:ascii="Arial" w:cs="Arial" w:eastAsia="Arial" w:hAnsi="Arial"/>
                <w:sz w:val="11"/>
                <w:szCs w:val="11"/>
                <w:color w:val="auto"/>
              </w:rPr>
              <w:t>Oversight by Our Board of Directors</w:t>
            </w:r>
          </w:p>
        </w:tc>
        <w:tc>
          <w:tcPr>
            <w:tcW w:w="260" w:type="dxa"/>
            <w:vAlign w:val="bottom"/>
          </w:tcPr>
          <w:p>
            <w:pPr>
              <w:jc w:val="center"/>
              <w:ind w:left="82"/>
              <w:spacing w:after="0"/>
              <w:rPr>
                <w:sz w:val="20"/>
                <w:szCs w:val="20"/>
                <w:color w:val="auto"/>
              </w:rPr>
            </w:pPr>
            <w:r>
              <w:rPr>
                <w:rFonts w:ascii="Arial" w:cs="Arial" w:eastAsia="Arial" w:hAnsi="Arial"/>
                <w:sz w:val="11"/>
                <w:szCs w:val="11"/>
                <w:color w:val="auto"/>
                <w:w w:val="97"/>
              </w:rPr>
              <w:t>17</w:t>
            </w:r>
          </w:p>
        </w:tc>
        <w:tc>
          <w:tcPr>
            <w:tcW w:w="0" w:type="dxa"/>
            <w:vAlign w:val="bottom"/>
          </w:tcPr>
          <w:p>
            <w:pPr>
              <w:spacing w:after="0"/>
              <w:rPr>
                <w:sz w:val="1"/>
                <w:szCs w:val="1"/>
                <w:color w:val="auto"/>
              </w:rPr>
            </w:pPr>
          </w:p>
        </w:tc>
      </w:tr>
      <w:tr>
        <w:trPr>
          <w:trHeight w:val="234"/>
        </w:trPr>
        <w:tc>
          <w:tcPr>
            <w:tcW w:w="4740" w:type="dxa"/>
            <w:vAlign w:val="bottom"/>
          </w:tcPr>
          <w:p>
            <w:pPr>
              <w:ind w:left="260"/>
              <w:spacing w:after="0"/>
              <w:rPr>
                <w:sz w:val="20"/>
                <w:szCs w:val="20"/>
                <w:color w:val="auto"/>
              </w:rPr>
            </w:pPr>
            <w:r>
              <w:rPr>
                <w:rFonts w:ascii="Arial" w:cs="Arial" w:eastAsia="Arial" w:hAnsi="Arial"/>
                <w:sz w:val="11"/>
                <w:szCs w:val="11"/>
                <w:color w:val="auto"/>
              </w:rPr>
              <w:t>Board Leadership Structure—Balanced Leadership Among Chief Executive Officer and</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8"/>
        </w:trPr>
        <w:tc>
          <w:tcPr>
            <w:tcW w:w="4740" w:type="dxa"/>
            <w:vAlign w:val="bottom"/>
          </w:tcPr>
          <w:p>
            <w:pPr>
              <w:ind w:left="260"/>
              <w:spacing w:after="0"/>
              <w:rPr>
                <w:sz w:val="20"/>
                <w:szCs w:val="20"/>
                <w:color w:val="auto"/>
              </w:rPr>
            </w:pPr>
            <w:r>
              <w:rPr>
                <w:rFonts w:ascii="Arial" w:cs="Arial" w:eastAsia="Arial" w:hAnsi="Arial"/>
                <w:sz w:val="11"/>
                <w:szCs w:val="11"/>
                <w:color w:val="auto"/>
              </w:rPr>
              <w:t>Empowered Independent Directors</w:t>
            </w:r>
          </w:p>
        </w:tc>
        <w:tc>
          <w:tcPr>
            <w:tcW w:w="260" w:type="dxa"/>
            <w:vAlign w:val="bottom"/>
          </w:tcPr>
          <w:p>
            <w:pPr>
              <w:jc w:val="center"/>
              <w:ind w:left="82"/>
              <w:spacing w:after="0"/>
              <w:rPr>
                <w:sz w:val="20"/>
                <w:szCs w:val="20"/>
                <w:color w:val="auto"/>
              </w:rPr>
            </w:pPr>
            <w:r>
              <w:rPr>
                <w:rFonts w:ascii="Arial" w:cs="Arial" w:eastAsia="Arial" w:hAnsi="Arial"/>
                <w:sz w:val="11"/>
                <w:szCs w:val="11"/>
                <w:color w:val="auto"/>
                <w:w w:val="97"/>
              </w:rPr>
              <w:t>18</w:t>
            </w:r>
          </w:p>
        </w:tc>
        <w:tc>
          <w:tcPr>
            <w:tcW w:w="0" w:type="dxa"/>
            <w:vAlign w:val="bottom"/>
          </w:tcPr>
          <w:p>
            <w:pPr>
              <w:spacing w:after="0"/>
              <w:rPr>
                <w:sz w:val="1"/>
                <w:szCs w:val="1"/>
                <w:color w:val="auto"/>
              </w:rPr>
            </w:pPr>
          </w:p>
        </w:tc>
      </w:tr>
      <w:tr>
        <w:trPr>
          <w:trHeight w:val="244"/>
        </w:trPr>
        <w:tc>
          <w:tcPr>
            <w:tcW w:w="4740" w:type="dxa"/>
            <w:vAlign w:val="bottom"/>
          </w:tcPr>
          <w:p>
            <w:pPr>
              <w:ind w:left="260"/>
              <w:spacing w:after="0"/>
              <w:rPr>
                <w:sz w:val="20"/>
                <w:szCs w:val="20"/>
                <w:color w:val="auto"/>
              </w:rPr>
            </w:pPr>
            <w:r>
              <w:rPr>
                <w:rFonts w:ascii="Arial" w:cs="Arial" w:eastAsia="Arial" w:hAnsi="Arial"/>
                <w:sz w:val="11"/>
                <w:szCs w:val="11"/>
                <w:color w:val="auto"/>
              </w:rPr>
              <w:t>Meetings of Our Board and Committees</w:t>
            </w:r>
          </w:p>
        </w:tc>
        <w:tc>
          <w:tcPr>
            <w:tcW w:w="260" w:type="dxa"/>
            <w:vAlign w:val="bottom"/>
          </w:tcPr>
          <w:p>
            <w:pPr>
              <w:jc w:val="center"/>
              <w:ind w:left="82"/>
              <w:spacing w:after="0"/>
              <w:rPr>
                <w:sz w:val="20"/>
                <w:szCs w:val="20"/>
                <w:color w:val="auto"/>
              </w:rPr>
            </w:pPr>
            <w:r>
              <w:rPr>
                <w:rFonts w:ascii="Arial" w:cs="Arial" w:eastAsia="Arial" w:hAnsi="Arial"/>
                <w:sz w:val="11"/>
                <w:szCs w:val="11"/>
                <w:color w:val="auto"/>
                <w:w w:val="97"/>
              </w:rPr>
              <w:t>18</w:t>
            </w:r>
          </w:p>
        </w:tc>
        <w:tc>
          <w:tcPr>
            <w:tcW w:w="0" w:type="dxa"/>
            <w:vAlign w:val="bottom"/>
          </w:tcPr>
          <w:p>
            <w:pPr>
              <w:spacing w:after="0"/>
              <w:rPr>
                <w:sz w:val="1"/>
                <w:szCs w:val="1"/>
                <w:color w:val="auto"/>
              </w:rPr>
            </w:pPr>
          </w:p>
        </w:tc>
      </w:tr>
      <w:tr>
        <w:trPr>
          <w:trHeight w:val="244"/>
        </w:trPr>
        <w:tc>
          <w:tcPr>
            <w:tcW w:w="4740" w:type="dxa"/>
            <w:vAlign w:val="bottom"/>
          </w:tcPr>
          <w:p>
            <w:pPr>
              <w:ind w:left="260"/>
              <w:spacing w:after="0"/>
              <w:rPr>
                <w:sz w:val="20"/>
                <w:szCs w:val="20"/>
                <w:color w:val="auto"/>
              </w:rPr>
            </w:pPr>
            <w:r>
              <w:rPr>
                <w:rFonts w:ascii="Arial" w:cs="Arial" w:eastAsia="Arial" w:hAnsi="Arial"/>
                <w:sz w:val="11"/>
                <w:szCs w:val="11"/>
                <w:color w:val="auto"/>
              </w:rPr>
              <w:t>Board and Committee Responsibilities for Risk Oversight</w:t>
            </w:r>
          </w:p>
        </w:tc>
        <w:tc>
          <w:tcPr>
            <w:tcW w:w="260" w:type="dxa"/>
            <w:vAlign w:val="bottom"/>
          </w:tcPr>
          <w:p>
            <w:pPr>
              <w:jc w:val="center"/>
              <w:ind w:left="82"/>
              <w:spacing w:after="0"/>
              <w:rPr>
                <w:sz w:val="20"/>
                <w:szCs w:val="20"/>
                <w:color w:val="auto"/>
              </w:rPr>
            </w:pPr>
            <w:r>
              <w:rPr>
                <w:rFonts w:ascii="Arial" w:cs="Arial" w:eastAsia="Arial" w:hAnsi="Arial"/>
                <w:sz w:val="11"/>
                <w:szCs w:val="11"/>
                <w:color w:val="auto"/>
                <w:w w:val="97"/>
              </w:rPr>
              <w:t>21</w:t>
            </w:r>
          </w:p>
        </w:tc>
        <w:tc>
          <w:tcPr>
            <w:tcW w:w="0" w:type="dxa"/>
            <w:vAlign w:val="bottom"/>
          </w:tcPr>
          <w:p>
            <w:pPr>
              <w:spacing w:after="0"/>
              <w:rPr>
                <w:sz w:val="1"/>
                <w:szCs w:val="1"/>
                <w:color w:val="auto"/>
              </w:rPr>
            </w:pPr>
          </w:p>
        </w:tc>
      </w:tr>
      <w:tr>
        <w:trPr>
          <w:trHeight w:val="244"/>
        </w:trPr>
        <w:tc>
          <w:tcPr>
            <w:tcW w:w="4740" w:type="dxa"/>
            <w:vAlign w:val="bottom"/>
          </w:tcPr>
          <w:p>
            <w:pPr>
              <w:ind w:left="260"/>
              <w:spacing w:after="0"/>
              <w:rPr>
                <w:sz w:val="20"/>
                <w:szCs w:val="20"/>
                <w:color w:val="auto"/>
              </w:rPr>
            </w:pPr>
            <w:r>
              <w:rPr>
                <w:rFonts w:ascii="Arial" w:cs="Arial" w:eastAsia="Arial" w:hAnsi="Arial"/>
                <w:sz w:val="11"/>
                <w:szCs w:val="11"/>
                <w:color w:val="auto"/>
              </w:rPr>
              <w:t>Tailored Corporate Governance Policies to Ensure Integrity and Ethical Conduct</w:t>
            </w:r>
          </w:p>
        </w:tc>
        <w:tc>
          <w:tcPr>
            <w:tcW w:w="260" w:type="dxa"/>
            <w:vAlign w:val="bottom"/>
          </w:tcPr>
          <w:p>
            <w:pPr>
              <w:jc w:val="center"/>
              <w:ind w:left="82"/>
              <w:spacing w:after="0"/>
              <w:rPr>
                <w:sz w:val="20"/>
                <w:szCs w:val="20"/>
                <w:color w:val="auto"/>
              </w:rPr>
            </w:pPr>
            <w:r>
              <w:rPr>
                <w:rFonts w:ascii="Arial" w:cs="Arial" w:eastAsia="Arial" w:hAnsi="Arial"/>
                <w:sz w:val="11"/>
                <w:szCs w:val="11"/>
                <w:color w:val="auto"/>
                <w:w w:val="97"/>
              </w:rPr>
              <w:t>22</w:t>
            </w:r>
          </w:p>
        </w:tc>
        <w:tc>
          <w:tcPr>
            <w:tcW w:w="0" w:type="dxa"/>
            <w:vAlign w:val="bottom"/>
          </w:tcPr>
          <w:p>
            <w:pPr>
              <w:spacing w:after="0"/>
              <w:rPr>
                <w:sz w:val="1"/>
                <w:szCs w:val="1"/>
                <w:color w:val="auto"/>
              </w:rPr>
            </w:pPr>
          </w:p>
        </w:tc>
      </w:tr>
      <w:tr>
        <w:trPr>
          <w:trHeight w:val="244"/>
        </w:trPr>
        <w:tc>
          <w:tcPr>
            <w:tcW w:w="4740" w:type="dxa"/>
            <w:vAlign w:val="bottom"/>
          </w:tcPr>
          <w:p>
            <w:pPr>
              <w:ind w:left="260"/>
              <w:spacing w:after="0"/>
              <w:rPr>
                <w:sz w:val="20"/>
                <w:szCs w:val="20"/>
                <w:color w:val="auto"/>
              </w:rPr>
            </w:pPr>
            <w:r>
              <w:rPr>
                <w:rFonts w:ascii="Arial" w:cs="Arial" w:eastAsia="Arial" w:hAnsi="Arial"/>
                <w:sz w:val="11"/>
                <w:szCs w:val="11"/>
                <w:color w:val="auto"/>
              </w:rPr>
              <w:t>Board Evaluation Process</w:t>
            </w:r>
          </w:p>
        </w:tc>
        <w:tc>
          <w:tcPr>
            <w:tcW w:w="260" w:type="dxa"/>
            <w:vAlign w:val="bottom"/>
          </w:tcPr>
          <w:p>
            <w:pPr>
              <w:jc w:val="center"/>
              <w:ind w:left="82"/>
              <w:spacing w:after="0"/>
              <w:rPr>
                <w:sz w:val="20"/>
                <w:szCs w:val="20"/>
                <w:color w:val="auto"/>
              </w:rPr>
            </w:pPr>
            <w:r>
              <w:rPr>
                <w:rFonts w:ascii="Arial" w:cs="Arial" w:eastAsia="Arial" w:hAnsi="Arial"/>
                <w:sz w:val="11"/>
                <w:szCs w:val="11"/>
                <w:color w:val="auto"/>
                <w:w w:val="97"/>
              </w:rPr>
              <w:t>23</w:t>
            </w:r>
          </w:p>
        </w:tc>
        <w:tc>
          <w:tcPr>
            <w:tcW w:w="0" w:type="dxa"/>
            <w:vAlign w:val="bottom"/>
          </w:tcPr>
          <w:p>
            <w:pPr>
              <w:spacing w:after="0"/>
              <w:rPr>
                <w:sz w:val="1"/>
                <w:szCs w:val="1"/>
                <w:color w:val="auto"/>
              </w:rPr>
            </w:pPr>
          </w:p>
        </w:tc>
      </w:tr>
      <w:tr>
        <w:trPr>
          <w:trHeight w:val="234"/>
        </w:trPr>
        <w:tc>
          <w:tcPr>
            <w:tcW w:w="4740" w:type="dxa"/>
            <w:vAlign w:val="bottom"/>
          </w:tcPr>
          <w:p>
            <w:pPr>
              <w:ind w:left="260"/>
              <w:spacing w:after="0"/>
              <w:rPr>
                <w:sz w:val="20"/>
                <w:szCs w:val="20"/>
                <w:color w:val="auto"/>
              </w:rPr>
            </w:pPr>
            <w:r>
              <w:rPr>
                <w:rFonts w:ascii="Arial" w:cs="Arial" w:eastAsia="Arial" w:hAnsi="Arial"/>
                <w:sz w:val="11"/>
                <w:szCs w:val="11"/>
                <w:color w:val="auto"/>
              </w:rPr>
              <w:t>Director Onboarding and Continuing Education—Connecting New Directors To The</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8"/>
        </w:trPr>
        <w:tc>
          <w:tcPr>
            <w:tcW w:w="4740" w:type="dxa"/>
            <w:vAlign w:val="bottom"/>
          </w:tcPr>
          <w:p>
            <w:pPr>
              <w:ind w:left="260"/>
              <w:spacing w:after="0"/>
              <w:rPr>
                <w:sz w:val="20"/>
                <w:szCs w:val="20"/>
                <w:color w:val="auto"/>
              </w:rPr>
            </w:pPr>
            <w:r>
              <w:rPr>
                <w:rFonts w:ascii="Arial" w:cs="Arial" w:eastAsia="Arial" w:hAnsi="Arial"/>
                <w:sz w:val="11"/>
                <w:szCs w:val="11"/>
                <w:color w:val="auto"/>
              </w:rPr>
              <w:t>Company’s Unique Culture and Business, and Maintaining Key Expertise In An</w:t>
            </w:r>
          </w:p>
        </w:tc>
        <w:tc>
          <w:tcPr>
            <w:tcW w:w="260" w:type="dxa"/>
            <w:vAlign w:val="bottom"/>
            <w:vMerge w:val="restart"/>
          </w:tcPr>
          <w:p>
            <w:pPr>
              <w:jc w:val="center"/>
              <w:ind w:left="82"/>
              <w:spacing w:after="0"/>
              <w:rPr>
                <w:sz w:val="20"/>
                <w:szCs w:val="20"/>
                <w:color w:val="auto"/>
              </w:rPr>
            </w:pPr>
            <w:r>
              <w:rPr>
                <w:rFonts w:ascii="Arial" w:cs="Arial" w:eastAsia="Arial" w:hAnsi="Arial"/>
                <w:sz w:val="11"/>
                <w:szCs w:val="11"/>
                <w:color w:val="auto"/>
                <w:w w:val="97"/>
              </w:rPr>
              <w:t>23</w:t>
            </w:r>
          </w:p>
        </w:tc>
        <w:tc>
          <w:tcPr>
            <w:tcW w:w="0" w:type="dxa"/>
            <w:vAlign w:val="bottom"/>
          </w:tcPr>
          <w:p>
            <w:pPr>
              <w:spacing w:after="0"/>
              <w:rPr>
                <w:sz w:val="1"/>
                <w:szCs w:val="1"/>
                <w:color w:val="auto"/>
              </w:rPr>
            </w:pPr>
          </w:p>
        </w:tc>
      </w:tr>
      <w:tr>
        <w:trPr>
          <w:trHeight w:val="148"/>
        </w:trPr>
        <w:tc>
          <w:tcPr>
            <w:tcW w:w="4740" w:type="dxa"/>
            <w:vAlign w:val="bottom"/>
          </w:tcPr>
          <w:p>
            <w:pPr>
              <w:ind w:left="260"/>
              <w:spacing w:after="0"/>
              <w:rPr>
                <w:sz w:val="20"/>
                <w:szCs w:val="20"/>
                <w:color w:val="auto"/>
              </w:rPr>
            </w:pPr>
            <w:r>
              <w:rPr>
                <w:rFonts w:ascii="Arial" w:cs="Arial" w:eastAsia="Arial" w:hAnsi="Arial"/>
                <w:sz w:val="11"/>
                <w:szCs w:val="11"/>
                <w:color w:val="auto"/>
              </w:rPr>
              <w:t>Evolving Regulatory and Business Landscape</w:t>
            </w:r>
          </w:p>
        </w:tc>
        <w:tc>
          <w:tcPr>
            <w:tcW w:w="2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4740" w:type="dxa"/>
            <w:vAlign w:val="bottom"/>
          </w:tcPr>
          <w:p>
            <w:pPr>
              <w:ind w:left="260"/>
              <w:spacing w:after="0"/>
              <w:rPr>
                <w:sz w:val="20"/>
                <w:szCs w:val="20"/>
                <w:color w:val="auto"/>
              </w:rPr>
            </w:pPr>
            <w:r>
              <w:rPr>
                <w:rFonts w:ascii="Arial" w:cs="Arial" w:eastAsia="Arial" w:hAnsi="Arial"/>
                <w:sz w:val="11"/>
                <w:szCs w:val="11"/>
                <w:color w:val="auto"/>
              </w:rPr>
              <w:t>Communications With Our Board</w:t>
            </w:r>
          </w:p>
        </w:tc>
        <w:tc>
          <w:tcPr>
            <w:tcW w:w="260" w:type="dxa"/>
            <w:vAlign w:val="bottom"/>
          </w:tcPr>
          <w:p>
            <w:pPr>
              <w:jc w:val="center"/>
              <w:ind w:left="82"/>
              <w:spacing w:after="0"/>
              <w:rPr>
                <w:sz w:val="20"/>
                <w:szCs w:val="20"/>
                <w:color w:val="auto"/>
              </w:rPr>
            </w:pPr>
            <w:r>
              <w:rPr>
                <w:rFonts w:ascii="Arial" w:cs="Arial" w:eastAsia="Arial" w:hAnsi="Arial"/>
                <w:sz w:val="11"/>
                <w:szCs w:val="11"/>
                <w:color w:val="auto"/>
                <w:w w:val="97"/>
              </w:rPr>
              <w:t>23</w:t>
            </w:r>
          </w:p>
        </w:tc>
        <w:tc>
          <w:tcPr>
            <w:tcW w:w="0" w:type="dxa"/>
            <w:vAlign w:val="bottom"/>
          </w:tcPr>
          <w:p>
            <w:pPr>
              <w:spacing w:after="0"/>
              <w:rPr>
                <w:sz w:val="1"/>
                <w:szCs w:val="1"/>
                <w:color w:val="auto"/>
              </w:rPr>
            </w:pPr>
          </w:p>
        </w:tc>
      </w:tr>
      <w:tr>
        <w:trPr>
          <w:trHeight w:val="244"/>
        </w:trPr>
        <w:tc>
          <w:tcPr>
            <w:tcW w:w="4740" w:type="dxa"/>
            <w:vAlign w:val="bottom"/>
          </w:tcPr>
          <w:p>
            <w:pPr>
              <w:ind w:left="260"/>
              <w:spacing w:after="0"/>
              <w:rPr>
                <w:sz w:val="20"/>
                <w:szCs w:val="20"/>
                <w:color w:val="auto"/>
              </w:rPr>
            </w:pPr>
            <w:r>
              <w:rPr>
                <w:rFonts w:ascii="Arial" w:cs="Arial" w:eastAsia="Arial" w:hAnsi="Arial"/>
                <w:sz w:val="11"/>
                <w:szCs w:val="11"/>
                <w:color w:val="auto"/>
              </w:rPr>
              <w:t>Compensation of Non-Employee Directors for 2024</w:t>
            </w:r>
          </w:p>
        </w:tc>
        <w:tc>
          <w:tcPr>
            <w:tcW w:w="260" w:type="dxa"/>
            <w:vAlign w:val="bottom"/>
          </w:tcPr>
          <w:p>
            <w:pPr>
              <w:jc w:val="center"/>
              <w:ind w:left="82"/>
              <w:spacing w:after="0"/>
              <w:rPr>
                <w:sz w:val="20"/>
                <w:szCs w:val="20"/>
                <w:color w:val="auto"/>
              </w:rPr>
            </w:pPr>
            <w:r>
              <w:rPr>
                <w:rFonts w:ascii="Arial" w:cs="Arial" w:eastAsia="Arial" w:hAnsi="Arial"/>
                <w:sz w:val="11"/>
                <w:szCs w:val="11"/>
                <w:color w:val="auto"/>
                <w:w w:val="97"/>
              </w:rPr>
              <w:t>24</w:t>
            </w:r>
          </w:p>
        </w:tc>
        <w:tc>
          <w:tcPr>
            <w:tcW w:w="0" w:type="dxa"/>
            <w:vAlign w:val="bottom"/>
          </w:tcPr>
          <w:p>
            <w:pPr>
              <w:spacing w:after="0"/>
              <w:rPr>
                <w:sz w:val="1"/>
                <w:szCs w:val="1"/>
                <w:color w:val="auto"/>
              </w:rPr>
            </w:pPr>
          </w:p>
        </w:tc>
      </w:tr>
      <w:tr>
        <w:trPr>
          <w:trHeight w:val="243"/>
        </w:trPr>
        <w:tc>
          <w:tcPr>
            <w:tcW w:w="4740" w:type="dxa"/>
            <w:vAlign w:val="bottom"/>
          </w:tcPr>
          <w:p>
            <w:pPr>
              <w:spacing w:after="0"/>
              <w:rPr>
                <w:sz w:val="20"/>
                <w:szCs w:val="20"/>
                <w:color w:val="auto"/>
              </w:rPr>
            </w:pPr>
            <w:r>
              <w:rPr>
                <w:rFonts w:ascii="Arial" w:cs="Arial" w:eastAsia="Arial" w:hAnsi="Arial"/>
                <w:sz w:val="13"/>
                <w:szCs w:val="13"/>
                <w:b w:val="1"/>
                <w:bCs w:val="1"/>
                <w:color w:val="0C6936"/>
              </w:rPr>
              <w:t>EXECUTIVE OFFICERS</w:t>
            </w:r>
          </w:p>
        </w:tc>
        <w:tc>
          <w:tcPr>
            <w:tcW w:w="260" w:type="dxa"/>
            <w:vAlign w:val="bottom"/>
          </w:tcPr>
          <w:p>
            <w:pPr>
              <w:jc w:val="center"/>
              <w:ind w:left="62"/>
              <w:spacing w:after="0"/>
              <w:rPr>
                <w:sz w:val="20"/>
                <w:szCs w:val="20"/>
                <w:color w:val="auto"/>
              </w:rPr>
            </w:pPr>
            <w:r>
              <w:rPr>
                <w:rFonts w:ascii="Arial" w:cs="Arial" w:eastAsia="Arial" w:hAnsi="Arial"/>
                <w:sz w:val="13"/>
                <w:szCs w:val="13"/>
                <w:b w:val="1"/>
                <w:bCs w:val="1"/>
                <w:color w:val="0C6936"/>
                <w:w w:val="96"/>
              </w:rPr>
              <w:t>26</w:t>
            </w:r>
          </w:p>
        </w:tc>
        <w:tc>
          <w:tcPr>
            <w:tcW w:w="0" w:type="dxa"/>
            <w:vAlign w:val="bottom"/>
          </w:tcPr>
          <w:p>
            <w:pPr>
              <w:spacing w:after="0"/>
              <w:rPr>
                <w:sz w:val="1"/>
                <w:szCs w:val="1"/>
                <w:color w:val="auto"/>
              </w:rPr>
            </w:pPr>
          </w:p>
        </w:tc>
      </w:tr>
      <w:tr>
        <w:trPr>
          <w:trHeight w:val="234"/>
        </w:trPr>
        <w:tc>
          <w:tcPr>
            <w:tcW w:w="4740" w:type="dxa"/>
            <w:vAlign w:val="bottom"/>
          </w:tcPr>
          <w:p>
            <w:pPr>
              <w:ind w:left="260"/>
              <w:spacing w:after="0"/>
              <w:rPr>
                <w:sz w:val="20"/>
                <w:szCs w:val="20"/>
                <w:color w:val="auto"/>
              </w:rPr>
            </w:pPr>
            <w:r>
              <w:rPr>
                <w:rFonts w:ascii="Arial" w:cs="Arial" w:eastAsia="Arial" w:hAnsi="Arial"/>
                <w:sz w:val="11"/>
                <w:szCs w:val="11"/>
                <w:color w:val="auto"/>
              </w:rPr>
              <w:t>Named Executive Officer Compensation Tables</w:t>
            </w:r>
          </w:p>
        </w:tc>
        <w:tc>
          <w:tcPr>
            <w:tcW w:w="260" w:type="dxa"/>
            <w:vAlign w:val="bottom"/>
          </w:tcPr>
          <w:p>
            <w:pPr>
              <w:jc w:val="center"/>
              <w:ind w:left="82"/>
              <w:spacing w:after="0"/>
              <w:rPr>
                <w:sz w:val="20"/>
                <w:szCs w:val="20"/>
                <w:color w:val="auto"/>
              </w:rPr>
            </w:pPr>
            <w:r>
              <w:rPr>
                <w:rFonts w:ascii="Arial" w:cs="Arial" w:eastAsia="Arial" w:hAnsi="Arial"/>
                <w:sz w:val="11"/>
                <w:szCs w:val="11"/>
                <w:color w:val="auto"/>
                <w:w w:val="97"/>
              </w:rPr>
              <w:t>29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8"/>
        </w:trPr>
        <w:tc>
          <w:tcPr>
            <w:tcW w:w="4660" w:type="dxa"/>
            <w:vAlign w:val="bottom"/>
          </w:tcPr>
          <w:p>
            <w:pPr>
              <w:ind w:left="260"/>
              <w:spacing w:after="0"/>
              <w:rPr>
                <w:sz w:val="20"/>
                <w:szCs w:val="20"/>
                <w:color w:val="auto"/>
              </w:rPr>
            </w:pPr>
            <w:r>
              <w:rPr>
                <w:rFonts w:ascii="Arial" w:cs="Arial" w:eastAsia="Arial" w:hAnsi="Arial"/>
                <w:sz w:val="11"/>
                <w:szCs w:val="11"/>
                <w:color w:val="auto"/>
              </w:rPr>
              <w:t>2024 Summary Compensation Table</w:t>
            </w:r>
          </w:p>
        </w:tc>
        <w:tc>
          <w:tcPr>
            <w:tcW w:w="340" w:type="dxa"/>
            <w:vAlign w:val="bottom"/>
          </w:tcPr>
          <w:p>
            <w:pPr>
              <w:jc w:val="right"/>
              <w:spacing w:after="0"/>
              <w:rPr>
                <w:sz w:val="20"/>
                <w:szCs w:val="20"/>
                <w:color w:val="auto"/>
              </w:rPr>
            </w:pPr>
            <w:r>
              <w:rPr>
                <w:rFonts w:ascii="Arial" w:cs="Arial" w:eastAsia="Arial" w:hAnsi="Arial"/>
                <w:sz w:val="11"/>
                <w:szCs w:val="11"/>
                <w:color w:val="auto"/>
              </w:rPr>
              <w:t>29</w:t>
            </w:r>
          </w:p>
        </w:tc>
      </w:tr>
      <w:tr>
        <w:trPr>
          <w:trHeight w:val="244"/>
        </w:trPr>
        <w:tc>
          <w:tcPr>
            <w:tcW w:w="4660" w:type="dxa"/>
            <w:vAlign w:val="bottom"/>
          </w:tcPr>
          <w:p>
            <w:pPr>
              <w:ind w:left="260"/>
              <w:spacing w:after="0"/>
              <w:rPr>
                <w:sz w:val="20"/>
                <w:szCs w:val="20"/>
                <w:color w:val="auto"/>
              </w:rPr>
            </w:pPr>
            <w:r>
              <w:rPr>
                <w:rFonts w:ascii="Arial" w:cs="Arial" w:eastAsia="Arial" w:hAnsi="Arial"/>
                <w:sz w:val="11"/>
                <w:szCs w:val="11"/>
                <w:color w:val="auto"/>
              </w:rPr>
              <w:t>Narrative Disclosure To Summary Compensation Table</w:t>
            </w:r>
          </w:p>
        </w:tc>
        <w:tc>
          <w:tcPr>
            <w:tcW w:w="340" w:type="dxa"/>
            <w:vAlign w:val="bottom"/>
          </w:tcPr>
          <w:p>
            <w:pPr>
              <w:jc w:val="right"/>
              <w:spacing w:after="0"/>
              <w:rPr>
                <w:sz w:val="20"/>
                <w:szCs w:val="20"/>
                <w:color w:val="auto"/>
              </w:rPr>
            </w:pPr>
            <w:r>
              <w:rPr>
                <w:rFonts w:ascii="Arial" w:cs="Arial" w:eastAsia="Arial" w:hAnsi="Arial"/>
                <w:sz w:val="11"/>
                <w:szCs w:val="11"/>
                <w:color w:val="auto"/>
              </w:rPr>
              <w:t>30</w:t>
            </w:r>
          </w:p>
        </w:tc>
      </w:tr>
      <w:tr>
        <w:trPr>
          <w:trHeight w:val="244"/>
        </w:trPr>
        <w:tc>
          <w:tcPr>
            <w:tcW w:w="4660" w:type="dxa"/>
            <w:vAlign w:val="bottom"/>
          </w:tcPr>
          <w:p>
            <w:pPr>
              <w:ind w:left="260"/>
              <w:spacing w:after="0"/>
              <w:rPr>
                <w:sz w:val="20"/>
                <w:szCs w:val="20"/>
                <w:color w:val="auto"/>
              </w:rPr>
            </w:pPr>
            <w:r>
              <w:rPr>
                <w:rFonts w:ascii="Arial" w:cs="Arial" w:eastAsia="Arial" w:hAnsi="Arial"/>
                <w:sz w:val="11"/>
                <w:szCs w:val="11"/>
                <w:color w:val="auto"/>
              </w:rPr>
              <w:t>Outstanding Equity Awards at December 31, 2024</w:t>
            </w:r>
          </w:p>
        </w:tc>
        <w:tc>
          <w:tcPr>
            <w:tcW w:w="340" w:type="dxa"/>
            <w:vAlign w:val="bottom"/>
          </w:tcPr>
          <w:p>
            <w:pPr>
              <w:jc w:val="right"/>
              <w:spacing w:after="0"/>
              <w:rPr>
                <w:sz w:val="20"/>
                <w:szCs w:val="20"/>
                <w:color w:val="auto"/>
              </w:rPr>
            </w:pPr>
            <w:r>
              <w:rPr>
                <w:rFonts w:ascii="Arial" w:cs="Arial" w:eastAsia="Arial" w:hAnsi="Arial"/>
                <w:sz w:val="11"/>
                <w:szCs w:val="11"/>
                <w:color w:val="auto"/>
              </w:rPr>
              <w:t>31</w:t>
            </w:r>
          </w:p>
        </w:tc>
      </w:tr>
      <w:tr>
        <w:trPr>
          <w:trHeight w:val="234"/>
        </w:trPr>
        <w:tc>
          <w:tcPr>
            <w:tcW w:w="4660" w:type="dxa"/>
            <w:vAlign w:val="bottom"/>
          </w:tcPr>
          <w:p>
            <w:pPr>
              <w:ind w:left="260"/>
              <w:spacing w:after="0"/>
              <w:rPr>
                <w:sz w:val="20"/>
                <w:szCs w:val="20"/>
                <w:color w:val="auto"/>
              </w:rPr>
            </w:pPr>
            <w:r>
              <w:rPr>
                <w:rFonts w:ascii="Arial" w:cs="Arial" w:eastAsia="Arial" w:hAnsi="Arial"/>
                <w:sz w:val="11"/>
                <w:szCs w:val="11"/>
                <w:color w:val="auto"/>
              </w:rPr>
              <w:t>Potential Payments Upon Termination of Employment or Change In Control of the</w:t>
            </w:r>
          </w:p>
        </w:tc>
        <w:tc>
          <w:tcPr>
            <w:tcW w:w="340" w:type="dxa"/>
            <w:vAlign w:val="bottom"/>
          </w:tcPr>
          <w:p>
            <w:pPr>
              <w:spacing w:after="0"/>
              <w:rPr>
                <w:sz w:val="20"/>
                <w:szCs w:val="20"/>
                <w:color w:val="auto"/>
              </w:rPr>
            </w:pPr>
          </w:p>
        </w:tc>
      </w:tr>
      <w:tr>
        <w:trPr>
          <w:trHeight w:val="148"/>
        </w:trPr>
        <w:tc>
          <w:tcPr>
            <w:tcW w:w="4660" w:type="dxa"/>
            <w:vAlign w:val="bottom"/>
          </w:tcPr>
          <w:p>
            <w:pPr>
              <w:ind w:left="260"/>
              <w:spacing w:after="0"/>
              <w:rPr>
                <w:sz w:val="20"/>
                <w:szCs w:val="20"/>
                <w:color w:val="auto"/>
              </w:rPr>
            </w:pPr>
            <w:r>
              <w:rPr>
                <w:rFonts w:ascii="Arial" w:cs="Arial" w:eastAsia="Arial" w:hAnsi="Arial"/>
                <w:sz w:val="11"/>
                <w:szCs w:val="11"/>
                <w:color w:val="auto"/>
              </w:rPr>
              <w:t>Company</w:t>
            </w:r>
          </w:p>
        </w:tc>
        <w:tc>
          <w:tcPr>
            <w:tcW w:w="340" w:type="dxa"/>
            <w:vAlign w:val="bottom"/>
          </w:tcPr>
          <w:p>
            <w:pPr>
              <w:jc w:val="right"/>
              <w:spacing w:after="0"/>
              <w:rPr>
                <w:sz w:val="20"/>
                <w:szCs w:val="20"/>
                <w:color w:val="auto"/>
              </w:rPr>
            </w:pPr>
            <w:r>
              <w:rPr>
                <w:rFonts w:ascii="Arial" w:cs="Arial" w:eastAsia="Arial" w:hAnsi="Arial"/>
                <w:sz w:val="11"/>
                <w:szCs w:val="11"/>
                <w:color w:val="auto"/>
              </w:rPr>
              <w:t>32</w:t>
            </w:r>
          </w:p>
        </w:tc>
      </w:tr>
      <w:tr>
        <w:trPr>
          <w:trHeight w:val="244"/>
        </w:trPr>
        <w:tc>
          <w:tcPr>
            <w:tcW w:w="4660" w:type="dxa"/>
            <w:vAlign w:val="bottom"/>
          </w:tcPr>
          <w:p>
            <w:pPr>
              <w:ind w:left="260"/>
              <w:spacing w:after="0"/>
              <w:rPr>
                <w:sz w:val="20"/>
                <w:szCs w:val="20"/>
                <w:color w:val="auto"/>
              </w:rPr>
            </w:pPr>
            <w:r>
              <w:rPr>
                <w:rFonts w:ascii="Arial" w:cs="Arial" w:eastAsia="Arial" w:hAnsi="Arial"/>
                <w:sz w:val="11"/>
                <w:szCs w:val="11"/>
                <w:color w:val="auto"/>
              </w:rPr>
              <w:t>Other Compensation and Benefits</w:t>
            </w:r>
          </w:p>
        </w:tc>
        <w:tc>
          <w:tcPr>
            <w:tcW w:w="340" w:type="dxa"/>
            <w:vAlign w:val="bottom"/>
          </w:tcPr>
          <w:p>
            <w:pPr>
              <w:jc w:val="right"/>
              <w:spacing w:after="0"/>
              <w:rPr>
                <w:sz w:val="20"/>
                <w:szCs w:val="20"/>
                <w:color w:val="auto"/>
              </w:rPr>
            </w:pPr>
            <w:r>
              <w:rPr>
                <w:rFonts w:ascii="Arial" w:cs="Arial" w:eastAsia="Arial" w:hAnsi="Arial"/>
                <w:sz w:val="11"/>
                <w:szCs w:val="11"/>
                <w:color w:val="auto"/>
              </w:rPr>
              <w:t>33</w:t>
            </w:r>
          </w:p>
        </w:tc>
      </w:tr>
      <w:tr>
        <w:trPr>
          <w:trHeight w:val="223"/>
        </w:trPr>
        <w:tc>
          <w:tcPr>
            <w:tcW w:w="4660" w:type="dxa"/>
            <w:vAlign w:val="bottom"/>
          </w:tcPr>
          <w:p>
            <w:pPr>
              <w:ind w:left="260"/>
              <w:spacing w:after="0"/>
              <w:rPr>
                <w:sz w:val="20"/>
                <w:szCs w:val="20"/>
                <w:color w:val="auto"/>
              </w:rPr>
            </w:pPr>
            <w:r>
              <w:rPr>
                <w:rFonts w:ascii="Arial" w:cs="Arial" w:eastAsia="Arial" w:hAnsi="Arial"/>
                <w:sz w:val="11"/>
                <w:szCs w:val="11"/>
                <w:color w:val="auto"/>
              </w:rPr>
              <w:t>Equity Compensation Plan Information</w:t>
            </w:r>
          </w:p>
        </w:tc>
        <w:tc>
          <w:tcPr>
            <w:tcW w:w="340" w:type="dxa"/>
            <w:vAlign w:val="bottom"/>
          </w:tcPr>
          <w:p>
            <w:pPr>
              <w:jc w:val="right"/>
              <w:spacing w:after="0"/>
              <w:rPr>
                <w:sz w:val="20"/>
                <w:szCs w:val="20"/>
                <w:color w:val="auto"/>
              </w:rPr>
            </w:pPr>
            <w:r>
              <w:rPr>
                <w:rFonts w:ascii="Arial" w:cs="Arial" w:eastAsia="Arial" w:hAnsi="Arial"/>
                <w:sz w:val="11"/>
                <w:szCs w:val="11"/>
                <w:color w:val="auto"/>
              </w:rPr>
              <w:t>34</w:t>
            </w:r>
          </w:p>
        </w:tc>
      </w:tr>
      <w:tr>
        <w:trPr>
          <w:trHeight w:val="244"/>
        </w:trPr>
        <w:tc>
          <w:tcPr>
            <w:tcW w:w="4660" w:type="dxa"/>
            <w:vAlign w:val="bottom"/>
          </w:tcPr>
          <w:p>
            <w:pPr>
              <w:ind w:left="260"/>
              <w:spacing w:after="0"/>
              <w:rPr>
                <w:sz w:val="20"/>
                <w:szCs w:val="20"/>
                <w:color w:val="auto"/>
              </w:rPr>
            </w:pPr>
            <w:r>
              <w:rPr>
                <w:rFonts w:ascii="Arial" w:cs="Arial" w:eastAsia="Arial" w:hAnsi="Arial"/>
                <w:sz w:val="11"/>
                <w:szCs w:val="11"/>
                <w:color w:val="auto"/>
              </w:rPr>
              <w:t>Transactions with Related Persons</w:t>
            </w:r>
          </w:p>
        </w:tc>
        <w:tc>
          <w:tcPr>
            <w:tcW w:w="340" w:type="dxa"/>
            <w:vAlign w:val="bottom"/>
          </w:tcPr>
          <w:p>
            <w:pPr>
              <w:jc w:val="right"/>
              <w:spacing w:after="0"/>
              <w:rPr>
                <w:sz w:val="20"/>
                <w:szCs w:val="20"/>
                <w:color w:val="auto"/>
              </w:rPr>
            </w:pPr>
            <w:r>
              <w:rPr>
                <w:rFonts w:ascii="Arial" w:cs="Arial" w:eastAsia="Arial" w:hAnsi="Arial"/>
                <w:sz w:val="11"/>
                <w:szCs w:val="11"/>
                <w:color w:val="auto"/>
              </w:rPr>
              <w:t>34</w:t>
            </w:r>
          </w:p>
        </w:tc>
      </w:tr>
      <w:tr>
        <w:trPr>
          <w:trHeight w:val="244"/>
        </w:trPr>
        <w:tc>
          <w:tcPr>
            <w:tcW w:w="4660" w:type="dxa"/>
            <w:vAlign w:val="bottom"/>
          </w:tcPr>
          <w:p>
            <w:pPr>
              <w:ind w:left="260"/>
              <w:spacing w:after="0"/>
              <w:rPr>
                <w:sz w:val="20"/>
                <w:szCs w:val="20"/>
                <w:color w:val="auto"/>
              </w:rPr>
            </w:pPr>
            <w:r>
              <w:rPr>
                <w:rFonts w:ascii="Arial" w:cs="Arial" w:eastAsia="Arial" w:hAnsi="Arial"/>
                <w:sz w:val="11"/>
                <w:szCs w:val="11"/>
                <w:color w:val="auto"/>
              </w:rPr>
              <w:t>Related Person Transactions Policy and Transactions with Related Persons</w:t>
            </w:r>
          </w:p>
        </w:tc>
        <w:tc>
          <w:tcPr>
            <w:tcW w:w="340" w:type="dxa"/>
            <w:vAlign w:val="bottom"/>
          </w:tcPr>
          <w:p>
            <w:pPr>
              <w:jc w:val="right"/>
              <w:spacing w:after="0"/>
              <w:rPr>
                <w:sz w:val="20"/>
                <w:szCs w:val="20"/>
                <w:color w:val="auto"/>
              </w:rPr>
            </w:pPr>
            <w:r>
              <w:rPr>
                <w:rFonts w:ascii="Arial" w:cs="Arial" w:eastAsia="Arial" w:hAnsi="Arial"/>
                <w:sz w:val="11"/>
                <w:szCs w:val="11"/>
                <w:color w:val="auto"/>
              </w:rPr>
              <w:t>34</w:t>
            </w:r>
          </w:p>
        </w:tc>
      </w:tr>
      <w:tr>
        <w:trPr>
          <w:trHeight w:val="244"/>
        </w:trPr>
        <w:tc>
          <w:tcPr>
            <w:tcW w:w="4660" w:type="dxa"/>
            <w:vAlign w:val="bottom"/>
          </w:tcPr>
          <w:p>
            <w:pPr>
              <w:ind w:left="260"/>
              <w:spacing w:after="0"/>
              <w:rPr>
                <w:sz w:val="20"/>
                <w:szCs w:val="20"/>
                <w:color w:val="auto"/>
              </w:rPr>
            </w:pPr>
            <w:r>
              <w:rPr>
                <w:rFonts w:ascii="Arial" w:cs="Arial" w:eastAsia="Arial" w:hAnsi="Arial"/>
                <w:sz w:val="11"/>
                <w:szCs w:val="11"/>
                <w:color w:val="auto"/>
              </w:rPr>
              <w:t>Compensation Recovery Policy</w:t>
            </w:r>
          </w:p>
        </w:tc>
        <w:tc>
          <w:tcPr>
            <w:tcW w:w="340" w:type="dxa"/>
            <w:vAlign w:val="bottom"/>
          </w:tcPr>
          <w:p>
            <w:pPr>
              <w:jc w:val="right"/>
              <w:spacing w:after="0"/>
              <w:rPr>
                <w:sz w:val="20"/>
                <w:szCs w:val="20"/>
                <w:color w:val="auto"/>
              </w:rPr>
            </w:pPr>
            <w:r>
              <w:rPr>
                <w:rFonts w:ascii="Arial" w:cs="Arial" w:eastAsia="Arial" w:hAnsi="Arial"/>
                <w:sz w:val="11"/>
                <w:szCs w:val="11"/>
                <w:color w:val="auto"/>
              </w:rPr>
              <w:t>35</w:t>
            </w:r>
          </w:p>
        </w:tc>
      </w:tr>
      <w:tr>
        <w:trPr>
          <w:trHeight w:val="243"/>
        </w:trPr>
        <w:tc>
          <w:tcPr>
            <w:tcW w:w="4660" w:type="dxa"/>
            <w:vAlign w:val="bottom"/>
          </w:tcPr>
          <w:p>
            <w:pPr>
              <w:spacing w:after="0"/>
              <w:rPr>
                <w:sz w:val="20"/>
                <w:szCs w:val="20"/>
                <w:color w:val="auto"/>
              </w:rPr>
            </w:pPr>
            <w:r>
              <w:rPr>
                <w:rFonts w:ascii="Arial" w:cs="Arial" w:eastAsia="Arial" w:hAnsi="Arial"/>
                <w:sz w:val="13"/>
                <w:szCs w:val="13"/>
                <w:b w:val="1"/>
                <w:bCs w:val="1"/>
                <w:color w:val="0C6936"/>
              </w:rPr>
              <w:t>STOCK OWNERSHIP INFORMATION</w:t>
            </w:r>
          </w:p>
        </w:tc>
        <w:tc>
          <w:tcPr>
            <w:tcW w:w="340" w:type="dxa"/>
            <w:vAlign w:val="bottom"/>
          </w:tcPr>
          <w:p>
            <w:pPr>
              <w:jc w:val="right"/>
              <w:spacing w:after="0"/>
              <w:rPr>
                <w:sz w:val="20"/>
                <w:szCs w:val="20"/>
                <w:color w:val="auto"/>
              </w:rPr>
            </w:pPr>
            <w:r>
              <w:rPr>
                <w:rFonts w:ascii="Arial" w:cs="Arial" w:eastAsia="Arial" w:hAnsi="Arial"/>
                <w:sz w:val="13"/>
                <w:szCs w:val="13"/>
                <w:b w:val="1"/>
                <w:bCs w:val="1"/>
                <w:color w:val="0C6936"/>
              </w:rPr>
              <w:t>36</w:t>
            </w:r>
          </w:p>
        </w:tc>
      </w:tr>
      <w:tr>
        <w:trPr>
          <w:trHeight w:val="213"/>
        </w:trPr>
        <w:tc>
          <w:tcPr>
            <w:tcW w:w="4660" w:type="dxa"/>
            <w:vAlign w:val="bottom"/>
          </w:tcPr>
          <w:p>
            <w:pPr>
              <w:ind w:left="260"/>
              <w:spacing w:after="0"/>
              <w:rPr>
                <w:sz w:val="20"/>
                <w:szCs w:val="20"/>
                <w:color w:val="auto"/>
              </w:rPr>
            </w:pPr>
            <w:r>
              <w:rPr>
                <w:rFonts w:ascii="Arial" w:cs="Arial" w:eastAsia="Arial" w:hAnsi="Arial"/>
                <w:sz w:val="11"/>
                <w:szCs w:val="11"/>
                <w:color w:val="auto"/>
              </w:rPr>
              <w:t>Security Ownership of Certain Beneficial Owners and Management</w:t>
            </w:r>
          </w:p>
        </w:tc>
        <w:tc>
          <w:tcPr>
            <w:tcW w:w="340" w:type="dxa"/>
            <w:vAlign w:val="bottom"/>
          </w:tcPr>
          <w:p>
            <w:pPr>
              <w:jc w:val="right"/>
              <w:spacing w:after="0"/>
              <w:rPr>
                <w:sz w:val="20"/>
                <w:szCs w:val="20"/>
                <w:color w:val="auto"/>
              </w:rPr>
            </w:pPr>
            <w:r>
              <w:rPr>
                <w:rFonts w:ascii="Arial" w:cs="Arial" w:eastAsia="Arial" w:hAnsi="Arial"/>
                <w:sz w:val="11"/>
                <w:szCs w:val="11"/>
                <w:color w:val="auto"/>
              </w:rPr>
              <w:t>36</w:t>
            </w:r>
          </w:p>
        </w:tc>
      </w:tr>
      <w:tr>
        <w:trPr>
          <w:trHeight w:val="223"/>
        </w:trPr>
        <w:tc>
          <w:tcPr>
            <w:tcW w:w="4660" w:type="dxa"/>
            <w:vAlign w:val="bottom"/>
          </w:tcPr>
          <w:p>
            <w:pPr>
              <w:ind w:left="260"/>
              <w:spacing w:after="0"/>
              <w:rPr>
                <w:sz w:val="20"/>
                <w:szCs w:val="20"/>
                <w:color w:val="auto"/>
              </w:rPr>
            </w:pPr>
            <w:r>
              <w:rPr>
                <w:rFonts w:ascii="Arial" w:cs="Arial" w:eastAsia="Arial" w:hAnsi="Arial"/>
                <w:sz w:val="11"/>
                <w:szCs w:val="11"/>
                <w:color w:val="auto"/>
              </w:rPr>
              <w:t>Delinquent Section 16(a) Reports</w:t>
            </w:r>
          </w:p>
        </w:tc>
        <w:tc>
          <w:tcPr>
            <w:tcW w:w="340" w:type="dxa"/>
            <w:vAlign w:val="bottom"/>
          </w:tcPr>
          <w:p>
            <w:pPr>
              <w:jc w:val="right"/>
              <w:spacing w:after="0"/>
              <w:rPr>
                <w:sz w:val="20"/>
                <w:szCs w:val="20"/>
                <w:color w:val="auto"/>
              </w:rPr>
            </w:pPr>
            <w:r>
              <w:rPr>
                <w:rFonts w:ascii="Arial" w:cs="Arial" w:eastAsia="Arial" w:hAnsi="Arial"/>
                <w:sz w:val="11"/>
                <w:szCs w:val="11"/>
                <w:color w:val="auto"/>
              </w:rPr>
              <w:t>38</w:t>
            </w:r>
          </w:p>
        </w:tc>
      </w:tr>
      <w:tr>
        <w:trPr>
          <w:trHeight w:val="265"/>
        </w:trPr>
        <w:tc>
          <w:tcPr>
            <w:tcW w:w="4660" w:type="dxa"/>
            <w:vAlign w:val="bottom"/>
          </w:tcPr>
          <w:p>
            <w:pPr>
              <w:spacing w:after="0"/>
              <w:rPr>
                <w:sz w:val="20"/>
                <w:szCs w:val="20"/>
                <w:color w:val="auto"/>
              </w:rPr>
            </w:pPr>
            <w:r>
              <w:rPr>
                <w:rFonts w:ascii="Arial" w:cs="Arial" w:eastAsia="Arial" w:hAnsi="Arial"/>
                <w:sz w:val="13"/>
                <w:szCs w:val="13"/>
                <w:b w:val="1"/>
                <w:bCs w:val="1"/>
                <w:color w:val="0C6936"/>
              </w:rPr>
              <w:t>AUDIT COMMITTEE REPORT</w:t>
            </w:r>
          </w:p>
        </w:tc>
        <w:tc>
          <w:tcPr>
            <w:tcW w:w="340" w:type="dxa"/>
            <w:vAlign w:val="bottom"/>
          </w:tcPr>
          <w:p>
            <w:pPr>
              <w:jc w:val="right"/>
              <w:spacing w:after="0"/>
              <w:rPr>
                <w:sz w:val="20"/>
                <w:szCs w:val="20"/>
                <w:color w:val="auto"/>
              </w:rPr>
            </w:pPr>
            <w:r>
              <w:rPr>
                <w:rFonts w:ascii="Arial" w:cs="Arial" w:eastAsia="Arial" w:hAnsi="Arial"/>
                <w:sz w:val="13"/>
                <w:szCs w:val="13"/>
                <w:b w:val="1"/>
                <w:bCs w:val="1"/>
                <w:color w:val="0C6936"/>
              </w:rPr>
              <w:t>39</w:t>
            </w:r>
          </w:p>
        </w:tc>
      </w:tr>
      <w:tr>
        <w:trPr>
          <w:trHeight w:val="255"/>
        </w:trPr>
        <w:tc>
          <w:tcPr>
            <w:tcW w:w="4660" w:type="dxa"/>
            <w:vAlign w:val="bottom"/>
          </w:tcPr>
          <w:p>
            <w:pPr>
              <w:spacing w:after="0"/>
              <w:rPr>
                <w:sz w:val="20"/>
                <w:szCs w:val="20"/>
                <w:color w:val="auto"/>
              </w:rPr>
            </w:pPr>
            <w:r>
              <w:rPr>
                <w:rFonts w:ascii="Arial" w:cs="Arial" w:eastAsia="Arial" w:hAnsi="Arial"/>
                <w:sz w:val="13"/>
                <w:szCs w:val="13"/>
                <w:b w:val="1"/>
                <w:bCs w:val="1"/>
                <w:color w:val="0C6936"/>
              </w:rPr>
              <w:t>AUDIT COMMITTEE MATTERS</w:t>
            </w:r>
          </w:p>
        </w:tc>
        <w:tc>
          <w:tcPr>
            <w:tcW w:w="340" w:type="dxa"/>
            <w:vAlign w:val="bottom"/>
          </w:tcPr>
          <w:p>
            <w:pPr>
              <w:jc w:val="right"/>
              <w:spacing w:after="0"/>
              <w:rPr>
                <w:sz w:val="20"/>
                <w:szCs w:val="20"/>
                <w:color w:val="auto"/>
              </w:rPr>
            </w:pPr>
            <w:r>
              <w:rPr>
                <w:rFonts w:ascii="Arial" w:cs="Arial" w:eastAsia="Arial" w:hAnsi="Arial"/>
                <w:sz w:val="13"/>
                <w:szCs w:val="13"/>
                <w:b w:val="1"/>
                <w:bCs w:val="1"/>
                <w:color w:val="0C6936"/>
              </w:rPr>
              <w:t>40</w:t>
            </w:r>
          </w:p>
        </w:tc>
      </w:tr>
      <w:tr>
        <w:trPr>
          <w:trHeight w:val="234"/>
        </w:trPr>
        <w:tc>
          <w:tcPr>
            <w:tcW w:w="4660" w:type="dxa"/>
            <w:vAlign w:val="bottom"/>
          </w:tcPr>
          <w:p>
            <w:pPr>
              <w:ind w:left="260"/>
              <w:spacing w:after="0"/>
              <w:rPr>
                <w:sz w:val="20"/>
                <w:szCs w:val="20"/>
                <w:color w:val="auto"/>
              </w:rPr>
            </w:pPr>
            <w:r>
              <w:rPr>
                <w:rFonts w:ascii="Arial" w:cs="Arial" w:eastAsia="Arial" w:hAnsi="Arial"/>
                <w:sz w:val="11"/>
                <w:szCs w:val="11"/>
                <w:color w:val="auto"/>
              </w:rPr>
              <w:t>Pre-Approval Policies and Procedures</w:t>
            </w:r>
          </w:p>
        </w:tc>
        <w:tc>
          <w:tcPr>
            <w:tcW w:w="340" w:type="dxa"/>
            <w:vAlign w:val="bottom"/>
          </w:tcPr>
          <w:p>
            <w:pPr>
              <w:jc w:val="right"/>
              <w:spacing w:after="0"/>
              <w:rPr>
                <w:sz w:val="20"/>
                <w:szCs w:val="20"/>
                <w:color w:val="auto"/>
              </w:rPr>
            </w:pPr>
            <w:r>
              <w:rPr>
                <w:rFonts w:ascii="Arial" w:cs="Arial" w:eastAsia="Arial" w:hAnsi="Arial"/>
                <w:sz w:val="11"/>
                <w:szCs w:val="11"/>
                <w:color w:val="auto"/>
              </w:rPr>
              <w:t>40</w:t>
            </w:r>
          </w:p>
        </w:tc>
      </w:tr>
      <w:tr>
        <w:trPr>
          <w:trHeight w:val="244"/>
        </w:trPr>
        <w:tc>
          <w:tcPr>
            <w:tcW w:w="4660" w:type="dxa"/>
            <w:vAlign w:val="bottom"/>
          </w:tcPr>
          <w:p>
            <w:pPr>
              <w:ind w:left="260"/>
              <w:spacing w:after="0"/>
              <w:rPr>
                <w:sz w:val="20"/>
                <w:szCs w:val="20"/>
                <w:color w:val="auto"/>
              </w:rPr>
            </w:pPr>
            <w:r>
              <w:rPr>
                <w:rFonts w:ascii="Arial" w:cs="Arial" w:eastAsia="Arial" w:hAnsi="Arial"/>
                <w:sz w:val="11"/>
                <w:szCs w:val="11"/>
                <w:color w:val="auto"/>
              </w:rPr>
              <w:t>Independent Registered Public Accounting Firm Fees</w:t>
            </w:r>
          </w:p>
        </w:tc>
        <w:tc>
          <w:tcPr>
            <w:tcW w:w="340" w:type="dxa"/>
            <w:vAlign w:val="bottom"/>
          </w:tcPr>
          <w:p>
            <w:pPr>
              <w:jc w:val="right"/>
              <w:spacing w:after="0"/>
              <w:rPr>
                <w:sz w:val="20"/>
                <w:szCs w:val="20"/>
                <w:color w:val="auto"/>
              </w:rPr>
            </w:pPr>
            <w:r>
              <w:rPr>
                <w:rFonts w:ascii="Arial" w:cs="Arial" w:eastAsia="Arial" w:hAnsi="Arial"/>
                <w:sz w:val="11"/>
                <w:szCs w:val="11"/>
                <w:color w:val="auto"/>
              </w:rPr>
              <w:t>40</w:t>
            </w:r>
          </w:p>
        </w:tc>
      </w:tr>
      <w:tr>
        <w:trPr>
          <w:trHeight w:val="240"/>
        </w:trPr>
        <w:tc>
          <w:tcPr>
            <w:tcW w:w="4660" w:type="dxa"/>
            <w:vAlign w:val="bottom"/>
          </w:tcPr>
          <w:p>
            <w:pPr>
              <w:spacing w:after="0"/>
              <w:rPr>
                <w:sz w:val="20"/>
                <w:szCs w:val="20"/>
                <w:color w:val="auto"/>
              </w:rPr>
            </w:pPr>
            <w:r>
              <w:rPr>
                <w:rFonts w:ascii="Arial" w:cs="Arial" w:eastAsia="Arial" w:hAnsi="Arial"/>
                <w:sz w:val="13"/>
                <w:szCs w:val="13"/>
                <w:b w:val="1"/>
                <w:bCs w:val="1"/>
                <w:color w:val="0C6936"/>
              </w:rPr>
              <w:t>PROPOSAL NO. 2— RATIFICATION OF APPOINTMENT OF INDEPENDENT</w:t>
            </w:r>
          </w:p>
        </w:tc>
        <w:tc>
          <w:tcPr>
            <w:tcW w:w="340" w:type="dxa"/>
            <w:vAlign w:val="bottom"/>
          </w:tcPr>
          <w:p>
            <w:pPr>
              <w:spacing w:after="0"/>
              <w:rPr>
                <w:sz w:val="20"/>
                <w:szCs w:val="20"/>
                <w:color w:val="auto"/>
              </w:rPr>
            </w:pPr>
          </w:p>
        </w:tc>
      </w:tr>
      <w:tr>
        <w:trPr>
          <w:trHeight w:val="184"/>
        </w:trPr>
        <w:tc>
          <w:tcPr>
            <w:tcW w:w="4660" w:type="dxa"/>
            <w:vAlign w:val="bottom"/>
          </w:tcPr>
          <w:p>
            <w:pPr>
              <w:spacing w:after="0"/>
              <w:rPr>
                <w:sz w:val="20"/>
                <w:szCs w:val="20"/>
                <w:color w:val="auto"/>
              </w:rPr>
            </w:pPr>
            <w:r>
              <w:rPr>
                <w:rFonts w:ascii="Arial" w:cs="Arial" w:eastAsia="Arial" w:hAnsi="Arial"/>
                <w:sz w:val="13"/>
                <w:szCs w:val="13"/>
                <w:b w:val="1"/>
                <w:bCs w:val="1"/>
                <w:color w:val="0C6936"/>
              </w:rPr>
              <w:t>REGISTERED PUBLIC ACCOUNTING FIRM FOR 2025</w:t>
            </w:r>
          </w:p>
        </w:tc>
        <w:tc>
          <w:tcPr>
            <w:tcW w:w="340" w:type="dxa"/>
            <w:vAlign w:val="bottom"/>
          </w:tcPr>
          <w:p>
            <w:pPr>
              <w:jc w:val="right"/>
              <w:spacing w:after="0"/>
              <w:rPr>
                <w:sz w:val="20"/>
                <w:szCs w:val="20"/>
                <w:color w:val="auto"/>
              </w:rPr>
            </w:pPr>
            <w:r>
              <w:rPr>
                <w:rFonts w:ascii="Arial" w:cs="Arial" w:eastAsia="Arial" w:hAnsi="Arial"/>
                <w:sz w:val="13"/>
                <w:szCs w:val="13"/>
                <w:b w:val="1"/>
                <w:bCs w:val="1"/>
                <w:color w:val="0C6936"/>
              </w:rPr>
              <w:t>41</w:t>
            </w:r>
          </w:p>
        </w:tc>
      </w:tr>
      <w:tr>
        <w:trPr>
          <w:trHeight w:val="234"/>
        </w:trPr>
        <w:tc>
          <w:tcPr>
            <w:tcW w:w="4660" w:type="dxa"/>
            <w:vAlign w:val="bottom"/>
          </w:tcPr>
          <w:p>
            <w:pPr>
              <w:ind w:left="260"/>
              <w:spacing w:after="0"/>
              <w:rPr>
                <w:sz w:val="20"/>
                <w:szCs w:val="20"/>
                <w:color w:val="auto"/>
              </w:rPr>
            </w:pPr>
            <w:r>
              <w:rPr>
                <w:rFonts w:ascii="Arial" w:cs="Arial" w:eastAsia="Arial" w:hAnsi="Arial"/>
                <w:sz w:val="11"/>
                <w:szCs w:val="11"/>
                <w:color w:val="auto"/>
              </w:rPr>
              <w:t>Support for Recommendation</w:t>
            </w:r>
          </w:p>
        </w:tc>
        <w:tc>
          <w:tcPr>
            <w:tcW w:w="340" w:type="dxa"/>
            <w:vAlign w:val="bottom"/>
          </w:tcPr>
          <w:p>
            <w:pPr>
              <w:jc w:val="right"/>
              <w:spacing w:after="0"/>
              <w:rPr>
                <w:sz w:val="20"/>
                <w:szCs w:val="20"/>
                <w:color w:val="auto"/>
              </w:rPr>
            </w:pPr>
            <w:r>
              <w:rPr>
                <w:rFonts w:ascii="Arial" w:cs="Arial" w:eastAsia="Arial" w:hAnsi="Arial"/>
                <w:sz w:val="11"/>
                <w:szCs w:val="11"/>
                <w:color w:val="auto"/>
              </w:rPr>
              <w:t>41</w:t>
            </w:r>
          </w:p>
        </w:tc>
      </w:tr>
      <w:tr>
        <w:trPr>
          <w:trHeight w:val="244"/>
        </w:trPr>
        <w:tc>
          <w:tcPr>
            <w:tcW w:w="4660" w:type="dxa"/>
            <w:vAlign w:val="bottom"/>
          </w:tcPr>
          <w:p>
            <w:pPr>
              <w:ind w:left="260"/>
              <w:spacing w:after="0"/>
              <w:rPr>
                <w:sz w:val="20"/>
                <w:szCs w:val="20"/>
                <w:color w:val="auto"/>
              </w:rPr>
            </w:pPr>
            <w:r>
              <w:rPr>
                <w:rFonts w:ascii="Arial" w:cs="Arial" w:eastAsia="Arial" w:hAnsi="Arial"/>
                <w:sz w:val="11"/>
                <w:szCs w:val="11"/>
                <w:color w:val="auto"/>
              </w:rPr>
              <w:t>Non-Binding Vote</w:t>
            </w:r>
          </w:p>
        </w:tc>
        <w:tc>
          <w:tcPr>
            <w:tcW w:w="340" w:type="dxa"/>
            <w:vAlign w:val="bottom"/>
          </w:tcPr>
          <w:p>
            <w:pPr>
              <w:jc w:val="right"/>
              <w:spacing w:after="0"/>
              <w:rPr>
                <w:sz w:val="20"/>
                <w:szCs w:val="20"/>
                <w:color w:val="auto"/>
              </w:rPr>
            </w:pPr>
            <w:r>
              <w:rPr>
                <w:rFonts w:ascii="Arial" w:cs="Arial" w:eastAsia="Arial" w:hAnsi="Arial"/>
                <w:sz w:val="11"/>
                <w:szCs w:val="11"/>
                <w:color w:val="auto"/>
              </w:rPr>
              <w:t>41</w:t>
            </w:r>
          </w:p>
        </w:tc>
      </w:tr>
      <w:tr>
        <w:trPr>
          <w:trHeight w:val="244"/>
        </w:trPr>
        <w:tc>
          <w:tcPr>
            <w:tcW w:w="4660" w:type="dxa"/>
            <w:vAlign w:val="bottom"/>
          </w:tcPr>
          <w:p>
            <w:pPr>
              <w:ind w:left="260"/>
              <w:spacing w:after="0"/>
              <w:rPr>
                <w:sz w:val="20"/>
                <w:szCs w:val="20"/>
                <w:color w:val="auto"/>
              </w:rPr>
            </w:pPr>
            <w:r>
              <w:rPr>
                <w:rFonts w:ascii="Arial" w:cs="Arial" w:eastAsia="Arial" w:hAnsi="Arial"/>
                <w:sz w:val="11"/>
                <w:szCs w:val="11"/>
                <w:color w:val="auto"/>
              </w:rPr>
              <w:t>Inquiries of Deloitte &amp; Touche LLP at Annual Meeting</w:t>
            </w:r>
          </w:p>
        </w:tc>
        <w:tc>
          <w:tcPr>
            <w:tcW w:w="340" w:type="dxa"/>
            <w:vAlign w:val="bottom"/>
          </w:tcPr>
          <w:p>
            <w:pPr>
              <w:jc w:val="right"/>
              <w:spacing w:after="0"/>
              <w:rPr>
                <w:sz w:val="20"/>
                <w:szCs w:val="20"/>
                <w:color w:val="auto"/>
              </w:rPr>
            </w:pPr>
            <w:r>
              <w:rPr>
                <w:rFonts w:ascii="Arial" w:cs="Arial" w:eastAsia="Arial" w:hAnsi="Arial"/>
                <w:sz w:val="11"/>
                <w:szCs w:val="11"/>
                <w:color w:val="auto"/>
              </w:rPr>
              <w:t>42</w:t>
            </w:r>
          </w:p>
        </w:tc>
      </w:tr>
      <w:tr>
        <w:trPr>
          <w:trHeight w:val="244"/>
        </w:trPr>
        <w:tc>
          <w:tcPr>
            <w:tcW w:w="4660" w:type="dxa"/>
            <w:vAlign w:val="bottom"/>
          </w:tcPr>
          <w:p>
            <w:pPr>
              <w:ind w:left="260"/>
              <w:spacing w:after="0"/>
              <w:rPr>
                <w:sz w:val="20"/>
                <w:szCs w:val="20"/>
                <w:color w:val="auto"/>
              </w:rPr>
            </w:pPr>
            <w:r>
              <w:rPr>
                <w:rFonts w:ascii="Arial" w:cs="Arial" w:eastAsia="Arial" w:hAnsi="Arial"/>
                <w:sz w:val="11"/>
                <w:szCs w:val="11"/>
                <w:color w:val="auto"/>
              </w:rPr>
              <w:t>Recommendation</w:t>
            </w:r>
          </w:p>
        </w:tc>
        <w:tc>
          <w:tcPr>
            <w:tcW w:w="340" w:type="dxa"/>
            <w:vAlign w:val="bottom"/>
          </w:tcPr>
          <w:p>
            <w:pPr>
              <w:jc w:val="right"/>
              <w:spacing w:after="0"/>
              <w:rPr>
                <w:sz w:val="20"/>
                <w:szCs w:val="20"/>
                <w:color w:val="auto"/>
              </w:rPr>
            </w:pPr>
            <w:r>
              <w:rPr>
                <w:rFonts w:ascii="Arial" w:cs="Arial" w:eastAsia="Arial" w:hAnsi="Arial"/>
                <w:sz w:val="11"/>
                <w:szCs w:val="11"/>
                <w:color w:val="auto"/>
              </w:rPr>
              <w:t>42</w:t>
            </w:r>
          </w:p>
        </w:tc>
      </w:tr>
      <w:tr>
        <w:trPr>
          <w:trHeight w:val="219"/>
        </w:trPr>
        <w:tc>
          <w:tcPr>
            <w:tcW w:w="4660" w:type="dxa"/>
            <w:vAlign w:val="bottom"/>
          </w:tcPr>
          <w:p>
            <w:pPr>
              <w:spacing w:after="0"/>
              <w:rPr>
                <w:sz w:val="20"/>
                <w:szCs w:val="20"/>
                <w:color w:val="auto"/>
              </w:rPr>
            </w:pPr>
            <w:r>
              <w:rPr>
                <w:rFonts w:ascii="Arial" w:cs="Arial" w:eastAsia="Arial" w:hAnsi="Arial"/>
                <w:sz w:val="13"/>
                <w:szCs w:val="13"/>
                <w:b w:val="1"/>
                <w:bCs w:val="1"/>
                <w:color w:val="0C6936"/>
              </w:rPr>
              <w:t>QUESTIONS AND ANSWERS ABOUT THE PROXY MATERIALS AND 2025</w:t>
            </w:r>
          </w:p>
        </w:tc>
        <w:tc>
          <w:tcPr>
            <w:tcW w:w="340" w:type="dxa"/>
            <w:vAlign w:val="bottom"/>
          </w:tcPr>
          <w:p>
            <w:pPr>
              <w:spacing w:after="0"/>
              <w:rPr>
                <w:sz w:val="19"/>
                <w:szCs w:val="19"/>
                <w:color w:val="auto"/>
              </w:rPr>
            </w:pPr>
          </w:p>
        </w:tc>
      </w:tr>
      <w:tr>
        <w:trPr>
          <w:trHeight w:val="184"/>
        </w:trPr>
        <w:tc>
          <w:tcPr>
            <w:tcW w:w="4660" w:type="dxa"/>
            <w:vAlign w:val="bottom"/>
          </w:tcPr>
          <w:p>
            <w:pPr>
              <w:spacing w:after="0"/>
              <w:rPr>
                <w:sz w:val="20"/>
                <w:szCs w:val="20"/>
                <w:color w:val="auto"/>
              </w:rPr>
            </w:pPr>
            <w:r>
              <w:rPr>
                <w:rFonts w:ascii="Arial" w:cs="Arial" w:eastAsia="Arial" w:hAnsi="Arial"/>
                <w:sz w:val="13"/>
                <w:szCs w:val="13"/>
                <w:b w:val="1"/>
                <w:bCs w:val="1"/>
                <w:color w:val="0C6936"/>
              </w:rPr>
              <w:t>ANNUAL MEETING</w:t>
            </w:r>
          </w:p>
        </w:tc>
        <w:tc>
          <w:tcPr>
            <w:tcW w:w="340" w:type="dxa"/>
            <w:vAlign w:val="bottom"/>
          </w:tcPr>
          <w:p>
            <w:pPr>
              <w:jc w:val="right"/>
              <w:spacing w:after="0"/>
              <w:rPr>
                <w:sz w:val="20"/>
                <w:szCs w:val="20"/>
                <w:color w:val="auto"/>
              </w:rPr>
            </w:pPr>
            <w:r>
              <w:rPr>
                <w:rFonts w:ascii="Arial" w:cs="Arial" w:eastAsia="Arial" w:hAnsi="Arial"/>
                <w:sz w:val="13"/>
                <w:szCs w:val="13"/>
                <w:b w:val="1"/>
                <w:bCs w:val="1"/>
                <w:color w:val="0C6936"/>
              </w:rPr>
              <w:t>43</w:t>
            </w:r>
          </w:p>
        </w:tc>
      </w:tr>
      <w:tr>
        <w:trPr>
          <w:trHeight w:val="255"/>
        </w:trPr>
        <w:tc>
          <w:tcPr>
            <w:tcW w:w="4660" w:type="dxa"/>
            <w:vAlign w:val="bottom"/>
          </w:tcPr>
          <w:p>
            <w:pPr>
              <w:spacing w:after="0"/>
              <w:rPr>
                <w:sz w:val="20"/>
                <w:szCs w:val="20"/>
                <w:color w:val="auto"/>
              </w:rPr>
            </w:pPr>
            <w:r>
              <w:rPr>
                <w:rFonts w:ascii="Arial" w:cs="Arial" w:eastAsia="Arial" w:hAnsi="Arial"/>
                <w:sz w:val="13"/>
                <w:szCs w:val="13"/>
                <w:b w:val="1"/>
                <w:bCs w:val="1"/>
                <w:color w:val="0C6936"/>
              </w:rPr>
              <w:t>OTHER MATTERS</w:t>
            </w:r>
          </w:p>
        </w:tc>
        <w:tc>
          <w:tcPr>
            <w:tcW w:w="340" w:type="dxa"/>
            <w:vAlign w:val="bottom"/>
          </w:tcPr>
          <w:p>
            <w:pPr>
              <w:jc w:val="right"/>
              <w:spacing w:after="0"/>
              <w:rPr>
                <w:sz w:val="20"/>
                <w:szCs w:val="20"/>
                <w:color w:val="auto"/>
              </w:rPr>
            </w:pPr>
            <w:r>
              <w:rPr>
                <w:rFonts w:ascii="Arial" w:cs="Arial" w:eastAsia="Arial" w:hAnsi="Arial"/>
                <w:sz w:val="13"/>
                <w:szCs w:val="13"/>
                <w:b w:val="1"/>
                <w:bCs w:val="1"/>
                <w:color w:val="0C6936"/>
              </w:rPr>
              <w:t>49</w:t>
            </w:r>
          </w:p>
        </w:tc>
      </w:tr>
      <w:tr>
        <w:trPr>
          <w:trHeight w:val="234"/>
        </w:trPr>
        <w:tc>
          <w:tcPr>
            <w:tcW w:w="4660" w:type="dxa"/>
            <w:vAlign w:val="bottom"/>
          </w:tcPr>
          <w:p>
            <w:pPr>
              <w:ind w:left="260"/>
              <w:spacing w:after="0"/>
              <w:rPr>
                <w:sz w:val="20"/>
                <w:szCs w:val="20"/>
                <w:color w:val="auto"/>
              </w:rPr>
            </w:pPr>
            <w:r>
              <w:rPr>
                <w:rFonts w:ascii="Arial" w:cs="Arial" w:eastAsia="Arial" w:hAnsi="Arial"/>
                <w:sz w:val="11"/>
                <w:szCs w:val="11"/>
                <w:color w:val="auto"/>
              </w:rPr>
              <w:t>Presentation of Stockholder Proposals and Nominations at 2026 Annual Meeting</w:t>
            </w:r>
          </w:p>
        </w:tc>
        <w:tc>
          <w:tcPr>
            <w:tcW w:w="340" w:type="dxa"/>
            <w:vAlign w:val="bottom"/>
          </w:tcPr>
          <w:p>
            <w:pPr>
              <w:jc w:val="right"/>
              <w:spacing w:after="0"/>
              <w:rPr>
                <w:sz w:val="20"/>
                <w:szCs w:val="20"/>
                <w:color w:val="auto"/>
              </w:rPr>
            </w:pPr>
            <w:r>
              <w:rPr>
                <w:rFonts w:ascii="Arial" w:cs="Arial" w:eastAsia="Arial" w:hAnsi="Arial"/>
                <w:sz w:val="11"/>
                <w:szCs w:val="11"/>
                <w:color w:val="auto"/>
              </w:rPr>
              <w:t>49</w:t>
            </w:r>
          </w:p>
        </w:tc>
      </w:tr>
      <w:tr>
        <w:trPr>
          <w:trHeight w:val="244"/>
        </w:trPr>
        <w:tc>
          <w:tcPr>
            <w:tcW w:w="4660" w:type="dxa"/>
            <w:vAlign w:val="bottom"/>
          </w:tcPr>
          <w:p>
            <w:pPr>
              <w:ind w:left="260"/>
              <w:spacing w:after="0"/>
              <w:rPr>
                <w:sz w:val="20"/>
                <w:szCs w:val="20"/>
                <w:color w:val="auto"/>
              </w:rPr>
            </w:pPr>
            <w:r>
              <w:rPr>
                <w:rFonts w:ascii="Arial" w:cs="Arial" w:eastAsia="Arial" w:hAnsi="Arial"/>
                <w:sz w:val="11"/>
                <w:szCs w:val="11"/>
                <w:color w:val="auto"/>
              </w:rPr>
              <w:t>Access to Reports and Other Information</w:t>
            </w:r>
          </w:p>
        </w:tc>
        <w:tc>
          <w:tcPr>
            <w:tcW w:w="340" w:type="dxa"/>
            <w:vAlign w:val="bottom"/>
          </w:tcPr>
          <w:p>
            <w:pPr>
              <w:jc w:val="right"/>
              <w:spacing w:after="0"/>
              <w:rPr>
                <w:sz w:val="20"/>
                <w:szCs w:val="20"/>
                <w:color w:val="auto"/>
              </w:rPr>
            </w:pPr>
            <w:r>
              <w:rPr>
                <w:rFonts w:ascii="Arial" w:cs="Arial" w:eastAsia="Arial" w:hAnsi="Arial"/>
                <w:sz w:val="11"/>
                <w:szCs w:val="11"/>
                <w:color w:val="auto"/>
              </w:rPr>
              <w:t>49</w:t>
            </w:r>
          </w:p>
        </w:tc>
      </w:tr>
      <w:tr>
        <w:trPr>
          <w:trHeight w:val="244"/>
        </w:trPr>
        <w:tc>
          <w:tcPr>
            <w:tcW w:w="4660" w:type="dxa"/>
            <w:vAlign w:val="bottom"/>
          </w:tcPr>
          <w:p>
            <w:pPr>
              <w:ind w:left="260"/>
              <w:spacing w:after="0"/>
              <w:rPr>
                <w:sz w:val="20"/>
                <w:szCs w:val="20"/>
                <w:color w:val="auto"/>
              </w:rPr>
            </w:pPr>
            <w:r>
              <w:rPr>
                <w:rFonts w:ascii="Arial" w:cs="Arial" w:eastAsia="Arial" w:hAnsi="Arial"/>
                <w:sz w:val="11"/>
                <w:szCs w:val="11"/>
                <w:color w:val="auto"/>
              </w:rPr>
              <w:t>Forward-Looking Statements</w:t>
            </w:r>
          </w:p>
        </w:tc>
        <w:tc>
          <w:tcPr>
            <w:tcW w:w="340" w:type="dxa"/>
            <w:vAlign w:val="bottom"/>
          </w:tcPr>
          <w:p>
            <w:pPr>
              <w:jc w:val="right"/>
              <w:spacing w:after="0"/>
              <w:rPr>
                <w:sz w:val="20"/>
                <w:szCs w:val="20"/>
                <w:color w:val="auto"/>
              </w:rPr>
            </w:pPr>
            <w:r>
              <w:rPr>
                <w:rFonts w:ascii="Arial" w:cs="Arial" w:eastAsia="Arial" w:hAnsi="Arial"/>
                <w:sz w:val="11"/>
                <w:szCs w:val="11"/>
                <w:color w:val="auto"/>
              </w:rPr>
              <w:t>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-3755390</wp:posOffset>
            </wp:positionH>
            <wp:positionV relativeFrom="paragraph">
              <wp:posOffset>570230</wp:posOffset>
            </wp:positionV>
            <wp:extent cx="7161530" cy="2895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289560"/>
                    </a:xfrm>
                    <a:prstGeom prst="rect">
                      <a:avLst/>
                    </a:prstGeom>
                    <a:noFill/>
                  </pic:spPr>
                </pic:pic>
              </a:graphicData>
            </a:graphic>
          </wp:anchor>
        </w:drawing>
      </w:r>
    </w:p>
    <w:p>
      <w:pPr>
        <w:sectPr>
          <w:pgSz w:w="11900" w:h="16838" w:orient="portrait"/>
          <w:cols w:equalWidth="0" w:num="2">
            <w:col w:w="5200" w:space="720"/>
            <w:col w:w="5000"/>
          </w:cols>
          <w:pgMar w:left="300" w:top="1135" w:right="679" w:bottom="1440" w:gutter="0" w:footer="0" w:header="0"/>
          <w:type w:val="continuous"/>
        </w:sectPr>
      </w:pPr>
    </w:p>
    <w:bookmarkStart w:id="5" w:name="page6"/>
    <w:bookmarkEnd w:id="5"/>
    <w:p>
      <w:pPr>
        <w:ind w:left="6380"/>
        <w:spacing w:after="0"/>
        <w:rPr>
          <w:sz w:val="20"/>
          <w:szCs w:val="20"/>
          <w:color w:val="auto"/>
        </w:rPr>
      </w:pPr>
      <w:r>
        <w:rPr>
          <w:rFonts w:ascii="Arial" w:cs="Arial" w:eastAsia="Arial" w:hAnsi="Arial"/>
          <w:sz w:val="13"/>
          <w:szCs w:val="13"/>
          <w:b w:val="1"/>
          <w:bCs w:val="1"/>
          <w:color w:val="00482F"/>
        </w:rPr>
        <w:drawing>
          <wp:anchor simplePos="0" relativeHeight="251657728" behindDoc="1" locked="0" layoutInCell="0" allowOverlap="1">
            <wp:simplePos x="0" y="0"/>
            <wp:positionH relativeFrom="page">
              <wp:posOffset>4195445</wp:posOffset>
            </wp:positionH>
            <wp:positionV relativeFrom="page">
              <wp:posOffset>102235</wp:posOffset>
            </wp:positionV>
            <wp:extent cx="1515745" cy="147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5745" cy="147955"/>
                    </a:xfrm>
                    <a:prstGeom prst="rect">
                      <a:avLst/>
                    </a:prstGeom>
                    <a:noFill/>
                  </pic:spPr>
                </pic:pic>
              </a:graphicData>
            </a:graphic>
          </wp:anchor>
        </w:drawing>
        <w:t>PROXY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34"/>
          <w:szCs w:val="34"/>
          <w:b w:val="1"/>
          <w:bCs w:val="1"/>
          <w:color w:val="auto"/>
        </w:rPr>
        <w:t>Proxy Summary</w:t>
      </w:r>
    </w:p>
    <w:p>
      <w:pPr>
        <w:spacing w:after="0" w:line="194" w:lineRule="exact"/>
        <w:rPr>
          <w:sz w:val="20"/>
          <w:szCs w:val="20"/>
          <w:color w:val="auto"/>
        </w:rPr>
      </w:pPr>
    </w:p>
    <w:p>
      <w:pPr>
        <w:ind w:right="20"/>
        <w:spacing w:after="0" w:line="261" w:lineRule="auto"/>
        <w:rPr>
          <w:sz w:val="20"/>
          <w:szCs w:val="20"/>
          <w:color w:val="auto"/>
        </w:rPr>
      </w:pPr>
      <w:r>
        <w:rPr>
          <w:rFonts w:ascii="Arial" w:cs="Arial" w:eastAsia="Arial" w:hAnsi="Arial"/>
          <w:sz w:val="13"/>
          <w:szCs w:val="13"/>
          <w:color w:val="auto"/>
        </w:rPr>
        <w:t>This proxy summary highlights information regarding NerdWallet, Inc. and certain information included elsewhere in this proxy statement. You should read the entire proxy statement before voting. You should also review our Annual Report on Form 10-K for the year ended December 31, 2024 (the "Annual Report") for detailed information regarding the 2024 financial and operating performance of NerdWallet, Inc., including the audited financial statements and related notes included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4719320</wp:posOffset>
            </wp:positionH>
            <wp:positionV relativeFrom="paragraph">
              <wp:posOffset>114935</wp:posOffset>
            </wp:positionV>
            <wp:extent cx="2445385" cy="46215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445385" cy="4621530"/>
                    </a:xfrm>
                    <a:prstGeom prst="rect">
                      <a:avLst/>
                    </a:prstGeom>
                    <a:noFill/>
                  </pic:spPr>
                </pic:pic>
              </a:graphicData>
            </a:graphic>
          </wp:anchor>
        </w:drawing>
      </w:r>
    </w:p>
    <w:p>
      <w:pPr>
        <w:sectPr>
          <w:pgSz w:w="11900" w:h="16838" w:orient="portrait"/>
          <w:cols w:equalWidth="0" w:num="1">
            <w:col w:w="11240"/>
          </w:cols>
          <w:pgMar w:left="300" w:top="171" w:right="359" w:bottom="1440" w:gutter="0" w:footer="0" w:header="0"/>
        </w:sectPr>
      </w:pPr>
    </w:p>
    <w:p>
      <w:pPr>
        <w:spacing w:after="0" w:line="321" w:lineRule="exact"/>
        <w:rPr>
          <w:sz w:val="20"/>
          <w:szCs w:val="20"/>
          <w:color w:val="auto"/>
        </w:rPr>
      </w:pPr>
    </w:p>
    <w:p>
      <w:pPr>
        <w:ind w:left="20"/>
        <w:spacing w:after="0"/>
        <w:rPr>
          <w:sz w:val="20"/>
          <w:szCs w:val="20"/>
          <w:color w:val="auto"/>
        </w:rPr>
      </w:pPr>
      <w:r>
        <w:rPr>
          <w:rFonts w:ascii="Arial" w:cs="Arial" w:eastAsia="Arial" w:hAnsi="Arial"/>
          <w:sz w:val="28"/>
          <w:szCs w:val="28"/>
          <w:b w:val="1"/>
          <w:bCs w:val="1"/>
          <w:color w:val="auto"/>
        </w:rPr>
        <w:t>2025 Annual Meeting of Stockholders</w:t>
      </w:r>
    </w:p>
    <w:p>
      <w:pPr>
        <w:spacing w:after="0" w:line="329" w:lineRule="exact"/>
        <w:rPr>
          <w:sz w:val="20"/>
          <w:szCs w:val="20"/>
          <w:color w:val="auto"/>
        </w:rPr>
      </w:pPr>
    </w:p>
    <w:p>
      <w:pPr>
        <w:ind w:left="480"/>
        <w:spacing w:after="0"/>
        <w:tabs>
          <w:tab w:leader="none" w:pos="4000" w:val="left"/>
        </w:tabs>
        <w:rPr>
          <w:sz w:val="20"/>
          <w:szCs w:val="20"/>
          <w:color w:val="auto"/>
        </w:rPr>
      </w:pPr>
      <w:r>
        <w:rPr>
          <w:rFonts w:ascii="Arial" w:cs="Arial" w:eastAsia="Arial" w:hAnsi="Arial"/>
          <w:sz w:val="14"/>
          <w:szCs w:val="14"/>
          <w:b w:val="1"/>
          <w:bCs w:val="1"/>
          <w:color w:val="0C6936"/>
        </w:rPr>
        <w:t>Date &amp; Time</w:t>
      </w:r>
      <w:r>
        <w:rPr>
          <w:sz w:val="20"/>
          <w:szCs w:val="20"/>
          <w:color w:val="auto"/>
        </w:rPr>
        <w:tab/>
      </w:r>
      <w:r>
        <w:rPr>
          <w:rFonts w:ascii="Arial" w:cs="Arial" w:eastAsia="Arial" w:hAnsi="Arial"/>
          <w:sz w:val="14"/>
          <w:szCs w:val="14"/>
          <w:b w:val="1"/>
          <w:bCs w:val="1"/>
          <w:color w:val="0C6936"/>
        </w:rPr>
        <w:t>Record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-31750</wp:posOffset>
            </wp:positionV>
            <wp:extent cx="154940"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4940" cy="128270"/>
                    </a:xfrm>
                    <a:prstGeom prst="rect">
                      <a:avLst/>
                    </a:prstGeom>
                    <a:noFill/>
                  </pic:spPr>
                </pic:pic>
              </a:graphicData>
            </a:graphic>
          </wp:anchor>
        </w:drawing>
        <w:drawing>
          <wp:anchor simplePos="0" relativeHeight="251657728" behindDoc="1" locked="0" layoutInCell="0" allowOverlap="1">
            <wp:simplePos x="0" y="0"/>
            <wp:positionH relativeFrom="column">
              <wp:posOffset>2253615</wp:posOffset>
            </wp:positionH>
            <wp:positionV relativeFrom="paragraph">
              <wp:posOffset>-52070</wp:posOffset>
            </wp:positionV>
            <wp:extent cx="175260" cy="1682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260" cy="168275"/>
                    </a:xfrm>
                    <a:prstGeom prst="rect">
                      <a:avLst/>
                    </a:prstGeom>
                    <a:noFill/>
                  </pic:spPr>
                </pic:pic>
              </a:graphicData>
            </a:graphic>
          </wp:anchor>
        </w:drawing>
      </w:r>
    </w:p>
    <w:p>
      <w:pPr>
        <w:spacing w:after="0" w:line="4" w:lineRule="exact"/>
        <w:rPr>
          <w:sz w:val="20"/>
          <w:szCs w:val="20"/>
          <w:color w:val="auto"/>
        </w:rPr>
      </w:pPr>
    </w:p>
    <w:p>
      <w:pPr>
        <w:ind w:left="480"/>
        <w:spacing w:after="0"/>
        <w:tabs>
          <w:tab w:leader="none" w:pos="4000" w:val="left"/>
        </w:tabs>
        <w:rPr>
          <w:sz w:val="20"/>
          <w:szCs w:val="20"/>
          <w:color w:val="auto"/>
        </w:rPr>
      </w:pPr>
      <w:r>
        <w:rPr>
          <w:rFonts w:ascii="Arial" w:cs="Arial" w:eastAsia="Arial" w:hAnsi="Arial"/>
          <w:sz w:val="13"/>
          <w:szCs w:val="13"/>
          <w:color w:val="auto"/>
        </w:rPr>
        <w:t>Wednesday, May 21, 2025</w:t>
      </w:r>
      <w:r>
        <w:rPr>
          <w:sz w:val="20"/>
          <w:szCs w:val="20"/>
          <w:color w:val="auto"/>
        </w:rPr>
        <w:tab/>
      </w:r>
      <w:r>
        <w:rPr>
          <w:rFonts w:ascii="Arial" w:cs="Arial" w:eastAsia="Arial" w:hAnsi="Arial"/>
          <w:sz w:val="12"/>
          <w:szCs w:val="12"/>
          <w:color w:val="auto"/>
        </w:rPr>
        <w:t>Monday, March 24, 2025</w:t>
      </w:r>
    </w:p>
    <w:p>
      <w:pPr>
        <w:ind w:left="480"/>
        <w:spacing w:after="0"/>
        <w:rPr>
          <w:sz w:val="20"/>
          <w:szCs w:val="20"/>
          <w:color w:val="auto"/>
        </w:rPr>
      </w:pPr>
      <w:r>
        <w:rPr>
          <w:rFonts w:ascii="Arial" w:cs="Arial" w:eastAsia="Arial" w:hAnsi="Arial"/>
          <w:sz w:val="13"/>
          <w:szCs w:val="13"/>
          <w:color w:val="auto"/>
        </w:rPr>
        <w:t>10:00 a.m. Pacific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213995</wp:posOffset>
            </wp:positionV>
            <wp:extent cx="107950" cy="1682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7950" cy="168275"/>
                    </a:xfrm>
                    <a:prstGeom prst="rect">
                      <a:avLst/>
                    </a:prstGeom>
                    <a:noFill/>
                  </pic:spPr>
                </pic:pic>
              </a:graphicData>
            </a:graphic>
          </wp:anchor>
        </w:drawing>
      </w:r>
    </w:p>
    <w:p>
      <w:pPr>
        <w:spacing w:after="0" w:line="355" w:lineRule="exact"/>
        <w:rPr>
          <w:sz w:val="20"/>
          <w:szCs w:val="20"/>
          <w:color w:val="auto"/>
        </w:rPr>
      </w:pPr>
    </w:p>
    <w:p>
      <w:pPr>
        <w:ind w:left="480"/>
        <w:spacing w:after="0"/>
        <w:rPr>
          <w:sz w:val="20"/>
          <w:szCs w:val="20"/>
          <w:color w:val="auto"/>
        </w:rPr>
      </w:pPr>
      <w:r>
        <w:rPr>
          <w:rFonts w:ascii="Arial" w:cs="Arial" w:eastAsia="Arial" w:hAnsi="Arial"/>
          <w:sz w:val="14"/>
          <w:szCs w:val="14"/>
          <w:b w:val="1"/>
          <w:bCs w:val="1"/>
          <w:color w:val="0C6936"/>
        </w:rPr>
        <w:t>Location</w:t>
      </w:r>
    </w:p>
    <w:p>
      <w:pPr>
        <w:spacing w:after="0" w:line="25" w:lineRule="exact"/>
        <w:rPr>
          <w:sz w:val="20"/>
          <w:szCs w:val="20"/>
          <w:color w:val="auto"/>
        </w:rPr>
      </w:pPr>
    </w:p>
    <w:p>
      <w:pPr>
        <w:ind w:left="480"/>
        <w:spacing w:after="0"/>
        <w:rPr>
          <w:sz w:val="20"/>
          <w:szCs w:val="20"/>
          <w:color w:val="auto"/>
        </w:rPr>
      </w:pPr>
      <w:r>
        <w:rPr>
          <w:rFonts w:ascii="Arial" w:cs="Arial" w:eastAsia="Arial" w:hAnsi="Arial"/>
          <w:sz w:val="13"/>
          <w:szCs w:val="13"/>
          <w:color w:val="auto"/>
        </w:rPr>
        <w:t>Virtual Meeting - please pre-register at www.proxydocs.com/NRDS.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4412615" cy="13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412615" cy="1333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ind w:left="20" w:right="260"/>
        <w:spacing w:after="0" w:line="283" w:lineRule="auto"/>
        <w:rPr>
          <w:sz w:val="20"/>
          <w:szCs w:val="20"/>
          <w:color w:val="auto"/>
        </w:rPr>
      </w:pPr>
      <w:r>
        <w:rPr>
          <w:rFonts w:ascii="Arial" w:cs="Arial" w:eastAsia="Arial" w:hAnsi="Arial"/>
          <w:sz w:val="13"/>
          <w:szCs w:val="13"/>
          <w:color w:val="auto"/>
        </w:rPr>
        <w:t>Only stockholders of record as of the close of business on March 24, 2025, or holders of a valid proxy, are entitled to notice of and to vote at the Annual Meeting and any postponement, continuation, or adjournment thereof.</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Please Vote Today</w:t>
      </w:r>
    </w:p>
    <w:p>
      <w:pPr>
        <w:spacing w:after="0" w:line="27" w:lineRule="exact"/>
        <w:rPr>
          <w:sz w:val="20"/>
          <w:szCs w:val="20"/>
          <w:color w:val="auto"/>
        </w:rPr>
      </w:pPr>
    </w:p>
    <w:p>
      <w:pPr>
        <w:ind w:left="20" w:right="700"/>
        <w:spacing w:after="0" w:line="288" w:lineRule="auto"/>
        <w:rPr>
          <w:sz w:val="20"/>
          <w:szCs w:val="20"/>
          <w:color w:val="auto"/>
        </w:rPr>
      </w:pPr>
      <w:r>
        <w:rPr>
          <w:rFonts w:ascii="Arial" w:cs="Arial" w:eastAsia="Arial" w:hAnsi="Arial"/>
          <w:sz w:val="12"/>
          <w:szCs w:val="12"/>
          <w:color w:val="auto"/>
        </w:rPr>
        <w:t>Your vote is important. Whether or not you plan to attend the Annual Meeting, we urge you to vote promptly. Please carefully review the proxy materials and follow the instructions below to cast your vote on all of the proposals.</w:t>
      </w:r>
    </w:p>
    <w:p>
      <w:pPr>
        <w:spacing w:after="0" w:line="11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Voting Methods in Advance of 2025 Annual Meeting</w:t>
      </w:r>
    </w:p>
    <w:p>
      <w:pPr>
        <w:spacing w:after="0" w:line="27" w:lineRule="exact"/>
        <w:rPr>
          <w:sz w:val="20"/>
          <w:szCs w:val="20"/>
          <w:color w:val="auto"/>
        </w:rPr>
      </w:pPr>
    </w:p>
    <w:p>
      <w:pPr>
        <w:ind w:left="20" w:right="800"/>
        <w:spacing w:after="0" w:line="247" w:lineRule="auto"/>
        <w:rPr>
          <w:sz w:val="20"/>
          <w:szCs w:val="20"/>
          <w:color w:val="auto"/>
        </w:rPr>
      </w:pPr>
      <w:r>
        <w:rPr>
          <w:rFonts w:ascii="Arial" w:cs="Arial" w:eastAsia="Arial" w:hAnsi="Arial"/>
          <w:sz w:val="13"/>
          <w:szCs w:val="13"/>
          <w:color w:val="auto"/>
        </w:rPr>
        <w:t>Even if you plan to attend the Annual Meeting, please vote in advance. Make sure to have your proxy card, voting instruction card or Notice of Internet Availability of Proxy Materials and follow the instructions.</w:t>
      </w:r>
    </w:p>
    <w:p>
      <w:pPr>
        <w:spacing w:after="0" w:line="158" w:lineRule="exact"/>
        <w:rPr>
          <w:sz w:val="20"/>
          <w:szCs w:val="20"/>
          <w:color w:val="auto"/>
        </w:rPr>
      </w:pPr>
    </w:p>
    <w:p>
      <w:pPr>
        <w:ind w:left="20" w:right="260"/>
        <w:spacing w:after="0" w:line="266" w:lineRule="auto"/>
        <w:rPr>
          <w:sz w:val="20"/>
          <w:szCs w:val="20"/>
          <w:color w:val="auto"/>
        </w:rPr>
      </w:pPr>
      <w:r>
        <w:rPr>
          <w:rFonts w:ascii="Arial" w:cs="Arial" w:eastAsia="Arial" w:hAnsi="Arial"/>
          <w:sz w:val="13"/>
          <w:szCs w:val="13"/>
          <w:i w:val="1"/>
          <w:iCs w:val="1"/>
          <w:color w:val="auto"/>
        </w:rPr>
        <w:t xml:space="preserve">Shares Held of Record. </w:t>
      </w:r>
      <w:r>
        <w:rPr>
          <w:rFonts w:ascii="Arial" w:cs="Arial" w:eastAsia="Arial" w:hAnsi="Arial"/>
          <w:sz w:val="13"/>
          <w:szCs w:val="13"/>
          <w:color w:val="auto"/>
        </w:rPr>
        <w:t>If you hold your shares in your own name as a holder of record with our transfer agent, Broadridge,</w:t>
      </w:r>
      <w:r>
        <w:rPr>
          <w:rFonts w:ascii="Arial" w:cs="Arial" w:eastAsia="Arial" w:hAnsi="Arial"/>
          <w:sz w:val="13"/>
          <w:szCs w:val="13"/>
          <w:i w:val="1"/>
          <w:iCs w:val="1"/>
          <w:color w:val="auto"/>
        </w:rPr>
        <w:t xml:space="preserve"> </w:t>
      </w:r>
      <w:r>
        <w:rPr>
          <w:rFonts w:ascii="Arial" w:cs="Arial" w:eastAsia="Arial" w:hAnsi="Arial"/>
          <w:sz w:val="13"/>
          <w:szCs w:val="13"/>
          <w:color w:val="auto"/>
        </w:rPr>
        <w:t>you may vote your shares at the Annual Meeting in one of the following ways:</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340" w:type="dxa"/>
            <w:vAlign w:val="bottom"/>
          </w:tcPr>
          <w:p>
            <w:pPr>
              <w:ind w:left="80"/>
              <w:spacing w:after="0"/>
              <w:rPr>
                <w:sz w:val="20"/>
                <w:szCs w:val="20"/>
                <w:color w:val="auto"/>
              </w:rPr>
            </w:pPr>
            <w:r>
              <w:rPr>
                <w:rFonts w:ascii="Arial" w:cs="Arial" w:eastAsia="Arial" w:hAnsi="Arial"/>
                <w:sz w:val="13"/>
                <w:szCs w:val="13"/>
                <w:b w:val="1"/>
                <w:bCs w:val="1"/>
                <w:color w:val="auto"/>
              </w:rPr>
              <w:t>By Internet</w:t>
            </w:r>
          </w:p>
        </w:tc>
        <w:tc>
          <w:tcPr>
            <w:tcW w:w="5620" w:type="dxa"/>
            <w:vAlign w:val="bottom"/>
          </w:tcPr>
          <w:p>
            <w:pPr>
              <w:ind w:left="140"/>
              <w:spacing w:after="0"/>
              <w:rPr>
                <w:sz w:val="20"/>
                <w:szCs w:val="20"/>
                <w:color w:val="auto"/>
              </w:rPr>
            </w:pPr>
            <w:r>
              <w:rPr>
                <w:rFonts w:ascii="Arial" w:cs="Arial" w:eastAsia="Arial" w:hAnsi="Arial"/>
                <w:sz w:val="13"/>
                <w:szCs w:val="13"/>
                <w:color w:val="auto"/>
              </w:rPr>
              <w:t>If you received the Notice or a printed copy of the Proxy Materials, follow the instructions</w:t>
            </w:r>
          </w:p>
        </w:tc>
      </w:tr>
      <w:tr>
        <w:trPr>
          <w:trHeight w:val="167"/>
        </w:trPr>
        <w:tc>
          <w:tcPr>
            <w:tcW w:w="1340" w:type="dxa"/>
            <w:vAlign w:val="bottom"/>
          </w:tcPr>
          <w:p>
            <w:pPr>
              <w:spacing w:after="0"/>
              <w:rPr>
                <w:sz w:val="14"/>
                <w:szCs w:val="14"/>
                <w:color w:val="auto"/>
              </w:rPr>
            </w:pPr>
          </w:p>
        </w:tc>
        <w:tc>
          <w:tcPr>
            <w:tcW w:w="5620" w:type="dxa"/>
            <w:vAlign w:val="bottom"/>
          </w:tcPr>
          <w:p>
            <w:pPr>
              <w:ind w:left="140"/>
              <w:spacing w:after="0"/>
              <w:rPr>
                <w:sz w:val="20"/>
                <w:szCs w:val="20"/>
                <w:color w:val="auto"/>
              </w:rPr>
            </w:pPr>
            <w:r>
              <w:rPr>
                <w:rFonts w:ascii="Arial" w:cs="Arial" w:eastAsia="Arial" w:hAnsi="Arial"/>
                <w:sz w:val="13"/>
                <w:szCs w:val="13"/>
                <w:color w:val="auto"/>
              </w:rPr>
              <w:t>in the Notice or on the proxy card.</w:t>
            </w:r>
          </w:p>
        </w:tc>
      </w:tr>
      <w:tr>
        <w:trPr>
          <w:trHeight w:val="172"/>
        </w:trPr>
        <w:tc>
          <w:tcPr>
            <w:tcW w:w="1340" w:type="dxa"/>
            <w:vAlign w:val="bottom"/>
          </w:tcPr>
          <w:p>
            <w:pPr>
              <w:spacing w:after="0"/>
              <w:rPr>
                <w:sz w:val="14"/>
                <w:szCs w:val="14"/>
                <w:color w:val="auto"/>
              </w:rPr>
            </w:pPr>
          </w:p>
        </w:tc>
        <w:tc>
          <w:tcPr>
            <w:tcW w:w="5620" w:type="dxa"/>
            <w:vAlign w:val="bottom"/>
          </w:tcPr>
          <w:p>
            <w:pPr>
              <w:spacing w:after="0"/>
              <w:rPr>
                <w:sz w:val="14"/>
                <w:szCs w:val="14"/>
                <w:color w:val="auto"/>
              </w:rPr>
            </w:pPr>
          </w:p>
        </w:tc>
      </w:tr>
      <w:tr>
        <w:trPr>
          <w:trHeight w:val="159"/>
        </w:trPr>
        <w:tc>
          <w:tcPr>
            <w:tcW w:w="1340" w:type="dxa"/>
            <w:vAlign w:val="bottom"/>
            <w:shd w:val="clear" w:color="auto" w:fill="E6F4EF"/>
          </w:tcPr>
          <w:p>
            <w:pPr>
              <w:ind w:left="80"/>
              <w:spacing w:after="0"/>
              <w:rPr>
                <w:sz w:val="20"/>
                <w:szCs w:val="20"/>
                <w:color w:val="auto"/>
              </w:rPr>
            </w:pPr>
            <w:r>
              <w:rPr>
                <w:rFonts w:ascii="Arial" w:cs="Arial" w:eastAsia="Arial" w:hAnsi="Arial"/>
                <w:sz w:val="13"/>
                <w:szCs w:val="13"/>
                <w:b w:val="1"/>
                <w:bCs w:val="1"/>
                <w:color w:val="auto"/>
              </w:rPr>
              <w:t>By Telephone</w:t>
            </w:r>
          </w:p>
        </w:tc>
        <w:tc>
          <w:tcPr>
            <w:tcW w:w="5620" w:type="dxa"/>
            <w:vAlign w:val="bottom"/>
            <w:shd w:val="clear" w:color="auto" w:fill="E6F4EF"/>
          </w:tcPr>
          <w:p>
            <w:pPr>
              <w:ind w:left="140"/>
              <w:spacing w:after="0"/>
              <w:rPr>
                <w:sz w:val="20"/>
                <w:szCs w:val="20"/>
                <w:color w:val="auto"/>
              </w:rPr>
            </w:pPr>
            <w:r>
              <w:rPr>
                <w:rFonts w:ascii="Arial" w:cs="Arial" w:eastAsia="Arial" w:hAnsi="Arial"/>
                <w:sz w:val="13"/>
                <w:szCs w:val="13"/>
                <w:color w:val="auto"/>
              </w:rPr>
              <w:t>If you received the Notice or a printed copy of the Proxy Materials, follow the instructions in the</w:t>
            </w:r>
          </w:p>
        </w:tc>
      </w:tr>
      <w:tr>
        <w:trPr>
          <w:trHeight w:val="171"/>
        </w:trPr>
        <w:tc>
          <w:tcPr>
            <w:tcW w:w="1340" w:type="dxa"/>
            <w:vAlign w:val="bottom"/>
            <w:tcBorders>
              <w:bottom w:val="single" w:sz="8" w:color="E6F4EF"/>
            </w:tcBorders>
            <w:shd w:val="clear" w:color="auto" w:fill="E6F4EF"/>
          </w:tcPr>
          <w:p>
            <w:pPr>
              <w:spacing w:after="0"/>
              <w:rPr>
                <w:sz w:val="14"/>
                <w:szCs w:val="14"/>
                <w:color w:val="auto"/>
              </w:rPr>
            </w:pPr>
          </w:p>
        </w:tc>
        <w:tc>
          <w:tcPr>
            <w:tcW w:w="5620" w:type="dxa"/>
            <w:vAlign w:val="bottom"/>
            <w:tcBorders>
              <w:bottom w:val="single" w:sz="8" w:color="E6F4EF"/>
            </w:tcBorders>
            <w:shd w:val="clear" w:color="auto" w:fill="E6F4EF"/>
          </w:tcPr>
          <w:p>
            <w:pPr>
              <w:ind w:left="140"/>
              <w:spacing w:after="0"/>
              <w:rPr>
                <w:sz w:val="20"/>
                <w:szCs w:val="20"/>
                <w:color w:val="auto"/>
              </w:rPr>
            </w:pPr>
            <w:r>
              <w:rPr>
                <w:rFonts w:ascii="Arial" w:cs="Arial" w:eastAsia="Arial" w:hAnsi="Arial"/>
                <w:sz w:val="13"/>
                <w:szCs w:val="13"/>
                <w:color w:val="auto"/>
              </w:rPr>
              <w:t>Notice or on the proxy card.</w:t>
            </w:r>
          </w:p>
        </w:tc>
      </w:tr>
      <w:tr>
        <w:trPr>
          <w:trHeight w:val="159"/>
        </w:trPr>
        <w:tc>
          <w:tcPr>
            <w:tcW w:w="1340" w:type="dxa"/>
            <w:vAlign w:val="bottom"/>
          </w:tcPr>
          <w:p>
            <w:pPr>
              <w:ind w:left="80"/>
              <w:spacing w:after="0"/>
              <w:rPr>
                <w:sz w:val="20"/>
                <w:szCs w:val="20"/>
                <w:color w:val="auto"/>
              </w:rPr>
            </w:pPr>
            <w:r>
              <w:rPr>
                <w:rFonts w:ascii="Arial" w:cs="Arial" w:eastAsia="Arial" w:hAnsi="Arial"/>
                <w:sz w:val="13"/>
                <w:szCs w:val="13"/>
                <w:b w:val="1"/>
                <w:bCs w:val="1"/>
                <w:color w:val="auto"/>
              </w:rPr>
              <w:t>By Mail</w:t>
            </w:r>
          </w:p>
        </w:tc>
        <w:tc>
          <w:tcPr>
            <w:tcW w:w="5620" w:type="dxa"/>
            <w:vAlign w:val="bottom"/>
          </w:tcPr>
          <w:p>
            <w:pPr>
              <w:ind w:left="140"/>
              <w:spacing w:after="0"/>
              <w:rPr>
                <w:sz w:val="20"/>
                <w:szCs w:val="20"/>
                <w:color w:val="auto"/>
              </w:rPr>
            </w:pPr>
            <w:r>
              <w:rPr>
                <w:rFonts w:ascii="Arial" w:cs="Arial" w:eastAsia="Arial" w:hAnsi="Arial"/>
                <w:sz w:val="13"/>
                <w:szCs w:val="13"/>
                <w:color w:val="auto"/>
              </w:rPr>
              <w:t>If you received a printed copy of the Proxy Materials, complete, sign, date, and mail your proxy</w:t>
            </w:r>
          </w:p>
        </w:tc>
      </w:tr>
      <w:tr>
        <w:trPr>
          <w:trHeight w:val="167"/>
        </w:trPr>
        <w:tc>
          <w:tcPr>
            <w:tcW w:w="1340" w:type="dxa"/>
            <w:vAlign w:val="bottom"/>
          </w:tcPr>
          <w:p>
            <w:pPr>
              <w:spacing w:after="0"/>
              <w:rPr>
                <w:sz w:val="14"/>
                <w:szCs w:val="14"/>
                <w:color w:val="auto"/>
              </w:rPr>
            </w:pPr>
          </w:p>
        </w:tc>
        <w:tc>
          <w:tcPr>
            <w:tcW w:w="5620" w:type="dxa"/>
            <w:vAlign w:val="bottom"/>
          </w:tcPr>
          <w:p>
            <w:pPr>
              <w:ind w:left="140"/>
              <w:spacing w:after="0"/>
              <w:rPr>
                <w:sz w:val="20"/>
                <w:szCs w:val="20"/>
                <w:color w:val="auto"/>
              </w:rPr>
            </w:pPr>
            <w:r>
              <w:rPr>
                <w:rFonts w:ascii="Arial" w:cs="Arial" w:eastAsia="Arial" w:hAnsi="Arial"/>
                <w:sz w:val="13"/>
                <w:szCs w:val="13"/>
                <w:color w:val="auto"/>
              </w:rPr>
              <w:t>card in the enclosed, postage-prepaid envelope.</w:t>
            </w:r>
          </w:p>
        </w:tc>
      </w:tr>
      <w:tr>
        <w:trPr>
          <w:trHeight w:val="172"/>
        </w:trPr>
        <w:tc>
          <w:tcPr>
            <w:tcW w:w="1340" w:type="dxa"/>
            <w:vAlign w:val="bottom"/>
          </w:tcPr>
          <w:p>
            <w:pPr>
              <w:spacing w:after="0"/>
              <w:rPr>
                <w:sz w:val="14"/>
                <w:szCs w:val="14"/>
                <w:color w:val="auto"/>
              </w:rPr>
            </w:pPr>
          </w:p>
        </w:tc>
        <w:tc>
          <w:tcPr>
            <w:tcW w:w="5620" w:type="dxa"/>
            <w:vAlign w:val="bottom"/>
          </w:tcPr>
          <w:p>
            <w:pPr>
              <w:spacing w:after="0"/>
              <w:rPr>
                <w:sz w:val="14"/>
                <w:szCs w:val="14"/>
                <w:color w:val="auto"/>
              </w:rPr>
            </w:pPr>
          </w:p>
        </w:tc>
      </w:tr>
      <w:tr>
        <w:trPr>
          <w:trHeight w:val="159"/>
        </w:trPr>
        <w:tc>
          <w:tcPr>
            <w:tcW w:w="1340" w:type="dxa"/>
            <w:vAlign w:val="bottom"/>
            <w:shd w:val="clear" w:color="auto" w:fill="E6F4EF"/>
          </w:tcPr>
          <w:p>
            <w:pPr>
              <w:ind w:left="80"/>
              <w:spacing w:after="0"/>
              <w:rPr>
                <w:sz w:val="20"/>
                <w:szCs w:val="20"/>
                <w:color w:val="auto"/>
              </w:rPr>
            </w:pPr>
            <w:r>
              <w:rPr>
                <w:rFonts w:ascii="Arial" w:cs="Arial" w:eastAsia="Arial" w:hAnsi="Arial"/>
                <w:sz w:val="13"/>
                <w:szCs w:val="13"/>
                <w:b w:val="1"/>
                <w:bCs w:val="1"/>
                <w:color w:val="auto"/>
              </w:rPr>
              <w:t>In Person (Virtual)</w:t>
            </w:r>
          </w:p>
        </w:tc>
        <w:tc>
          <w:tcPr>
            <w:tcW w:w="5620" w:type="dxa"/>
            <w:vAlign w:val="bottom"/>
            <w:shd w:val="clear" w:color="auto" w:fill="E6F4EF"/>
          </w:tcPr>
          <w:p>
            <w:pPr>
              <w:ind w:left="140"/>
              <w:spacing w:after="0"/>
              <w:rPr>
                <w:sz w:val="20"/>
                <w:szCs w:val="20"/>
                <w:color w:val="auto"/>
              </w:rPr>
            </w:pPr>
            <w:r>
              <w:rPr>
                <w:rFonts w:ascii="Arial" w:cs="Arial" w:eastAsia="Arial" w:hAnsi="Arial"/>
                <w:sz w:val="13"/>
                <w:szCs w:val="13"/>
                <w:color w:val="auto"/>
              </w:rPr>
              <w:t>You may also vote in person virtually by attending the meeting through</w:t>
            </w:r>
          </w:p>
        </w:tc>
      </w:tr>
      <w:tr>
        <w:trPr>
          <w:trHeight w:val="149"/>
        </w:trPr>
        <w:tc>
          <w:tcPr>
            <w:tcW w:w="1340" w:type="dxa"/>
            <w:vAlign w:val="bottom"/>
            <w:shd w:val="clear" w:color="auto" w:fill="E6F4EF"/>
          </w:tcPr>
          <w:p>
            <w:pPr>
              <w:spacing w:after="0"/>
              <w:rPr>
                <w:sz w:val="12"/>
                <w:szCs w:val="12"/>
                <w:color w:val="auto"/>
              </w:rPr>
            </w:pPr>
          </w:p>
        </w:tc>
        <w:tc>
          <w:tcPr>
            <w:tcW w:w="5620" w:type="dxa"/>
            <w:vAlign w:val="bottom"/>
            <w:shd w:val="clear" w:color="auto" w:fill="E6F4EF"/>
          </w:tcPr>
          <w:p>
            <w:pPr>
              <w:ind w:left="140"/>
              <w:spacing w:after="0"/>
              <w:rPr>
                <w:sz w:val="20"/>
                <w:szCs w:val="20"/>
                <w:color w:val="auto"/>
              </w:rPr>
            </w:pPr>
            <w:r>
              <w:rPr>
                <w:rFonts w:ascii="Arial" w:cs="Arial" w:eastAsia="Arial" w:hAnsi="Arial"/>
                <w:sz w:val="13"/>
                <w:szCs w:val="13"/>
                <w:color w:val="auto"/>
                <w:w w:val="99"/>
              </w:rPr>
              <w:t>www.proxydocs.com/NRDS. To attend the Annual Meeting and vote your shares, you must pre-</w:t>
            </w:r>
          </w:p>
        </w:tc>
      </w:tr>
      <w:tr>
        <w:trPr>
          <w:trHeight w:val="159"/>
        </w:trPr>
        <w:tc>
          <w:tcPr>
            <w:tcW w:w="1340" w:type="dxa"/>
            <w:vAlign w:val="bottom"/>
            <w:shd w:val="clear" w:color="auto" w:fill="E6F4EF"/>
          </w:tcPr>
          <w:p>
            <w:pPr>
              <w:spacing w:after="0"/>
              <w:rPr>
                <w:sz w:val="13"/>
                <w:szCs w:val="13"/>
                <w:color w:val="auto"/>
              </w:rPr>
            </w:pPr>
          </w:p>
        </w:tc>
        <w:tc>
          <w:tcPr>
            <w:tcW w:w="5620" w:type="dxa"/>
            <w:vAlign w:val="bottom"/>
            <w:shd w:val="clear" w:color="auto" w:fill="E6F4EF"/>
          </w:tcPr>
          <w:p>
            <w:pPr>
              <w:ind w:left="140"/>
              <w:spacing w:after="0"/>
              <w:rPr>
                <w:sz w:val="20"/>
                <w:szCs w:val="20"/>
                <w:color w:val="auto"/>
              </w:rPr>
            </w:pPr>
            <w:r>
              <w:rPr>
                <w:rFonts w:ascii="Arial" w:cs="Arial" w:eastAsia="Arial" w:hAnsi="Arial"/>
                <w:sz w:val="13"/>
                <w:szCs w:val="13"/>
                <w:color w:val="auto"/>
              </w:rPr>
              <w:t>register for the Annual Meeting and provide the control number located on your Notice or proxy</w:t>
            </w:r>
          </w:p>
        </w:tc>
      </w:tr>
      <w:tr>
        <w:trPr>
          <w:trHeight w:val="167"/>
        </w:trPr>
        <w:tc>
          <w:tcPr>
            <w:tcW w:w="1340" w:type="dxa"/>
            <w:vAlign w:val="bottom"/>
            <w:shd w:val="clear" w:color="auto" w:fill="E6F4EF"/>
          </w:tcPr>
          <w:p>
            <w:pPr>
              <w:spacing w:after="0"/>
              <w:rPr>
                <w:sz w:val="14"/>
                <w:szCs w:val="14"/>
                <w:color w:val="auto"/>
              </w:rPr>
            </w:pPr>
          </w:p>
        </w:tc>
        <w:tc>
          <w:tcPr>
            <w:tcW w:w="5620" w:type="dxa"/>
            <w:vAlign w:val="bottom"/>
            <w:shd w:val="clear" w:color="auto" w:fill="E6F4EF"/>
          </w:tcPr>
          <w:p>
            <w:pPr>
              <w:ind w:left="140"/>
              <w:spacing w:after="0"/>
              <w:rPr>
                <w:sz w:val="20"/>
                <w:szCs w:val="20"/>
                <w:color w:val="auto"/>
              </w:rPr>
            </w:pPr>
            <w:r>
              <w:rPr>
                <w:rFonts w:ascii="Arial" w:cs="Arial" w:eastAsia="Arial" w:hAnsi="Arial"/>
                <w:sz w:val="13"/>
                <w:szCs w:val="13"/>
                <w:color w:val="auto"/>
              </w:rPr>
              <w:t>card.</w:t>
            </w:r>
          </w:p>
        </w:tc>
      </w:tr>
      <w:tr>
        <w:trPr>
          <w:trHeight w:val="162"/>
        </w:trPr>
        <w:tc>
          <w:tcPr>
            <w:tcW w:w="1340" w:type="dxa"/>
            <w:vAlign w:val="bottom"/>
            <w:shd w:val="clear" w:color="auto" w:fill="E6F4EF"/>
          </w:tcPr>
          <w:p>
            <w:pPr>
              <w:spacing w:after="0"/>
              <w:rPr>
                <w:sz w:val="14"/>
                <w:szCs w:val="14"/>
                <w:color w:val="auto"/>
              </w:rPr>
            </w:pPr>
          </w:p>
        </w:tc>
        <w:tc>
          <w:tcPr>
            <w:tcW w:w="5620" w:type="dxa"/>
            <w:vAlign w:val="bottom"/>
            <w:shd w:val="clear" w:color="auto" w:fill="E6F4EF"/>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161530" cy="2895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2895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Vote by Internet</w:t>
      </w:r>
    </w:p>
    <w:p>
      <w:pPr>
        <w:spacing w:after="0" w:line="118" w:lineRule="exact"/>
        <w:rPr>
          <w:sz w:val="20"/>
          <w:szCs w:val="20"/>
          <w:color w:val="auto"/>
        </w:rPr>
      </w:pPr>
    </w:p>
    <w:p>
      <w:pPr>
        <w:ind w:right="260"/>
        <w:spacing w:after="0" w:line="282" w:lineRule="auto"/>
        <w:rPr>
          <w:sz w:val="20"/>
          <w:szCs w:val="20"/>
          <w:color w:val="auto"/>
        </w:rPr>
      </w:pPr>
      <w:r>
        <w:rPr>
          <w:rFonts w:ascii="Arial" w:cs="Arial" w:eastAsia="Arial" w:hAnsi="Arial"/>
          <w:sz w:val="11"/>
          <w:szCs w:val="11"/>
          <w:color w:val="auto"/>
        </w:rPr>
        <w:t>If you received the Notice or a printed copy of the Proxy Materials, follow the instructions in the Notice or on the proxy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shd w:val="clear" w:color="auto" w:fill="E6F4EF"/>
        </w:rPr>
        <w:t>Vote by Telephone</w:t>
      </w:r>
    </w:p>
    <w:p>
      <w:pPr>
        <w:spacing w:after="0" w:line="128" w:lineRule="exact"/>
        <w:rPr>
          <w:sz w:val="20"/>
          <w:szCs w:val="20"/>
          <w:color w:val="auto"/>
        </w:rPr>
      </w:pPr>
    </w:p>
    <w:p>
      <w:pPr>
        <w:ind w:right="260"/>
        <w:spacing w:after="0" w:line="272" w:lineRule="auto"/>
        <w:rPr>
          <w:sz w:val="20"/>
          <w:szCs w:val="20"/>
          <w:color w:val="auto"/>
        </w:rPr>
      </w:pPr>
      <w:r>
        <w:rPr>
          <w:rFonts w:ascii="Arial" w:cs="Arial" w:eastAsia="Arial" w:hAnsi="Arial"/>
          <w:sz w:val="11"/>
          <w:szCs w:val="11"/>
          <w:color w:val="auto"/>
          <w:shd w:val="clear" w:color="auto" w:fill="E6F4EF"/>
        </w:rPr>
        <w:t>If you received the Notice or a printed copy of the Proxy Materials, follow the instructions in the Notice or on the proxy card.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shd w:val="clear" w:color="auto" w:fill="E6F4EF"/>
        </w:rPr>
        <w:t>Vote by Mail</w:t>
      </w:r>
    </w:p>
    <w:p>
      <w:pPr>
        <w:spacing w:after="0" w:line="118" w:lineRule="exact"/>
        <w:rPr>
          <w:sz w:val="20"/>
          <w:szCs w:val="20"/>
          <w:color w:val="auto"/>
        </w:rPr>
      </w:pPr>
    </w:p>
    <w:p>
      <w:pPr>
        <w:ind w:right="160"/>
        <w:spacing w:after="0" w:line="282" w:lineRule="auto"/>
        <w:rPr>
          <w:sz w:val="20"/>
          <w:szCs w:val="20"/>
          <w:color w:val="auto"/>
        </w:rPr>
      </w:pPr>
      <w:r>
        <w:rPr>
          <w:rFonts w:ascii="Arial" w:cs="Arial" w:eastAsia="Arial" w:hAnsi="Arial"/>
          <w:sz w:val="11"/>
          <w:szCs w:val="11"/>
          <w:color w:val="auto"/>
          <w:shd w:val="clear" w:color="auto" w:fill="E6F4EF"/>
        </w:rPr>
        <w:t>If you received a printed copy of the Proxy Materials, complete, sign, date, and mail your proxy card in the enclosed, postage-prepaid envelope.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1"/>
          <w:szCs w:val="11"/>
          <w:b w:val="1"/>
          <w:bCs w:val="1"/>
          <w:color w:val="auto"/>
          <w:shd w:val="clear" w:color="auto" w:fill="E6F4EF"/>
        </w:rPr>
        <w:t>In Person (Virtual)</w:t>
      </w:r>
    </w:p>
    <w:p>
      <w:pPr>
        <w:spacing w:after="0" w:line="128" w:lineRule="exact"/>
        <w:rPr>
          <w:sz w:val="20"/>
          <w:szCs w:val="20"/>
          <w:color w:val="auto"/>
        </w:rPr>
      </w:pPr>
    </w:p>
    <w:p>
      <w:pPr>
        <w:ind w:right="180"/>
        <w:spacing w:after="0" w:line="262" w:lineRule="auto"/>
        <w:rPr>
          <w:sz w:val="20"/>
          <w:szCs w:val="20"/>
          <w:color w:val="auto"/>
        </w:rPr>
      </w:pPr>
      <w:r>
        <w:rPr>
          <w:rFonts w:ascii="Arial" w:cs="Arial" w:eastAsia="Arial" w:hAnsi="Arial"/>
          <w:sz w:val="11"/>
          <w:szCs w:val="11"/>
          <w:color w:val="auto"/>
          <w:shd w:val="clear" w:color="auto" w:fill="E6F4EF"/>
        </w:rPr>
        <w:t>You may also vote in person by attending our Annual Meeting virtually through www.proxydocs.com/NRDS. To attend the Annual Meeting and vote your shares, you must pre-register at www.proxydocs.com/NRDS. Upon completing your registration, you will receive further instructions via email, including a unique link that will allow you access to the Annual Meeting and to vote and submit questions during the Annual Meeting.</w:t>
      </w:r>
    </w:p>
    <w:p>
      <w:pPr>
        <w:spacing w:after="0" w:line="1181" w:lineRule="exact"/>
        <w:rPr>
          <w:sz w:val="20"/>
          <w:szCs w:val="20"/>
          <w:color w:val="auto"/>
        </w:rPr>
      </w:pPr>
    </w:p>
    <w:p>
      <w:pPr>
        <w:sectPr>
          <w:pgSz w:w="11900" w:h="16838" w:orient="portrait"/>
          <w:cols w:equalWidth="0" w:num="2">
            <w:col w:w="7200" w:space="720"/>
            <w:col w:w="3320"/>
          </w:cols>
          <w:pgMar w:left="300" w:top="171" w:right="359" w:bottom="1440" w:gutter="0" w:footer="0" w:header="0"/>
          <w:type w:val="continuous"/>
        </w:sectPr>
      </w:pPr>
    </w:p>
    <w:p>
      <w:pPr>
        <w:spacing w:after="0" w:line="200" w:lineRule="exact"/>
        <w:rPr>
          <w:sz w:val="20"/>
          <w:szCs w:val="20"/>
          <w:color w:val="auto"/>
        </w:rPr>
      </w:pPr>
    </w:p>
    <w:p>
      <w:pPr>
        <w:spacing w:after="0" w:line="247" w:lineRule="exact"/>
        <w:rPr>
          <w:sz w:val="20"/>
          <w:szCs w:val="20"/>
          <w:color w:val="auto"/>
        </w:rPr>
      </w:pPr>
    </w:p>
    <w:p>
      <w:pPr>
        <w:ind w:left="11160"/>
        <w:spacing w:after="0"/>
        <w:rPr>
          <w:sz w:val="20"/>
          <w:szCs w:val="20"/>
          <w:color w:val="auto"/>
        </w:rPr>
      </w:pPr>
      <w:r>
        <w:rPr>
          <w:rFonts w:ascii="Arial" w:cs="Arial" w:eastAsia="Arial" w:hAnsi="Arial"/>
          <w:sz w:val="13"/>
          <w:szCs w:val="13"/>
          <w:b w:val="1"/>
          <w:bCs w:val="1"/>
          <w:color w:val="auto"/>
        </w:rPr>
        <w:t>1</w:t>
      </w:r>
    </w:p>
    <w:p>
      <w:pPr>
        <w:sectPr>
          <w:pgSz w:w="11900" w:h="16838" w:orient="portrait"/>
          <w:cols w:equalWidth="0" w:num="1">
            <w:col w:w="11240"/>
          </w:cols>
          <w:pgMar w:left="300" w:top="171" w:right="359" w:bottom="1440" w:gutter="0" w:footer="0" w:header="0"/>
          <w:type w:val="continuous"/>
        </w:sectPr>
      </w:pPr>
    </w:p>
    <w:bookmarkStart w:id="6" w:name="page7"/>
    <w:bookmarkEnd w:id="6"/>
    <w:p>
      <w:pPr>
        <w:ind w:left="300"/>
        <w:spacing w:after="0"/>
        <w:rPr>
          <w:sz w:val="20"/>
          <w:szCs w:val="20"/>
          <w:color w:val="auto"/>
        </w:rPr>
      </w:pPr>
      <w:r>
        <w:rPr>
          <w:rFonts w:ascii="Arial" w:cs="Arial" w:eastAsia="Arial" w:hAnsi="Arial"/>
          <w:sz w:val="13"/>
          <w:szCs w:val="13"/>
          <w:b w:val="1"/>
          <w:bCs w:val="1"/>
          <w:color w:val="00482F"/>
        </w:rPr>
        <w:drawing>
          <wp:anchor simplePos="0" relativeHeight="251657728" behindDoc="1" locked="0" layoutInCell="0" allowOverlap="1">
            <wp:simplePos x="0" y="0"/>
            <wp:positionH relativeFrom="page">
              <wp:posOffset>328295</wp:posOffset>
            </wp:positionH>
            <wp:positionV relativeFrom="page">
              <wp:posOffset>102235</wp:posOffset>
            </wp:positionV>
            <wp:extent cx="1933575" cy="147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33575" cy="147955"/>
                    </a:xfrm>
                    <a:prstGeom prst="rect">
                      <a:avLst/>
                    </a:prstGeom>
                    <a:noFill/>
                  </pic:spPr>
                </pic:pic>
              </a:graphicData>
            </a:graphic>
          </wp:anchor>
        </w:drawing>
        <w:t>PROXY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20"/>
        <w:spacing w:after="0" w:line="253" w:lineRule="auto"/>
        <w:rPr>
          <w:sz w:val="20"/>
          <w:szCs w:val="20"/>
          <w:color w:val="auto"/>
        </w:rPr>
      </w:pPr>
      <w:r>
        <w:rPr>
          <w:rFonts w:ascii="Arial" w:cs="Arial" w:eastAsia="Arial" w:hAnsi="Arial"/>
          <w:sz w:val="13"/>
          <w:szCs w:val="13"/>
          <w:i w:val="1"/>
          <w:iCs w:val="1"/>
          <w:color w:val="auto"/>
        </w:rPr>
        <w:t xml:space="preserve">Shares Held in Street Name. </w:t>
      </w:r>
      <w:r>
        <w:rPr>
          <w:rFonts w:ascii="Arial" w:cs="Arial" w:eastAsia="Arial" w:hAnsi="Arial"/>
          <w:sz w:val="13"/>
          <w:szCs w:val="13"/>
          <w:color w:val="auto"/>
        </w:rPr>
        <w:t>If you hold your shares through a broker, bank or other nominee (that is, in street name), you will receive instructions from your broker, bank or nominee that you must</w:t>
      </w:r>
      <w:r>
        <w:rPr>
          <w:rFonts w:ascii="Arial" w:cs="Arial" w:eastAsia="Arial" w:hAnsi="Arial"/>
          <w:sz w:val="13"/>
          <w:szCs w:val="13"/>
          <w:i w:val="1"/>
          <w:iCs w:val="1"/>
          <w:color w:val="auto"/>
        </w:rPr>
        <w:t xml:space="preserve"> </w:t>
      </w:r>
      <w:r>
        <w:rPr>
          <w:rFonts w:ascii="Arial" w:cs="Arial" w:eastAsia="Arial" w:hAnsi="Arial"/>
          <w:sz w:val="13"/>
          <w:szCs w:val="13"/>
          <w:color w:val="auto"/>
        </w:rPr>
        <w:t>follow in order to submit your voting instructions and have your shares voted at the Annual Meeting. If you want to vote in person virtually at the Annual Meeting, you must register in advance at www.proxydocs.com/NRDS. You may be instructed to obtain a legal proxy from your broker, bank or other nominee and to submit a copy in advance of the meeting. Further instructions will be provided to you as part of your registration process.</w:t>
      </w:r>
    </w:p>
    <w:p>
      <w:pPr>
        <w:spacing w:after="0" w:line="155" w:lineRule="exact"/>
        <w:rPr>
          <w:sz w:val="20"/>
          <w:szCs w:val="20"/>
          <w:color w:val="auto"/>
        </w:rPr>
      </w:pPr>
    </w:p>
    <w:p>
      <w:pPr>
        <w:ind w:right="160"/>
        <w:spacing w:after="0" w:line="276" w:lineRule="auto"/>
        <w:rPr>
          <w:sz w:val="20"/>
          <w:szCs w:val="20"/>
          <w:color w:val="auto"/>
        </w:rPr>
      </w:pPr>
      <w:r>
        <w:rPr>
          <w:rFonts w:ascii="Arial" w:cs="Arial" w:eastAsia="Arial" w:hAnsi="Arial"/>
          <w:sz w:val="13"/>
          <w:szCs w:val="13"/>
          <w:b w:val="1"/>
          <w:bCs w:val="1"/>
          <w:color w:val="auto"/>
        </w:rPr>
        <w:t>Even if you plan to attend the Annual Meeting, we recommend that you submit your proxy or voting instructions in advance of the Annual Meeting as described above so that your vote will be counted if you later decide not to attend or are unable to attend the Annual Meeting.</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Proposals, Board Recommendations and Required Vote</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 1</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Election of Director Nominees</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Board Recommendation</w:t>
      </w:r>
      <w:r>
        <w:rPr>
          <w:rFonts w:ascii="Arial" w:cs="Arial" w:eastAsia="Arial" w:hAnsi="Arial"/>
          <w:sz w:val="13"/>
          <w:szCs w:val="13"/>
          <w:color w:val="auto"/>
        </w:rPr>
        <w:t>: FOR each nominee</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Required Vote</w:t>
      </w:r>
      <w:r>
        <w:rPr>
          <w:rFonts w:ascii="Arial" w:cs="Arial" w:eastAsia="Arial" w:hAnsi="Arial"/>
          <w:sz w:val="13"/>
          <w:szCs w:val="13"/>
          <w:color w:val="auto"/>
        </w:rPr>
        <w:t>: Plurality of the votes cast</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 2</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Ratification of Appointment of Deloitte &amp; Touche LLP as Our Independent Registered Public Accounting Firm for 2025</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Board Recommendation</w:t>
      </w:r>
      <w:r>
        <w:rPr>
          <w:rFonts w:ascii="Arial" w:cs="Arial" w:eastAsia="Arial" w:hAnsi="Arial"/>
          <w:sz w:val="13"/>
          <w:szCs w:val="13"/>
          <w:color w:val="auto"/>
        </w:rPr>
        <w:t>: FOR</w:t>
      </w:r>
    </w:p>
    <w:p>
      <w:pPr>
        <w:spacing w:after="0" w:line="1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Required Vote</w:t>
      </w:r>
      <w:r>
        <w:rPr>
          <w:rFonts w:ascii="Arial" w:cs="Arial" w:eastAsia="Arial" w:hAnsi="Arial"/>
          <w:sz w:val="13"/>
          <w:szCs w:val="13"/>
          <w:color w:val="auto"/>
        </w:rPr>
        <w:t>: Majority of the voting power of shares of stock present and entitled to vote</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Questions and Answers About the 2025 Annual Meeting</w:t>
      </w:r>
    </w:p>
    <w:p>
      <w:pPr>
        <w:spacing w:after="0" w:line="185"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Please see “Questions and Answers About The Proxy Materials and 2025 Annual Meeting” for important information about the Annual Meeting, virtual meeting format, proxy materials, voting, Company documents, communications, deadlines to submit stockholder proposals and other pertinent information.</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NerdWallet</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Overview</w:t>
      </w:r>
    </w:p>
    <w:p>
      <w:pPr>
        <w:spacing w:after="0" w:line="185" w:lineRule="exact"/>
        <w:rPr>
          <w:sz w:val="20"/>
          <w:szCs w:val="20"/>
          <w:color w:val="auto"/>
        </w:rPr>
      </w:pPr>
    </w:p>
    <w:p>
      <w:pPr>
        <w:spacing w:after="0" w:line="250" w:lineRule="auto"/>
        <w:rPr>
          <w:sz w:val="20"/>
          <w:szCs w:val="20"/>
          <w:color w:val="auto"/>
        </w:rPr>
      </w:pPr>
      <w:r>
        <w:rPr>
          <w:rFonts w:ascii="Arial" w:cs="Arial" w:eastAsia="Arial" w:hAnsi="Arial"/>
          <w:sz w:val="13"/>
          <w:szCs w:val="13"/>
          <w:color w:val="auto"/>
        </w:rPr>
        <w:t>At NerdWallet, we empower consumers—both individuals and small and mid-sized businesses (SMBs)—to make smarter financial decisions with confidence via our digital platform. Technology has changed the way consumers manage their financial lives, making them more comfortable with comparing and shopping for financial products online. This change has accelerated with the dramatic growth in companies offering innovative financial products. At NerdWallet, we are leveraging this transformation to democratize access to trustworthy financial guidance—ultimately helping to improve the financial well-being of consumers and the financial services industry as a whole. As the financial services industry becomes more fragmented and complex, we believe the need for trustworthy and knowledgeable financial guidance increases. Our objective remains the same: Serve as a trusted financial ecosystem that consumers and SMBs can rely on to learn about various financial topics, shop for products, connect their data and receive data-driven nudges.</w:t>
      </w:r>
    </w:p>
    <w:p>
      <w:pPr>
        <w:spacing w:after="0" w:line="148" w:lineRule="exact"/>
        <w:rPr>
          <w:sz w:val="20"/>
          <w:szCs w:val="20"/>
          <w:color w:val="auto"/>
        </w:rPr>
      </w:pPr>
    </w:p>
    <w:p>
      <w:pPr>
        <w:spacing w:after="0" w:line="261" w:lineRule="auto"/>
        <w:rPr>
          <w:sz w:val="20"/>
          <w:szCs w:val="20"/>
          <w:color w:val="auto"/>
        </w:rPr>
      </w:pPr>
      <w:r>
        <w:rPr>
          <w:rFonts w:ascii="Arial" w:cs="Arial" w:eastAsia="Arial" w:hAnsi="Arial"/>
          <w:sz w:val="13"/>
          <w:szCs w:val="13"/>
          <w:color w:val="auto"/>
        </w:rPr>
        <w:t>We deliver guidance to consumers through educational content, tools and calculators, product marketplaces and the NerdWallet app. Our platform delivers unique value across many financial products, including credit cards, mortgages, insurance, SMB products, personal loans, banking, investing and student loans, and has grown to include the United Kingdom (UK), Canadian, and, more recently, Australian markets. Across every touchpoint, the cornerstone of our platform is our consumers’ trust in the independent, objective and relevant guidance we provide,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296545</wp:posOffset>
            </wp:positionV>
            <wp:extent cx="7161530" cy="2895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289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 xml:space="preserve">2 </w:t>
      </w:r>
      <w:r>
        <w:rPr>
          <w:rFonts w:ascii="Arial" w:cs="Arial" w:eastAsia="Arial" w:hAnsi="Arial"/>
          <w:sz w:val="13"/>
          <w:szCs w:val="13"/>
          <w:color w:val="auto"/>
        </w:rPr>
        <w:t>PROXY STATEMENT 2025</w:t>
      </w:r>
    </w:p>
    <w:p>
      <w:pPr>
        <w:sectPr>
          <w:pgSz w:w="11900" w:h="16838" w:orient="portrait"/>
          <w:cols w:equalWidth="0" w:num="1">
            <w:col w:w="11280"/>
          </w:cols>
          <w:pgMar w:left="300" w:top="171" w:right="319" w:bottom="1440" w:gutter="0" w:footer="0" w:header="0"/>
        </w:sectPr>
      </w:pPr>
    </w:p>
    <w:bookmarkStart w:id="7" w:name="page8"/>
    <w:bookmarkEnd w:id="7"/>
    <w:p>
      <w:pPr>
        <w:ind w:left="6380"/>
        <w:spacing w:after="0"/>
        <w:rPr>
          <w:sz w:val="20"/>
          <w:szCs w:val="20"/>
          <w:color w:val="auto"/>
        </w:rPr>
      </w:pPr>
      <w:r>
        <w:rPr>
          <w:rFonts w:ascii="Arial" w:cs="Arial" w:eastAsia="Arial" w:hAnsi="Arial"/>
          <w:sz w:val="13"/>
          <w:szCs w:val="13"/>
          <w:b w:val="1"/>
          <w:bCs w:val="1"/>
          <w:color w:val="00482F"/>
        </w:rPr>
        <w:drawing>
          <wp:anchor simplePos="0" relativeHeight="251657728" behindDoc="1" locked="0" layoutInCell="0" allowOverlap="1">
            <wp:simplePos x="0" y="0"/>
            <wp:positionH relativeFrom="page">
              <wp:posOffset>4195445</wp:posOffset>
            </wp:positionH>
            <wp:positionV relativeFrom="page">
              <wp:posOffset>102235</wp:posOffset>
            </wp:positionV>
            <wp:extent cx="1515745" cy="147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15745" cy="147955"/>
                    </a:xfrm>
                    <a:prstGeom prst="rect">
                      <a:avLst/>
                    </a:prstGeom>
                    <a:noFill/>
                  </pic:spPr>
                </pic:pic>
              </a:graphicData>
            </a:graphic>
          </wp:anchor>
        </w:drawing>
        <w:t>PROXY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80"/>
        <w:spacing w:after="0" w:line="253" w:lineRule="auto"/>
        <w:rPr>
          <w:sz w:val="20"/>
          <w:szCs w:val="20"/>
          <w:color w:val="auto"/>
        </w:rPr>
      </w:pPr>
      <w:r>
        <w:rPr>
          <w:rFonts w:ascii="Arial" w:cs="Arial" w:eastAsia="Arial" w:hAnsi="Arial"/>
          <w:sz w:val="13"/>
          <w:szCs w:val="13"/>
          <w:color w:val="auto"/>
        </w:rPr>
        <w:t>This trusted guidance has helped us build a large, loyal and well-informed audience of consumers who turn to us as a resource for many of their money questions and to shop for the best financial products for them. We then use machine learning to present personalized options using aggregated and scalable information. As a result, we have become an attractive partner for financial services providers wanting access to high-value consumers—consumers who might not otherwise trust these financial services providers’ recommendations because their guidance is inherently biased toward their own products.</w:t>
      </w:r>
    </w:p>
    <w:p>
      <w:pPr>
        <w:spacing w:after="0" w:line="155" w:lineRule="exact"/>
        <w:rPr>
          <w:sz w:val="20"/>
          <w:szCs w:val="20"/>
          <w:color w:val="auto"/>
        </w:rPr>
      </w:pPr>
    </w:p>
    <w:p>
      <w:pPr>
        <w:ind w:right="100"/>
        <w:spacing w:after="0" w:line="248" w:lineRule="auto"/>
        <w:rPr>
          <w:sz w:val="20"/>
          <w:szCs w:val="20"/>
          <w:color w:val="auto"/>
        </w:rPr>
      </w:pPr>
      <w:r>
        <w:rPr>
          <w:rFonts w:ascii="Arial" w:cs="Arial" w:eastAsia="Arial" w:hAnsi="Arial"/>
          <w:sz w:val="13"/>
          <w:szCs w:val="13"/>
          <w:color w:val="auto"/>
        </w:rPr>
        <w:t>By operating at the intersection of consumers and financial services providers, NerdWallet drives value for both. Through our platform, our financial services partners can reach a substantial audience with millions of consumers visiting every month. After doing research on our platform, these consumers are better informed about the financial decision they are about to make and often primed and ready to transact. When consumers are more informed about their financial options, they make the appropriate decisions for their needs with confidence, increasing their lifetime value to financial services providers as customers. We have also received feedback from our financial services partners that our users’ approval rates can be significantly higher than those applying through other channels. Plus, as consumers’ smart money moves expand their options, they are eager to explore additional opportunities and products they are now eligible for, driving further demand for NerdWallet’s financial services partners. To meet the standards of more informed consumers, financial services providers in turn must engage in healthy competition for consumer mindshare and develop better financial products, further improving the outcomes for consumers.</w:t>
      </w:r>
    </w:p>
    <w:p>
      <w:pPr>
        <w:spacing w:after="0" w:line="149" w:lineRule="exact"/>
        <w:rPr>
          <w:sz w:val="20"/>
          <w:szCs w:val="20"/>
          <w:color w:val="auto"/>
        </w:rPr>
      </w:pPr>
    </w:p>
    <w:p>
      <w:pPr>
        <w:ind w:right="60"/>
        <w:spacing w:after="0" w:line="253" w:lineRule="auto"/>
        <w:rPr>
          <w:sz w:val="20"/>
          <w:szCs w:val="20"/>
          <w:color w:val="auto"/>
        </w:rPr>
      </w:pPr>
      <w:r>
        <w:rPr>
          <w:rFonts w:ascii="Arial" w:cs="Arial" w:eastAsia="Arial" w:hAnsi="Arial"/>
          <w:sz w:val="13"/>
          <w:szCs w:val="13"/>
          <w:color w:val="auto"/>
        </w:rPr>
        <w:t>NerdWallet’s ability to serve consumers and financial services providers hinges on our position as an independent, unbiased resource. The core strength of our platform is the trust that we build with consumers and the tailored and personalized recommendations we deliver via our data science models. Our consumer-first values and consumer-centric mission permeate everything we do and have been key to building and maintaining trust—it’s the “consumer, company, team, self” value that guides our decision making and product development. Across the company, Nerds engage every day with our values and mission to democratize trusted, accessible guidance and tools, leveling the playing field for everyone.</w:t>
      </w:r>
    </w:p>
    <w:p>
      <w:pPr>
        <w:spacing w:after="0" w:line="155" w:lineRule="exact"/>
        <w:rPr>
          <w:sz w:val="20"/>
          <w:szCs w:val="20"/>
          <w:color w:val="auto"/>
        </w:rPr>
      </w:pPr>
    </w:p>
    <w:p>
      <w:pPr>
        <w:spacing w:after="0" w:line="253" w:lineRule="auto"/>
        <w:rPr>
          <w:sz w:val="20"/>
          <w:szCs w:val="20"/>
          <w:color w:val="auto"/>
        </w:rPr>
      </w:pPr>
      <w:r>
        <w:rPr>
          <w:rFonts w:ascii="Arial" w:cs="Arial" w:eastAsia="Arial" w:hAnsi="Arial"/>
          <w:sz w:val="13"/>
          <w:szCs w:val="13"/>
          <w:color w:val="auto"/>
        </w:rPr>
        <w:t>These values will benefit us over the long-term as we build on our leadership as the place consumers turn to first for financial guidance. We have already achieved massive, top-of-funnel reach, and we are increasingly focused on building deeper relationships with consumers through new shopping integrations and membership experiences that bring them back to our platform again and again. By adhering to our consumer-first value, we will not only empower consumers to make better financial decisions, but also help our financial services partners more effectively find new customers well-suited to their products.</w:t>
      </w:r>
    </w:p>
    <w:p>
      <w:pPr>
        <w:spacing w:after="0" w:line="144" w:lineRule="exact"/>
        <w:rPr>
          <w:sz w:val="20"/>
          <w:szCs w:val="20"/>
          <w:color w:val="auto"/>
        </w:rPr>
      </w:pPr>
    </w:p>
    <w:p>
      <w:pPr>
        <w:spacing w:after="0" w:line="250" w:lineRule="auto"/>
        <w:rPr>
          <w:sz w:val="20"/>
          <w:szCs w:val="20"/>
          <w:color w:val="auto"/>
        </w:rPr>
      </w:pPr>
      <w:r>
        <w:rPr>
          <w:rFonts w:ascii="Arial" w:cs="Arial" w:eastAsia="Arial" w:hAnsi="Arial"/>
          <w:sz w:val="13"/>
          <w:szCs w:val="13"/>
          <w:color w:val="auto"/>
        </w:rPr>
        <w:t>The cornerstone of our platform is consumer trust in the independent, objective, and relevant guidance we provide. Given it is incredibly difficult for any one person to be deeply knowledgeable across all areas of personal finance, we have a 100+ person editorial team that functions as the “brains” behind our guidance. Our writers and editors, who have joined us from notable publications, cover specific verticals day in and day out, and, as a result, are deeply knowledgeable about the financial areas they cover, producing high-quality and award-winning guidance. The work of our editorial team as a whole is not only a key reason consumers trust our brand and turn to us for many of their financial questions, it is also the foundation of our personalized guidance and our “nudges.” The guidance developed by our editorial team is codified by our product team to create the insights surfaced across our platform. It’s through this unique combination of human-powered guidance and machine learning capabilities that we can provide consumers with high-quality and personalized insights.</w:t>
      </w:r>
    </w:p>
    <w:p>
      <w:pPr>
        <w:spacing w:after="0" w:line="158" w:lineRule="exact"/>
        <w:rPr>
          <w:sz w:val="20"/>
          <w:szCs w:val="20"/>
          <w:color w:val="auto"/>
        </w:rPr>
      </w:pPr>
    </w:p>
    <w:p>
      <w:pPr>
        <w:ind w:right="120"/>
        <w:spacing w:after="0" w:line="261" w:lineRule="auto"/>
        <w:rPr>
          <w:sz w:val="20"/>
          <w:szCs w:val="20"/>
          <w:color w:val="auto"/>
        </w:rPr>
      </w:pPr>
      <w:r>
        <w:rPr>
          <w:rFonts w:ascii="Arial" w:cs="Arial" w:eastAsia="Arial" w:hAnsi="Arial"/>
          <w:sz w:val="13"/>
          <w:szCs w:val="13"/>
          <w:color w:val="auto"/>
        </w:rPr>
        <w:t>This trusted guidance has enabled us to build a large, well-informed audience, many of whom are ready to transact. Accordingly, we have become an attractive partner for financial services providers wanting to reach these high-value consumers. Today, our platform stretches across many financial products, including credit cards, mortgages, insurance, SMB products, personal loans, banking, investing and student loans.</w:t>
      </w:r>
    </w:p>
    <w:p>
      <w:pPr>
        <w:spacing w:after="0" w:line="138" w:lineRule="exact"/>
        <w:rPr>
          <w:sz w:val="20"/>
          <w:szCs w:val="20"/>
          <w:color w:val="auto"/>
        </w:rPr>
      </w:pPr>
    </w:p>
    <w:p>
      <w:pPr>
        <w:jc w:val="both"/>
        <w:ind w:right="200"/>
        <w:spacing w:after="0" w:line="261" w:lineRule="auto"/>
        <w:rPr>
          <w:sz w:val="20"/>
          <w:szCs w:val="20"/>
          <w:color w:val="auto"/>
        </w:rPr>
      </w:pPr>
      <w:r>
        <w:rPr>
          <w:rFonts w:ascii="Arial" w:cs="Arial" w:eastAsia="Arial" w:hAnsi="Arial"/>
          <w:sz w:val="13"/>
          <w:szCs w:val="13"/>
          <w:color w:val="auto"/>
        </w:rPr>
        <w:t>Our platform aligns the interests of consumers and SMBs seeking financial guidance and products with the financial services providers that offer these products. A successful initial experience often leads to follow-up activity on our platform and we believe it also leads to higher customer lifetime value for the financial services providers. This alignment of interests, enabled by our unbiased and trusted guidance, benefits consumers, the financial services partners and NerdWallet.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161530" cy="2895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28956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left="11160"/>
        <w:spacing w:after="0"/>
        <w:rPr>
          <w:sz w:val="20"/>
          <w:szCs w:val="20"/>
          <w:color w:val="auto"/>
        </w:rPr>
      </w:pPr>
      <w:r>
        <w:rPr>
          <w:rFonts w:ascii="Arial" w:cs="Arial" w:eastAsia="Arial" w:hAnsi="Arial"/>
          <w:sz w:val="13"/>
          <w:szCs w:val="13"/>
          <w:b w:val="1"/>
          <w:bCs w:val="1"/>
          <w:color w:val="auto"/>
        </w:rPr>
        <w:t>3</w:t>
      </w:r>
    </w:p>
    <w:p>
      <w:pPr>
        <w:sectPr>
          <w:pgSz w:w="11900" w:h="16838" w:orient="portrait"/>
          <w:cols w:equalWidth="0" w:num="1">
            <w:col w:w="11260"/>
          </w:cols>
          <w:pgMar w:left="300" w:top="171" w:right="339" w:bottom="1440" w:gutter="0" w:footer="0" w:header="0"/>
        </w:sectPr>
      </w:pPr>
    </w:p>
    <w:bookmarkStart w:id="8" w:name="page9"/>
    <w:bookmarkEnd w:id="8"/>
    <w:p>
      <w:pPr>
        <w:ind w:left="300"/>
        <w:spacing w:after="0"/>
        <w:rPr>
          <w:sz w:val="20"/>
          <w:szCs w:val="20"/>
          <w:color w:val="auto"/>
        </w:rPr>
      </w:pPr>
      <w:r>
        <w:rPr>
          <w:rFonts w:ascii="Arial" w:cs="Arial" w:eastAsia="Arial" w:hAnsi="Arial"/>
          <w:sz w:val="13"/>
          <w:szCs w:val="13"/>
          <w:b w:val="1"/>
          <w:bCs w:val="1"/>
          <w:color w:val="00482F"/>
        </w:rPr>
        <w:drawing>
          <wp:anchor simplePos="0" relativeHeight="251657728" behindDoc="1" locked="0" layoutInCell="0" allowOverlap="1">
            <wp:simplePos x="0" y="0"/>
            <wp:positionH relativeFrom="page">
              <wp:posOffset>328295</wp:posOffset>
            </wp:positionH>
            <wp:positionV relativeFrom="page">
              <wp:posOffset>102235</wp:posOffset>
            </wp:positionV>
            <wp:extent cx="1933575" cy="147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33575" cy="147955"/>
                    </a:xfrm>
                    <a:prstGeom prst="rect">
                      <a:avLst/>
                    </a:prstGeom>
                    <a:noFill/>
                  </pic:spPr>
                </pic:pic>
              </a:graphicData>
            </a:graphic>
          </wp:anchor>
        </w:drawing>
        <w:t>PROXY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Acquisition</w:t>
      </w:r>
    </w:p>
    <w:p>
      <w:pPr>
        <w:spacing w:after="0" w:line="206" w:lineRule="exact"/>
        <w:rPr>
          <w:sz w:val="20"/>
          <w:szCs w:val="20"/>
          <w:color w:val="auto"/>
        </w:rPr>
      </w:pPr>
    </w:p>
    <w:p>
      <w:pPr>
        <w:ind w:right="180"/>
        <w:spacing w:after="0" w:line="252" w:lineRule="auto"/>
        <w:rPr>
          <w:sz w:val="20"/>
          <w:szCs w:val="20"/>
          <w:color w:val="auto"/>
        </w:rPr>
      </w:pPr>
      <w:r>
        <w:rPr>
          <w:rFonts w:ascii="Arial" w:cs="Arial" w:eastAsia="Arial" w:hAnsi="Arial"/>
          <w:sz w:val="13"/>
          <w:szCs w:val="13"/>
          <w:color w:val="auto"/>
        </w:rPr>
        <w:t>In October 2024, we expanded our presence in the mortgage space with the acquisition of Next Door Lending LLC (NDL), a mortgage brokerage specializing in home purchase and refinancing solutions. NDL provides a wide range of loan products, including conventional, Fair Housing Authority (FHA), Department of Veterans Affairs (VA), and U.S. Department of Agriculture (USDA) home loans, designed to meet the diverse financial needs of borrowers.</w:t>
      </w:r>
    </w:p>
    <w:p>
      <w:pPr>
        <w:spacing w:after="0" w:line="176" w:lineRule="exact"/>
        <w:rPr>
          <w:sz w:val="20"/>
          <w:szCs w:val="20"/>
          <w:color w:val="auto"/>
        </w:rPr>
      </w:pPr>
    </w:p>
    <w:p>
      <w:pPr>
        <w:spacing w:after="0"/>
        <w:rPr>
          <w:sz w:val="20"/>
          <w:szCs w:val="20"/>
          <w:color w:val="auto"/>
        </w:rPr>
      </w:pPr>
      <w:r>
        <w:rPr>
          <w:rFonts w:ascii="Arial" w:cs="Arial" w:eastAsia="Arial" w:hAnsi="Arial"/>
          <w:sz w:val="12"/>
          <w:szCs w:val="12"/>
          <w:color w:val="auto"/>
        </w:rPr>
        <w:t>As a mortgage broker, NDL focuses on personalized loan matching, helping clients navigate home financing options by evaluating creditworthiness and offering tailored guidance on loan structures.</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Borrowers can choose from fixed and adjustable-rate mortgages based on their financial goals.</w:t>
      </w:r>
    </w:p>
    <w:p>
      <w:pPr>
        <w:spacing w:after="0" w:line="189" w:lineRule="exact"/>
        <w:rPr>
          <w:sz w:val="20"/>
          <w:szCs w:val="20"/>
          <w:color w:val="auto"/>
        </w:rPr>
      </w:pPr>
    </w:p>
    <w:p>
      <w:pPr>
        <w:ind w:right="380"/>
        <w:spacing w:after="0" w:line="266" w:lineRule="auto"/>
        <w:rPr>
          <w:sz w:val="20"/>
          <w:szCs w:val="20"/>
          <w:color w:val="auto"/>
        </w:rPr>
      </w:pPr>
      <w:r>
        <w:rPr>
          <w:rFonts w:ascii="Arial" w:cs="Arial" w:eastAsia="Arial" w:hAnsi="Arial"/>
          <w:sz w:val="13"/>
          <w:szCs w:val="13"/>
          <w:color w:val="auto"/>
        </w:rPr>
        <w:t>Through NDL, we connect consumers with wholesale mortgage lenders, providing competitive rates and flexible terms. As of December 31, 2024, NDL is licensed to operate in 25 states, further strengthening our ability to serve homebuyers and homeowners.</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Human Capital Management</w:t>
      </w:r>
    </w:p>
    <w:p>
      <w:pPr>
        <w:spacing w:after="0" w:line="192" w:lineRule="exact"/>
        <w:rPr>
          <w:sz w:val="20"/>
          <w:szCs w:val="20"/>
          <w:color w:val="auto"/>
        </w:rPr>
      </w:pPr>
    </w:p>
    <w:p>
      <w:pPr>
        <w:ind w:right="160"/>
        <w:spacing w:after="0" w:line="261" w:lineRule="auto"/>
        <w:rPr>
          <w:sz w:val="20"/>
          <w:szCs w:val="20"/>
          <w:color w:val="auto"/>
        </w:rPr>
      </w:pPr>
      <w:r>
        <w:rPr>
          <w:rFonts w:ascii="Arial" w:cs="Arial" w:eastAsia="Arial" w:hAnsi="Arial"/>
          <w:sz w:val="13"/>
          <w:szCs w:val="13"/>
          <w:color w:val="auto"/>
        </w:rPr>
        <w:t>NerdWallet is defined by its vision: a world where everyone makes financial decisions with confidence. We attract people who are passionate about bringing our mission to life and inspired by the possibility of making real change—to brighten futures, ask hard questions, usher in solutions and provide our consumers with clarity and confidence. As of December 31, 2024, we had over 650 full-time employees, of which approximately 95% are located throughout the United States and 5% are located internationally.</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Employees and Our Culture</w:t>
      </w:r>
    </w:p>
    <w:p>
      <w:pPr>
        <w:spacing w:after="0" w:line="174" w:lineRule="exact"/>
        <w:rPr>
          <w:sz w:val="20"/>
          <w:szCs w:val="20"/>
          <w:color w:val="auto"/>
        </w:rPr>
      </w:pPr>
    </w:p>
    <w:p>
      <w:pPr>
        <w:spacing w:after="0" w:line="254" w:lineRule="auto"/>
        <w:rPr>
          <w:sz w:val="20"/>
          <w:szCs w:val="20"/>
          <w:color w:val="auto"/>
        </w:rPr>
      </w:pPr>
      <w:r>
        <w:rPr>
          <w:rFonts w:ascii="Arial" w:cs="Arial" w:eastAsia="Arial" w:hAnsi="Arial"/>
          <w:sz w:val="13"/>
          <w:szCs w:val="13"/>
          <w:color w:val="auto"/>
        </w:rPr>
        <w:t>Our Nerds are the key to our success and the reason we believe we will achieve our mission. They are also one of our most crucial areas of investment. Our remote-first culture allows us to reach, attract and retain more diverse talent across all levels of our organization. Attracting and retaining highly-skilled, diverse talent is a key component of our talent enablement and belonging efforts, and is absolutely critical to our success as a business and to fully realizing NerdWallet’s mission. Once employees are at NerdWallet, we invest in their well-being and development: We offer competitive compensation and benefits, opportunities for career growth, and inclusion and belonging programming. For more information on how we invest in our Nerds, please see the section titled “Investing in Our Nerds” in the ESG discussion in this proxy statement.</w:t>
      </w:r>
    </w:p>
    <w:p>
      <w:pPr>
        <w:spacing w:after="0" w:line="143" w:lineRule="exact"/>
        <w:rPr>
          <w:sz w:val="20"/>
          <w:szCs w:val="20"/>
          <w:color w:val="auto"/>
        </w:rPr>
      </w:pPr>
    </w:p>
    <w:p>
      <w:pPr>
        <w:spacing w:after="0"/>
        <w:rPr>
          <w:sz w:val="20"/>
          <w:szCs w:val="20"/>
          <w:color w:val="auto"/>
        </w:rPr>
      </w:pPr>
      <w:r>
        <w:rPr>
          <w:rFonts w:ascii="Arial" w:cs="Arial" w:eastAsia="Arial" w:hAnsi="Arial"/>
          <w:sz w:val="12"/>
          <w:szCs w:val="12"/>
          <w:color w:val="auto"/>
        </w:rPr>
        <w:t>At the core of our Nerdy culture are our values. They are not just words written on a wall or printed on t-shirts, but lived and breathed every day by every Nerd: (1) Consumer, Company, Team, Self;</w:t>
      </w:r>
    </w:p>
    <w:p>
      <w:pPr>
        <w:spacing w:after="0" w:line="29" w:lineRule="exact"/>
        <w:rPr>
          <w:sz w:val="20"/>
          <w:szCs w:val="20"/>
          <w:color w:val="auto"/>
        </w:rPr>
      </w:pPr>
    </w:p>
    <w:p>
      <w:pPr>
        <w:ind w:right="140" w:firstLine="5"/>
        <w:spacing w:after="0" w:line="253" w:lineRule="auto"/>
        <w:tabs>
          <w:tab w:leader="none" w:pos="191" w:val="left"/>
        </w:tabs>
        <w:numPr>
          <w:ilvl w:val="0"/>
          <w:numId w:val="6"/>
        </w:numPr>
        <w:rPr>
          <w:rFonts w:ascii="Arial" w:cs="Arial" w:eastAsia="Arial" w:hAnsi="Arial"/>
          <w:sz w:val="13"/>
          <w:szCs w:val="13"/>
          <w:color w:val="auto"/>
        </w:rPr>
      </w:pPr>
      <w:r>
        <w:rPr>
          <w:rFonts w:ascii="Arial" w:cs="Arial" w:eastAsia="Arial" w:hAnsi="Arial"/>
          <w:sz w:val="13"/>
          <w:szCs w:val="13"/>
          <w:color w:val="auto"/>
        </w:rPr>
        <w:t>Relentless Self-Improvement; (3) Ownership; (4) Informed Risk-Taking; and (5) Open, Candid and Constructive. We measure employee performance against these company values and measure employee engagement through surveys and participation at all-hands and town hall style meetings with leadership.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306705</wp:posOffset>
            </wp:positionV>
            <wp:extent cx="7161530" cy="289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289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 xml:space="preserve">4 </w:t>
      </w:r>
      <w:r>
        <w:rPr>
          <w:rFonts w:ascii="Arial" w:cs="Arial" w:eastAsia="Arial" w:hAnsi="Arial"/>
          <w:sz w:val="13"/>
          <w:szCs w:val="13"/>
          <w:color w:val="auto"/>
        </w:rPr>
        <w:t>PROXY STATEMENT 2025</w:t>
      </w:r>
    </w:p>
    <w:p>
      <w:pPr>
        <w:sectPr>
          <w:pgSz w:w="11900" w:h="16838" w:orient="portrait"/>
          <w:cols w:equalWidth="0" w:num="1">
            <w:col w:w="11240"/>
          </w:cols>
          <w:pgMar w:left="300" w:top="171" w:right="359" w:bottom="1440" w:gutter="0" w:footer="0" w:header="0"/>
        </w:sectPr>
      </w:pPr>
    </w:p>
    <w:bookmarkStart w:id="9" w:name="page10"/>
    <w:bookmarkEnd w:id="9"/>
    <w:p>
      <w:pPr>
        <w:ind w:left="6380"/>
        <w:spacing w:after="0"/>
        <w:rPr>
          <w:sz w:val="20"/>
          <w:szCs w:val="20"/>
          <w:color w:val="auto"/>
        </w:rPr>
      </w:pPr>
      <w:r>
        <w:rPr>
          <w:rFonts w:ascii="Arial" w:cs="Arial" w:eastAsia="Arial" w:hAnsi="Arial"/>
          <w:sz w:val="13"/>
          <w:szCs w:val="13"/>
          <w:b w:val="1"/>
          <w:bCs w:val="1"/>
          <w:color w:val="00482F"/>
        </w:rPr>
        <w:drawing>
          <wp:anchor simplePos="0" relativeHeight="251657728" behindDoc="1" locked="0" layoutInCell="0" allowOverlap="1">
            <wp:simplePos x="0" y="0"/>
            <wp:positionH relativeFrom="page">
              <wp:posOffset>4195445</wp:posOffset>
            </wp:positionH>
            <wp:positionV relativeFrom="page">
              <wp:posOffset>102235</wp:posOffset>
            </wp:positionV>
            <wp:extent cx="1515745" cy="147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15745" cy="147955"/>
                    </a:xfrm>
                    <a:prstGeom prst="rect">
                      <a:avLst/>
                    </a:prstGeom>
                    <a:noFill/>
                  </pic:spPr>
                </pic:pic>
              </a:graphicData>
            </a:graphic>
          </wp:anchor>
        </w:drawing>
        <w:t>PROXY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Nominees</w:t>
      </w:r>
    </w:p>
    <w:p>
      <w:pPr>
        <w:spacing w:after="0" w:line="181" w:lineRule="exact"/>
        <w:rPr>
          <w:sz w:val="20"/>
          <w:szCs w:val="20"/>
          <w:color w:val="auto"/>
        </w:rPr>
      </w:pPr>
    </w:p>
    <w:p>
      <w:pPr>
        <w:ind w:right="480"/>
        <w:spacing w:after="0" w:line="283" w:lineRule="auto"/>
        <w:rPr>
          <w:sz w:val="20"/>
          <w:szCs w:val="20"/>
          <w:color w:val="auto"/>
        </w:rPr>
      </w:pPr>
      <w:r>
        <w:rPr>
          <w:rFonts w:ascii="Arial" w:cs="Arial" w:eastAsia="Arial" w:hAnsi="Arial"/>
          <w:sz w:val="13"/>
          <w:szCs w:val="13"/>
          <w:color w:val="auto"/>
        </w:rPr>
        <w:t>Our Board has unanimously nominated and recommends a vote “FOR” each of the following nominees for election as directors to serve until the next annual meeting of stockholders and until a successor has been duly elected and qualified, or until such director’s earlier resignation, retirement or other termination of service.</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0C6936"/>
        </w:rPr>
        <w:t xml:space="preserve">TIM CHEN </w:t>
      </w:r>
      <w:r>
        <w:rPr>
          <w:rFonts w:ascii="Arial" w:cs="Arial" w:eastAsia="Arial" w:hAnsi="Arial"/>
          <w:sz w:val="13"/>
          <w:szCs w:val="13"/>
          <w:color w:val="0C6936"/>
        </w:rPr>
        <w:t>•</w:t>
      </w:r>
      <w:r>
        <w:rPr>
          <w:rFonts w:ascii="Arial" w:cs="Arial" w:eastAsia="Arial" w:hAnsi="Arial"/>
          <w:sz w:val="13"/>
          <w:szCs w:val="13"/>
          <w:b w:val="1"/>
          <w:bCs w:val="1"/>
          <w:color w:val="0C6936"/>
        </w:rPr>
        <w:t xml:space="preserve"> </w:t>
      </w:r>
      <w:r>
        <w:rPr>
          <w:rFonts w:ascii="Arial" w:cs="Arial" w:eastAsia="Arial" w:hAnsi="Arial"/>
          <w:sz w:val="13"/>
          <w:szCs w:val="13"/>
          <w:b w:val="1"/>
          <w:bCs w:val="1"/>
          <w:i w:val="1"/>
          <w:iCs w:val="1"/>
          <w:color w:val="0C6936"/>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7161530"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178435</wp:posOffset>
            </wp:positionH>
            <wp:positionV relativeFrom="paragraph">
              <wp:posOffset>66675</wp:posOffset>
            </wp:positionV>
            <wp:extent cx="384175" cy="3841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84175" cy="384175"/>
                    </a:xfrm>
                    <a:prstGeom prst="rect">
                      <a:avLst/>
                    </a:prstGeom>
                    <a:noFill/>
                  </pic:spPr>
                </pic:pic>
              </a:graphicData>
            </a:graphic>
          </wp:anchor>
        </w:drawing>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980" w:type="dxa"/>
            <w:vAlign w:val="bottom"/>
          </w:tcPr>
          <w:p>
            <w:pPr>
              <w:ind w:left="1160"/>
              <w:spacing w:after="0"/>
              <w:rPr>
                <w:sz w:val="20"/>
                <w:szCs w:val="20"/>
                <w:color w:val="auto"/>
              </w:rPr>
            </w:pPr>
            <w:r>
              <w:rPr>
                <w:rFonts w:ascii="Arial" w:cs="Arial" w:eastAsia="Arial" w:hAnsi="Arial"/>
                <w:sz w:val="13"/>
                <w:szCs w:val="13"/>
                <w:b w:val="1"/>
                <w:bCs w:val="1"/>
                <w:color w:val="auto"/>
              </w:rPr>
              <w:t xml:space="preserve">Age: </w:t>
            </w:r>
            <w:r>
              <w:rPr>
                <w:rFonts w:ascii="Arial" w:cs="Arial" w:eastAsia="Arial" w:hAnsi="Arial"/>
                <w:sz w:val="13"/>
                <w:szCs w:val="13"/>
                <w:color w:val="auto"/>
              </w:rPr>
              <w:t>42</w:t>
            </w:r>
          </w:p>
        </w:tc>
        <w:tc>
          <w:tcPr>
            <w:tcW w:w="8300" w:type="dxa"/>
            <w:vAlign w:val="bottom"/>
          </w:tcPr>
          <w:p>
            <w:pPr>
              <w:ind w:left="580"/>
              <w:spacing w:after="0"/>
              <w:rPr>
                <w:sz w:val="20"/>
                <w:szCs w:val="20"/>
                <w:color w:val="auto"/>
              </w:rPr>
            </w:pPr>
            <w:r>
              <w:rPr>
                <w:rFonts w:ascii="Arial" w:cs="Arial" w:eastAsia="Arial" w:hAnsi="Arial"/>
                <w:sz w:val="13"/>
                <w:szCs w:val="13"/>
                <w:b w:val="1"/>
                <w:bCs w:val="1"/>
                <w:color w:val="auto"/>
              </w:rPr>
              <w:t xml:space="preserve">Board Committee(s): </w:t>
            </w:r>
            <w:r>
              <w:rPr>
                <w:rFonts w:ascii="Arial" w:cs="Arial" w:eastAsia="Arial" w:hAnsi="Arial"/>
                <w:sz w:val="13"/>
                <w:szCs w:val="13"/>
                <w:color w:val="auto"/>
              </w:rPr>
              <w:t>Ex-officio Attendee; Does Not Vote</w:t>
            </w:r>
          </w:p>
        </w:tc>
      </w:tr>
      <w:tr>
        <w:trPr>
          <w:trHeight w:val="149"/>
        </w:trPr>
        <w:tc>
          <w:tcPr>
            <w:tcW w:w="2980" w:type="dxa"/>
            <w:vAlign w:val="bottom"/>
          </w:tcPr>
          <w:p>
            <w:pPr>
              <w:ind w:left="1160"/>
              <w:spacing w:after="0"/>
              <w:rPr>
                <w:sz w:val="20"/>
                <w:szCs w:val="20"/>
                <w:color w:val="auto"/>
              </w:rPr>
            </w:pPr>
            <w:r>
              <w:rPr>
                <w:rFonts w:ascii="Arial" w:cs="Arial" w:eastAsia="Arial" w:hAnsi="Arial"/>
                <w:sz w:val="13"/>
                <w:szCs w:val="13"/>
                <w:b w:val="1"/>
                <w:bCs w:val="1"/>
                <w:color w:val="auto"/>
              </w:rPr>
              <w:t xml:space="preserve">Director Since: </w:t>
            </w:r>
            <w:r>
              <w:rPr>
                <w:rFonts w:ascii="Arial" w:cs="Arial" w:eastAsia="Arial" w:hAnsi="Arial"/>
                <w:sz w:val="13"/>
                <w:szCs w:val="13"/>
                <w:color w:val="auto"/>
              </w:rPr>
              <w:t>2011</w:t>
            </w:r>
          </w:p>
        </w:tc>
        <w:tc>
          <w:tcPr>
            <w:tcW w:w="8300" w:type="dxa"/>
            <w:vAlign w:val="bottom"/>
          </w:tcPr>
          <w:p>
            <w:pPr>
              <w:ind w:left="580"/>
              <w:spacing w:after="0"/>
              <w:rPr>
                <w:sz w:val="20"/>
                <w:szCs w:val="20"/>
                <w:color w:val="auto"/>
              </w:rPr>
            </w:pPr>
            <w:r>
              <w:rPr>
                <w:rFonts w:ascii="Arial" w:cs="Arial" w:eastAsia="Arial" w:hAnsi="Arial"/>
                <w:sz w:val="13"/>
                <w:szCs w:val="13"/>
                <w:b w:val="1"/>
                <w:bCs w:val="1"/>
                <w:color w:val="auto"/>
              </w:rPr>
              <w:t xml:space="preserve">Primary Occupation: </w:t>
            </w:r>
            <w:r>
              <w:rPr>
                <w:rFonts w:ascii="Arial" w:cs="Arial" w:eastAsia="Arial" w:hAnsi="Arial"/>
                <w:sz w:val="13"/>
                <w:szCs w:val="13"/>
                <w:color w:val="auto"/>
              </w:rPr>
              <w:t>Chief Executive Officer of the Company</w:t>
            </w:r>
          </w:p>
        </w:tc>
      </w:tr>
      <w:tr>
        <w:trPr>
          <w:trHeight w:val="173"/>
        </w:trPr>
        <w:tc>
          <w:tcPr>
            <w:tcW w:w="2980" w:type="dxa"/>
            <w:vAlign w:val="bottom"/>
          </w:tcPr>
          <w:p>
            <w:pPr>
              <w:ind w:left="1160"/>
              <w:spacing w:after="0"/>
              <w:rPr>
                <w:sz w:val="20"/>
                <w:szCs w:val="20"/>
                <w:color w:val="auto"/>
              </w:rPr>
            </w:pPr>
            <w:r>
              <w:rPr>
                <w:rFonts w:ascii="Arial" w:cs="Arial" w:eastAsia="Arial" w:hAnsi="Arial"/>
                <w:sz w:val="13"/>
                <w:szCs w:val="13"/>
                <w:b w:val="1"/>
                <w:bCs w:val="1"/>
                <w:color w:val="auto"/>
              </w:rPr>
              <w:t xml:space="preserve">Independent: </w:t>
            </w:r>
            <w:r>
              <w:rPr>
                <w:rFonts w:ascii="Arial" w:cs="Arial" w:eastAsia="Arial" w:hAnsi="Arial"/>
                <w:sz w:val="13"/>
                <w:szCs w:val="13"/>
                <w:color w:val="auto"/>
              </w:rPr>
              <w:t>No</w:t>
            </w:r>
          </w:p>
        </w:tc>
        <w:tc>
          <w:tcPr>
            <w:tcW w:w="8300" w:type="dxa"/>
            <w:vAlign w:val="bottom"/>
          </w:tcPr>
          <w:p>
            <w:pPr>
              <w:ind w:left="580"/>
              <w:spacing w:after="0"/>
              <w:rPr>
                <w:sz w:val="20"/>
                <w:szCs w:val="20"/>
                <w:color w:val="auto"/>
              </w:rPr>
            </w:pPr>
            <w:r>
              <w:rPr>
                <w:rFonts w:ascii="Arial" w:cs="Arial" w:eastAsia="Arial" w:hAnsi="Arial"/>
                <w:sz w:val="13"/>
                <w:szCs w:val="13"/>
                <w:b w:val="1"/>
                <w:bCs w:val="1"/>
                <w:color w:val="auto"/>
              </w:rPr>
              <w:t xml:space="preserve">Other Public Company Boards: </w:t>
            </w:r>
            <w:r>
              <w:rPr>
                <w:rFonts w:ascii="Arial" w:cs="Arial" w:eastAsia="Arial" w:hAnsi="Arial"/>
                <w:sz w:val="13"/>
                <w:szCs w:val="13"/>
                <w:color w:val="auto"/>
              </w:rPr>
              <w:t>None</w:t>
            </w:r>
          </w:p>
        </w:tc>
      </w:tr>
      <w:tr>
        <w:trPr>
          <w:trHeight w:val="439"/>
        </w:trPr>
        <w:tc>
          <w:tcPr>
            <w:tcW w:w="2980" w:type="dxa"/>
            <w:vAlign w:val="bottom"/>
            <w:tcBorders>
              <w:bottom w:val="single" w:sz="8" w:color="B2B2B2"/>
            </w:tcBorders>
          </w:tcPr>
          <w:p>
            <w:pPr>
              <w:ind w:left="20"/>
              <w:spacing w:after="0"/>
              <w:rPr>
                <w:sz w:val="20"/>
                <w:szCs w:val="20"/>
                <w:color w:val="auto"/>
              </w:rPr>
            </w:pPr>
            <w:r>
              <w:rPr>
                <w:rFonts w:ascii="Arial" w:cs="Arial" w:eastAsia="Arial" w:hAnsi="Arial"/>
                <w:sz w:val="13"/>
                <w:szCs w:val="13"/>
                <w:b w:val="1"/>
                <w:bCs w:val="1"/>
                <w:color w:val="0C6936"/>
              </w:rPr>
              <w:t>JENNIFER E. CERAN</w:t>
            </w:r>
          </w:p>
        </w:tc>
        <w:tc>
          <w:tcPr>
            <w:tcW w:w="8300" w:type="dxa"/>
            <w:vAlign w:val="bottom"/>
            <w:tcBorders>
              <w:bottom w:val="single" w:sz="8" w:color="B2B2B2"/>
            </w:tcBorders>
          </w:tcPr>
          <w:p>
            <w:pPr>
              <w:spacing w:after="0"/>
              <w:rPr>
                <w:sz w:val="24"/>
                <w:szCs w:val="24"/>
                <w:color w:val="auto"/>
              </w:rPr>
            </w:pPr>
          </w:p>
        </w:tc>
      </w:tr>
      <w:tr>
        <w:trPr>
          <w:trHeight w:val="228"/>
        </w:trPr>
        <w:tc>
          <w:tcPr>
            <w:tcW w:w="2980" w:type="dxa"/>
            <w:vAlign w:val="bottom"/>
          </w:tcPr>
          <w:p>
            <w:pPr>
              <w:ind w:left="1160"/>
              <w:spacing w:after="0"/>
              <w:rPr>
                <w:sz w:val="20"/>
                <w:szCs w:val="20"/>
                <w:color w:val="auto"/>
              </w:rPr>
            </w:pPr>
            <w:r>
              <w:rPr>
                <w:rFonts w:ascii="Arial" w:cs="Arial" w:eastAsia="Arial" w:hAnsi="Arial"/>
                <w:sz w:val="13"/>
                <w:szCs w:val="13"/>
                <w:b w:val="1"/>
                <w:bCs w:val="1"/>
                <w:color w:val="auto"/>
              </w:rPr>
              <w:t xml:space="preserve">Age: </w:t>
            </w:r>
            <w:r>
              <w:rPr>
                <w:rFonts w:ascii="Arial" w:cs="Arial" w:eastAsia="Arial" w:hAnsi="Arial"/>
                <w:sz w:val="13"/>
                <w:szCs w:val="13"/>
                <w:color w:val="auto"/>
              </w:rPr>
              <w:t>61</w:t>
            </w:r>
          </w:p>
        </w:tc>
        <w:tc>
          <w:tcPr>
            <w:tcW w:w="8300" w:type="dxa"/>
            <w:vAlign w:val="bottom"/>
          </w:tcPr>
          <w:p>
            <w:pPr>
              <w:ind w:left="580"/>
              <w:spacing w:after="0"/>
              <w:rPr>
                <w:sz w:val="20"/>
                <w:szCs w:val="20"/>
                <w:color w:val="auto"/>
              </w:rPr>
            </w:pPr>
            <w:r>
              <w:rPr>
                <w:rFonts w:ascii="Arial" w:cs="Arial" w:eastAsia="Arial" w:hAnsi="Arial"/>
                <w:sz w:val="13"/>
                <w:szCs w:val="13"/>
                <w:b w:val="1"/>
                <w:bCs w:val="1"/>
                <w:color w:val="auto"/>
              </w:rPr>
              <w:t xml:space="preserve">Board Committee(s): </w:t>
            </w:r>
            <w:r>
              <w:rPr>
                <w:rFonts w:ascii="Arial" w:cs="Arial" w:eastAsia="Arial" w:hAnsi="Arial"/>
                <w:sz w:val="13"/>
                <w:szCs w:val="13"/>
                <w:color w:val="auto"/>
              </w:rPr>
              <w:t>Audit</w:t>
            </w:r>
          </w:p>
        </w:tc>
      </w:tr>
      <w:tr>
        <w:trPr>
          <w:trHeight w:val="149"/>
        </w:trPr>
        <w:tc>
          <w:tcPr>
            <w:tcW w:w="11280" w:type="dxa"/>
            <w:vAlign w:val="bottom"/>
            <w:gridSpan w:val="2"/>
          </w:tcPr>
          <w:p>
            <w:pPr>
              <w:ind w:left="1160"/>
              <w:spacing w:after="0"/>
              <w:rPr>
                <w:sz w:val="20"/>
                <w:szCs w:val="20"/>
                <w:color w:val="auto"/>
              </w:rPr>
            </w:pPr>
            <w:r>
              <w:rPr>
                <w:rFonts w:ascii="Arial" w:cs="Arial" w:eastAsia="Arial" w:hAnsi="Arial"/>
                <w:sz w:val="13"/>
                <w:szCs w:val="13"/>
                <w:b w:val="1"/>
                <w:bCs w:val="1"/>
                <w:color w:val="auto"/>
              </w:rPr>
              <w:t xml:space="preserve">Director Since: </w:t>
            </w:r>
            <w:r>
              <w:rPr>
                <w:rFonts w:ascii="Arial" w:cs="Arial" w:eastAsia="Arial" w:hAnsi="Arial"/>
                <w:sz w:val="13"/>
                <w:szCs w:val="13"/>
                <w:color w:val="auto"/>
              </w:rPr>
              <w:t>2020</w:t>
            </w:r>
            <w:r>
              <w:rPr>
                <w:rFonts w:ascii="Arial" w:cs="Arial" w:eastAsia="Arial" w:hAnsi="Arial"/>
                <w:sz w:val="13"/>
                <w:szCs w:val="13"/>
                <w:b w:val="1"/>
                <w:bCs w:val="1"/>
                <w:color w:val="auto"/>
              </w:rPr>
              <w:t xml:space="preserve"> Independent: </w:t>
            </w:r>
            <w:r>
              <w:rPr>
                <w:rFonts w:ascii="Arial" w:cs="Arial" w:eastAsia="Arial" w:hAnsi="Arial"/>
                <w:sz w:val="13"/>
                <w:szCs w:val="13"/>
                <w:color w:val="auto"/>
              </w:rPr>
              <w:t>Yes</w:t>
            </w:r>
            <w:r>
              <w:rPr>
                <w:rFonts w:ascii="Arial" w:cs="Arial" w:eastAsia="Arial" w:hAnsi="Arial"/>
                <w:sz w:val="13"/>
                <w:szCs w:val="13"/>
                <w:b w:val="1"/>
                <w:bCs w:val="1"/>
                <w:color w:val="auto"/>
              </w:rPr>
              <w:t xml:space="preserve">  Primary Occupation: </w:t>
            </w:r>
            <w:r>
              <w:rPr>
                <w:rFonts w:ascii="Arial" w:cs="Arial" w:eastAsia="Arial" w:hAnsi="Arial"/>
                <w:sz w:val="13"/>
                <w:szCs w:val="13"/>
                <w:color w:val="auto"/>
              </w:rPr>
              <w:t>Board Member of several private and public companies.</w:t>
            </w:r>
          </w:p>
        </w:tc>
      </w:tr>
      <w:tr>
        <w:trPr>
          <w:trHeight w:val="173"/>
        </w:trPr>
        <w:tc>
          <w:tcPr>
            <w:tcW w:w="2980" w:type="dxa"/>
            <w:vAlign w:val="bottom"/>
          </w:tcPr>
          <w:p>
            <w:pPr>
              <w:spacing w:after="0"/>
              <w:rPr>
                <w:sz w:val="15"/>
                <w:szCs w:val="15"/>
                <w:color w:val="auto"/>
              </w:rPr>
            </w:pPr>
          </w:p>
        </w:tc>
        <w:tc>
          <w:tcPr>
            <w:tcW w:w="8300" w:type="dxa"/>
            <w:vAlign w:val="bottom"/>
          </w:tcPr>
          <w:p>
            <w:pPr>
              <w:ind w:left="580"/>
              <w:spacing w:after="0"/>
              <w:rPr>
                <w:sz w:val="20"/>
                <w:szCs w:val="20"/>
                <w:color w:val="auto"/>
              </w:rPr>
            </w:pPr>
            <w:r>
              <w:rPr>
                <w:rFonts w:ascii="Arial" w:cs="Arial" w:eastAsia="Arial" w:hAnsi="Arial"/>
                <w:sz w:val="13"/>
                <w:szCs w:val="13"/>
                <w:b w:val="1"/>
                <w:bCs w:val="1"/>
                <w:color w:val="auto"/>
              </w:rPr>
              <w:t xml:space="preserve">Other Public Company Boards: </w:t>
            </w:r>
            <w:r>
              <w:rPr>
                <w:rFonts w:ascii="Arial" w:cs="Arial" w:eastAsia="Arial" w:hAnsi="Arial"/>
                <w:sz w:val="13"/>
                <w:szCs w:val="13"/>
                <w:color w:val="auto"/>
              </w:rPr>
              <w:t>Klaviyo, Inc. and Riskified Ltd.</w:t>
            </w:r>
          </w:p>
        </w:tc>
      </w:tr>
      <w:tr>
        <w:trPr>
          <w:trHeight w:val="439"/>
        </w:trPr>
        <w:tc>
          <w:tcPr>
            <w:tcW w:w="2980" w:type="dxa"/>
            <w:vAlign w:val="bottom"/>
            <w:tcBorders>
              <w:bottom w:val="single" w:sz="8" w:color="B2B2B2"/>
            </w:tcBorders>
          </w:tcPr>
          <w:p>
            <w:pPr>
              <w:ind w:left="20"/>
              <w:spacing w:after="0"/>
              <w:rPr>
                <w:sz w:val="20"/>
                <w:szCs w:val="20"/>
                <w:color w:val="auto"/>
              </w:rPr>
            </w:pPr>
            <w:r>
              <w:rPr>
                <w:rFonts w:ascii="Arial" w:cs="Arial" w:eastAsia="Arial" w:hAnsi="Arial"/>
                <w:sz w:val="13"/>
                <w:szCs w:val="13"/>
                <w:b w:val="1"/>
                <w:bCs w:val="1"/>
                <w:color w:val="0C6936"/>
              </w:rPr>
              <w:t>LYNNE M. LAUBE</w:t>
            </w:r>
          </w:p>
        </w:tc>
        <w:tc>
          <w:tcPr>
            <w:tcW w:w="8300" w:type="dxa"/>
            <w:vAlign w:val="bottom"/>
            <w:tcBorders>
              <w:bottom w:val="single" w:sz="8" w:color="B2B2B2"/>
            </w:tcBorders>
          </w:tcPr>
          <w:p>
            <w:pPr>
              <w:spacing w:after="0"/>
              <w:rPr>
                <w:sz w:val="24"/>
                <w:szCs w:val="24"/>
                <w:color w:val="auto"/>
              </w:rPr>
            </w:pPr>
          </w:p>
        </w:tc>
      </w:tr>
      <w:tr>
        <w:trPr>
          <w:trHeight w:val="228"/>
        </w:trPr>
        <w:tc>
          <w:tcPr>
            <w:tcW w:w="2980" w:type="dxa"/>
            <w:vAlign w:val="bottom"/>
          </w:tcPr>
          <w:p>
            <w:pPr>
              <w:ind w:left="1160"/>
              <w:spacing w:after="0"/>
              <w:rPr>
                <w:sz w:val="20"/>
                <w:szCs w:val="20"/>
                <w:color w:val="auto"/>
              </w:rPr>
            </w:pPr>
            <w:r>
              <w:rPr>
                <w:rFonts w:ascii="Arial" w:cs="Arial" w:eastAsia="Arial" w:hAnsi="Arial"/>
                <w:sz w:val="13"/>
                <w:szCs w:val="13"/>
                <w:b w:val="1"/>
                <w:bCs w:val="1"/>
                <w:color w:val="auto"/>
              </w:rPr>
              <w:t xml:space="preserve">Age: </w:t>
            </w:r>
            <w:r>
              <w:rPr>
                <w:rFonts w:ascii="Arial" w:cs="Arial" w:eastAsia="Arial" w:hAnsi="Arial"/>
                <w:sz w:val="13"/>
                <w:szCs w:val="13"/>
                <w:color w:val="auto"/>
              </w:rPr>
              <w:t>55</w:t>
            </w:r>
          </w:p>
        </w:tc>
        <w:tc>
          <w:tcPr>
            <w:tcW w:w="8300" w:type="dxa"/>
            <w:vAlign w:val="bottom"/>
          </w:tcPr>
          <w:p>
            <w:pPr>
              <w:ind w:left="580"/>
              <w:spacing w:after="0"/>
              <w:rPr>
                <w:sz w:val="20"/>
                <w:szCs w:val="20"/>
                <w:color w:val="auto"/>
              </w:rPr>
            </w:pPr>
            <w:r>
              <w:rPr>
                <w:rFonts w:ascii="Arial" w:cs="Arial" w:eastAsia="Arial" w:hAnsi="Arial"/>
                <w:sz w:val="13"/>
                <w:szCs w:val="13"/>
                <w:b w:val="1"/>
                <w:bCs w:val="1"/>
                <w:color w:val="auto"/>
              </w:rPr>
              <w:t xml:space="preserve">Board Committee(s): </w:t>
            </w:r>
            <w:r>
              <w:rPr>
                <w:rFonts w:ascii="Arial" w:cs="Arial" w:eastAsia="Arial" w:hAnsi="Arial"/>
                <w:sz w:val="13"/>
                <w:szCs w:val="13"/>
                <w:color w:val="auto"/>
              </w:rPr>
              <w:t>Compensation</w:t>
            </w:r>
          </w:p>
        </w:tc>
      </w:tr>
      <w:tr>
        <w:trPr>
          <w:trHeight w:val="149"/>
        </w:trPr>
        <w:tc>
          <w:tcPr>
            <w:tcW w:w="11280" w:type="dxa"/>
            <w:vAlign w:val="bottom"/>
            <w:gridSpan w:val="2"/>
          </w:tcPr>
          <w:p>
            <w:pPr>
              <w:ind w:left="1160"/>
              <w:spacing w:after="0"/>
              <w:rPr>
                <w:sz w:val="20"/>
                <w:szCs w:val="20"/>
                <w:color w:val="auto"/>
              </w:rPr>
            </w:pPr>
            <w:r>
              <w:rPr>
                <w:rFonts w:ascii="Arial" w:cs="Arial" w:eastAsia="Arial" w:hAnsi="Arial"/>
                <w:sz w:val="13"/>
                <w:szCs w:val="13"/>
                <w:b w:val="1"/>
                <w:bCs w:val="1"/>
                <w:color w:val="auto"/>
              </w:rPr>
              <w:t xml:space="preserve">Director Since: </w:t>
            </w:r>
            <w:r>
              <w:rPr>
                <w:rFonts w:ascii="Arial" w:cs="Arial" w:eastAsia="Arial" w:hAnsi="Arial"/>
                <w:sz w:val="13"/>
                <w:szCs w:val="13"/>
                <w:color w:val="auto"/>
              </w:rPr>
              <w:t>2020</w:t>
            </w:r>
            <w:r>
              <w:rPr>
                <w:rFonts w:ascii="Arial" w:cs="Arial" w:eastAsia="Arial" w:hAnsi="Arial"/>
                <w:sz w:val="13"/>
                <w:szCs w:val="13"/>
                <w:b w:val="1"/>
                <w:bCs w:val="1"/>
                <w:color w:val="auto"/>
              </w:rPr>
              <w:t xml:space="preserve"> Independent: </w:t>
            </w:r>
            <w:r>
              <w:rPr>
                <w:rFonts w:ascii="Arial" w:cs="Arial" w:eastAsia="Arial" w:hAnsi="Arial"/>
                <w:sz w:val="13"/>
                <w:szCs w:val="13"/>
                <w:color w:val="auto"/>
              </w:rPr>
              <w:t>Yes</w:t>
            </w:r>
            <w:r>
              <w:rPr>
                <w:rFonts w:ascii="Arial" w:cs="Arial" w:eastAsia="Arial" w:hAnsi="Arial"/>
                <w:sz w:val="13"/>
                <w:szCs w:val="13"/>
                <w:b w:val="1"/>
                <w:bCs w:val="1"/>
                <w:color w:val="auto"/>
              </w:rPr>
              <w:t xml:space="preserve">  Primary Occupation: </w:t>
            </w:r>
            <w:r>
              <w:rPr>
                <w:rFonts w:ascii="Arial" w:cs="Arial" w:eastAsia="Arial" w:hAnsi="Arial"/>
                <w:sz w:val="13"/>
                <w:szCs w:val="13"/>
                <w:color w:val="auto"/>
              </w:rPr>
              <w:t>Operating Partner at Valor Venture Capital</w:t>
            </w:r>
          </w:p>
        </w:tc>
      </w:tr>
      <w:tr>
        <w:trPr>
          <w:trHeight w:val="173"/>
        </w:trPr>
        <w:tc>
          <w:tcPr>
            <w:tcW w:w="2980" w:type="dxa"/>
            <w:vAlign w:val="bottom"/>
          </w:tcPr>
          <w:p>
            <w:pPr>
              <w:spacing w:after="0"/>
              <w:rPr>
                <w:sz w:val="15"/>
                <w:szCs w:val="15"/>
                <w:color w:val="auto"/>
              </w:rPr>
            </w:pPr>
          </w:p>
        </w:tc>
        <w:tc>
          <w:tcPr>
            <w:tcW w:w="8300" w:type="dxa"/>
            <w:vAlign w:val="bottom"/>
          </w:tcPr>
          <w:p>
            <w:pPr>
              <w:ind w:left="580"/>
              <w:spacing w:after="0"/>
              <w:rPr>
                <w:sz w:val="20"/>
                <w:szCs w:val="20"/>
                <w:color w:val="auto"/>
              </w:rPr>
            </w:pPr>
            <w:r>
              <w:rPr>
                <w:rFonts w:ascii="Arial" w:cs="Arial" w:eastAsia="Arial" w:hAnsi="Arial"/>
                <w:sz w:val="13"/>
                <w:szCs w:val="13"/>
                <w:b w:val="1"/>
                <w:bCs w:val="1"/>
                <w:color w:val="auto"/>
              </w:rPr>
              <w:t xml:space="preserve">Other Public Company Boards: </w:t>
            </w:r>
            <w:r>
              <w:rPr>
                <w:rFonts w:ascii="Arial" w:cs="Arial" w:eastAsia="Arial" w:hAnsi="Arial"/>
                <w:sz w:val="13"/>
                <w:szCs w:val="13"/>
                <w:color w:val="auto"/>
              </w:rPr>
              <w:t>None</w:t>
            </w:r>
          </w:p>
        </w:tc>
      </w:tr>
      <w:tr>
        <w:trPr>
          <w:trHeight w:val="439"/>
        </w:trPr>
        <w:tc>
          <w:tcPr>
            <w:tcW w:w="2980" w:type="dxa"/>
            <w:vAlign w:val="bottom"/>
            <w:tcBorders>
              <w:bottom w:val="single" w:sz="8" w:color="B2B2B2"/>
            </w:tcBorders>
          </w:tcPr>
          <w:p>
            <w:pPr>
              <w:ind w:left="20"/>
              <w:spacing w:after="0"/>
              <w:rPr>
                <w:sz w:val="20"/>
                <w:szCs w:val="20"/>
                <w:color w:val="auto"/>
              </w:rPr>
            </w:pPr>
            <w:r>
              <w:rPr>
                <w:rFonts w:ascii="Arial" w:cs="Arial" w:eastAsia="Arial" w:hAnsi="Arial"/>
                <w:sz w:val="13"/>
                <w:szCs w:val="13"/>
                <w:b w:val="1"/>
                <w:bCs w:val="1"/>
                <w:color w:val="0C6936"/>
              </w:rPr>
              <w:t>KENNETH T. MCBRIDE</w:t>
            </w:r>
          </w:p>
        </w:tc>
        <w:tc>
          <w:tcPr>
            <w:tcW w:w="8300" w:type="dxa"/>
            <w:vAlign w:val="bottom"/>
            <w:tcBorders>
              <w:bottom w:val="single" w:sz="8" w:color="B2B2B2"/>
            </w:tcBorders>
          </w:tcPr>
          <w:p>
            <w:pPr>
              <w:spacing w:after="0"/>
              <w:rPr>
                <w:sz w:val="24"/>
                <w:szCs w:val="24"/>
                <w:color w:val="auto"/>
              </w:rPr>
            </w:pPr>
          </w:p>
        </w:tc>
      </w:tr>
      <w:tr>
        <w:trPr>
          <w:trHeight w:val="228"/>
        </w:trPr>
        <w:tc>
          <w:tcPr>
            <w:tcW w:w="2980" w:type="dxa"/>
            <w:vAlign w:val="bottom"/>
          </w:tcPr>
          <w:p>
            <w:pPr>
              <w:ind w:left="1160"/>
              <w:spacing w:after="0"/>
              <w:rPr>
                <w:sz w:val="20"/>
                <w:szCs w:val="20"/>
                <w:color w:val="auto"/>
              </w:rPr>
            </w:pPr>
            <w:r>
              <w:rPr>
                <w:rFonts w:ascii="Arial" w:cs="Arial" w:eastAsia="Arial" w:hAnsi="Arial"/>
                <w:sz w:val="13"/>
                <w:szCs w:val="13"/>
                <w:b w:val="1"/>
                <w:bCs w:val="1"/>
                <w:color w:val="auto"/>
              </w:rPr>
              <w:t xml:space="preserve">Age: </w:t>
            </w:r>
            <w:r>
              <w:rPr>
                <w:rFonts w:ascii="Arial" w:cs="Arial" w:eastAsia="Arial" w:hAnsi="Arial"/>
                <w:sz w:val="13"/>
                <w:szCs w:val="13"/>
                <w:color w:val="auto"/>
              </w:rPr>
              <w:t>57</w:t>
            </w:r>
          </w:p>
        </w:tc>
        <w:tc>
          <w:tcPr>
            <w:tcW w:w="8300" w:type="dxa"/>
            <w:vAlign w:val="bottom"/>
          </w:tcPr>
          <w:p>
            <w:pPr>
              <w:ind w:left="580"/>
              <w:spacing w:after="0"/>
              <w:rPr>
                <w:sz w:val="20"/>
                <w:szCs w:val="20"/>
                <w:color w:val="auto"/>
              </w:rPr>
            </w:pPr>
            <w:r>
              <w:rPr>
                <w:rFonts w:ascii="Arial" w:cs="Arial" w:eastAsia="Arial" w:hAnsi="Arial"/>
                <w:sz w:val="13"/>
                <w:szCs w:val="13"/>
                <w:b w:val="1"/>
                <w:bCs w:val="1"/>
                <w:color w:val="auto"/>
              </w:rPr>
              <w:t xml:space="preserve">Board Committee(s): </w:t>
            </w:r>
            <w:r>
              <w:rPr>
                <w:rFonts w:ascii="Arial" w:cs="Arial" w:eastAsia="Arial" w:hAnsi="Arial"/>
                <w:sz w:val="13"/>
                <w:szCs w:val="13"/>
                <w:color w:val="auto"/>
              </w:rPr>
              <w:t>Audit and Compensation</w:t>
            </w:r>
          </w:p>
        </w:tc>
      </w:tr>
      <w:tr>
        <w:trPr>
          <w:trHeight w:val="149"/>
        </w:trPr>
        <w:tc>
          <w:tcPr>
            <w:tcW w:w="2980" w:type="dxa"/>
            <w:vAlign w:val="bottom"/>
          </w:tcPr>
          <w:p>
            <w:pPr>
              <w:ind w:left="1160"/>
              <w:spacing w:after="0"/>
              <w:rPr>
                <w:sz w:val="20"/>
                <w:szCs w:val="20"/>
                <w:color w:val="auto"/>
              </w:rPr>
            </w:pPr>
            <w:r>
              <w:rPr>
                <w:rFonts w:ascii="Arial" w:cs="Arial" w:eastAsia="Arial" w:hAnsi="Arial"/>
                <w:sz w:val="13"/>
                <w:szCs w:val="13"/>
                <w:b w:val="1"/>
                <w:bCs w:val="1"/>
                <w:color w:val="auto"/>
              </w:rPr>
              <w:t xml:space="preserve">Director Since: </w:t>
            </w:r>
            <w:r>
              <w:rPr>
                <w:rFonts w:ascii="Arial" w:cs="Arial" w:eastAsia="Arial" w:hAnsi="Arial"/>
                <w:sz w:val="13"/>
                <w:szCs w:val="13"/>
                <w:color w:val="auto"/>
              </w:rPr>
              <w:t>2022</w:t>
            </w:r>
          </w:p>
        </w:tc>
        <w:tc>
          <w:tcPr>
            <w:tcW w:w="8300" w:type="dxa"/>
            <w:vAlign w:val="bottom"/>
          </w:tcPr>
          <w:p>
            <w:pPr>
              <w:ind w:left="580"/>
              <w:spacing w:after="0"/>
              <w:rPr>
                <w:sz w:val="20"/>
                <w:szCs w:val="20"/>
                <w:color w:val="auto"/>
              </w:rPr>
            </w:pPr>
            <w:r>
              <w:rPr>
                <w:rFonts w:ascii="Arial" w:cs="Arial" w:eastAsia="Arial" w:hAnsi="Arial"/>
                <w:sz w:val="13"/>
                <w:szCs w:val="13"/>
                <w:b w:val="1"/>
                <w:bCs w:val="1"/>
                <w:color w:val="auto"/>
              </w:rPr>
              <w:t xml:space="preserve">Primary Occupation: </w:t>
            </w:r>
            <w:r>
              <w:rPr>
                <w:rFonts w:ascii="Arial" w:cs="Arial" w:eastAsia="Arial" w:hAnsi="Arial"/>
                <w:sz w:val="13"/>
                <w:szCs w:val="13"/>
                <w:color w:val="auto"/>
              </w:rPr>
              <w:t>Former Board Member of Auctane, previously known as</w:t>
            </w:r>
          </w:p>
        </w:tc>
      </w:tr>
      <w:tr>
        <w:trPr>
          <w:trHeight w:val="149"/>
        </w:trPr>
        <w:tc>
          <w:tcPr>
            <w:tcW w:w="2980" w:type="dxa"/>
            <w:vAlign w:val="bottom"/>
          </w:tcPr>
          <w:p>
            <w:pPr>
              <w:ind w:left="1160"/>
              <w:spacing w:after="0"/>
              <w:rPr>
                <w:sz w:val="20"/>
                <w:szCs w:val="20"/>
                <w:color w:val="auto"/>
              </w:rPr>
            </w:pPr>
            <w:r>
              <w:rPr>
                <w:rFonts w:ascii="Arial" w:cs="Arial" w:eastAsia="Arial" w:hAnsi="Arial"/>
                <w:sz w:val="13"/>
                <w:szCs w:val="13"/>
                <w:b w:val="1"/>
                <w:bCs w:val="1"/>
                <w:color w:val="auto"/>
              </w:rPr>
              <w:t xml:space="preserve">Independent: </w:t>
            </w:r>
            <w:r>
              <w:rPr>
                <w:rFonts w:ascii="Arial" w:cs="Arial" w:eastAsia="Arial" w:hAnsi="Arial"/>
                <w:sz w:val="13"/>
                <w:szCs w:val="13"/>
                <w:color w:val="auto"/>
              </w:rPr>
              <w:t>Yes</w:t>
            </w:r>
          </w:p>
        </w:tc>
        <w:tc>
          <w:tcPr>
            <w:tcW w:w="8300" w:type="dxa"/>
            <w:vAlign w:val="bottom"/>
          </w:tcPr>
          <w:p>
            <w:pPr>
              <w:ind w:left="580"/>
              <w:spacing w:after="0"/>
              <w:rPr>
                <w:sz w:val="20"/>
                <w:szCs w:val="20"/>
                <w:color w:val="auto"/>
              </w:rPr>
            </w:pPr>
            <w:r>
              <w:rPr>
                <w:rFonts w:ascii="Arial" w:cs="Arial" w:eastAsia="Arial" w:hAnsi="Arial"/>
                <w:sz w:val="13"/>
                <w:szCs w:val="13"/>
                <w:color w:val="auto"/>
              </w:rPr>
              <w:t>Stamps.com Inc., and current Board Member of several private company and not-for-profit boards.</w:t>
            </w:r>
          </w:p>
        </w:tc>
      </w:tr>
      <w:tr>
        <w:trPr>
          <w:trHeight w:val="173"/>
        </w:trPr>
        <w:tc>
          <w:tcPr>
            <w:tcW w:w="2980" w:type="dxa"/>
            <w:vAlign w:val="bottom"/>
          </w:tcPr>
          <w:p>
            <w:pPr>
              <w:spacing w:after="0"/>
              <w:rPr>
                <w:sz w:val="15"/>
                <w:szCs w:val="15"/>
                <w:color w:val="auto"/>
              </w:rPr>
            </w:pPr>
          </w:p>
        </w:tc>
        <w:tc>
          <w:tcPr>
            <w:tcW w:w="8300" w:type="dxa"/>
            <w:vAlign w:val="bottom"/>
          </w:tcPr>
          <w:p>
            <w:pPr>
              <w:ind w:left="580"/>
              <w:spacing w:after="0"/>
              <w:rPr>
                <w:sz w:val="20"/>
                <w:szCs w:val="20"/>
                <w:color w:val="auto"/>
              </w:rPr>
            </w:pPr>
            <w:r>
              <w:rPr>
                <w:rFonts w:ascii="Arial" w:cs="Arial" w:eastAsia="Arial" w:hAnsi="Arial"/>
                <w:sz w:val="13"/>
                <w:szCs w:val="13"/>
                <w:b w:val="1"/>
                <w:bCs w:val="1"/>
                <w:color w:val="auto"/>
              </w:rPr>
              <w:t xml:space="preserve">Other Public Company Boards: </w:t>
            </w:r>
            <w:r>
              <w:rPr>
                <w:rFonts w:ascii="Arial" w:cs="Arial" w:eastAsia="Arial" w:hAnsi="Arial"/>
                <w:sz w:val="13"/>
                <w:szCs w:val="13"/>
                <w:color w:val="auto"/>
              </w:rPr>
              <w:t>None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-1685925</wp:posOffset>
            </wp:positionV>
            <wp:extent cx="384175" cy="3841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4175" cy="384175"/>
                    </a:xfrm>
                    <a:prstGeom prst="rect">
                      <a:avLst/>
                    </a:prstGeom>
                    <a:noFill/>
                  </pic:spPr>
                </pic:pic>
              </a:graphicData>
            </a:graphic>
          </wp:anchor>
        </w:drawing>
        <w:drawing>
          <wp:anchor simplePos="0" relativeHeight="251657728" behindDoc="1" locked="0" layoutInCell="0" allowOverlap="1">
            <wp:simplePos x="0" y="0"/>
            <wp:positionH relativeFrom="column">
              <wp:posOffset>178435</wp:posOffset>
            </wp:positionH>
            <wp:positionV relativeFrom="paragraph">
              <wp:posOffset>-1045845</wp:posOffset>
            </wp:positionV>
            <wp:extent cx="384175" cy="3841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84175" cy="384175"/>
                    </a:xfrm>
                    <a:prstGeom prst="rect">
                      <a:avLst/>
                    </a:prstGeom>
                    <a:noFill/>
                  </pic:spPr>
                </pic:pic>
              </a:graphicData>
            </a:graphic>
          </wp:anchor>
        </w:drawing>
        <w:drawing>
          <wp:anchor simplePos="0" relativeHeight="251657728" behindDoc="1" locked="0" layoutInCell="0" allowOverlap="1">
            <wp:simplePos x="0" y="0"/>
            <wp:positionH relativeFrom="column">
              <wp:posOffset>178435</wp:posOffset>
            </wp:positionH>
            <wp:positionV relativeFrom="paragraph">
              <wp:posOffset>-405765</wp:posOffset>
            </wp:positionV>
            <wp:extent cx="384175" cy="3841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84175" cy="3841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300990</wp:posOffset>
            </wp:positionV>
            <wp:extent cx="7161530" cy="2895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289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11160"/>
        <w:spacing w:after="0"/>
        <w:rPr>
          <w:sz w:val="20"/>
          <w:szCs w:val="20"/>
          <w:color w:val="auto"/>
        </w:rPr>
      </w:pPr>
      <w:r>
        <w:rPr>
          <w:rFonts w:ascii="Arial" w:cs="Arial" w:eastAsia="Arial" w:hAnsi="Arial"/>
          <w:sz w:val="13"/>
          <w:szCs w:val="13"/>
          <w:b w:val="1"/>
          <w:bCs w:val="1"/>
          <w:color w:val="auto"/>
        </w:rPr>
        <w:t>5</w:t>
      </w:r>
    </w:p>
    <w:p>
      <w:pPr>
        <w:sectPr>
          <w:pgSz w:w="11900" w:h="16838" w:orient="portrait"/>
          <w:cols w:equalWidth="0" w:num="1">
            <w:col w:w="11280"/>
          </w:cols>
          <w:pgMar w:left="300" w:top="171" w:right="319" w:bottom="1440" w:gutter="0" w:footer="0" w:header="0"/>
        </w:sectPr>
      </w:pPr>
    </w:p>
    <w:bookmarkStart w:id="10" w:name="page11"/>
    <w:bookmarkEnd w:id="10"/>
    <w:p>
      <w:pPr>
        <w:ind w:left="300"/>
        <w:spacing w:after="0"/>
        <w:rPr>
          <w:sz w:val="20"/>
          <w:szCs w:val="20"/>
          <w:color w:val="auto"/>
        </w:rPr>
      </w:pPr>
      <w:r>
        <w:rPr>
          <w:rFonts w:ascii="Arial" w:cs="Arial" w:eastAsia="Arial" w:hAnsi="Arial"/>
          <w:sz w:val="13"/>
          <w:szCs w:val="13"/>
          <w:b w:val="1"/>
          <w:bCs w:val="1"/>
          <w:color w:val="00482F"/>
        </w:rPr>
        <w:drawing>
          <wp:anchor simplePos="0" relativeHeight="251657728" behindDoc="1" locked="0" layoutInCell="0" allowOverlap="1">
            <wp:simplePos x="0" y="0"/>
            <wp:positionH relativeFrom="page">
              <wp:posOffset>328295</wp:posOffset>
            </wp:positionH>
            <wp:positionV relativeFrom="page">
              <wp:posOffset>102235</wp:posOffset>
            </wp:positionV>
            <wp:extent cx="1933575" cy="147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33575" cy="147955"/>
                    </a:xfrm>
                    <a:prstGeom prst="rect">
                      <a:avLst/>
                    </a:prstGeom>
                    <a:noFill/>
                  </pic:spPr>
                </pic:pic>
              </a:graphicData>
            </a:graphic>
          </wp:anchor>
        </w:drawing>
        <w:t>PROXY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 DIVERSE AND SKILLED BOARD</w:t>
      </w:r>
    </w:p>
    <w:p>
      <w:pPr>
        <w:spacing w:after="0" w:line="181" w:lineRule="exact"/>
        <w:rPr>
          <w:sz w:val="20"/>
          <w:szCs w:val="20"/>
          <w:color w:val="auto"/>
        </w:rPr>
      </w:pPr>
    </w:p>
    <w:p>
      <w:pPr>
        <w:ind w:right="400"/>
        <w:spacing w:after="0" w:line="283" w:lineRule="auto"/>
        <w:rPr>
          <w:sz w:val="20"/>
          <w:szCs w:val="20"/>
          <w:color w:val="auto"/>
        </w:rPr>
      </w:pPr>
      <w:r>
        <w:rPr>
          <w:rFonts w:ascii="Arial" w:cs="Arial" w:eastAsia="Arial" w:hAnsi="Arial"/>
          <w:sz w:val="13"/>
          <w:szCs w:val="13"/>
          <w:color w:val="auto"/>
        </w:rPr>
        <w:t>We believe that our nominees for election to the Board have an appropriate mix of skills, expertise and experience to oversee critical matters of the Company and to represent the interests of our stockholders.</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and Committees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480" w:type="dxa"/>
            <w:vAlign w:val="bottom"/>
            <w:tcBorders>
              <w:top w:val="single" w:sz="8" w:color="008256"/>
              <w:bottom w:val="single" w:sz="8" w:color="008256"/>
              <w:right w:val="single" w:sz="8" w:color="008256"/>
            </w:tcBorders>
            <w:gridSpan w:val="3"/>
          </w:tcPr>
          <w:p>
            <w:pPr>
              <w:ind w:left="80"/>
              <w:spacing w:after="0"/>
              <w:rPr>
                <w:sz w:val="20"/>
                <w:szCs w:val="20"/>
                <w:color w:val="auto"/>
              </w:rPr>
            </w:pPr>
            <w:r>
              <w:rPr>
                <w:rFonts w:ascii="Arial" w:cs="Arial" w:eastAsia="Arial" w:hAnsi="Arial"/>
                <w:sz w:val="13"/>
                <w:szCs w:val="13"/>
                <w:b w:val="1"/>
                <w:bCs w:val="1"/>
                <w:color w:val="auto"/>
              </w:rPr>
              <w:t>BOARD SKILL AND EXPERIENCE</w:t>
            </w:r>
          </w:p>
        </w:tc>
        <w:tc>
          <w:tcPr>
            <w:tcW w:w="1680" w:type="dxa"/>
            <w:vAlign w:val="bottom"/>
            <w:tcBorders>
              <w:top w:val="single" w:sz="8" w:color="008256"/>
              <w:bottom w:val="single" w:sz="8" w:color="008256"/>
              <w:right w:val="single" w:sz="8" w:color="008256"/>
            </w:tcBorders>
            <w:gridSpan w:val="2"/>
          </w:tcPr>
          <w:p>
            <w:pPr>
              <w:jc w:val="center"/>
              <w:ind w:right="20"/>
              <w:spacing w:after="0"/>
              <w:rPr>
                <w:sz w:val="20"/>
                <w:szCs w:val="20"/>
                <w:color w:val="auto"/>
              </w:rPr>
            </w:pPr>
            <w:r>
              <w:rPr>
                <w:rFonts w:ascii="Arial" w:cs="Arial" w:eastAsia="Arial" w:hAnsi="Arial"/>
                <w:sz w:val="13"/>
                <w:szCs w:val="13"/>
                <w:b w:val="1"/>
                <w:bCs w:val="1"/>
                <w:color w:val="auto"/>
              </w:rPr>
              <w:t>CHEN</w:t>
            </w:r>
          </w:p>
        </w:tc>
        <w:tc>
          <w:tcPr>
            <w:tcW w:w="1300" w:type="dxa"/>
            <w:vAlign w:val="bottom"/>
            <w:tcBorders>
              <w:top w:val="single" w:sz="8" w:color="008256"/>
              <w:bottom w:val="single" w:sz="8" w:color="008256"/>
            </w:tcBorders>
          </w:tcPr>
          <w:p>
            <w:pPr>
              <w:jc w:val="center"/>
              <w:ind w:left="298"/>
              <w:spacing w:after="0"/>
              <w:rPr>
                <w:sz w:val="20"/>
                <w:szCs w:val="20"/>
                <w:color w:val="auto"/>
              </w:rPr>
            </w:pPr>
            <w:r>
              <w:rPr>
                <w:rFonts w:ascii="Arial" w:cs="Arial" w:eastAsia="Arial" w:hAnsi="Arial"/>
                <w:sz w:val="13"/>
                <w:szCs w:val="13"/>
                <w:b w:val="1"/>
                <w:bCs w:val="1"/>
                <w:color w:val="auto"/>
                <w:w w:val="95"/>
              </w:rPr>
              <w:t>CERAN</w:t>
            </w:r>
          </w:p>
        </w:tc>
        <w:tc>
          <w:tcPr>
            <w:tcW w:w="300" w:type="dxa"/>
            <w:vAlign w:val="bottom"/>
            <w:tcBorders>
              <w:top w:val="single" w:sz="8" w:color="008256"/>
              <w:bottom w:val="single" w:sz="8" w:color="008256"/>
            </w:tcBorders>
          </w:tcPr>
          <w:p>
            <w:pPr>
              <w:spacing w:after="0"/>
              <w:rPr>
                <w:sz w:val="17"/>
                <w:szCs w:val="17"/>
                <w:color w:val="auto"/>
              </w:rPr>
            </w:pPr>
          </w:p>
        </w:tc>
        <w:tc>
          <w:tcPr>
            <w:tcW w:w="100" w:type="dxa"/>
            <w:vAlign w:val="bottom"/>
            <w:tcBorders>
              <w:top w:val="single" w:sz="8" w:color="008256"/>
              <w:bottom w:val="single" w:sz="8" w:color="008256"/>
              <w:right w:val="single" w:sz="8" w:color="008256"/>
            </w:tcBorders>
          </w:tcPr>
          <w:p>
            <w:pPr>
              <w:spacing w:after="0"/>
              <w:rPr>
                <w:sz w:val="17"/>
                <w:szCs w:val="17"/>
                <w:color w:val="auto"/>
              </w:rPr>
            </w:pPr>
          </w:p>
        </w:tc>
        <w:tc>
          <w:tcPr>
            <w:tcW w:w="1720" w:type="dxa"/>
            <w:vAlign w:val="bottom"/>
            <w:tcBorders>
              <w:top w:val="single" w:sz="8" w:color="008256"/>
              <w:bottom w:val="single" w:sz="8" w:color="008256"/>
              <w:right w:val="single" w:sz="8" w:color="008256"/>
            </w:tcBorders>
          </w:tcPr>
          <w:p>
            <w:pPr>
              <w:jc w:val="center"/>
              <w:spacing w:after="0"/>
              <w:rPr>
                <w:sz w:val="20"/>
                <w:szCs w:val="20"/>
                <w:color w:val="auto"/>
              </w:rPr>
            </w:pPr>
            <w:r>
              <w:rPr>
                <w:rFonts w:ascii="Arial" w:cs="Arial" w:eastAsia="Arial" w:hAnsi="Arial"/>
                <w:sz w:val="13"/>
                <w:szCs w:val="13"/>
                <w:b w:val="1"/>
                <w:bCs w:val="1"/>
                <w:color w:val="auto"/>
                <w:w w:val="98"/>
              </w:rPr>
              <w:t>LAUBE</w:t>
            </w:r>
          </w:p>
        </w:tc>
        <w:tc>
          <w:tcPr>
            <w:tcW w:w="1680" w:type="dxa"/>
            <w:vAlign w:val="bottom"/>
            <w:tcBorders>
              <w:top w:val="single" w:sz="8" w:color="008256"/>
              <w:bottom w:val="single" w:sz="8" w:color="008256"/>
              <w:right w:val="single" w:sz="8" w:color="008256"/>
            </w:tcBorders>
          </w:tcPr>
          <w:p>
            <w:pPr>
              <w:ind w:left="500"/>
              <w:spacing w:after="0"/>
              <w:rPr>
                <w:sz w:val="20"/>
                <w:szCs w:val="20"/>
                <w:color w:val="auto"/>
              </w:rPr>
            </w:pPr>
            <w:r>
              <w:rPr>
                <w:rFonts w:ascii="Arial" w:cs="Arial" w:eastAsia="Arial" w:hAnsi="Arial"/>
                <w:sz w:val="13"/>
                <w:szCs w:val="13"/>
                <w:b w:val="1"/>
                <w:bCs w:val="1"/>
                <w:color w:val="auto"/>
              </w:rPr>
              <w:t>MCBRIDE</w:t>
            </w:r>
          </w:p>
        </w:tc>
        <w:tc>
          <w:tcPr>
            <w:tcW w:w="40" w:type="dxa"/>
            <w:vAlign w:val="bottom"/>
          </w:tcPr>
          <w:p>
            <w:pPr>
              <w:spacing w:after="0"/>
              <w:rPr>
                <w:sz w:val="17"/>
                <w:szCs w:val="17"/>
                <w:color w:val="auto"/>
              </w:rPr>
            </w:pPr>
          </w:p>
        </w:tc>
      </w:tr>
      <w:tr>
        <w:trPr>
          <w:trHeight w:val="312"/>
        </w:trPr>
        <w:tc>
          <w:tcPr>
            <w:tcW w:w="4480" w:type="dxa"/>
            <w:vAlign w:val="bottom"/>
            <w:tcBorders>
              <w:right w:val="single" w:sz="8" w:color="008256"/>
            </w:tcBorders>
            <w:gridSpan w:val="3"/>
            <w:shd w:val="clear" w:color="auto" w:fill="E6F4EF"/>
          </w:tcPr>
          <w:p>
            <w:pPr>
              <w:ind w:left="240"/>
              <w:spacing w:after="0"/>
              <w:rPr>
                <w:sz w:val="20"/>
                <w:szCs w:val="20"/>
                <w:color w:val="auto"/>
              </w:rPr>
            </w:pPr>
            <w:r>
              <w:rPr>
                <w:rFonts w:ascii="Arial" w:cs="Arial" w:eastAsia="Arial" w:hAnsi="Arial"/>
                <w:sz w:val="13"/>
                <w:szCs w:val="13"/>
                <w:color w:val="auto"/>
              </w:rPr>
              <w:t>CEO Leadership</w:t>
            </w:r>
          </w:p>
        </w:tc>
        <w:tc>
          <w:tcPr>
            <w:tcW w:w="1680" w:type="dxa"/>
            <w:vAlign w:val="bottom"/>
            <w:tcBorders>
              <w:right w:val="single" w:sz="8" w:color="008256"/>
            </w:tcBorders>
            <w:gridSpan w:val="2"/>
            <w:shd w:val="clear" w:color="auto" w:fill="E6F4EF"/>
          </w:tcPr>
          <w:p>
            <w:pPr>
              <w:jc w:val="center"/>
              <w:ind w:right="20"/>
              <w:spacing w:after="0"/>
              <w:rPr>
                <w:sz w:val="20"/>
                <w:szCs w:val="20"/>
                <w:color w:val="auto"/>
              </w:rPr>
            </w:pPr>
            <w:r>
              <w:rPr>
                <w:rFonts w:ascii="Arial" w:cs="Arial" w:eastAsia="Arial" w:hAnsi="Arial"/>
                <w:sz w:val="23"/>
                <w:szCs w:val="23"/>
                <w:b w:val="1"/>
                <w:bCs w:val="1"/>
                <w:color w:val="0C6936"/>
                <w:w w:val="73"/>
              </w:rPr>
              <w:t>•</w:t>
            </w:r>
          </w:p>
        </w:tc>
        <w:tc>
          <w:tcPr>
            <w:tcW w:w="1300" w:type="dxa"/>
            <w:vAlign w:val="bottom"/>
            <w:shd w:val="clear" w:color="auto" w:fill="E6F4EF"/>
          </w:tcPr>
          <w:p>
            <w:pPr>
              <w:spacing w:after="0"/>
              <w:rPr>
                <w:sz w:val="24"/>
                <w:szCs w:val="24"/>
                <w:color w:val="auto"/>
              </w:rPr>
            </w:pPr>
          </w:p>
        </w:tc>
        <w:tc>
          <w:tcPr>
            <w:tcW w:w="300" w:type="dxa"/>
            <w:vAlign w:val="bottom"/>
            <w:tcBorders>
              <w:right w:val="single" w:sz="8" w:color="E6F4EF"/>
            </w:tcBorders>
            <w:shd w:val="clear" w:color="auto" w:fill="E6F4EF"/>
          </w:tcPr>
          <w:p>
            <w:pPr>
              <w:spacing w:after="0"/>
              <w:rPr>
                <w:sz w:val="24"/>
                <w:szCs w:val="24"/>
                <w:color w:val="auto"/>
              </w:rPr>
            </w:pPr>
          </w:p>
        </w:tc>
        <w:tc>
          <w:tcPr>
            <w:tcW w:w="100" w:type="dxa"/>
            <w:vAlign w:val="bottom"/>
            <w:tcBorders>
              <w:right w:val="single" w:sz="8" w:color="008256"/>
            </w:tcBorders>
            <w:shd w:val="clear" w:color="auto" w:fill="E6F4EF"/>
          </w:tcPr>
          <w:p>
            <w:pPr>
              <w:spacing w:after="0"/>
              <w:rPr>
                <w:sz w:val="24"/>
                <w:szCs w:val="24"/>
                <w:color w:val="auto"/>
              </w:rPr>
            </w:pPr>
          </w:p>
        </w:tc>
        <w:tc>
          <w:tcPr>
            <w:tcW w:w="1720" w:type="dxa"/>
            <w:vAlign w:val="bottom"/>
            <w:tcBorders>
              <w:right w:val="single" w:sz="8" w:color="008256"/>
            </w:tcBorders>
            <w:shd w:val="clear" w:color="auto" w:fill="E6F4EF"/>
          </w:tcPr>
          <w:p>
            <w:pPr>
              <w:jc w:val="center"/>
              <w:spacing w:after="0"/>
              <w:rPr>
                <w:sz w:val="20"/>
                <w:szCs w:val="20"/>
                <w:color w:val="auto"/>
              </w:rPr>
            </w:pPr>
            <w:r>
              <w:rPr>
                <w:rFonts w:ascii="Arial" w:cs="Arial" w:eastAsia="Arial" w:hAnsi="Arial"/>
                <w:sz w:val="23"/>
                <w:szCs w:val="23"/>
                <w:b w:val="1"/>
                <w:bCs w:val="1"/>
                <w:color w:val="0C6936"/>
                <w:w w:val="98"/>
              </w:rPr>
              <w:t>•</w:t>
            </w:r>
          </w:p>
        </w:tc>
        <w:tc>
          <w:tcPr>
            <w:tcW w:w="1680" w:type="dxa"/>
            <w:vAlign w:val="bottom"/>
            <w:tcBorders>
              <w:right w:val="single" w:sz="8" w:color="008256"/>
            </w:tcBorders>
            <w:shd w:val="clear" w:color="auto" w:fill="E6F4EF"/>
          </w:tcPr>
          <w:p>
            <w:pPr>
              <w:ind w:left="760"/>
              <w:spacing w:after="0"/>
              <w:rPr>
                <w:sz w:val="20"/>
                <w:szCs w:val="20"/>
                <w:color w:val="auto"/>
              </w:rPr>
            </w:pPr>
            <w:r>
              <w:rPr>
                <w:rFonts w:ascii="Arial" w:cs="Arial" w:eastAsia="Arial" w:hAnsi="Arial"/>
                <w:sz w:val="23"/>
                <w:szCs w:val="23"/>
                <w:b w:val="1"/>
                <w:bCs w:val="1"/>
                <w:color w:val="0C6936"/>
              </w:rPr>
              <w:t>•</w:t>
            </w:r>
          </w:p>
        </w:tc>
        <w:tc>
          <w:tcPr>
            <w:tcW w:w="40" w:type="dxa"/>
            <w:vAlign w:val="bottom"/>
          </w:tcPr>
          <w:p>
            <w:pPr>
              <w:spacing w:after="0"/>
              <w:rPr>
                <w:sz w:val="24"/>
                <w:szCs w:val="24"/>
                <w:color w:val="auto"/>
              </w:rPr>
            </w:pPr>
          </w:p>
        </w:tc>
      </w:tr>
      <w:tr>
        <w:trPr>
          <w:trHeight w:val="315"/>
        </w:trPr>
        <w:tc>
          <w:tcPr>
            <w:tcW w:w="4480" w:type="dxa"/>
            <w:vAlign w:val="bottom"/>
            <w:tcBorders>
              <w:right w:val="single" w:sz="8" w:color="008256"/>
            </w:tcBorders>
            <w:gridSpan w:val="3"/>
          </w:tcPr>
          <w:p>
            <w:pPr>
              <w:ind w:left="220"/>
              <w:spacing w:after="0"/>
              <w:rPr>
                <w:sz w:val="20"/>
                <w:szCs w:val="20"/>
                <w:color w:val="auto"/>
              </w:rPr>
            </w:pPr>
            <w:r>
              <w:rPr>
                <w:rFonts w:ascii="Arial" w:cs="Arial" w:eastAsia="Arial" w:hAnsi="Arial"/>
                <w:sz w:val="13"/>
                <w:szCs w:val="13"/>
                <w:color w:val="auto"/>
              </w:rPr>
              <w:t>Financial Acumen</w:t>
            </w:r>
          </w:p>
        </w:tc>
        <w:tc>
          <w:tcPr>
            <w:tcW w:w="1680" w:type="dxa"/>
            <w:vAlign w:val="bottom"/>
            <w:tcBorders>
              <w:right w:val="single" w:sz="8" w:color="008256"/>
            </w:tcBorders>
            <w:gridSpan w:val="2"/>
          </w:tcPr>
          <w:p>
            <w:pPr>
              <w:jc w:val="center"/>
              <w:ind w:right="20"/>
              <w:spacing w:after="0"/>
              <w:rPr>
                <w:sz w:val="20"/>
                <w:szCs w:val="20"/>
                <w:color w:val="auto"/>
              </w:rPr>
            </w:pPr>
            <w:r>
              <w:rPr>
                <w:rFonts w:ascii="Arial" w:cs="Arial" w:eastAsia="Arial" w:hAnsi="Arial"/>
                <w:sz w:val="23"/>
                <w:szCs w:val="23"/>
                <w:b w:val="1"/>
                <w:bCs w:val="1"/>
                <w:color w:val="0C6936"/>
                <w:w w:val="73"/>
              </w:rPr>
              <w:t>•</w:t>
            </w:r>
          </w:p>
        </w:tc>
        <w:tc>
          <w:tcPr>
            <w:tcW w:w="1300" w:type="dxa"/>
            <w:vAlign w:val="bottom"/>
          </w:tcPr>
          <w:p>
            <w:pPr>
              <w:jc w:val="center"/>
              <w:ind w:left="298"/>
              <w:spacing w:after="0"/>
              <w:rPr>
                <w:sz w:val="20"/>
                <w:szCs w:val="20"/>
                <w:color w:val="auto"/>
              </w:rPr>
            </w:pPr>
            <w:r>
              <w:rPr>
                <w:rFonts w:ascii="Arial" w:cs="Arial" w:eastAsia="Arial" w:hAnsi="Arial"/>
                <w:sz w:val="23"/>
                <w:szCs w:val="23"/>
                <w:b w:val="1"/>
                <w:bCs w:val="1"/>
                <w:color w:val="0C6936"/>
                <w:w w:val="98"/>
              </w:rPr>
              <w:t>•</w:t>
            </w:r>
          </w:p>
        </w:tc>
        <w:tc>
          <w:tcPr>
            <w:tcW w:w="300" w:type="dxa"/>
            <w:vAlign w:val="bottom"/>
          </w:tcPr>
          <w:p>
            <w:pPr>
              <w:spacing w:after="0"/>
              <w:rPr>
                <w:sz w:val="24"/>
                <w:szCs w:val="24"/>
                <w:color w:val="auto"/>
              </w:rPr>
            </w:pPr>
          </w:p>
        </w:tc>
        <w:tc>
          <w:tcPr>
            <w:tcW w:w="100" w:type="dxa"/>
            <w:vAlign w:val="bottom"/>
            <w:tcBorders>
              <w:right w:val="single" w:sz="8" w:color="008256"/>
            </w:tcBorders>
          </w:tcPr>
          <w:p>
            <w:pPr>
              <w:spacing w:after="0"/>
              <w:rPr>
                <w:sz w:val="24"/>
                <w:szCs w:val="24"/>
                <w:color w:val="auto"/>
              </w:rPr>
            </w:pPr>
          </w:p>
        </w:tc>
        <w:tc>
          <w:tcPr>
            <w:tcW w:w="1720" w:type="dxa"/>
            <w:vAlign w:val="bottom"/>
            <w:tcBorders>
              <w:right w:val="single" w:sz="8" w:color="008256"/>
            </w:tcBorders>
          </w:tcPr>
          <w:p>
            <w:pPr>
              <w:jc w:val="center"/>
              <w:spacing w:after="0"/>
              <w:rPr>
                <w:sz w:val="20"/>
                <w:szCs w:val="20"/>
                <w:color w:val="auto"/>
              </w:rPr>
            </w:pPr>
            <w:r>
              <w:rPr>
                <w:rFonts w:ascii="Arial" w:cs="Arial" w:eastAsia="Arial" w:hAnsi="Arial"/>
                <w:sz w:val="23"/>
                <w:szCs w:val="23"/>
                <w:b w:val="1"/>
                <w:bCs w:val="1"/>
                <w:color w:val="0C6936"/>
                <w:w w:val="98"/>
              </w:rPr>
              <w:t>•</w:t>
            </w:r>
          </w:p>
        </w:tc>
        <w:tc>
          <w:tcPr>
            <w:tcW w:w="1680" w:type="dxa"/>
            <w:vAlign w:val="bottom"/>
            <w:tcBorders>
              <w:right w:val="single" w:sz="8" w:color="008256"/>
            </w:tcBorders>
          </w:tcPr>
          <w:p>
            <w:pPr>
              <w:ind w:left="760"/>
              <w:spacing w:after="0"/>
              <w:rPr>
                <w:sz w:val="20"/>
                <w:szCs w:val="20"/>
                <w:color w:val="auto"/>
              </w:rPr>
            </w:pPr>
            <w:r>
              <w:rPr>
                <w:rFonts w:ascii="Arial" w:cs="Arial" w:eastAsia="Arial" w:hAnsi="Arial"/>
                <w:sz w:val="23"/>
                <w:szCs w:val="23"/>
                <w:b w:val="1"/>
                <w:bCs w:val="1"/>
                <w:color w:val="0C6936"/>
              </w:rPr>
              <w:t>•</w:t>
            </w:r>
          </w:p>
        </w:tc>
        <w:tc>
          <w:tcPr>
            <w:tcW w:w="40" w:type="dxa"/>
            <w:vAlign w:val="bottom"/>
          </w:tcPr>
          <w:p>
            <w:pPr>
              <w:spacing w:after="0"/>
              <w:rPr>
                <w:sz w:val="24"/>
                <w:szCs w:val="24"/>
                <w:color w:val="auto"/>
              </w:rPr>
            </w:pPr>
          </w:p>
        </w:tc>
      </w:tr>
      <w:tr>
        <w:trPr>
          <w:trHeight w:val="322"/>
        </w:trPr>
        <w:tc>
          <w:tcPr>
            <w:tcW w:w="4480" w:type="dxa"/>
            <w:vAlign w:val="bottom"/>
            <w:tcBorders>
              <w:right w:val="single" w:sz="8" w:color="008256"/>
            </w:tcBorders>
            <w:gridSpan w:val="3"/>
            <w:shd w:val="clear" w:color="auto" w:fill="E6F4EF"/>
          </w:tcPr>
          <w:p>
            <w:pPr>
              <w:ind w:left="260"/>
              <w:spacing w:after="0"/>
              <w:rPr>
                <w:sz w:val="20"/>
                <w:szCs w:val="20"/>
                <w:color w:val="auto"/>
              </w:rPr>
            </w:pPr>
            <w:r>
              <w:rPr>
                <w:rFonts w:ascii="Arial" w:cs="Arial" w:eastAsia="Arial" w:hAnsi="Arial"/>
                <w:sz w:val="13"/>
                <w:szCs w:val="13"/>
                <w:color w:val="auto"/>
              </w:rPr>
              <w:t>Risk Management</w:t>
            </w:r>
          </w:p>
        </w:tc>
        <w:tc>
          <w:tcPr>
            <w:tcW w:w="1680" w:type="dxa"/>
            <w:vAlign w:val="bottom"/>
            <w:tcBorders>
              <w:right w:val="single" w:sz="8" w:color="008256"/>
            </w:tcBorders>
            <w:gridSpan w:val="2"/>
            <w:shd w:val="clear" w:color="auto" w:fill="E6F4EF"/>
          </w:tcPr>
          <w:p>
            <w:pPr>
              <w:jc w:val="center"/>
              <w:ind w:right="20"/>
              <w:spacing w:after="0"/>
              <w:rPr>
                <w:sz w:val="20"/>
                <w:szCs w:val="20"/>
                <w:color w:val="auto"/>
              </w:rPr>
            </w:pPr>
            <w:r>
              <w:rPr>
                <w:rFonts w:ascii="Arial" w:cs="Arial" w:eastAsia="Arial" w:hAnsi="Arial"/>
                <w:sz w:val="23"/>
                <w:szCs w:val="23"/>
                <w:b w:val="1"/>
                <w:bCs w:val="1"/>
                <w:color w:val="0C6936"/>
                <w:w w:val="73"/>
              </w:rPr>
              <w:t>•</w:t>
            </w:r>
          </w:p>
        </w:tc>
        <w:tc>
          <w:tcPr>
            <w:tcW w:w="1300" w:type="dxa"/>
            <w:vAlign w:val="bottom"/>
            <w:shd w:val="clear" w:color="auto" w:fill="E6F4EF"/>
          </w:tcPr>
          <w:p>
            <w:pPr>
              <w:jc w:val="center"/>
              <w:ind w:left="298"/>
              <w:spacing w:after="0"/>
              <w:rPr>
                <w:sz w:val="20"/>
                <w:szCs w:val="20"/>
                <w:color w:val="auto"/>
              </w:rPr>
            </w:pPr>
            <w:r>
              <w:rPr>
                <w:rFonts w:ascii="Arial" w:cs="Arial" w:eastAsia="Arial" w:hAnsi="Arial"/>
                <w:sz w:val="23"/>
                <w:szCs w:val="23"/>
                <w:b w:val="1"/>
                <w:bCs w:val="1"/>
                <w:color w:val="0C6936"/>
                <w:w w:val="98"/>
              </w:rPr>
              <w:t>•</w:t>
            </w:r>
          </w:p>
        </w:tc>
        <w:tc>
          <w:tcPr>
            <w:tcW w:w="300" w:type="dxa"/>
            <w:vAlign w:val="bottom"/>
            <w:tcBorders>
              <w:right w:val="single" w:sz="8" w:color="E6F4EF"/>
            </w:tcBorders>
            <w:shd w:val="clear" w:color="auto" w:fill="E6F4EF"/>
          </w:tcPr>
          <w:p>
            <w:pPr>
              <w:spacing w:after="0"/>
              <w:rPr>
                <w:sz w:val="24"/>
                <w:szCs w:val="24"/>
                <w:color w:val="auto"/>
              </w:rPr>
            </w:pPr>
          </w:p>
        </w:tc>
        <w:tc>
          <w:tcPr>
            <w:tcW w:w="100" w:type="dxa"/>
            <w:vAlign w:val="bottom"/>
            <w:tcBorders>
              <w:right w:val="single" w:sz="8" w:color="008256"/>
            </w:tcBorders>
            <w:shd w:val="clear" w:color="auto" w:fill="E6F4EF"/>
          </w:tcPr>
          <w:p>
            <w:pPr>
              <w:spacing w:after="0"/>
              <w:rPr>
                <w:sz w:val="24"/>
                <w:szCs w:val="24"/>
                <w:color w:val="auto"/>
              </w:rPr>
            </w:pPr>
          </w:p>
        </w:tc>
        <w:tc>
          <w:tcPr>
            <w:tcW w:w="1720" w:type="dxa"/>
            <w:vAlign w:val="bottom"/>
            <w:tcBorders>
              <w:right w:val="single" w:sz="8" w:color="008256"/>
            </w:tcBorders>
            <w:shd w:val="clear" w:color="auto" w:fill="E6F4EF"/>
          </w:tcPr>
          <w:p>
            <w:pPr>
              <w:spacing w:after="0"/>
              <w:rPr>
                <w:sz w:val="24"/>
                <w:szCs w:val="24"/>
                <w:color w:val="auto"/>
              </w:rPr>
            </w:pPr>
          </w:p>
        </w:tc>
        <w:tc>
          <w:tcPr>
            <w:tcW w:w="1680" w:type="dxa"/>
            <w:vAlign w:val="bottom"/>
            <w:tcBorders>
              <w:right w:val="single" w:sz="8" w:color="008256"/>
            </w:tcBorders>
            <w:shd w:val="clear" w:color="auto" w:fill="E6F4EF"/>
          </w:tcPr>
          <w:p>
            <w:pPr>
              <w:ind w:left="760"/>
              <w:spacing w:after="0"/>
              <w:rPr>
                <w:sz w:val="20"/>
                <w:szCs w:val="20"/>
                <w:color w:val="auto"/>
              </w:rPr>
            </w:pPr>
            <w:r>
              <w:rPr>
                <w:rFonts w:ascii="Arial" w:cs="Arial" w:eastAsia="Arial" w:hAnsi="Arial"/>
                <w:sz w:val="23"/>
                <w:szCs w:val="23"/>
                <w:b w:val="1"/>
                <w:bCs w:val="1"/>
                <w:color w:val="0C6936"/>
              </w:rPr>
              <w:t>•</w:t>
            </w:r>
          </w:p>
        </w:tc>
        <w:tc>
          <w:tcPr>
            <w:tcW w:w="40" w:type="dxa"/>
            <w:vAlign w:val="bottom"/>
          </w:tcPr>
          <w:p>
            <w:pPr>
              <w:spacing w:after="0"/>
              <w:rPr>
                <w:sz w:val="24"/>
                <w:szCs w:val="24"/>
                <w:color w:val="auto"/>
              </w:rPr>
            </w:pPr>
          </w:p>
        </w:tc>
      </w:tr>
      <w:tr>
        <w:trPr>
          <w:trHeight w:val="315"/>
        </w:trPr>
        <w:tc>
          <w:tcPr>
            <w:tcW w:w="820" w:type="dxa"/>
            <w:vAlign w:val="bottom"/>
          </w:tcPr>
          <w:p>
            <w:pPr>
              <w:ind w:left="240"/>
              <w:spacing w:after="0"/>
              <w:rPr>
                <w:sz w:val="20"/>
                <w:szCs w:val="20"/>
                <w:color w:val="auto"/>
              </w:rPr>
            </w:pPr>
            <w:r>
              <w:rPr>
                <w:rFonts w:ascii="Arial" w:cs="Arial" w:eastAsia="Arial" w:hAnsi="Arial"/>
                <w:sz w:val="13"/>
                <w:szCs w:val="13"/>
                <w:color w:val="auto"/>
                <w:w w:val="98"/>
              </w:rPr>
              <w:t>Marketing</w:t>
            </w:r>
          </w:p>
        </w:tc>
        <w:tc>
          <w:tcPr>
            <w:tcW w:w="3400" w:type="dxa"/>
            <w:vAlign w:val="bottom"/>
          </w:tcPr>
          <w:p>
            <w:pPr>
              <w:spacing w:after="0"/>
              <w:rPr>
                <w:sz w:val="24"/>
                <w:szCs w:val="24"/>
                <w:color w:val="auto"/>
              </w:rPr>
            </w:pPr>
          </w:p>
        </w:tc>
        <w:tc>
          <w:tcPr>
            <w:tcW w:w="260" w:type="dxa"/>
            <w:vAlign w:val="bottom"/>
            <w:tcBorders>
              <w:right w:val="single" w:sz="8" w:color="008256"/>
            </w:tcBorders>
          </w:tcPr>
          <w:p>
            <w:pPr>
              <w:spacing w:after="0"/>
              <w:rPr>
                <w:sz w:val="24"/>
                <w:szCs w:val="24"/>
                <w:color w:val="auto"/>
              </w:rPr>
            </w:pPr>
          </w:p>
        </w:tc>
        <w:tc>
          <w:tcPr>
            <w:tcW w:w="1500" w:type="dxa"/>
            <w:vAlign w:val="bottom"/>
          </w:tcPr>
          <w:p>
            <w:pPr>
              <w:spacing w:after="0"/>
              <w:rPr>
                <w:sz w:val="24"/>
                <w:szCs w:val="24"/>
                <w:color w:val="auto"/>
              </w:rPr>
            </w:pPr>
          </w:p>
        </w:tc>
        <w:tc>
          <w:tcPr>
            <w:tcW w:w="180" w:type="dxa"/>
            <w:vAlign w:val="bottom"/>
            <w:tcBorders>
              <w:right w:val="single" w:sz="8" w:color="008256"/>
            </w:tcBorders>
          </w:tcPr>
          <w:p>
            <w:pPr>
              <w:spacing w:after="0"/>
              <w:rPr>
                <w:sz w:val="24"/>
                <w:szCs w:val="24"/>
                <w:color w:val="auto"/>
              </w:rPr>
            </w:pPr>
          </w:p>
        </w:tc>
        <w:tc>
          <w:tcPr>
            <w:tcW w:w="1300" w:type="dxa"/>
            <w:vAlign w:val="bottom"/>
          </w:tcPr>
          <w:p>
            <w:pPr>
              <w:jc w:val="center"/>
              <w:ind w:left="298"/>
              <w:spacing w:after="0"/>
              <w:rPr>
                <w:sz w:val="20"/>
                <w:szCs w:val="20"/>
                <w:color w:val="auto"/>
              </w:rPr>
            </w:pPr>
            <w:r>
              <w:rPr>
                <w:rFonts w:ascii="Arial" w:cs="Arial" w:eastAsia="Arial" w:hAnsi="Arial"/>
                <w:sz w:val="23"/>
                <w:szCs w:val="23"/>
                <w:b w:val="1"/>
                <w:bCs w:val="1"/>
                <w:color w:val="0C6936"/>
                <w:w w:val="98"/>
              </w:rPr>
              <w:t>•</w:t>
            </w:r>
          </w:p>
        </w:tc>
        <w:tc>
          <w:tcPr>
            <w:tcW w:w="300" w:type="dxa"/>
            <w:vAlign w:val="bottom"/>
          </w:tcPr>
          <w:p>
            <w:pPr>
              <w:spacing w:after="0"/>
              <w:rPr>
                <w:sz w:val="24"/>
                <w:szCs w:val="24"/>
                <w:color w:val="auto"/>
              </w:rPr>
            </w:pPr>
          </w:p>
        </w:tc>
        <w:tc>
          <w:tcPr>
            <w:tcW w:w="100" w:type="dxa"/>
            <w:vAlign w:val="bottom"/>
            <w:tcBorders>
              <w:right w:val="single" w:sz="8" w:color="008256"/>
            </w:tcBorders>
          </w:tcPr>
          <w:p>
            <w:pPr>
              <w:spacing w:after="0"/>
              <w:rPr>
                <w:sz w:val="24"/>
                <w:szCs w:val="24"/>
                <w:color w:val="auto"/>
              </w:rPr>
            </w:pPr>
          </w:p>
        </w:tc>
        <w:tc>
          <w:tcPr>
            <w:tcW w:w="1720" w:type="dxa"/>
            <w:vAlign w:val="bottom"/>
            <w:tcBorders>
              <w:right w:val="single" w:sz="8" w:color="008256"/>
            </w:tcBorders>
          </w:tcPr>
          <w:p>
            <w:pPr>
              <w:jc w:val="center"/>
              <w:spacing w:after="0"/>
              <w:rPr>
                <w:sz w:val="20"/>
                <w:szCs w:val="20"/>
                <w:color w:val="auto"/>
              </w:rPr>
            </w:pPr>
            <w:r>
              <w:rPr>
                <w:rFonts w:ascii="Arial" w:cs="Arial" w:eastAsia="Arial" w:hAnsi="Arial"/>
                <w:sz w:val="23"/>
                <w:szCs w:val="23"/>
                <w:b w:val="1"/>
                <w:bCs w:val="1"/>
                <w:color w:val="0C6936"/>
                <w:w w:val="98"/>
              </w:rPr>
              <w:t>•</w:t>
            </w:r>
          </w:p>
        </w:tc>
        <w:tc>
          <w:tcPr>
            <w:tcW w:w="1680" w:type="dxa"/>
            <w:vAlign w:val="bottom"/>
            <w:tcBorders>
              <w:right w:val="single" w:sz="8" w:color="008256"/>
            </w:tcBorders>
          </w:tcPr>
          <w:p>
            <w:pPr>
              <w:ind w:left="760"/>
              <w:spacing w:after="0"/>
              <w:rPr>
                <w:sz w:val="20"/>
                <w:szCs w:val="20"/>
                <w:color w:val="auto"/>
              </w:rPr>
            </w:pPr>
            <w:r>
              <w:rPr>
                <w:rFonts w:ascii="Arial" w:cs="Arial" w:eastAsia="Arial" w:hAnsi="Arial"/>
                <w:sz w:val="23"/>
                <w:szCs w:val="23"/>
                <w:b w:val="1"/>
                <w:bCs w:val="1"/>
                <w:color w:val="0C6936"/>
              </w:rPr>
              <w:t>•</w:t>
            </w:r>
          </w:p>
        </w:tc>
        <w:tc>
          <w:tcPr>
            <w:tcW w:w="40" w:type="dxa"/>
            <w:vAlign w:val="bottom"/>
          </w:tcPr>
          <w:p>
            <w:pPr>
              <w:spacing w:after="0"/>
              <w:rPr>
                <w:sz w:val="24"/>
                <w:szCs w:val="24"/>
                <w:color w:val="auto"/>
              </w:rPr>
            </w:pPr>
          </w:p>
        </w:tc>
      </w:tr>
      <w:tr>
        <w:trPr>
          <w:trHeight w:val="322"/>
        </w:trPr>
        <w:tc>
          <w:tcPr>
            <w:tcW w:w="4480" w:type="dxa"/>
            <w:vAlign w:val="bottom"/>
            <w:tcBorders>
              <w:right w:val="single" w:sz="8" w:color="008256"/>
            </w:tcBorders>
            <w:gridSpan w:val="3"/>
            <w:shd w:val="clear" w:color="auto" w:fill="E6F4EF"/>
          </w:tcPr>
          <w:p>
            <w:pPr>
              <w:ind w:left="260"/>
              <w:spacing w:after="0"/>
              <w:rPr>
                <w:sz w:val="20"/>
                <w:szCs w:val="20"/>
                <w:color w:val="auto"/>
              </w:rPr>
            </w:pPr>
            <w:r>
              <w:rPr>
                <w:rFonts w:ascii="Arial" w:cs="Arial" w:eastAsia="Arial" w:hAnsi="Arial"/>
                <w:sz w:val="13"/>
                <w:szCs w:val="13"/>
                <w:color w:val="auto"/>
              </w:rPr>
              <w:t>IT &amp; Cybersecurity</w:t>
            </w:r>
          </w:p>
        </w:tc>
        <w:tc>
          <w:tcPr>
            <w:tcW w:w="1500" w:type="dxa"/>
            <w:vAlign w:val="bottom"/>
            <w:tcBorders>
              <w:right w:val="single" w:sz="8" w:color="E6F4EF"/>
            </w:tcBorders>
            <w:shd w:val="clear" w:color="auto" w:fill="E6F4EF"/>
          </w:tcPr>
          <w:p>
            <w:pPr>
              <w:spacing w:after="0"/>
              <w:rPr>
                <w:sz w:val="24"/>
                <w:szCs w:val="24"/>
                <w:color w:val="auto"/>
              </w:rPr>
            </w:pPr>
          </w:p>
        </w:tc>
        <w:tc>
          <w:tcPr>
            <w:tcW w:w="180" w:type="dxa"/>
            <w:vAlign w:val="bottom"/>
            <w:tcBorders>
              <w:right w:val="single" w:sz="8" w:color="008256"/>
            </w:tcBorders>
            <w:shd w:val="clear" w:color="auto" w:fill="E6F4EF"/>
          </w:tcPr>
          <w:p>
            <w:pPr>
              <w:spacing w:after="0"/>
              <w:rPr>
                <w:sz w:val="24"/>
                <w:szCs w:val="24"/>
                <w:color w:val="auto"/>
              </w:rPr>
            </w:pPr>
          </w:p>
        </w:tc>
        <w:tc>
          <w:tcPr>
            <w:tcW w:w="1300" w:type="dxa"/>
            <w:vAlign w:val="bottom"/>
            <w:shd w:val="clear" w:color="auto" w:fill="E6F4EF"/>
          </w:tcPr>
          <w:p>
            <w:pPr>
              <w:jc w:val="center"/>
              <w:ind w:left="298"/>
              <w:spacing w:after="0"/>
              <w:rPr>
                <w:sz w:val="20"/>
                <w:szCs w:val="20"/>
                <w:color w:val="auto"/>
              </w:rPr>
            </w:pPr>
            <w:r>
              <w:rPr>
                <w:rFonts w:ascii="Arial" w:cs="Arial" w:eastAsia="Arial" w:hAnsi="Arial"/>
                <w:sz w:val="23"/>
                <w:szCs w:val="23"/>
                <w:b w:val="1"/>
                <w:bCs w:val="1"/>
                <w:color w:val="0C6936"/>
                <w:w w:val="98"/>
              </w:rPr>
              <w:t>•</w:t>
            </w:r>
          </w:p>
        </w:tc>
        <w:tc>
          <w:tcPr>
            <w:tcW w:w="300" w:type="dxa"/>
            <w:vAlign w:val="bottom"/>
            <w:tcBorders>
              <w:right w:val="single" w:sz="8" w:color="E6F4EF"/>
            </w:tcBorders>
            <w:shd w:val="clear" w:color="auto" w:fill="E6F4EF"/>
          </w:tcPr>
          <w:p>
            <w:pPr>
              <w:spacing w:after="0"/>
              <w:rPr>
                <w:sz w:val="24"/>
                <w:szCs w:val="24"/>
                <w:color w:val="auto"/>
              </w:rPr>
            </w:pPr>
          </w:p>
        </w:tc>
        <w:tc>
          <w:tcPr>
            <w:tcW w:w="100" w:type="dxa"/>
            <w:vAlign w:val="bottom"/>
            <w:tcBorders>
              <w:right w:val="single" w:sz="8" w:color="008256"/>
            </w:tcBorders>
            <w:shd w:val="clear" w:color="auto" w:fill="E6F4EF"/>
          </w:tcPr>
          <w:p>
            <w:pPr>
              <w:spacing w:after="0"/>
              <w:rPr>
                <w:sz w:val="24"/>
                <w:szCs w:val="24"/>
                <w:color w:val="auto"/>
              </w:rPr>
            </w:pPr>
          </w:p>
        </w:tc>
        <w:tc>
          <w:tcPr>
            <w:tcW w:w="1720" w:type="dxa"/>
            <w:vAlign w:val="bottom"/>
            <w:tcBorders>
              <w:right w:val="single" w:sz="8" w:color="008256"/>
            </w:tcBorders>
            <w:shd w:val="clear" w:color="auto" w:fill="E6F4EF"/>
          </w:tcPr>
          <w:p>
            <w:pPr>
              <w:spacing w:after="0"/>
              <w:rPr>
                <w:sz w:val="24"/>
                <w:szCs w:val="24"/>
                <w:color w:val="auto"/>
              </w:rPr>
            </w:pPr>
          </w:p>
        </w:tc>
        <w:tc>
          <w:tcPr>
            <w:tcW w:w="1680" w:type="dxa"/>
            <w:vAlign w:val="bottom"/>
            <w:tcBorders>
              <w:right w:val="single" w:sz="8" w:color="008256"/>
            </w:tcBorders>
            <w:shd w:val="clear" w:color="auto" w:fill="E6F4EF"/>
          </w:tcPr>
          <w:p>
            <w:pPr>
              <w:ind w:left="760"/>
              <w:spacing w:after="0"/>
              <w:rPr>
                <w:sz w:val="20"/>
                <w:szCs w:val="20"/>
                <w:color w:val="auto"/>
              </w:rPr>
            </w:pPr>
            <w:r>
              <w:rPr>
                <w:rFonts w:ascii="Arial" w:cs="Arial" w:eastAsia="Arial" w:hAnsi="Arial"/>
                <w:sz w:val="23"/>
                <w:szCs w:val="23"/>
                <w:b w:val="1"/>
                <w:bCs w:val="1"/>
                <w:color w:val="0C6936"/>
              </w:rPr>
              <w:t>•</w:t>
            </w:r>
          </w:p>
        </w:tc>
        <w:tc>
          <w:tcPr>
            <w:tcW w:w="40" w:type="dxa"/>
            <w:vAlign w:val="bottom"/>
          </w:tcPr>
          <w:p>
            <w:pPr>
              <w:spacing w:after="0"/>
              <w:rPr>
                <w:sz w:val="24"/>
                <w:szCs w:val="24"/>
                <w:color w:val="auto"/>
              </w:rPr>
            </w:pPr>
          </w:p>
        </w:tc>
      </w:tr>
      <w:tr>
        <w:trPr>
          <w:trHeight w:val="315"/>
        </w:trPr>
        <w:tc>
          <w:tcPr>
            <w:tcW w:w="4480" w:type="dxa"/>
            <w:vAlign w:val="bottom"/>
            <w:tcBorders>
              <w:right w:val="single" w:sz="8" w:color="008256"/>
            </w:tcBorders>
            <w:gridSpan w:val="3"/>
          </w:tcPr>
          <w:p>
            <w:pPr>
              <w:ind w:left="220"/>
              <w:spacing w:after="0"/>
              <w:rPr>
                <w:sz w:val="20"/>
                <w:szCs w:val="20"/>
                <w:color w:val="auto"/>
              </w:rPr>
            </w:pPr>
            <w:r>
              <w:rPr>
                <w:rFonts w:ascii="Arial" w:cs="Arial" w:eastAsia="Arial" w:hAnsi="Arial"/>
                <w:sz w:val="13"/>
                <w:szCs w:val="13"/>
                <w:color w:val="auto"/>
              </w:rPr>
              <w:t>Public Company Board Experience</w:t>
            </w:r>
          </w:p>
        </w:tc>
        <w:tc>
          <w:tcPr>
            <w:tcW w:w="1500" w:type="dxa"/>
            <w:vAlign w:val="bottom"/>
          </w:tcPr>
          <w:p>
            <w:pPr>
              <w:spacing w:after="0"/>
              <w:rPr>
                <w:sz w:val="24"/>
                <w:szCs w:val="24"/>
                <w:color w:val="auto"/>
              </w:rPr>
            </w:pPr>
          </w:p>
        </w:tc>
        <w:tc>
          <w:tcPr>
            <w:tcW w:w="180" w:type="dxa"/>
            <w:vAlign w:val="bottom"/>
            <w:tcBorders>
              <w:right w:val="single" w:sz="8" w:color="008256"/>
            </w:tcBorders>
          </w:tcPr>
          <w:p>
            <w:pPr>
              <w:spacing w:after="0"/>
              <w:rPr>
                <w:sz w:val="24"/>
                <w:szCs w:val="24"/>
                <w:color w:val="auto"/>
              </w:rPr>
            </w:pPr>
          </w:p>
        </w:tc>
        <w:tc>
          <w:tcPr>
            <w:tcW w:w="1300" w:type="dxa"/>
            <w:vAlign w:val="bottom"/>
          </w:tcPr>
          <w:p>
            <w:pPr>
              <w:jc w:val="center"/>
              <w:ind w:left="298"/>
              <w:spacing w:after="0"/>
              <w:rPr>
                <w:sz w:val="20"/>
                <w:szCs w:val="20"/>
                <w:color w:val="auto"/>
              </w:rPr>
            </w:pPr>
            <w:r>
              <w:rPr>
                <w:rFonts w:ascii="Arial" w:cs="Arial" w:eastAsia="Arial" w:hAnsi="Arial"/>
                <w:sz w:val="23"/>
                <w:szCs w:val="23"/>
                <w:b w:val="1"/>
                <w:bCs w:val="1"/>
                <w:color w:val="0C6936"/>
                <w:w w:val="98"/>
              </w:rPr>
              <w:t>•</w:t>
            </w:r>
          </w:p>
        </w:tc>
        <w:tc>
          <w:tcPr>
            <w:tcW w:w="300" w:type="dxa"/>
            <w:vAlign w:val="bottom"/>
          </w:tcPr>
          <w:p>
            <w:pPr>
              <w:spacing w:after="0"/>
              <w:rPr>
                <w:sz w:val="24"/>
                <w:szCs w:val="24"/>
                <w:color w:val="auto"/>
              </w:rPr>
            </w:pPr>
          </w:p>
        </w:tc>
        <w:tc>
          <w:tcPr>
            <w:tcW w:w="100" w:type="dxa"/>
            <w:vAlign w:val="bottom"/>
            <w:tcBorders>
              <w:right w:val="single" w:sz="8" w:color="008256"/>
            </w:tcBorders>
          </w:tcPr>
          <w:p>
            <w:pPr>
              <w:spacing w:after="0"/>
              <w:rPr>
                <w:sz w:val="24"/>
                <w:szCs w:val="24"/>
                <w:color w:val="auto"/>
              </w:rPr>
            </w:pPr>
          </w:p>
        </w:tc>
        <w:tc>
          <w:tcPr>
            <w:tcW w:w="1720" w:type="dxa"/>
            <w:vAlign w:val="bottom"/>
            <w:tcBorders>
              <w:right w:val="single" w:sz="8" w:color="008256"/>
            </w:tcBorders>
          </w:tcPr>
          <w:p>
            <w:pPr>
              <w:jc w:val="center"/>
              <w:spacing w:after="0"/>
              <w:rPr>
                <w:sz w:val="20"/>
                <w:szCs w:val="20"/>
                <w:color w:val="auto"/>
              </w:rPr>
            </w:pPr>
            <w:r>
              <w:rPr>
                <w:rFonts w:ascii="Arial" w:cs="Arial" w:eastAsia="Arial" w:hAnsi="Arial"/>
                <w:sz w:val="23"/>
                <w:szCs w:val="23"/>
                <w:b w:val="1"/>
                <w:bCs w:val="1"/>
                <w:color w:val="0C6936"/>
                <w:w w:val="98"/>
              </w:rPr>
              <w:t>•</w:t>
            </w:r>
          </w:p>
        </w:tc>
        <w:tc>
          <w:tcPr>
            <w:tcW w:w="1680" w:type="dxa"/>
            <w:vAlign w:val="bottom"/>
            <w:tcBorders>
              <w:right w:val="single" w:sz="8" w:color="008256"/>
            </w:tcBorders>
          </w:tcPr>
          <w:p>
            <w:pPr>
              <w:ind w:left="760"/>
              <w:spacing w:after="0"/>
              <w:rPr>
                <w:sz w:val="20"/>
                <w:szCs w:val="20"/>
                <w:color w:val="auto"/>
              </w:rPr>
            </w:pPr>
            <w:r>
              <w:rPr>
                <w:rFonts w:ascii="Arial" w:cs="Arial" w:eastAsia="Arial" w:hAnsi="Arial"/>
                <w:sz w:val="23"/>
                <w:szCs w:val="23"/>
                <w:b w:val="1"/>
                <w:bCs w:val="1"/>
                <w:color w:val="0C6936"/>
              </w:rPr>
              <w:t>•</w:t>
            </w:r>
          </w:p>
        </w:tc>
        <w:tc>
          <w:tcPr>
            <w:tcW w:w="40" w:type="dxa"/>
            <w:vAlign w:val="bottom"/>
          </w:tcPr>
          <w:p>
            <w:pPr>
              <w:spacing w:after="0"/>
              <w:rPr>
                <w:sz w:val="24"/>
                <w:szCs w:val="24"/>
                <w:color w:val="auto"/>
              </w:rPr>
            </w:pPr>
          </w:p>
        </w:tc>
      </w:tr>
      <w:tr>
        <w:trPr>
          <w:trHeight w:val="322"/>
        </w:trPr>
        <w:tc>
          <w:tcPr>
            <w:tcW w:w="4480" w:type="dxa"/>
            <w:vAlign w:val="bottom"/>
            <w:tcBorders>
              <w:right w:val="single" w:sz="8" w:color="008256"/>
            </w:tcBorders>
            <w:gridSpan w:val="3"/>
            <w:shd w:val="clear" w:color="auto" w:fill="E6F4EF"/>
          </w:tcPr>
          <w:p>
            <w:pPr>
              <w:ind w:left="240"/>
              <w:spacing w:after="0"/>
              <w:rPr>
                <w:sz w:val="20"/>
                <w:szCs w:val="20"/>
                <w:color w:val="auto"/>
              </w:rPr>
            </w:pPr>
            <w:r>
              <w:rPr>
                <w:rFonts w:ascii="Arial" w:cs="Arial" w:eastAsia="Arial" w:hAnsi="Arial"/>
                <w:sz w:val="13"/>
                <w:szCs w:val="13"/>
                <w:color w:val="auto"/>
              </w:rPr>
              <w:t>Operations &amp; Strategy</w:t>
            </w:r>
          </w:p>
        </w:tc>
        <w:tc>
          <w:tcPr>
            <w:tcW w:w="1500" w:type="dxa"/>
            <w:vAlign w:val="bottom"/>
            <w:tcBorders>
              <w:right w:val="single" w:sz="8" w:color="E6F4EF"/>
            </w:tcBorders>
            <w:shd w:val="clear" w:color="auto" w:fill="E6F4EF"/>
          </w:tcPr>
          <w:p>
            <w:pPr>
              <w:spacing w:after="0"/>
              <w:rPr>
                <w:sz w:val="24"/>
                <w:szCs w:val="24"/>
                <w:color w:val="auto"/>
              </w:rPr>
            </w:pPr>
          </w:p>
        </w:tc>
        <w:tc>
          <w:tcPr>
            <w:tcW w:w="180" w:type="dxa"/>
            <w:vAlign w:val="bottom"/>
            <w:tcBorders>
              <w:right w:val="single" w:sz="8" w:color="008256"/>
            </w:tcBorders>
            <w:shd w:val="clear" w:color="auto" w:fill="E6F4EF"/>
          </w:tcPr>
          <w:p>
            <w:pPr>
              <w:spacing w:after="0"/>
              <w:rPr>
                <w:sz w:val="24"/>
                <w:szCs w:val="24"/>
                <w:color w:val="auto"/>
              </w:rPr>
            </w:pPr>
          </w:p>
        </w:tc>
        <w:tc>
          <w:tcPr>
            <w:tcW w:w="1300" w:type="dxa"/>
            <w:vAlign w:val="bottom"/>
            <w:shd w:val="clear" w:color="auto" w:fill="E6F4EF"/>
          </w:tcPr>
          <w:p>
            <w:pPr>
              <w:jc w:val="center"/>
              <w:ind w:left="298"/>
              <w:spacing w:after="0"/>
              <w:rPr>
                <w:sz w:val="20"/>
                <w:szCs w:val="20"/>
                <w:color w:val="auto"/>
              </w:rPr>
            </w:pPr>
            <w:r>
              <w:rPr>
                <w:rFonts w:ascii="Arial" w:cs="Arial" w:eastAsia="Arial" w:hAnsi="Arial"/>
                <w:sz w:val="23"/>
                <w:szCs w:val="23"/>
                <w:b w:val="1"/>
                <w:bCs w:val="1"/>
                <w:color w:val="0C6936"/>
                <w:w w:val="98"/>
              </w:rPr>
              <w:t>•</w:t>
            </w:r>
          </w:p>
        </w:tc>
        <w:tc>
          <w:tcPr>
            <w:tcW w:w="300" w:type="dxa"/>
            <w:vAlign w:val="bottom"/>
            <w:tcBorders>
              <w:right w:val="single" w:sz="8" w:color="E6F4EF"/>
            </w:tcBorders>
            <w:shd w:val="clear" w:color="auto" w:fill="E6F4EF"/>
          </w:tcPr>
          <w:p>
            <w:pPr>
              <w:spacing w:after="0"/>
              <w:rPr>
                <w:sz w:val="24"/>
                <w:szCs w:val="24"/>
                <w:color w:val="auto"/>
              </w:rPr>
            </w:pPr>
          </w:p>
        </w:tc>
        <w:tc>
          <w:tcPr>
            <w:tcW w:w="100" w:type="dxa"/>
            <w:vAlign w:val="bottom"/>
            <w:tcBorders>
              <w:right w:val="single" w:sz="8" w:color="008256"/>
            </w:tcBorders>
            <w:shd w:val="clear" w:color="auto" w:fill="E6F4EF"/>
          </w:tcPr>
          <w:p>
            <w:pPr>
              <w:spacing w:after="0"/>
              <w:rPr>
                <w:sz w:val="24"/>
                <w:szCs w:val="24"/>
                <w:color w:val="auto"/>
              </w:rPr>
            </w:pPr>
          </w:p>
        </w:tc>
        <w:tc>
          <w:tcPr>
            <w:tcW w:w="1720" w:type="dxa"/>
            <w:vAlign w:val="bottom"/>
            <w:tcBorders>
              <w:right w:val="single" w:sz="8" w:color="008256"/>
            </w:tcBorders>
            <w:shd w:val="clear" w:color="auto" w:fill="E6F4EF"/>
          </w:tcPr>
          <w:p>
            <w:pPr>
              <w:jc w:val="center"/>
              <w:spacing w:after="0"/>
              <w:rPr>
                <w:sz w:val="20"/>
                <w:szCs w:val="20"/>
                <w:color w:val="auto"/>
              </w:rPr>
            </w:pPr>
            <w:r>
              <w:rPr>
                <w:rFonts w:ascii="Arial" w:cs="Arial" w:eastAsia="Arial" w:hAnsi="Arial"/>
                <w:sz w:val="23"/>
                <w:szCs w:val="23"/>
                <w:b w:val="1"/>
                <w:bCs w:val="1"/>
                <w:color w:val="0C6936"/>
                <w:w w:val="98"/>
              </w:rPr>
              <w:t>•</w:t>
            </w:r>
          </w:p>
        </w:tc>
        <w:tc>
          <w:tcPr>
            <w:tcW w:w="1680" w:type="dxa"/>
            <w:vAlign w:val="bottom"/>
            <w:tcBorders>
              <w:right w:val="single" w:sz="8" w:color="008256"/>
            </w:tcBorders>
            <w:shd w:val="clear" w:color="auto" w:fill="E6F4EF"/>
          </w:tcPr>
          <w:p>
            <w:pPr>
              <w:ind w:left="760"/>
              <w:spacing w:after="0"/>
              <w:rPr>
                <w:sz w:val="20"/>
                <w:szCs w:val="20"/>
                <w:color w:val="auto"/>
              </w:rPr>
            </w:pPr>
            <w:r>
              <w:rPr>
                <w:rFonts w:ascii="Arial" w:cs="Arial" w:eastAsia="Arial" w:hAnsi="Arial"/>
                <w:sz w:val="23"/>
                <w:szCs w:val="23"/>
                <w:b w:val="1"/>
                <w:bCs w:val="1"/>
                <w:color w:val="0C6936"/>
              </w:rPr>
              <w:t>•</w:t>
            </w:r>
          </w:p>
        </w:tc>
        <w:tc>
          <w:tcPr>
            <w:tcW w:w="40" w:type="dxa"/>
            <w:vAlign w:val="bottom"/>
          </w:tcPr>
          <w:p>
            <w:pPr>
              <w:spacing w:after="0"/>
              <w:rPr>
                <w:sz w:val="24"/>
                <w:szCs w:val="24"/>
                <w:color w:val="auto"/>
              </w:rPr>
            </w:pPr>
          </w:p>
        </w:tc>
      </w:tr>
      <w:tr>
        <w:trPr>
          <w:trHeight w:val="315"/>
        </w:trPr>
        <w:tc>
          <w:tcPr>
            <w:tcW w:w="4480" w:type="dxa"/>
            <w:vAlign w:val="bottom"/>
            <w:tcBorders>
              <w:right w:val="single" w:sz="8" w:color="008256"/>
            </w:tcBorders>
            <w:gridSpan w:val="3"/>
          </w:tcPr>
          <w:p>
            <w:pPr>
              <w:ind w:left="220"/>
              <w:spacing w:after="0"/>
              <w:rPr>
                <w:sz w:val="20"/>
                <w:szCs w:val="20"/>
                <w:color w:val="auto"/>
              </w:rPr>
            </w:pPr>
            <w:r>
              <w:rPr>
                <w:rFonts w:ascii="Arial" w:cs="Arial" w:eastAsia="Arial" w:hAnsi="Arial"/>
                <w:sz w:val="13"/>
                <w:szCs w:val="13"/>
                <w:color w:val="auto"/>
              </w:rPr>
              <w:t>Corporate Governance</w:t>
            </w:r>
          </w:p>
        </w:tc>
        <w:tc>
          <w:tcPr>
            <w:tcW w:w="1500" w:type="dxa"/>
            <w:vAlign w:val="bottom"/>
          </w:tcPr>
          <w:p>
            <w:pPr>
              <w:spacing w:after="0"/>
              <w:rPr>
                <w:sz w:val="24"/>
                <w:szCs w:val="24"/>
                <w:color w:val="auto"/>
              </w:rPr>
            </w:pPr>
          </w:p>
        </w:tc>
        <w:tc>
          <w:tcPr>
            <w:tcW w:w="180" w:type="dxa"/>
            <w:vAlign w:val="bottom"/>
            <w:tcBorders>
              <w:right w:val="single" w:sz="8" w:color="008256"/>
            </w:tcBorders>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right w:val="single" w:sz="8" w:color="008256"/>
            </w:tcBorders>
          </w:tcPr>
          <w:p>
            <w:pPr>
              <w:spacing w:after="0"/>
              <w:rPr>
                <w:sz w:val="24"/>
                <w:szCs w:val="24"/>
                <w:color w:val="auto"/>
              </w:rPr>
            </w:pPr>
          </w:p>
        </w:tc>
        <w:tc>
          <w:tcPr>
            <w:tcW w:w="1720" w:type="dxa"/>
            <w:vAlign w:val="bottom"/>
            <w:tcBorders>
              <w:right w:val="single" w:sz="8" w:color="008256"/>
            </w:tcBorders>
          </w:tcPr>
          <w:p>
            <w:pPr>
              <w:spacing w:after="0"/>
              <w:rPr>
                <w:sz w:val="24"/>
                <w:szCs w:val="24"/>
                <w:color w:val="auto"/>
              </w:rPr>
            </w:pPr>
          </w:p>
        </w:tc>
        <w:tc>
          <w:tcPr>
            <w:tcW w:w="1680" w:type="dxa"/>
            <w:vAlign w:val="bottom"/>
            <w:tcBorders>
              <w:right w:val="single" w:sz="8" w:color="008256"/>
            </w:tcBorders>
          </w:tcPr>
          <w:p>
            <w:pPr>
              <w:ind w:left="760"/>
              <w:spacing w:after="0"/>
              <w:rPr>
                <w:sz w:val="20"/>
                <w:szCs w:val="20"/>
                <w:color w:val="auto"/>
              </w:rPr>
            </w:pPr>
            <w:r>
              <w:rPr>
                <w:rFonts w:ascii="Arial" w:cs="Arial" w:eastAsia="Arial" w:hAnsi="Arial"/>
                <w:sz w:val="23"/>
                <w:szCs w:val="23"/>
                <w:b w:val="1"/>
                <w:bCs w:val="1"/>
                <w:color w:val="0C6936"/>
              </w:rPr>
              <w:t>•</w:t>
            </w:r>
          </w:p>
        </w:tc>
        <w:tc>
          <w:tcPr>
            <w:tcW w:w="40" w:type="dxa"/>
            <w:vAlign w:val="bottom"/>
          </w:tcPr>
          <w:p>
            <w:pPr>
              <w:spacing w:after="0"/>
              <w:rPr>
                <w:sz w:val="24"/>
                <w:szCs w:val="24"/>
                <w:color w:val="auto"/>
              </w:rPr>
            </w:pPr>
          </w:p>
        </w:tc>
      </w:tr>
      <w:tr>
        <w:trPr>
          <w:trHeight w:val="322"/>
        </w:trPr>
        <w:tc>
          <w:tcPr>
            <w:tcW w:w="4480" w:type="dxa"/>
            <w:vAlign w:val="bottom"/>
            <w:tcBorders>
              <w:right w:val="single" w:sz="8" w:color="008256"/>
            </w:tcBorders>
            <w:gridSpan w:val="3"/>
            <w:shd w:val="clear" w:color="auto" w:fill="E6F4EF"/>
          </w:tcPr>
          <w:p>
            <w:pPr>
              <w:ind w:left="240"/>
              <w:spacing w:after="0"/>
              <w:rPr>
                <w:sz w:val="20"/>
                <w:szCs w:val="20"/>
                <w:color w:val="auto"/>
              </w:rPr>
            </w:pPr>
            <w:r>
              <w:rPr>
                <w:rFonts w:ascii="Arial" w:cs="Arial" w:eastAsia="Arial" w:hAnsi="Arial"/>
                <w:sz w:val="13"/>
                <w:szCs w:val="13"/>
                <w:color w:val="auto"/>
              </w:rPr>
              <w:t>Former CEO</w:t>
            </w:r>
          </w:p>
        </w:tc>
        <w:tc>
          <w:tcPr>
            <w:tcW w:w="1500" w:type="dxa"/>
            <w:vAlign w:val="bottom"/>
            <w:tcBorders>
              <w:right w:val="single" w:sz="8" w:color="E6F4EF"/>
            </w:tcBorders>
            <w:shd w:val="clear" w:color="auto" w:fill="E6F4EF"/>
          </w:tcPr>
          <w:p>
            <w:pPr>
              <w:spacing w:after="0"/>
              <w:rPr>
                <w:sz w:val="24"/>
                <w:szCs w:val="24"/>
                <w:color w:val="auto"/>
              </w:rPr>
            </w:pPr>
          </w:p>
        </w:tc>
        <w:tc>
          <w:tcPr>
            <w:tcW w:w="180" w:type="dxa"/>
            <w:vAlign w:val="bottom"/>
            <w:tcBorders>
              <w:right w:val="single" w:sz="8" w:color="008256"/>
            </w:tcBorders>
            <w:shd w:val="clear" w:color="auto" w:fill="E6F4EF"/>
          </w:tcPr>
          <w:p>
            <w:pPr>
              <w:spacing w:after="0"/>
              <w:rPr>
                <w:sz w:val="24"/>
                <w:szCs w:val="24"/>
                <w:color w:val="auto"/>
              </w:rPr>
            </w:pPr>
          </w:p>
        </w:tc>
        <w:tc>
          <w:tcPr>
            <w:tcW w:w="1300" w:type="dxa"/>
            <w:vAlign w:val="bottom"/>
            <w:shd w:val="clear" w:color="auto" w:fill="E6F4EF"/>
          </w:tcPr>
          <w:p>
            <w:pPr>
              <w:spacing w:after="0"/>
              <w:rPr>
                <w:sz w:val="24"/>
                <w:szCs w:val="24"/>
                <w:color w:val="auto"/>
              </w:rPr>
            </w:pPr>
          </w:p>
        </w:tc>
        <w:tc>
          <w:tcPr>
            <w:tcW w:w="300" w:type="dxa"/>
            <w:vAlign w:val="bottom"/>
            <w:tcBorders>
              <w:right w:val="single" w:sz="8" w:color="E6F4EF"/>
            </w:tcBorders>
            <w:shd w:val="clear" w:color="auto" w:fill="E6F4EF"/>
          </w:tcPr>
          <w:p>
            <w:pPr>
              <w:spacing w:after="0"/>
              <w:rPr>
                <w:sz w:val="24"/>
                <w:szCs w:val="24"/>
                <w:color w:val="auto"/>
              </w:rPr>
            </w:pPr>
          </w:p>
        </w:tc>
        <w:tc>
          <w:tcPr>
            <w:tcW w:w="100" w:type="dxa"/>
            <w:vAlign w:val="bottom"/>
            <w:tcBorders>
              <w:right w:val="single" w:sz="8" w:color="008256"/>
            </w:tcBorders>
            <w:shd w:val="clear" w:color="auto" w:fill="E6F4EF"/>
          </w:tcPr>
          <w:p>
            <w:pPr>
              <w:spacing w:after="0"/>
              <w:rPr>
                <w:sz w:val="24"/>
                <w:szCs w:val="24"/>
                <w:color w:val="auto"/>
              </w:rPr>
            </w:pPr>
          </w:p>
        </w:tc>
        <w:tc>
          <w:tcPr>
            <w:tcW w:w="1720" w:type="dxa"/>
            <w:vAlign w:val="bottom"/>
            <w:tcBorders>
              <w:right w:val="single" w:sz="8" w:color="008256"/>
            </w:tcBorders>
            <w:shd w:val="clear" w:color="auto" w:fill="E6F4EF"/>
          </w:tcPr>
          <w:p>
            <w:pPr>
              <w:jc w:val="center"/>
              <w:spacing w:after="0"/>
              <w:rPr>
                <w:sz w:val="20"/>
                <w:szCs w:val="20"/>
                <w:color w:val="auto"/>
              </w:rPr>
            </w:pPr>
            <w:r>
              <w:rPr>
                <w:rFonts w:ascii="Arial" w:cs="Arial" w:eastAsia="Arial" w:hAnsi="Arial"/>
                <w:sz w:val="23"/>
                <w:szCs w:val="23"/>
                <w:b w:val="1"/>
                <w:bCs w:val="1"/>
                <w:color w:val="0C6936"/>
                <w:w w:val="98"/>
              </w:rPr>
              <w:t>•</w:t>
            </w:r>
          </w:p>
        </w:tc>
        <w:tc>
          <w:tcPr>
            <w:tcW w:w="1680" w:type="dxa"/>
            <w:vAlign w:val="bottom"/>
            <w:tcBorders>
              <w:right w:val="single" w:sz="8" w:color="008256"/>
            </w:tcBorders>
            <w:shd w:val="clear" w:color="auto" w:fill="E6F4EF"/>
          </w:tcPr>
          <w:p>
            <w:pPr>
              <w:ind w:left="760"/>
              <w:spacing w:after="0"/>
              <w:rPr>
                <w:sz w:val="20"/>
                <w:szCs w:val="20"/>
                <w:color w:val="auto"/>
              </w:rPr>
            </w:pPr>
            <w:r>
              <w:rPr>
                <w:rFonts w:ascii="Arial" w:cs="Arial" w:eastAsia="Arial" w:hAnsi="Arial"/>
                <w:sz w:val="23"/>
                <w:szCs w:val="23"/>
                <w:b w:val="1"/>
                <w:bCs w:val="1"/>
                <w:color w:val="0C6936"/>
              </w:rPr>
              <w:t>•</w:t>
            </w:r>
          </w:p>
        </w:tc>
        <w:tc>
          <w:tcPr>
            <w:tcW w:w="40" w:type="dxa"/>
            <w:vAlign w:val="bottom"/>
          </w:tcPr>
          <w:p>
            <w:pPr>
              <w:spacing w:after="0"/>
              <w:rPr>
                <w:sz w:val="24"/>
                <w:szCs w:val="24"/>
                <w:color w:val="auto"/>
              </w:rPr>
            </w:pPr>
          </w:p>
        </w:tc>
      </w:tr>
      <w:tr>
        <w:trPr>
          <w:trHeight w:val="315"/>
        </w:trPr>
        <w:tc>
          <w:tcPr>
            <w:tcW w:w="820" w:type="dxa"/>
            <w:vAlign w:val="bottom"/>
          </w:tcPr>
          <w:p>
            <w:pPr>
              <w:ind w:left="260"/>
              <w:spacing w:after="0"/>
              <w:rPr>
                <w:sz w:val="20"/>
                <w:szCs w:val="20"/>
                <w:color w:val="auto"/>
              </w:rPr>
            </w:pPr>
            <w:r>
              <w:rPr>
                <w:rFonts w:ascii="Arial" w:cs="Arial" w:eastAsia="Arial" w:hAnsi="Arial"/>
                <w:sz w:val="13"/>
                <w:szCs w:val="13"/>
                <w:color w:val="auto"/>
              </w:rPr>
              <w:t>Diversity</w:t>
            </w:r>
          </w:p>
        </w:tc>
        <w:tc>
          <w:tcPr>
            <w:tcW w:w="3400" w:type="dxa"/>
            <w:vAlign w:val="bottom"/>
          </w:tcPr>
          <w:p>
            <w:pPr>
              <w:spacing w:after="0"/>
              <w:rPr>
                <w:sz w:val="24"/>
                <w:szCs w:val="24"/>
                <w:color w:val="auto"/>
              </w:rPr>
            </w:pPr>
          </w:p>
        </w:tc>
        <w:tc>
          <w:tcPr>
            <w:tcW w:w="260" w:type="dxa"/>
            <w:vAlign w:val="bottom"/>
            <w:tcBorders>
              <w:right w:val="single" w:sz="8" w:color="008256"/>
            </w:tcBorders>
          </w:tcPr>
          <w:p>
            <w:pPr>
              <w:spacing w:after="0"/>
              <w:rPr>
                <w:sz w:val="24"/>
                <w:szCs w:val="24"/>
                <w:color w:val="auto"/>
              </w:rPr>
            </w:pPr>
          </w:p>
        </w:tc>
        <w:tc>
          <w:tcPr>
            <w:tcW w:w="1680" w:type="dxa"/>
            <w:vAlign w:val="bottom"/>
            <w:tcBorders>
              <w:right w:val="single" w:sz="8" w:color="008256"/>
            </w:tcBorders>
            <w:gridSpan w:val="2"/>
          </w:tcPr>
          <w:p>
            <w:pPr>
              <w:jc w:val="center"/>
              <w:ind w:right="20"/>
              <w:spacing w:after="0"/>
              <w:rPr>
                <w:sz w:val="20"/>
                <w:szCs w:val="20"/>
                <w:color w:val="auto"/>
              </w:rPr>
            </w:pPr>
            <w:r>
              <w:rPr>
                <w:rFonts w:ascii="Arial" w:cs="Arial" w:eastAsia="Arial" w:hAnsi="Arial"/>
                <w:sz w:val="23"/>
                <w:szCs w:val="23"/>
                <w:b w:val="1"/>
                <w:bCs w:val="1"/>
                <w:color w:val="0C6936"/>
                <w:w w:val="73"/>
              </w:rPr>
              <w:t>•</w:t>
            </w: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right w:val="single" w:sz="8" w:color="008256"/>
            </w:tcBorders>
          </w:tcPr>
          <w:p>
            <w:pPr>
              <w:spacing w:after="0"/>
              <w:rPr>
                <w:sz w:val="24"/>
                <w:szCs w:val="24"/>
                <w:color w:val="auto"/>
              </w:rPr>
            </w:pPr>
          </w:p>
        </w:tc>
        <w:tc>
          <w:tcPr>
            <w:tcW w:w="1720" w:type="dxa"/>
            <w:vAlign w:val="bottom"/>
            <w:tcBorders>
              <w:right w:val="single" w:sz="8" w:color="008256"/>
            </w:tcBorders>
          </w:tcPr>
          <w:p>
            <w:pPr>
              <w:spacing w:after="0"/>
              <w:rPr>
                <w:sz w:val="24"/>
                <w:szCs w:val="24"/>
                <w:color w:val="auto"/>
              </w:rPr>
            </w:pPr>
          </w:p>
        </w:tc>
        <w:tc>
          <w:tcPr>
            <w:tcW w:w="1680" w:type="dxa"/>
            <w:vAlign w:val="bottom"/>
            <w:tcBorders>
              <w:right w:val="single" w:sz="8" w:color="008256"/>
            </w:tcBorders>
          </w:tcPr>
          <w:p>
            <w:pPr>
              <w:spacing w:after="0"/>
              <w:rPr>
                <w:sz w:val="24"/>
                <w:szCs w:val="24"/>
                <w:color w:val="auto"/>
              </w:rPr>
            </w:pPr>
          </w:p>
        </w:tc>
        <w:tc>
          <w:tcPr>
            <w:tcW w:w="40" w:type="dxa"/>
            <w:vAlign w:val="bottom"/>
          </w:tcPr>
          <w:p>
            <w:pPr>
              <w:spacing w:after="0"/>
              <w:rPr>
                <w:sz w:val="24"/>
                <w:szCs w:val="24"/>
                <w:color w:val="auto"/>
              </w:rPr>
            </w:pPr>
          </w:p>
        </w:tc>
      </w:tr>
      <w:tr>
        <w:trPr>
          <w:trHeight w:val="318"/>
        </w:trPr>
        <w:tc>
          <w:tcPr>
            <w:tcW w:w="4480" w:type="dxa"/>
            <w:vAlign w:val="bottom"/>
            <w:tcBorders>
              <w:bottom w:val="single" w:sz="8" w:color="008256"/>
              <w:right w:val="single" w:sz="8" w:color="008256"/>
            </w:tcBorders>
            <w:gridSpan w:val="3"/>
            <w:shd w:val="clear" w:color="auto" w:fill="E6F4EF"/>
          </w:tcPr>
          <w:p>
            <w:pPr>
              <w:ind w:left="260"/>
              <w:spacing w:after="0"/>
              <w:rPr>
                <w:sz w:val="20"/>
                <w:szCs w:val="20"/>
                <w:color w:val="auto"/>
              </w:rPr>
            </w:pPr>
            <w:r>
              <w:rPr>
                <w:rFonts w:ascii="Arial" w:cs="Arial" w:eastAsia="Arial" w:hAnsi="Arial"/>
                <w:sz w:val="13"/>
                <w:szCs w:val="13"/>
                <w:color w:val="auto"/>
              </w:rPr>
              <w:t>Finance/Capital Allocation</w:t>
            </w:r>
          </w:p>
        </w:tc>
        <w:tc>
          <w:tcPr>
            <w:tcW w:w="1500" w:type="dxa"/>
            <w:vAlign w:val="bottom"/>
            <w:tcBorders>
              <w:bottom w:val="single" w:sz="8" w:color="008256"/>
              <w:right w:val="single" w:sz="8" w:color="E6F4EF"/>
            </w:tcBorders>
            <w:shd w:val="clear" w:color="auto" w:fill="E6F4EF"/>
          </w:tcPr>
          <w:p>
            <w:pPr>
              <w:spacing w:after="0"/>
              <w:rPr>
                <w:sz w:val="24"/>
                <w:szCs w:val="24"/>
                <w:color w:val="auto"/>
              </w:rPr>
            </w:pPr>
          </w:p>
        </w:tc>
        <w:tc>
          <w:tcPr>
            <w:tcW w:w="180" w:type="dxa"/>
            <w:vAlign w:val="bottom"/>
            <w:tcBorders>
              <w:bottom w:val="single" w:sz="8" w:color="008256"/>
              <w:right w:val="single" w:sz="8" w:color="008256"/>
            </w:tcBorders>
            <w:shd w:val="clear" w:color="auto" w:fill="E6F4EF"/>
          </w:tcPr>
          <w:p>
            <w:pPr>
              <w:spacing w:after="0"/>
              <w:rPr>
                <w:sz w:val="24"/>
                <w:szCs w:val="24"/>
                <w:color w:val="auto"/>
              </w:rPr>
            </w:pPr>
          </w:p>
        </w:tc>
        <w:tc>
          <w:tcPr>
            <w:tcW w:w="1300" w:type="dxa"/>
            <w:vAlign w:val="bottom"/>
            <w:tcBorders>
              <w:bottom w:val="single" w:sz="8" w:color="008256"/>
            </w:tcBorders>
            <w:shd w:val="clear" w:color="auto" w:fill="E6F4EF"/>
          </w:tcPr>
          <w:p>
            <w:pPr>
              <w:jc w:val="center"/>
              <w:ind w:left="298"/>
              <w:spacing w:after="0"/>
              <w:rPr>
                <w:sz w:val="20"/>
                <w:szCs w:val="20"/>
                <w:color w:val="auto"/>
              </w:rPr>
            </w:pPr>
            <w:r>
              <w:rPr>
                <w:rFonts w:ascii="Arial" w:cs="Arial" w:eastAsia="Arial" w:hAnsi="Arial"/>
                <w:sz w:val="23"/>
                <w:szCs w:val="23"/>
                <w:b w:val="1"/>
                <w:bCs w:val="1"/>
                <w:color w:val="0C6936"/>
                <w:w w:val="98"/>
              </w:rPr>
              <w:t>•</w:t>
            </w:r>
          </w:p>
        </w:tc>
        <w:tc>
          <w:tcPr>
            <w:tcW w:w="300" w:type="dxa"/>
            <w:vAlign w:val="bottom"/>
            <w:tcBorders>
              <w:bottom w:val="single" w:sz="8" w:color="008256"/>
              <w:right w:val="single" w:sz="8" w:color="E6F4EF"/>
            </w:tcBorders>
            <w:shd w:val="clear" w:color="auto" w:fill="E6F4EF"/>
          </w:tcPr>
          <w:p>
            <w:pPr>
              <w:spacing w:after="0"/>
              <w:rPr>
                <w:sz w:val="24"/>
                <w:szCs w:val="24"/>
                <w:color w:val="auto"/>
              </w:rPr>
            </w:pPr>
          </w:p>
        </w:tc>
        <w:tc>
          <w:tcPr>
            <w:tcW w:w="100" w:type="dxa"/>
            <w:vAlign w:val="bottom"/>
            <w:tcBorders>
              <w:bottom w:val="single" w:sz="8" w:color="008256"/>
              <w:right w:val="single" w:sz="8" w:color="008256"/>
            </w:tcBorders>
            <w:shd w:val="clear" w:color="auto" w:fill="E6F4EF"/>
          </w:tcPr>
          <w:p>
            <w:pPr>
              <w:spacing w:after="0"/>
              <w:rPr>
                <w:sz w:val="24"/>
                <w:szCs w:val="24"/>
                <w:color w:val="auto"/>
              </w:rPr>
            </w:pPr>
          </w:p>
        </w:tc>
        <w:tc>
          <w:tcPr>
            <w:tcW w:w="1720" w:type="dxa"/>
            <w:vAlign w:val="bottom"/>
            <w:tcBorders>
              <w:bottom w:val="single" w:sz="8" w:color="008256"/>
              <w:right w:val="single" w:sz="8" w:color="008256"/>
            </w:tcBorders>
            <w:shd w:val="clear" w:color="auto" w:fill="E6F4EF"/>
          </w:tcPr>
          <w:p>
            <w:pPr>
              <w:spacing w:after="0"/>
              <w:rPr>
                <w:sz w:val="24"/>
                <w:szCs w:val="24"/>
                <w:color w:val="auto"/>
              </w:rPr>
            </w:pPr>
          </w:p>
        </w:tc>
        <w:tc>
          <w:tcPr>
            <w:tcW w:w="1680" w:type="dxa"/>
            <w:vAlign w:val="bottom"/>
            <w:tcBorders>
              <w:bottom w:val="single" w:sz="8" w:color="008256"/>
              <w:right w:val="single" w:sz="8" w:color="008256"/>
            </w:tcBorders>
            <w:shd w:val="clear" w:color="auto" w:fill="E6F4EF"/>
          </w:tcPr>
          <w:p>
            <w:pPr>
              <w:ind w:left="760"/>
              <w:spacing w:after="0"/>
              <w:rPr>
                <w:sz w:val="20"/>
                <w:szCs w:val="20"/>
                <w:color w:val="auto"/>
              </w:rPr>
            </w:pPr>
            <w:r>
              <w:rPr>
                <w:rFonts w:ascii="Arial" w:cs="Arial" w:eastAsia="Arial" w:hAnsi="Arial"/>
                <w:sz w:val="23"/>
                <w:szCs w:val="23"/>
                <w:b w:val="1"/>
                <w:bCs w:val="1"/>
                <w:color w:val="0C6936"/>
              </w:rPr>
              <w:t>•</w:t>
            </w:r>
          </w:p>
        </w:tc>
        <w:tc>
          <w:tcPr>
            <w:tcW w:w="40" w:type="dxa"/>
            <w:vAlign w:val="bottom"/>
          </w:tcPr>
          <w:p>
            <w:pPr>
              <w:spacing w:after="0"/>
              <w:rPr>
                <w:sz w:val="24"/>
                <w:szCs w:val="24"/>
                <w:color w:val="auto"/>
              </w:rPr>
            </w:pPr>
          </w:p>
        </w:tc>
      </w:tr>
      <w:tr>
        <w:trPr>
          <w:trHeight w:val="182"/>
        </w:trPr>
        <w:tc>
          <w:tcPr>
            <w:tcW w:w="4480" w:type="dxa"/>
            <w:vAlign w:val="bottom"/>
            <w:tcBorders>
              <w:bottom w:val="single" w:sz="8" w:color="008256"/>
              <w:right w:val="single" w:sz="8" w:color="008256"/>
            </w:tcBorders>
            <w:gridSpan w:val="3"/>
          </w:tcPr>
          <w:p>
            <w:pPr>
              <w:ind w:left="80"/>
              <w:spacing w:after="0"/>
              <w:rPr>
                <w:sz w:val="20"/>
                <w:szCs w:val="20"/>
                <w:color w:val="auto"/>
              </w:rPr>
            </w:pPr>
            <w:r>
              <w:rPr>
                <w:rFonts w:ascii="Arial" w:cs="Arial" w:eastAsia="Arial" w:hAnsi="Arial"/>
                <w:sz w:val="13"/>
                <w:szCs w:val="13"/>
                <w:b w:val="1"/>
                <w:bCs w:val="1"/>
                <w:color w:val="auto"/>
              </w:rPr>
              <w:t>COMMITTEES</w:t>
            </w:r>
          </w:p>
        </w:tc>
        <w:tc>
          <w:tcPr>
            <w:tcW w:w="1500" w:type="dxa"/>
            <w:vAlign w:val="bottom"/>
            <w:tcBorders>
              <w:bottom w:val="single" w:sz="8" w:color="008256"/>
            </w:tcBorders>
          </w:tcPr>
          <w:p>
            <w:pPr>
              <w:spacing w:after="0"/>
              <w:rPr>
                <w:sz w:val="15"/>
                <w:szCs w:val="15"/>
                <w:color w:val="auto"/>
              </w:rPr>
            </w:pPr>
          </w:p>
        </w:tc>
        <w:tc>
          <w:tcPr>
            <w:tcW w:w="180" w:type="dxa"/>
            <w:vAlign w:val="bottom"/>
            <w:tcBorders>
              <w:bottom w:val="single" w:sz="8" w:color="008256"/>
              <w:right w:val="single" w:sz="8" w:color="008256"/>
            </w:tcBorders>
          </w:tcPr>
          <w:p>
            <w:pPr>
              <w:spacing w:after="0"/>
              <w:rPr>
                <w:sz w:val="15"/>
                <w:szCs w:val="15"/>
                <w:color w:val="auto"/>
              </w:rPr>
            </w:pPr>
          </w:p>
        </w:tc>
        <w:tc>
          <w:tcPr>
            <w:tcW w:w="1300" w:type="dxa"/>
            <w:vAlign w:val="bottom"/>
            <w:tcBorders>
              <w:bottom w:val="single" w:sz="8" w:color="008256"/>
            </w:tcBorders>
          </w:tcPr>
          <w:p>
            <w:pPr>
              <w:spacing w:after="0"/>
              <w:rPr>
                <w:sz w:val="15"/>
                <w:szCs w:val="15"/>
                <w:color w:val="auto"/>
              </w:rPr>
            </w:pPr>
          </w:p>
        </w:tc>
        <w:tc>
          <w:tcPr>
            <w:tcW w:w="300" w:type="dxa"/>
            <w:vAlign w:val="bottom"/>
            <w:tcBorders>
              <w:bottom w:val="single" w:sz="8" w:color="008256"/>
            </w:tcBorders>
          </w:tcPr>
          <w:p>
            <w:pPr>
              <w:spacing w:after="0"/>
              <w:rPr>
                <w:sz w:val="15"/>
                <w:szCs w:val="15"/>
                <w:color w:val="auto"/>
              </w:rPr>
            </w:pPr>
          </w:p>
        </w:tc>
        <w:tc>
          <w:tcPr>
            <w:tcW w:w="100" w:type="dxa"/>
            <w:vAlign w:val="bottom"/>
            <w:tcBorders>
              <w:bottom w:val="single" w:sz="8" w:color="008256"/>
              <w:right w:val="single" w:sz="8" w:color="008256"/>
            </w:tcBorders>
          </w:tcPr>
          <w:p>
            <w:pPr>
              <w:spacing w:after="0"/>
              <w:rPr>
                <w:sz w:val="15"/>
                <w:szCs w:val="15"/>
                <w:color w:val="auto"/>
              </w:rPr>
            </w:pPr>
          </w:p>
        </w:tc>
        <w:tc>
          <w:tcPr>
            <w:tcW w:w="1720" w:type="dxa"/>
            <w:vAlign w:val="bottom"/>
            <w:tcBorders>
              <w:bottom w:val="single" w:sz="8" w:color="008256"/>
              <w:right w:val="single" w:sz="8" w:color="008256"/>
            </w:tcBorders>
          </w:tcPr>
          <w:p>
            <w:pPr>
              <w:spacing w:after="0"/>
              <w:rPr>
                <w:sz w:val="15"/>
                <w:szCs w:val="15"/>
                <w:color w:val="auto"/>
              </w:rPr>
            </w:pPr>
          </w:p>
        </w:tc>
        <w:tc>
          <w:tcPr>
            <w:tcW w:w="1680" w:type="dxa"/>
            <w:vAlign w:val="bottom"/>
            <w:tcBorders>
              <w:bottom w:val="single" w:sz="8" w:color="008256"/>
              <w:right w:val="single" w:sz="8" w:color="008256"/>
            </w:tcBorders>
          </w:tcPr>
          <w:p>
            <w:pPr>
              <w:spacing w:after="0"/>
              <w:rPr>
                <w:sz w:val="15"/>
                <w:szCs w:val="15"/>
                <w:color w:val="auto"/>
              </w:rPr>
            </w:pPr>
          </w:p>
        </w:tc>
        <w:tc>
          <w:tcPr>
            <w:tcW w:w="40" w:type="dxa"/>
            <w:vAlign w:val="bottom"/>
          </w:tcPr>
          <w:p>
            <w:pPr>
              <w:spacing w:after="0"/>
              <w:rPr>
                <w:sz w:val="15"/>
                <w:szCs w:val="15"/>
                <w:color w:val="auto"/>
              </w:rPr>
            </w:pPr>
          </w:p>
        </w:tc>
      </w:tr>
      <w:tr>
        <w:trPr>
          <w:trHeight w:val="183"/>
        </w:trPr>
        <w:tc>
          <w:tcPr>
            <w:tcW w:w="4480" w:type="dxa"/>
            <w:vAlign w:val="bottom"/>
            <w:tcBorders>
              <w:right w:val="single" w:sz="8" w:color="008256"/>
            </w:tcBorders>
            <w:gridSpan w:val="3"/>
          </w:tcPr>
          <w:p>
            <w:pPr>
              <w:ind w:left="80"/>
              <w:spacing w:after="0"/>
              <w:rPr>
                <w:sz w:val="20"/>
                <w:szCs w:val="20"/>
                <w:color w:val="auto"/>
              </w:rPr>
            </w:pPr>
            <w:r>
              <w:rPr>
                <w:rFonts w:ascii="Arial" w:cs="Arial" w:eastAsia="Arial" w:hAnsi="Arial"/>
                <w:sz w:val="13"/>
                <w:szCs w:val="13"/>
                <w:color w:val="auto"/>
              </w:rPr>
              <w:t>Audit Committee</w:t>
            </w:r>
          </w:p>
        </w:tc>
        <w:tc>
          <w:tcPr>
            <w:tcW w:w="1500" w:type="dxa"/>
            <w:vAlign w:val="bottom"/>
          </w:tcPr>
          <w:p>
            <w:pPr>
              <w:spacing w:after="0"/>
              <w:rPr>
                <w:sz w:val="15"/>
                <w:szCs w:val="15"/>
                <w:color w:val="auto"/>
              </w:rPr>
            </w:pPr>
          </w:p>
        </w:tc>
        <w:tc>
          <w:tcPr>
            <w:tcW w:w="180" w:type="dxa"/>
            <w:vAlign w:val="bottom"/>
            <w:tcBorders>
              <w:right w:val="single" w:sz="8" w:color="008256"/>
            </w:tcBorders>
          </w:tcPr>
          <w:p>
            <w:pPr>
              <w:spacing w:after="0"/>
              <w:rPr>
                <w:sz w:val="15"/>
                <w:szCs w:val="15"/>
                <w:color w:val="auto"/>
              </w:rPr>
            </w:pPr>
          </w:p>
        </w:tc>
        <w:tc>
          <w:tcPr>
            <w:tcW w:w="13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Borders>
              <w:right w:val="single" w:sz="8" w:color="008256"/>
            </w:tcBorders>
          </w:tcPr>
          <w:p>
            <w:pPr>
              <w:spacing w:after="0"/>
              <w:rPr>
                <w:sz w:val="15"/>
                <w:szCs w:val="15"/>
                <w:color w:val="auto"/>
              </w:rPr>
            </w:pPr>
          </w:p>
        </w:tc>
        <w:tc>
          <w:tcPr>
            <w:tcW w:w="1720" w:type="dxa"/>
            <w:vAlign w:val="bottom"/>
            <w:tcBorders>
              <w:right w:val="single" w:sz="8" w:color="008256"/>
            </w:tcBorders>
          </w:tcPr>
          <w:p>
            <w:pPr>
              <w:spacing w:after="0"/>
              <w:rPr>
                <w:sz w:val="15"/>
                <w:szCs w:val="15"/>
                <w:color w:val="auto"/>
              </w:rPr>
            </w:pPr>
          </w:p>
        </w:tc>
        <w:tc>
          <w:tcPr>
            <w:tcW w:w="1680" w:type="dxa"/>
            <w:vAlign w:val="bottom"/>
            <w:tcBorders>
              <w:right w:val="single" w:sz="8" w:color="008256"/>
            </w:tcBorders>
          </w:tcPr>
          <w:p>
            <w:pPr>
              <w:spacing w:after="0"/>
              <w:rPr>
                <w:sz w:val="15"/>
                <w:szCs w:val="15"/>
                <w:color w:val="auto"/>
              </w:rPr>
            </w:pPr>
          </w:p>
        </w:tc>
        <w:tc>
          <w:tcPr>
            <w:tcW w:w="40" w:type="dxa"/>
            <w:vAlign w:val="bottom"/>
          </w:tcPr>
          <w:p>
            <w:pPr>
              <w:spacing w:after="0"/>
              <w:rPr>
                <w:sz w:val="15"/>
                <w:szCs w:val="15"/>
                <w:color w:val="auto"/>
              </w:rPr>
            </w:pPr>
          </w:p>
        </w:tc>
      </w:tr>
      <w:tr>
        <w:trPr>
          <w:trHeight w:val="34"/>
        </w:trPr>
        <w:tc>
          <w:tcPr>
            <w:tcW w:w="4220" w:type="dxa"/>
            <w:vAlign w:val="bottom"/>
            <w:gridSpan w:val="2"/>
          </w:tcPr>
          <w:p>
            <w:pPr>
              <w:spacing w:after="0"/>
              <w:rPr>
                <w:sz w:val="2"/>
                <w:szCs w:val="2"/>
                <w:color w:val="auto"/>
              </w:rPr>
            </w:pPr>
          </w:p>
        </w:tc>
        <w:tc>
          <w:tcPr>
            <w:tcW w:w="260" w:type="dxa"/>
            <w:vAlign w:val="bottom"/>
            <w:tcBorders>
              <w:right w:val="single" w:sz="8" w:color="008256"/>
            </w:tcBorders>
          </w:tcPr>
          <w:p>
            <w:pPr>
              <w:spacing w:after="0"/>
              <w:rPr>
                <w:sz w:val="2"/>
                <w:szCs w:val="2"/>
                <w:color w:val="auto"/>
              </w:rPr>
            </w:pPr>
          </w:p>
        </w:tc>
        <w:tc>
          <w:tcPr>
            <w:tcW w:w="1500" w:type="dxa"/>
            <w:vAlign w:val="bottom"/>
          </w:tcPr>
          <w:p>
            <w:pPr>
              <w:spacing w:after="0"/>
              <w:rPr>
                <w:sz w:val="2"/>
                <w:szCs w:val="2"/>
                <w:color w:val="auto"/>
              </w:rPr>
            </w:pPr>
          </w:p>
        </w:tc>
        <w:tc>
          <w:tcPr>
            <w:tcW w:w="180" w:type="dxa"/>
            <w:vAlign w:val="bottom"/>
            <w:tcBorders>
              <w:right w:val="single" w:sz="8" w:color="008256"/>
            </w:tcBorders>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Borders>
              <w:right w:val="single" w:sz="8" w:color="008256"/>
            </w:tcBorders>
          </w:tcPr>
          <w:p>
            <w:pPr>
              <w:spacing w:after="0"/>
              <w:rPr>
                <w:sz w:val="2"/>
                <w:szCs w:val="2"/>
                <w:color w:val="auto"/>
              </w:rPr>
            </w:pPr>
          </w:p>
        </w:tc>
        <w:tc>
          <w:tcPr>
            <w:tcW w:w="1720" w:type="dxa"/>
            <w:vAlign w:val="bottom"/>
            <w:tcBorders>
              <w:right w:val="single" w:sz="8" w:color="008256"/>
            </w:tcBorders>
          </w:tcPr>
          <w:p>
            <w:pPr>
              <w:spacing w:after="0"/>
              <w:rPr>
                <w:sz w:val="2"/>
                <w:szCs w:val="2"/>
                <w:color w:val="auto"/>
              </w:rPr>
            </w:pPr>
          </w:p>
        </w:tc>
        <w:tc>
          <w:tcPr>
            <w:tcW w:w="1680" w:type="dxa"/>
            <w:vAlign w:val="bottom"/>
            <w:tcBorders>
              <w:right w:val="single" w:sz="8" w:color="008256"/>
            </w:tcBorders>
          </w:tcPr>
          <w:p>
            <w:pPr>
              <w:spacing w:after="0"/>
              <w:rPr>
                <w:sz w:val="2"/>
                <w:szCs w:val="2"/>
                <w:color w:val="auto"/>
              </w:rPr>
            </w:pPr>
          </w:p>
        </w:tc>
        <w:tc>
          <w:tcPr>
            <w:tcW w:w="40" w:type="dxa"/>
            <w:vAlign w:val="bottom"/>
          </w:tcPr>
          <w:p>
            <w:pPr>
              <w:spacing w:after="0"/>
              <w:rPr>
                <w:sz w:val="2"/>
                <w:szCs w:val="2"/>
                <w:color w:val="auto"/>
              </w:rPr>
            </w:pPr>
          </w:p>
        </w:tc>
      </w:tr>
      <w:tr>
        <w:trPr>
          <w:trHeight w:val="182"/>
        </w:trPr>
        <w:tc>
          <w:tcPr>
            <w:tcW w:w="4480" w:type="dxa"/>
            <w:vAlign w:val="bottom"/>
            <w:tcBorders>
              <w:bottom w:val="single" w:sz="8" w:color="E6F4EF"/>
              <w:right w:val="single" w:sz="8" w:color="008256"/>
            </w:tcBorders>
            <w:gridSpan w:val="3"/>
            <w:shd w:val="clear" w:color="auto" w:fill="E6F4EF"/>
          </w:tcPr>
          <w:p>
            <w:pPr>
              <w:ind w:left="80"/>
              <w:spacing w:after="0"/>
              <w:rPr>
                <w:sz w:val="20"/>
                <w:szCs w:val="20"/>
                <w:color w:val="auto"/>
              </w:rPr>
            </w:pPr>
            <w:r>
              <w:rPr>
                <w:rFonts w:ascii="Arial" w:cs="Arial" w:eastAsia="Arial" w:hAnsi="Arial"/>
                <w:sz w:val="13"/>
                <w:szCs w:val="13"/>
                <w:color w:val="auto"/>
              </w:rPr>
              <w:t>Compensation Committee</w:t>
            </w:r>
          </w:p>
        </w:tc>
        <w:tc>
          <w:tcPr>
            <w:tcW w:w="1500" w:type="dxa"/>
            <w:vAlign w:val="bottom"/>
            <w:tcBorders>
              <w:bottom w:val="single" w:sz="8" w:color="E6F4EF"/>
              <w:right w:val="single" w:sz="8" w:color="E6F4EF"/>
            </w:tcBorders>
            <w:shd w:val="clear" w:color="auto" w:fill="E6F4EF"/>
          </w:tcPr>
          <w:p>
            <w:pPr>
              <w:spacing w:after="0"/>
              <w:rPr>
                <w:sz w:val="15"/>
                <w:szCs w:val="15"/>
                <w:color w:val="auto"/>
              </w:rPr>
            </w:pPr>
          </w:p>
        </w:tc>
        <w:tc>
          <w:tcPr>
            <w:tcW w:w="180" w:type="dxa"/>
            <w:vAlign w:val="bottom"/>
            <w:tcBorders>
              <w:bottom w:val="single" w:sz="8" w:color="E6F4EF"/>
              <w:right w:val="single" w:sz="8" w:color="008256"/>
            </w:tcBorders>
            <w:shd w:val="clear" w:color="auto" w:fill="E6F4EF"/>
          </w:tcPr>
          <w:p>
            <w:pPr>
              <w:spacing w:after="0"/>
              <w:rPr>
                <w:sz w:val="15"/>
                <w:szCs w:val="15"/>
                <w:color w:val="auto"/>
              </w:rPr>
            </w:pPr>
          </w:p>
        </w:tc>
        <w:tc>
          <w:tcPr>
            <w:tcW w:w="1300" w:type="dxa"/>
            <w:vAlign w:val="bottom"/>
            <w:tcBorders>
              <w:bottom w:val="single" w:sz="8" w:color="E6F4EF"/>
            </w:tcBorders>
            <w:shd w:val="clear" w:color="auto" w:fill="E6F4EF"/>
          </w:tcPr>
          <w:p>
            <w:pPr>
              <w:spacing w:after="0"/>
              <w:rPr>
                <w:sz w:val="15"/>
                <w:szCs w:val="15"/>
                <w:color w:val="auto"/>
              </w:rPr>
            </w:pPr>
          </w:p>
        </w:tc>
        <w:tc>
          <w:tcPr>
            <w:tcW w:w="300" w:type="dxa"/>
            <w:vAlign w:val="bottom"/>
            <w:tcBorders>
              <w:bottom w:val="single" w:sz="8" w:color="E6F4EF"/>
              <w:right w:val="single" w:sz="8" w:color="E6F4EF"/>
            </w:tcBorders>
            <w:shd w:val="clear" w:color="auto" w:fill="E6F4EF"/>
          </w:tcPr>
          <w:p>
            <w:pPr>
              <w:spacing w:after="0"/>
              <w:rPr>
                <w:sz w:val="15"/>
                <w:szCs w:val="15"/>
                <w:color w:val="auto"/>
              </w:rPr>
            </w:pPr>
          </w:p>
        </w:tc>
        <w:tc>
          <w:tcPr>
            <w:tcW w:w="100" w:type="dxa"/>
            <w:vAlign w:val="bottom"/>
            <w:tcBorders>
              <w:bottom w:val="single" w:sz="8" w:color="E6F4EF"/>
              <w:right w:val="single" w:sz="8" w:color="008256"/>
            </w:tcBorders>
            <w:shd w:val="clear" w:color="auto" w:fill="E6F4EF"/>
          </w:tcPr>
          <w:p>
            <w:pPr>
              <w:spacing w:after="0"/>
              <w:rPr>
                <w:sz w:val="15"/>
                <w:szCs w:val="15"/>
                <w:color w:val="auto"/>
              </w:rPr>
            </w:pPr>
          </w:p>
        </w:tc>
        <w:tc>
          <w:tcPr>
            <w:tcW w:w="1720" w:type="dxa"/>
            <w:vAlign w:val="bottom"/>
            <w:tcBorders>
              <w:bottom w:val="single" w:sz="8" w:color="E6F4EF"/>
              <w:right w:val="single" w:sz="8" w:color="008256"/>
            </w:tcBorders>
            <w:shd w:val="clear" w:color="auto" w:fill="E6F4EF"/>
          </w:tcPr>
          <w:p>
            <w:pPr>
              <w:spacing w:after="0"/>
              <w:rPr>
                <w:sz w:val="15"/>
                <w:szCs w:val="15"/>
                <w:color w:val="auto"/>
              </w:rPr>
            </w:pPr>
          </w:p>
        </w:tc>
        <w:tc>
          <w:tcPr>
            <w:tcW w:w="1680" w:type="dxa"/>
            <w:vAlign w:val="bottom"/>
            <w:tcBorders>
              <w:bottom w:val="single" w:sz="8" w:color="E6F4EF"/>
              <w:right w:val="single" w:sz="8" w:color="008256"/>
            </w:tcBorders>
            <w:shd w:val="clear" w:color="auto" w:fill="E6F4EF"/>
          </w:tcPr>
          <w:p>
            <w:pPr>
              <w:spacing w:after="0"/>
              <w:rPr>
                <w:sz w:val="15"/>
                <w:szCs w:val="15"/>
                <w:color w:val="auto"/>
              </w:rPr>
            </w:pPr>
          </w:p>
        </w:tc>
        <w:tc>
          <w:tcPr>
            <w:tcW w:w="40" w:type="dxa"/>
            <w:vAlign w:val="bottom"/>
          </w:tcPr>
          <w:p>
            <w:pPr>
              <w:spacing w:after="0"/>
              <w:rPr>
                <w:sz w:val="15"/>
                <w:szCs w:val="15"/>
                <w:color w:val="auto"/>
              </w:rPr>
            </w:pPr>
          </w:p>
        </w:tc>
      </w:tr>
      <w:tr>
        <w:trPr>
          <w:trHeight w:val="386"/>
        </w:trPr>
        <w:tc>
          <w:tcPr>
            <w:tcW w:w="820" w:type="dxa"/>
            <w:vAlign w:val="bottom"/>
          </w:tcPr>
          <w:p>
            <w:pPr>
              <w:ind w:left="160"/>
              <w:spacing w:after="0"/>
              <w:rPr>
                <w:sz w:val="20"/>
                <w:szCs w:val="20"/>
                <w:color w:val="auto"/>
              </w:rPr>
            </w:pPr>
            <w:r>
              <w:rPr>
                <w:rFonts w:ascii="Arial" w:cs="Arial" w:eastAsia="Arial" w:hAnsi="Arial"/>
                <w:sz w:val="13"/>
                <w:szCs w:val="13"/>
                <w:b w:val="1"/>
                <w:bCs w:val="1"/>
                <w:color w:val="auto"/>
              </w:rPr>
              <w:t>CHAIR</w:t>
            </w:r>
          </w:p>
        </w:tc>
        <w:tc>
          <w:tcPr>
            <w:tcW w:w="3660" w:type="dxa"/>
            <w:vAlign w:val="bottom"/>
            <w:gridSpan w:val="2"/>
          </w:tcPr>
          <w:p>
            <w:pPr>
              <w:ind w:left="20"/>
              <w:spacing w:after="0"/>
              <w:rPr>
                <w:sz w:val="20"/>
                <w:szCs w:val="20"/>
                <w:color w:val="auto"/>
              </w:rPr>
            </w:pPr>
            <w:r>
              <w:rPr>
                <w:rFonts w:ascii="Arial" w:cs="Arial" w:eastAsia="Arial" w:hAnsi="Arial"/>
                <w:sz w:val="13"/>
                <w:szCs w:val="13"/>
                <w:b w:val="1"/>
                <w:bCs w:val="1"/>
                <w:color w:val="auto"/>
              </w:rPr>
              <w:t>MEMBER</w:t>
            </w: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47"/>
        </w:trPr>
        <w:tc>
          <w:tcPr>
            <w:tcW w:w="4480" w:type="dxa"/>
            <w:vAlign w:val="bottom"/>
            <w:gridSpan w:val="3"/>
          </w:tcPr>
          <w:p>
            <w:pPr>
              <w:spacing w:after="0"/>
              <w:rPr>
                <w:sz w:val="20"/>
                <w:szCs w:val="20"/>
                <w:color w:val="auto"/>
              </w:rPr>
            </w:pPr>
            <w:r>
              <w:rPr>
                <w:rFonts w:ascii="Arial" w:cs="Arial" w:eastAsia="Arial" w:hAnsi="Arial"/>
                <w:sz w:val="16"/>
                <w:szCs w:val="16"/>
                <w:b w:val="1"/>
                <w:bCs w:val="1"/>
                <w:color w:val="auto"/>
              </w:rPr>
              <w:t>Board Composition (as of March 24, 2025)</w:t>
            </w:r>
          </w:p>
        </w:tc>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86"/>
        </w:trPr>
        <w:tc>
          <w:tcPr>
            <w:tcW w:w="4220" w:type="dxa"/>
            <w:vAlign w:val="bottom"/>
            <w:tcBorders>
              <w:bottom w:val="single" w:sz="8" w:color="008256"/>
            </w:tcBorders>
            <w:gridSpan w:val="2"/>
          </w:tcPr>
          <w:p>
            <w:pPr>
              <w:spacing w:after="0"/>
              <w:rPr>
                <w:sz w:val="16"/>
                <w:szCs w:val="16"/>
                <w:color w:val="auto"/>
              </w:rPr>
            </w:pPr>
          </w:p>
        </w:tc>
        <w:tc>
          <w:tcPr>
            <w:tcW w:w="260" w:type="dxa"/>
            <w:vAlign w:val="bottom"/>
            <w:tcBorders>
              <w:bottom w:val="single" w:sz="8" w:color="008256"/>
            </w:tcBorders>
          </w:tcPr>
          <w:p>
            <w:pPr>
              <w:spacing w:after="0"/>
              <w:rPr>
                <w:sz w:val="16"/>
                <w:szCs w:val="16"/>
                <w:color w:val="auto"/>
              </w:rPr>
            </w:pPr>
          </w:p>
        </w:tc>
        <w:tc>
          <w:tcPr>
            <w:tcW w:w="1500" w:type="dxa"/>
            <w:vAlign w:val="bottom"/>
            <w:tcBorders>
              <w:bottom w:val="single" w:sz="8" w:color="008256"/>
            </w:tcBorders>
          </w:tcPr>
          <w:p>
            <w:pPr>
              <w:spacing w:after="0"/>
              <w:rPr>
                <w:sz w:val="16"/>
                <w:szCs w:val="16"/>
                <w:color w:val="auto"/>
              </w:rPr>
            </w:pPr>
          </w:p>
        </w:tc>
        <w:tc>
          <w:tcPr>
            <w:tcW w:w="180" w:type="dxa"/>
            <w:vAlign w:val="bottom"/>
            <w:tcBorders>
              <w:bottom w:val="single" w:sz="8" w:color="008256"/>
            </w:tcBorders>
          </w:tcPr>
          <w:p>
            <w:pPr>
              <w:spacing w:after="0"/>
              <w:rPr>
                <w:sz w:val="16"/>
                <w:szCs w:val="16"/>
                <w:color w:val="auto"/>
              </w:rPr>
            </w:pPr>
          </w:p>
        </w:tc>
        <w:tc>
          <w:tcPr>
            <w:tcW w:w="1300" w:type="dxa"/>
            <w:vAlign w:val="bottom"/>
            <w:tcBorders>
              <w:bottom w:val="single" w:sz="8" w:color="008256"/>
            </w:tcBorders>
          </w:tcPr>
          <w:p>
            <w:pPr>
              <w:spacing w:after="0"/>
              <w:rPr>
                <w:sz w:val="16"/>
                <w:szCs w:val="16"/>
                <w:color w:val="auto"/>
              </w:rPr>
            </w:pPr>
          </w:p>
        </w:tc>
        <w:tc>
          <w:tcPr>
            <w:tcW w:w="400" w:type="dxa"/>
            <w:vAlign w:val="bottom"/>
            <w:tcBorders>
              <w:bottom w:val="single" w:sz="8" w:color="008256"/>
            </w:tcBorders>
            <w:gridSpan w:val="2"/>
          </w:tcPr>
          <w:p>
            <w:pPr>
              <w:spacing w:after="0"/>
              <w:rPr>
                <w:sz w:val="16"/>
                <w:szCs w:val="16"/>
                <w:color w:val="auto"/>
              </w:rPr>
            </w:pPr>
          </w:p>
        </w:tc>
        <w:tc>
          <w:tcPr>
            <w:tcW w:w="1720" w:type="dxa"/>
            <w:vAlign w:val="bottom"/>
            <w:tcBorders>
              <w:bottom w:val="single" w:sz="8" w:color="008256"/>
            </w:tcBorders>
          </w:tcPr>
          <w:p>
            <w:pPr>
              <w:spacing w:after="0"/>
              <w:rPr>
                <w:sz w:val="16"/>
                <w:szCs w:val="16"/>
                <w:color w:val="auto"/>
              </w:rPr>
            </w:pPr>
          </w:p>
        </w:tc>
        <w:tc>
          <w:tcPr>
            <w:tcW w:w="1680" w:type="dxa"/>
            <w:vAlign w:val="bottom"/>
            <w:tcBorders>
              <w:bottom w:val="single" w:sz="8" w:color="008256"/>
            </w:tcBorders>
          </w:tcPr>
          <w:p>
            <w:pPr>
              <w:spacing w:after="0"/>
              <w:rPr>
                <w:sz w:val="16"/>
                <w:szCs w:val="16"/>
                <w:color w:val="auto"/>
              </w:rPr>
            </w:pPr>
          </w:p>
        </w:tc>
        <w:tc>
          <w:tcPr>
            <w:tcW w:w="40" w:type="dxa"/>
            <w:vAlign w:val="bottom"/>
            <w:tcBorders>
              <w:bottom w:val="single" w:sz="8" w:color="008256"/>
            </w:tcBorders>
          </w:tcPr>
          <w:p>
            <w:pPr>
              <w:spacing w:after="0"/>
              <w:rPr>
                <w:sz w:val="16"/>
                <w:szCs w:val="16"/>
                <w:color w:val="auto"/>
              </w:rPr>
            </w:pPr>
          </w:p>
        </w:tc>
      </w:tr>
      <w:tr>
        <w:trPr>
          <w:trHeight w:val="238"/>
        </w:trPr>
        <w:tc>
          <w:tcPr>
            <w:tcW w:w="4220" w:type="dxa"/>
            <w:vAlign w:val="bottom"/>
            <w:tcBorders>
              <w:right w:val="single" w:sz="8" w:color="008256"/>
            </w:tcBorders>
            <w:gridSpan w:val="2"/>
          </w:tcPr>
          <w:p>
            <w:pPr>
              <w:ind w:left="80"/>
              <w:spacing w:after="0"/>
              <w:rPr>
                <w:sz w:val="20"/>
                <w:szCs w:val="20"/>
                <w:color w:val="auto"/>
              </w:rPr>
            </w:pPr>
            <w:r>
              <w:rPr>
                <w:rFonts w:ascii="Arial" w:cs="Arial" w:eastAsia="Arial" w:hAnsi="Arial"/>
                <w:sz w:val="13"/>
                <w:szCs w:val="13"/>
                <w:b w:val="1"/>
                <w:bCs w:val="1"/>
                <w:color w:val="0C6936"/>
              </w:rPr>
              <w:t>Total Number of Directors:</w:t>
            </w:r>
          </w:p>
        </w:tc>
        <w:tc>
          <w:tcPr>
            <w:tcW w:w="2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3"/>
                <w:szCs w:val="13"/>
                <w:b w:val="1"/>
                <w:bCs w:val="1"/>
                <w:color w:val="0C6936"/>
              </w:rPr>
              <w:t>5</w:t>
            </w:r>
          </w:p>
        </w:tc>
        <w:tc>
          <w:tcPr>
            <w:tcW w:w="17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0" w:type="dxa"/>
            <w:vAlign w:val="bottom"/>
            <w:tcBorders>
              <w:right w:val="single" w:sz="8" w:color="008055"/>
            </w:tcBorders>
          </w:tcPr>
          <w:p>
            <w:pPr>
              <w:spacing w:after="0"/>
              <w:rPr>
                <w:sz w:val="20"/>
                <w:szCs w:val="20"/>
                <w:color w:val="auto"/>
              </w:rPr>
            </w:pPr>
          </w:p>
        </w:tc>
      </w:tr>
      <w:tr>
        <w:trPr>
          <w:trHeight w:val="71"/>
        </w:trPr>
        <w:tc>
          <w:tcPr>
            <w:tcW w:w="4220" w:type="dxa"/>
            <w:vAlign w:val="bottom"/>
            <w:tcBorders>
              <w:bottom w:val="single" w:sz="8" w:color="008256"/>
              <w:right w:val="single" w:sz="8" w:color="008256"/>
            </w:tcBorders>
            <w:gridSpan w:val="2"/>
          </w:tcPr>
          <w:p>
            <w:pPr>
              <w:spacing w:after="0"/>
              <w:rPr>
                <w:sz w:val="6"/>
                <w:szCs w:val="6"/>
                <w:color w:val="auto"/>
              </w:rPr>
            </w:pPr>
          </w:p>
        </w:tc>
        <w:tc>
          <w:tcPr>
            <w:tcW w:w="260" w:type="dxa"/>
            <w:vAlign w:val="bottom"/>
            <w:tcBorders>
              <w:bottom w:val="single" w:sz="8" w:color="008256"/>
            </w:tcBorders>
          </w:tcPr>
          <w:p>
            <w:pPr>
              <w:spacing w:after="0"/>
              <w:rPr>
                <w:sz w:val="6"/>
                <w:szCs w:val="6"/>
                <w:color w:val="auto"/>
              </w:rPr>
            </w:pPr>
          </w:p>
        </w:tc>
        <w:tc>
          <w:tcPr>
            <w:tcW w:w="1500" w:type="dxa"/>
            <w:vAlign w:val="bottom"/>
            <w:tcBorders>
              <w:bottom w:val="single" w:sz="8" w:color="008256"/>
            </w:tcBorders>
          </w:tcPr>
          <w:p>
            <w:pPr>
              <w:spacing w:after="0"/>
              <w:rPr>
                <w:sz w:val="6"/>
                <w:szCs w:val="6"/>
                <w:color w:val="auto"/>
              </w:rPr>
            </w:pPr>
          </w:p>
        </w:tc>
        <w:tc>
          <w:tcPr>
            <w:tcW w:w="180" w:type="dxa"/>
            <w:vAlign w:val="bottom"/>
            <w:tcBorders>
              <w:bottom w:val="single" w:sz="8" w:color="008256"/>
            </w:tcBorders>
          </w:tcPr>
          <w:p>
            <w:pPr>
              <w:spacing w:after="0"/>
              <w:rPr>
                <w:sz w:val="6"/>
                <w:szCs w:val="6"/>
                <w:color w:val="auto"/>
              </w:rPr>
            </w:pPr>
          </w:p>
        </w:tc>
        <w:tc>
          <w:tcPr>
            <w:tcW w:w="1300" w:type="dxa"/>
            <w:vAlign w:val="bottom"/>
            <w:tcBorders>
              <w:bottom w:val="single" w:sz="8" w:color="008256"/>
            </w:tcBorders>
          </w:tcPr>
          <w:p>
            <w:pPr>
              <w:spacing w:after="0"/>
              <w:rPr>
                <w:sz w:val="6"/>
                <w:szCs w:val="6"/>
                <w:color w:val="auto"/>
              </w:rPr>
            </w:pPr>
          </w:p>
        </w:tc>
        <w:tc>
          <w:tcPr>
            <w:tcW w:w="300" w:type="dxa"/>
            <w:vAlign w:val="bottom"/>
            <w:tcBorders>
              <w:bottom w:val="single" w:sz="8" w:color="008256"/>
            </w:tcBorders>
          </w:tcPr>
          <w:p>
            <w:pPr>
              <w:spacing w:after="0"/>
              <w:rPr>
                <w:sz w:val="6"/>
                <w:szCs w:val="6"/>
                <w:color w:val="auto"/>
              </w:rPr>
            </w:pPr>
          </w:p>
        </w:tc>
        <w:tc>
          <w:tcPr>
            <w:tcW w:w="100" w:type="dxa"/>
            <w:vAlign w:val="bottom"/>
            <w:tcBorders>
              <w:bottom w:val="single" w:sz="8" w:color="008256"/>
            </w:tcBorders>
          </w:tcPr>
          <w:p>
            <w:pPr>
              <w:spacing w:after="0"/>
              <w:rPr>
                <w:sz w:val="6"/>
                <w:szCs w:val="6"/>
                <w:color w:val="auto"/>
              </w:rPr>
            </w:pPr>
          </w:p>
        </w:tc>
        <w:tc>
          <w:tcPr>
            <w:tcW w:w="1720" w:type="dxa"/>
            <w:vAlign w:val="bottom"/>
            <w:tcBorders>
              <w:bottom w:val="single" w:sz="8" w:color="008256"/>
            </w:tcBorders>
          </w:tcPr>
          <w:p>
            <w:pPr>
              <w:spacing w:after="0"/>
              <w:rPr>
                <w:sz w:val="6"/>
                <w:szCs w:val="6"/>
                <w:color w:val="auto"/>
              </w:rPr>
            </w:pPr>
          </w:p>
        </w:tc>
        <w:tc>
          <w:tcPr>
            <w:tcW w:w="1680" w:type="dxa"/>
            <w:vAlign w:val="bottom"/>
            <w:tcBorders>
              <w:bottom w:val="single" w:sz="8" w:color="008256"/>
            </w:tcBorders>
          </w:tcPr>
          <w:p>
            <w:pPr>
              <w:spacing w:after="0"/>
              <w:rPr>
                <w:sz w:val="6"/>
                <w:szCs w:val="6"/>
                <w:color w:val="auto"/>
              </w:rPr>
            </w:pPr>
          </w:p>
        </w:tc>
        <w:tc>
          <w:tcPr>
            <w:tcW w:w="40" w:type="dxa"/>
            <w:vAlign w:val="bottom"/>
            <w:tcBorders>
              <w:bottom w:val="single" w:sz="8" w:color="008256"/>
              <w:right w:val="single" w:sz="8" w:color="008055"/>
            </w:tcBorders>
          </w:tcPr>
          <w:p>
            <w:pPr>
              <w:spacing w:after="0"/>
              <w:rPr>
                <w:sz w:val="6"/>
                <w:szCs w:val="6"/>
                <w:color w:val="auto"/>
              </w:rPr>
            </w:pPr>
          </w:p>
        </w:tc>
      </w:tr>
      <w:tr>
        <w:trPr>
          <w:trHeight w:val="178"/>
        </w:trPr>
        <w:tc>
          <w:tcPr>
            <w:tcW w:w="4220" w:type="dxa"/>
            <w:vAlign w:val="bottom"/>
            <w:tcBorders>
              <w:bottom w:val="single" w:sz="8" w:color="008256"/>
              <w:right w:val="single" w:sz="8" w:color="008256"/>
            </w:tcBorders>
            <w:gridSpan w:val="2"/>
          </w:tcPr>
          <w:p>
            <w:pPr>
              <w:ind w:left="80"/>
              <w:spacing w:after="0"/>
              <w:rPr>
                <w:sz w:val="20"/>
                <w:szCs w:val="20"/>
                <w:color w:val="auto"/>
              </w:rPr>
            </w:pPr>
            <w:r>
              <w:rPr>
                <w:rFonts w:ascii="Arial" w:cs="Arial" w:eastAsia="Arial" w:hAnsi="Arial"/>
                <w:sz w:val="13"/>
                <w:szCs w:val="13"/>
                <w:b w:val="1"/>
                <w:bCs w:val="1"/>
                <w:color w:val="auto"/>
              </w:rPr>
              <w:t>Part I: Gender Identity</w:t>
            </w:r>
          </w:p>
        </w:tc>
        <w:tc>
          <w:tcPr>
            <w:tcW w:w="260" w:type="dxa"/>
            <w:vAlign w:val="bottom"/>
            <w:tcBorders>
              <w:bottom w:val="single" w:sz="8" w:color="008256"/>
            </w:tcBorders>
          </w:tcPr>
          <w:p>
            <w:pPr>
              <w:spacing w:after="0"/>
              <w:rPr>
                <w:sz w:val="15"/>
                <w:szCs w:val="15"/>
                <w:color w:val="auto"/>
              </w:rPr>
            </w:pPr>
          </w:p>
        </w:tc>
        <w:tc>
          <w:tcPr>
            <w:tcW w:w="1500" w:type="dxa"/>
            <w:vAlign w:val="bottom"/>
            <w:tcBorders>
              <w:bottom w:val="single" w:sz="8" w:color="008256"/>
              <w:right w:val="single" w:sz="8" w:color="008256"/>
            </w:tcBorders>
          </w:tcPr>
          <w:p>
            <w:pPr>
              <w:ind w:left="460"/>
              <w:spacing w:after="0"/>
              <w:rPr>
                <w:sz w:val="20"/>
                <w:szCs w:val="20"/>
                <w:color w:val="auto"/>
              </w:rPr>
            </w:pPr>
            <w:r>
              <w:rPr>
                <w:rFonts w:ascii="Arial" w:cs="Arial" w:eastAsia="Arial" w:hAnsi="Arial"/>
                <w:sz w:val="13"/>
                <w:szCs w:val="13"/>
                <w:color w:val="auto"/>
              </w:rPr>
              <w:t>Male</w:t>
            </w:r>
          </w:p>
        </w:tc>
        <w:tc>
          <w:tcPr>
            <w:tcW w:w="180" w:type="dxa"/>
            <w:vAlign w:val="bottom"/>
            <w:tcBorders>
              <w:bottom w:val="single" w:sz="8" w:color="008256"/>
            </w:tcBorders>
          </w:tcPr>
          <w:p>
            <w:pPr>
              <w:spacing w:after="0"/>
              <w:rPr>
                <w:sz w:val="15"/>
                <w:szCs w:val="15"/>
                <w:color w:val="auto"/>
              </w:rPr>
            </w:pPr>
          </w:p>
        </w:tc>
        <w:tc>
          <w:tcPr>
            <w:tcW w:w="1300" w:type="dxa"/>
            <w:vAlign w:val="bottom"/>
            <w:tcBorders>
              <w:bottom w:val="single" w:sz="8" w:color="008256"/>
            </w:tcBorders>
          </w:tcPr>
          <w:p>
            <w:pPr>
              <w:ind w:left="480"/>
              <w:spacing w:after="0"/>
              <w:rPr>
                <w:sz w:val="20"/>
                <w:szCs w:val="20"/>
                <w:color w:val="auto"/>
              </w:rPr>
            </w:pPr>
            <w:r>
              <w:rPr>
                <w:rFonts w:ascii="Arial" w:cs="Arial" w:eastAsia="Arial" w:hAnsi="Arial"/>
                <w:sz w:val="13"/>
                <w:szCs w:val="13"/>
                <w:color w:val="auto"/>
              </w:rPr>
              <w:t>Female</w:t>
            </w:r>
          </w:p>
        </w:tc>
        <w:tc>
          <w:tcPr>
            <w:tcW w:w="300" w:type="dxa"/>
            <w:vAlign w:val="bottom"/>
            <w:tcBorders>
              <w:bottom w:val="single" w:sz="8" w:color="008256"/>
              <w:right w:val="single" w:sz="8" w:color="008256"/>
            </w:tcBorders>
          </w:tcPr>
          <w:p>
            <w:pPr>
              <w:spacing w:after="0"/>
              <w:rPr>
                <w:sz w:val="15"/>
                <w:szCs w:val="15"/>
                <w:color w:val="auto"/>
              </w:rPr>
            </w:pPr>
          </w:p>
        </w:tc>
        <w:tc>
          <w:tcPr>
            <w:tcW w:w="100" w:type="dxa"/>
            <w:vAlign w:val="bottom"/>
            <w:tcBorders>
              <w:bottom w:val="single" w:sz="8" w:color="008256"/>
            </w:tcBorders>
          </w:tcPr>
          <w:p>
            <w:pPr>
              <w:spacing w:after="0"/>
              <w:rPr>
                <w:sz w:val="15"/>
                <w:szCs w:val="15"/>
                <w:color w:val="auto"/>
              </w:rPr>
            </w:pPr>
          </w:p>
        </w:tc>
        <w:tc>
          <w:tcPr>
            <w:tcW w:w="1720" w:type="dxa"/>
            <w:vAlign w:val="bottom"/>
            <w:tcBorders>
              <w:bottom w:val="single" w:sz="8" w:color="008256"/>
              <w:right w:val="single" w:sz="8" w:color="008256"/>
            </w:tcBorders>
          </w:tcPr>
          <w:p>
            <w:pPr>
              <w:jc w:val="center"/>
              <w:ind w:right="100"/>
              <w:spacing w:after="0"/>
              <w:rPr>
                <w:sz w:val="20"/>
                <w:szCs w:val="20"/>
                <w:color w:val="auto"/>
              </w:rPr>
            </w:pPr>
            <w:r>
              <w:rPr>
                <w:rFonts w:ascii="Arial" w:cs="Arial" w:eastAsia="Arial" w:hAnsi="Arial"/>
                <w:sz w:val="13"/>
                <w:szCs w:val="13"/>
                <w:color w:val="auto"/>
                <w:w w:val="95"/>
              </w:rPr>
              <w:t>Non-Binary</w:t>
            </w:r>
          </w:p>
        </w:tc>
        <w:tc>
          <w:tcPr>
            <w:tcW w:w="1680" w:type="dxa"/>
            <w:vAlign w:val="bottom"/>
            <w:tcBorders>
              <w:bottom w:val="single" w:sz="8" w:color="008256"/>
            </w:tcBorders>
          </w:tcPr>
          <w:p>
            <w:pPr>
              <w:ind w:left="420"/>
              <w:spacing w:after="0"/>
              <w:rPr>
                <w:sz w:val="20"/>
                <w:szCs w:val="20"/>
                <w:color w:val="auto"/>
              </w:rPr>
            </w:pPr>
            <w:r>
              <w:rPr>
                <w:rFonts w:ascii="Arial" w:cs="Arial" w:eastAsia="Arial" w:hAnsi="Arial"/>
                <w:sz w:val="13"/>
                <w:szCs w:val="13"/>
                <w:color w:val="auto"/>
              </w:rPr>
              <w:t>Not Disclosed</w:t>
            </w:r>
          </w:p>
        </w:tc>
        <w:tc>
          <w:tcPr>
            <w:tcW w:w="40" w:type="dxa"/>
            <w:vAlign w:val="bottom"/>
            <w:tcBorders>
              <w:bottom w:val="single" w:sz="8" w:color="008256"/>
              <w:right w:val="single" w:sz="8" w:color="008055"/>
            </w:tcBorders>
          </w:tcPr>
          <w:p>
            <w:pPr>
              <w:spacing w:after="0"/>
              <w:rPr>
                <w:sz w:val="15"/>
                <w:szCs w:val="15"/>
                <w:color w:val="auto"/>
              </w:rPr>
            </w:pPr>
          </w:p>
        </w:tc>
      </w:tr>
      <w:tr>
        <w:trPr>
          <w:trHeight w:val="179"/>
        </w:trPr>
        <w:tc>
          <w:tcPr>
            <w:tcW w:w="820" w:type="dxa"/>
            <w:vAlign w:val="bottom"/>
            <w:tcBorders>
              <w:bottom w:val="single" w:sz="8" w:color="008256"/>
            </w:tcBorders>
          </w:tcPr>
          <w:p>
            <w:pPr>
              <w:ind w:left="280"/>
              <w:spacing w:after="0"/>
              <w:rPr>
                <w:sz w:val="20"/>
                <w:szCs w:val="20"/>
                <w:color w:val="auto"/>
              </w:rPr>
            </w:pPr>
            <w:r>
              <w:rPr>
                <w:rFonts w:ascii="Arial" w:cs="Arial" w:eastAsia="Arial" w:hAnsi="Arial"/>
                <w:sz w:val="13"/>
                <w:szCs w:val="13"/>
                <w:color w:val="auto"/>
                <w:w w:val="99"/>
              </w:rPr>
              <w:t>Directors</w:t>
            </w:r>
          </w:p>
        </w:tc>
        <w:tc>
          <w:tcPr>
            <w:tcW w:w="3400" w:type="dxa"/>
            <w:vAlign w:val="bottom"/>
            <w:tcBorders>
              <w:bottom w:val="single" w:sz="8" w:color="008256"/>
              <w:right w:val="single" w:sz="8" w:color="008256"/>
            </w:tcBorders>
          </w:tcPr>
          <w:p>
            <w:pPr>
              <w:spacing w:after="0"/>
              <w:rPr>
                <w:sz w:val="15"/>
                <w:szCs w:val="15"/>
                <w:color w:val="auto"/>
              </w:rPr>
            </w:pPr>
          </w:p>
        </w:tc>
        <w:tc>
          <w:tcPr>
            <w:tcW w:w="260" w:type="dxa"/>
            <w:vAlign w:val="bottom"/>
            <w:tcBorders>
              <w:bottom w:val="single" w:sz="8" w:color="008256"/>
            </w:tcBorders>
          </w:tcPr>
          <w:p>
            <w:pPr>
              <w:spacing w:after="0"/>
              <w:rPr>
                <w:sz w:val="15"/>
                <w:szCs w:val="15"/>
                <w:color w:val="auto"/>
              </w:rPr>
            </w:pPr>
          </w:p>
        </w:tc>
        <w:tc>
          <w:tcPr>
            <w:tcW w:w="1500" w:type="dxa"/>
            <w:vAlign w:val="bottom"/>
            <w:tcBorders>
              <w:bottom w:val="single" w:sz="8" w:color="008256"/>
              <w:right w:val="single" w:sz="8" w:color="008256"/>
            </w:tcBorders>
          </w:tcPr>
          <w:p>
            <w:pPr>
              <w:jc w:val="center"/>
              <w:ind w:right="204"/>
              <w:spacing w:after="0"/>
              <w:rPr>
                <w:sz w:val="20"/>
                <w:szCs w:val="20"/>
                <w:color w:val="auto"/>
              </w:rPr>
            </w:pPr>
            <w:r>
              <w:rPr>
                <w:rFonts w:ascii="Arial" w:cs="Arial" w:eastAsia="Arial" w:hAnsi="Arial"/>
                <w:sz w:val="13"/>
                <w:szCs w:val="13"/>
                <w:color w:val="auto"/>
                <w:w w:val="82"/>
              </w:rPr>
              <w:t>3</w:t>
            </w:r>
          </w:p>
        </w:tc>
        <w:tc>
          <w:tcPr>
            <w:tcW w:w="180" w:type="dxa"/>
            <w:vAlign w:val="bottom"/>
            <w:tcBorders>
              <w:bottom w:val="single" w:sz="8" w:color="008256"/>
            </w:tcBorders>
          </w:tcPr>
          <w:p>
            <w:pPr>
              <w:spacing w:after="0"/>
              <w:rPr>
                <w:sz w:val="15"/>
                <w:szCs w:val="15"/>
                <w:color w:val="auto"/>
              </w:rPr>
            </w:pPr>
          </w:p>
        </w:tc>
        <w:tc>
          <w:tcPr>
            <w:tcW w:w="1300" w:type="dxa"/>
            <w:vAlign w:val="bottom"/>
            <w:tcBorders>
              <w:bottom w:val="single" w:sz="8" w:color="008256"/>
            </w:tcBorders>
          </w:tcPr>
          <w:p>
            <w:pPr>
              <w:jc w:val="center"/>
              <w:ind w:left="18"/>
              <w:spacing w:after="0"/>
              <w:rPr>
                <w:sz w:val="20"/>
                <w:szCs w:val="20"/>
                <w:color w:val="auto"/>
              </w:rPr>
            </w:pPr>
            <w:r>
              <w:rPr>
                <w:rFonts w:ascii="Arial" w:cs="Arial" w:eastAsia="Arial" w:hAnsi="Arial"/>
                <w:sz w:val="13"/>
                <w:szCs w:val="13"/>
                <w:color w:val="auto"/>
              </w:rPr>
              <w:t>2</w:t>
            </w:r>
          </w:p>
        </w:tc>
        <w:tc>
          <w:tcPr>
            <w:tcW w:w="300" w:type="dxa"/>
            <w:vAlign w:val="bottom"/>
            <w:tcBorders>
              <w:bottom w:val="single" w:sz="8" w:color="008256"/>
              <w:right w:val="single" w:sz="8" w:color="008256"/>
            </w:tcBorders>
          </w:tcPr>
          <w:p>
            <w:pPr>
              <w:spacing w:after="0"/>
              <w:rPr>
                <w:sz w:val="15"/>
                <w:szCs w:val="15"/>
                <w:color w:val="auto"/>
              </w:rPr>
            </w:pPr>
          </w:p>
        </w:tc>
        <w:tc>
          <w:tcPr>
            <w:tcW w:w="100" w:type="dxa"/>
            <w:vAlign w:val="bottom"/>
            <w:tcBorders>
              <w:bottom w:val="single" w:sz="8" w:color="008256"/>
            </w:tcBorders>
          </w:tcPr>
          <w:p>
            <w:pPr>
              <w:spacing w:after="0"/>
              <w:rPr>
                <w:sz w:val="15"/>
                <w:szCs w:val="15"/>
                <w:color w:val="auto"/>
              </w:rPr>
            </w:pPr>
          </w:p>
        </w:tc>
        <w:tc>
          <w:tcPr>
            <w:tcW w:w="1720" w:type="dxa"/>
            <w:vAlign w:val="bottom"/>
            <w:tcBorders>
              <w:bottom w:val="single" w:sz="8" w:color="008256"/>
              <w:right w:val="single" w:sz="8" w:color="008256"/>
            </w:tcBorders>
          </w:tcPr>
          <w:p>
            <w:pPr>
              <w:jc w:val="center"/>
              <w:ind w:right="100"/>
              <w:spacing w:after="0"/>
              <w:rPr>
                <w:sz w:val="20"/>
                <w:szCs w:val="20"/>
                <w:color w:val="auto"/>
              </w:rPr>
            </w:pPr>
            <w:r>
              <w:rPr>
                <w:rFonts w:ascii="Arial" w:cs="Arial" w:eastAsia="Arial" w:hAnsi="Arial"/>
                <w:sz w:val="13"/>
                <w:szCs w:val="13"/>
                <w:color w:val="auto"/>
              </w:rPr>
              <w:t>—</w:t>
            </w:r>
          </w:p>
        </w:tc>
        <w:tc>
          <w:tcPr>
            <w:tcW w:w="1680" w:type="dxa"/>
            <w:vAlign w:val="bottom"/>
            <w:tcBorders>
              <w:bottom w:val="single" w:sz="8" w:color="008256"/>
            </w:tcBorders>
          </w:tcPr>
          <w:p>
            <w:pPr>
              <w:ind w:left="760"/>
              <w:spacing w:after="0"/>
              <w:rPr>
                <w:sz w:val="20"/>
                <w:szCs w:val="20"/>
                <w:color w:val="auto"/>
              </w:rPr>
            </w:pPr>
            <w:r>
              <w:rPr>
                <w:rFonts w:ascii="Arial" w:cs="Arial" w:eastAsia="Arial" w:hAnsi="Arial"/>
                <w:sz w:val="13"/>
                <w:szCs w:val="13"/>
                <w:color w:val="auto"/>
              </w:rPr>
              <w:t>—</w:t>
            </w:r>
          </w:p>
        </w:tc>
        <w:tc>
          <w:tcPr>
            <w:tcW w:w="40" w:type="dxa"/>
            <w:vAlign w:val="bottom"/>
            <w:tcBorders>
              <w:bottom w:val="single" w:sz="8" w:color="008256"/>
              <w:right w:val="single" w:sz="8" w:color="008055"/>
            </w:tcBorders>
          </w:tcPr>
          <w:p>
            <w:pPr>
              <w:spacing w:after="0"/>
              <w:rPr>
                <w:sz w:val="15"/>
                <w:szCs w:val="15"/>
                <w:color w:val="auto"/>
              </w:rPr>
            </w:pPr>
          </w:p>
        </w:tc>
      </w:tr>
      <w:tr>
        <w:trPr>
          <w:trHeight w:val="185"/>
        </w:trPr>
        <w:tc>
          <w:tcPr>
            <w:tcW w:w="4220" w:type="dxa"/>
            <w:vAlign w:val="bottom"/>
            <w:tcBorders>
              <w:bottom w:val="single" w:sz="8" w:color="008256"/>
              <w:right w:val="single" w:sz="8" w:color="008256"/>
            </w:tcBorders>
            <w:gridSpan w:val="2"/>
          </w:tcPr>
          <w:p>
            <w:pPr>
              <w:ind w:left="80"/>
              <w:spacing w:after="0"/>
              <w:rPr>
                <w:sz w:val="20"/>
                <w:szCs w:val="20"/>
                <w:color w:val="auto"/>
              </w:rPr>
            </w:pPr>
            <w:r>
              <w:rPr>
                <w:rFonts w:ascii="Arial" w:cs="Arial" w:eastAsia="Arial" w:hAnsi="Arial"/>
                <w:sz w:val="13"/>
                <w:szCs w:val="13"/>
                <w:b w:val="1"/>
                <w:bCs w:val="1"/>
                <w:color w:val="auto"/>
              </w:rPr>
              <w:t>Part II: Demographic Background</w:t>
            </w:r>
          </w:p>
        </w:tc>
        <w:tc>
          <w:tcPr>
            <w:tcW w:w="260" w:type="dxa"/>
            <w:vAlign w:val="bottom"/>
            <w:tcBorders>
              <w:bottom w:val="single" w:sz="8" w:color="008256"/>
            </w:tcBorders>
          </w:tcPr>
          <w:p>
            <w:pPr>
              <w:spacing w:after="0"/>
              <w:rPr>
                <w:sz w:val="16"/>
                <w:szCs w:val="16"/>
                <w:color w:val="auto"/>
              </w:rPr>
            </w:pPr>
          </w:p>
        </w:tc>
        <w:tc>
          <w:tcPr>
            <w:tcW w:w="1500" w:type="dxa"/>
            <w:vAlign w:val="bottom"/>
            <w:tcBorders>
              <w:bottom w:val="single" w:sz="8" w:color="008256"/>
              <w:right w:val="single" w:sz="8" w:color="008256"/>
            </w:tcBorders>
          </w:tcPr>
          <w:p>
            <w:pPr>
              <w:spacing w:after="0"/>
              <w:rPr>
                <w:sz w:val="16"/>
                <w:szCs w:val="16"/>
                <w:color w:val="auto"/>
              </w:rPr>
            </w:pPr>
          </w:p>
        </w:tc>
        <w:tc>
          <w:tcPr>
            <w:tcW w:w="180" w:type="dxa"/>
            <w:vAlign w:val="bottom"/>
            <w:tcBorders>
              <w:bottom w:val="single" w:sz="8" w:color="008256"/>
            </w:tcBorders>
          </w:tcPr>
          <w:p>
            <w:pPr>
              <w:spacing w:after="0"/>
              <w:rPr>
                <w:sz w:val="16"/>
                <w:szCs w:val="16"/>
                <w:color w:val="auto"/>
              </w:rPr>
            </w:pPr>
          </w:p>
        </w:tc>
        <w:tc>
          <w:tcPr>
            <w:tcW w:w="1300" w:type="dxa"/>
            <w:vAlign w:val="bottom"/>
            <w:tcBorders>
              <w:bottom w:val="single" w:sz="8" w:color="008256"/>
            </w:tcBorders>
          </w:tcPr>
          <w:p>
            <w:pPr>
              <w:spacing w:after="0"/>
              <w:rPr>
                <w:sz w:val="16"/>
                <w:szCs w:val="16"/>
                <w:color w:val="auto"/>
              </w:rPr>
            </w:pPr>
          </w:p>
        </w:tc>
        <w:tc>
          <w:tcPr>
            <w:tcW w:w="300" w:type="dxa"/>
            <w:vAlign w:val="bottom"/>
            <w:tcBorders>
              <w:bottom w:val="single" w:sz="8" w:color="008256"/>
              <w:right w:val="single" w:sz="8" w:color="008256"/>
            </w:tcBorders>
          </w:tcPr>
          <w:p>
            <w:pPr>
              <w:spacing w:after="0"/>
              <w:rPr>
                <w:sz w:val="16"/>
                <w:szCs w:val="16"/>
                <w:color w:val="auto"/>
              </w:rPr>
            </w:pPr>
          </w:p>
        </w:tc>
        <w:tc>
          <w:tcPr>
            <w:tcW w:w="100" w:type="dxa"/>
            <w:vAlign w:val="bottom"/>
            <w:tcBorders>
              <w:bottom w:val="single" w:sz="8" w:color="008256"/>
            </w:tcBorders>
          </w:tcPr>
          <w:p>
            <w:pPr>
              <w:spacing w:after="0"/>
              <w:rPr>
                <w:sz w:val="16"/>
                <w:szCs w:val="16"/>
                <w:color w:val="auto"/>
              </w:rPr>
            </w:pPr>
          </w:p>
        </w:tc>
        <w:tc>
          <w:tcPr>
            <w:tcW w:w="1720" w:type="dxa"/>
            <w:vAlign w:val="bottom"/>
            <w:tcBorders>
              <w:bottom w:val="single" w:sz="8" w:color="008256"/>
              <w:right w:val="single" w:sz="8" w:color="008256"/>
            </w:tcBorders>
          </w:tcPr>
          <w:p>
            <w:pPr>
              <w:spacing w:after="0"/>
              <w:rPr>
                <w:sz w:val="16"/>
                <w:szCs w:val="16"/>
                <w:color w:val="auto"/>
              </w:rPr>
            </w:pPr>
          </w:p>
        </w:tc>
        <w:tc>
          <w:tcPr>
            <w:tcW w:w="1680" w:type="dxa"/>
            <w:vAlign w:val="bottom"/>
            <w:tcBorders>
              <w:bottom w:val="single" w:sz="8" w:color="008256"/>
            </w:tcBorders>
          </w:tcPr>
          <w:p>
            <w:pPr>
              <w:spacing w:after="0"/>
              <w:rPr>
                <w:sz w:val="16"/>
                <w:szCs w:val="16"/>
                <w:color w:val="auto"/>
              </w:rPr>
            </w:pPr>
          </w:p>
        </w:tc>
        <w:tc>
          <w:tcPr>
            <w:tcW w:w="40" w:type="dxa"/>
            <w:vAlign w:val="bottom"/>
            <w:tcBorders>
              <w:bottom w:val="single" w:sz="8" w:color="008256"/>
              <w:right w:val="single" w:sz="8" w:color="008055"/>
            </w:tcBorders>
          </w:tcPr>
          <w:p>
            <w:pPr>
              <w:spacing w:after="0"/>
              <w:rPr>
                <w:sz w:val="16"/>
                <w:szCs w:val="16"/>
                <w:color w:val="auto"/>
              </w:rPr>
            </w:pPr>
          </w:p>
        </w:tc>
      </w:tr>
      <w:tr>
        <w:trPr>
          <w:trHeight w:val="185"/>
        </w:trPr>
        <w:tc>
          <w:tcPr>
            <w:tcW w:w="4220" w:type="dxa"/>
            <w:vAlign w:val="bottom"/>
            <w:tcBorders>
              <w:right w:val="single" w:sz="8" w:color="008256"/>
            </w:tcBorders>
            <w:gridSpan w:val="2"/>
            <w:shd w:val="clear" w:color="auto" w:fill="E6F4EF"/>
          </w:tcPr>
          <w:p>
            <w:pPr>
              <w:ind w:left="280"/>
              <w:spacing w:after="0"/>
              <w:rPr>
                <w:sz w:val="20"/>
                <w:szCs w:val="20"/>
                <w:color w:val="auto"/>
              </w:rPr>
            </w:pPr>
            <w:r>
              <w:rPr>
                <w:rFonts w:ascii="Arial" w:cs="Arial" w:eastAsia="Arial" w:hAnsi="Arial"/>
                <w:sz w:val="13"/>
                <w:szCs w:val="13"/>
                <w:color w:val="auto"/>
              </w:rPr>
              <w:t>African American or Black</w:t>
            </w:r>
          </w:p>
        </w:tc>
        <w:tc>
          <w:tcPr>
            <w:tcW w:w="260" w:type="dxa"/>
            <w:vAlign w:val="bottom"/>
            <w:tcBorders>
              <w:right w:val="single" w:sz="8" w:color="E6F4EF"/>
            </w:tcBorders>
            <w:shd w:val="clear" w:color="auto" w:fill="E6F4EF"/>
          </w:tcPr>
          <w:p>
            <w:pPr>
              <w:spacing w:after="0"/>
              <w:rPr>
                <w:sz w:val="16"/>
                <w:szCs w:val="16"/>
                <w:color w:val="auto"/>
              </w:rPr>
            </w:pPr>
          </w:p>
        </w:tc>
        <w:tc>
          <w:tcPr>
            <w:tcW w:w="1500" w:type="dxa"/>
            <w:vAlign w:val="bottom"/>
            <w:tcBorders>
              <w:right w:val="single" w:sz="8" w:color="008256"/>
            </w:tcBorders>
            <w:shd w:val="clear" w:color="auto" w:fill="E6F4EF"/>
          </w:tcPr>
          <w:p>
            <w:pPr>
              <w:jc w:val="center"/>
              <w:ind w:right="204"/>
              <w:spacing w:after="0"/>
              <w:rPr>
                <w:sz w:val="20"/>
                <w:szCs w:val="20"/>
                <w:color w:val="auto"/>
              </w:rPr>
            </w:pPr>
            <w:r>
              <w:rPr>
                <w:rFonts w:ascii="Arial" w:cs="Arial" w:eastAsia="Arial" w:hAnsi="Arial"/>
                <w:sz w:val="13"/>
                <w:szCs w:val="13"/>
                <w:color w:val="auto"/>
                <w:w w:val="82"/>
              </w:rPr>
              <w:t>1</w:t>
            </w:r>
          </w:p>
        </w:tc>
        <w:tc>
          <w:tcPr>
            <w:tcW w:w="180" w:type="dxa"/>
            <w:vAlign w:val="bottom"/>
            <w:tcBorders>
              <w:right w:val="single" w:sz="8" w:color="E6F4EF"/>
            </w:tcBorders>
            <w:shd w:val="clear" w:color="auto" w:fill="E6F4EF"/>
          </w:tcPr>
          <w:p>
            <w:pPr>
              <w:spacing w:after="0"/>
              <w:rPr>
                <w:sz w:val="16"/>
                <w:szCs w:val="16"/>
                <w:color w:val="auto"/>
              </w:rPr>
            </w:pPr>
          </w:p>
        </w:tc>
        <w:tc>
          <w:tcPr>
            <w:tcW w:w="1300" w:type="dxa"/>
            <w:vAlign w:val="bottom"/>
            <w:shd w:val="clear" w:color="auto" w:fill="E6F4EF"/>
          </w:tcPr>
          <w:p>
            <w:pPr>
              <w:jc w:val="center"/>
              <w:ind w:left="18"/>
              <w:spacing w:after="0"/>
              <w:rPr>
                <w:sz w:val="20"/>
                <w:szCs w:val="20"/>
                <w:color w:val="auto"/>
              </w:rPr>
            </w:pPr>
            <w:r>
              <w:rPr>
                <w:rFonts w:ascii="Arial" w:cs="Arial" w:eastAsia="Arial" w:hAnsi="Arial"/>
                <w:sz w:val="13"/>
                <w:szCs w:val="13"/>
                <w:color w:val="auto"/>
                <w:w w:val="91"/>
              </w:rPr>
              <w:t>—</w:t>
            </w:r>
          </w:p>
        </w:tc>
        <w:tc>
          <w:tcPr>
            <w:tcW w:w="300" w:type="dxa"/>
            <w:vAlign w:val="bottom"/>
            <w:tcBorders>
              <w:right w:val="single" w:sz="8" w:color="008256"/>
            </w:tcBorders>
            <w:shd w:val="clear" w:color="auto" w:fill="E6F4EF"/>
          </w:tcPr>
          <w:p>
            <w:pPr>
              <w:spacing w:after="0"/>
              <w:rPr>
                <w:sz w:val="16"/>
                <w:szCs w:val="16"/>
                <w:color w:val="auto"/>
              </w:rPr>
            </w:pPr>
          </w:p>
        </w:tc>
        <w:tc>
          <w:tcPr>
            <w:tcW w:w="100" w:type="dxa"/>
            <w:vAlign w:val="bottom"/>
            <w:tcBorders>
              <w:right w:val="single" w:sz="8" w:color="E6F4EF"/>
            </w:tcBorders>
            <w:shd w:val="clear" w:color="auto" w:fill="E6F4EF"/>
          </w:tcPr>
          <w:p>
            <w:pPr>
              <w:spacing w:after="0"/>
              <w:rPr>
                <w:sz w:val="16"/>
                <w:szCs w:val="16"/>
                <w:color w:val="auto"/>
              </w:rPr>
            </w:pPr>
          </w:p>
        </w:tc>
        <w:tc>
          <w:tcPr>
            <w:tcW w:w="1720" w:type="dxa"/>
            <w:vAlign w:val="bottom"/>
            <w:tcBorders>
              <w:right w:val="single" w:sz="8" w:color="008256"/>
            </w:tcBorders>
            <w:shd w:val="clear" w:color="auto" w:fill="E6F4EF"/>
          </w:tcPr>
          <w:p>
            <w:pPr>
              <w:jc w:val="center"/>
              <w:ind w:right="100"/>
              <w:spacing w:after="0"/>
              <w:rPr>
                <w:sz w:val="20"/>
                <w:szCs w:val="20"/>
                <w:color w:val="auto"/>
              </w:rPr>
            </w:pPr>
            <w:r>
              <w:rPr>
                <w:rFonts w:ascii="Arial" w:cs="Arial" w:eastAsia="Arial" w:hAnsi="Arial"/>
                <w:sz w:val="13"/>
                <w:szCs w:val="13"/>
                <w:color w:val="auto"/>
              </w:rPr>
              <w:t>—</w:t>
            </w:r>
          </w:p>
        </w:tc>
        <w:tc>
          <w:tcPr>
            <w:tcW w:w="1680" w:type="dxa"/>
            <w:vAlign w:val="bottom"/>
            <w:tcBorders>
              <w:right w:val="single" w:sz="8" w:color="E6F4EF"/>
            </w:tcBorders>
            <w:shd w:val="clear" w:color="auto" w:fill="E6F4EF"/>
          </w:tcPr>
          <w:p>
            <w:pPr>
              <w:ind w:left="760"/>
              <w:spacing w:after="0"/>
              <w:rPr>
                <w:sz w:val="20"/>
                <w:szCs w:val="20"/>
                <w:color w:val="auto"/>
              </w:rPr>
            </w:pPr>
            <w:r>
              <w:rPr>
                <w:rFonts w:ascii="Arial" w:cs="Arial" w:eastAsia="Arial" w:hAnsi="Arial"/>
                <w:sz w:val="13"/>
                <w:szCs w:val="13"/>
                <w:color w:val="auto"/>
              </w:rPr>
              <w:t>—</w:t>
            </w:r>
          </w:p>
        </w:tc>
        <w:tc>
          <w:tcPr>
            <w:tcW w:w="40" w:type="dxa"/>
            <w:vAlign w:val="bottom"/>
            <w:tcBorders>
              <w:right w:val="single" w:sz="8" w:color="008055"/>
            </w:tcBorders>
            <w:shd w:val="clear" w:color="auto" w:fill="E6F4EF"/>
          </w:tcPr>
          <w:p>
            <w:pPr>
              <w:spacing w:after="0"/>
              <w:rPr>
                <w:sz w:val="16"/>
                <w:szCs w:val="16"/>
                <w:color w:val="auto"/>
              </w:rPr>
            </w:pPr>
          </w:p>
        </w:tc>
      </w:tr>
      <w:tr>
        <w:trPr>
          <w:trHeight w:val="184"/>
        </w:trPr>
        <w:tc>
          <w:tcPr>
            <w:tcW w:w="4220" w:type="dxa"/>
            <w:vAlign w:val="bottom"/>
            <w:tcBorders>
              <w:right w:val="single" w:sz="8" w:color="008256"/>
            </w:tcBorders>
            <w:gridSpan w:val="2"/>
          </w:tcPr>
          <w:p>
            <w:pPr>
              <w:ind w:left="280"/>
              <w:spacing w:after="0"/>
              <w:rPr>
                <w:sz w:val="20"/>
                <w:szCs w:val="20"/>
                <w:color w:val="auto"/>
              </w:rPr>
            </w:pPr>
            <w:r>
              <w:rPr>
                <w:rFonts w:ascii="Arial" w:cs="Arial" w:eastAsia="Arial" w:hAnsi="Arial"/>
                <w:sz w:val="13"/>
                <w:szCs w:val="13"/>
                <w:color w:val="auto"/>
              </w:rPr>
              <w:t>Alaskan Native or Native American</w:t>
            </w:r>
          </w:p>
        </w:tc>
        <w:tc>
          <w:tcPr>
            <w:tcW w:w="260" w:type="dxa"/>
            <w:vAlign w:val="bottom"/>
          </w:tcPr>
          <w:p>
            <w:pPr>
              <w:spacing w:after="0"/>
              <w:rPr>
                <w:sz w:val="16"/>
                <w:szCs w:val="16"/>
                <w:color w:val="auto"/>
              </w:rPr>
            </w:pPr>
          </w:p>
        </w:tc>
        <w:tc>
          <w:tcPr>
            <w:tcW w:w="1500" w:type="dxa"/>
            <w:vAlign w:val="bottom"/>
            <w:tcBorders>
              <w:right w:val="single" w:sz="8" w:color="008256"/>
            </w:tcBorders>
          </w:tcPr>
          <w:p>
            <w:pPr>
              <w:jc w:val="center"/>
              <w:ind w:right="204"/>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1300" w:type="dxa"/>
            <w:vAlign w:val="bottom"/>
          </w:tcPr>
          <w:p>
            <w:pPr>
              <w:jc w:val="center"/>
              <w:ind w:left="18"/>
              <w:spacing w:after="0"/>
              <w:rPr>
                <w:sz w:val="20"/>
                <w:szCs w:val="20"/>
                <w:color w:val="auto"/>
              </w:rPr>
            </w:pPr>
            <w:r>
              <w:rPr>
                <w:rFonts w:ascii="Arial" w:cs="Arial" w:eastAsia="Arial" w:hAnsi="Arial"/>
                <w:sz w:val="13"/>
                <w:szCs w:val="13"/>
                <w:color w:val="auto"/>
                <w:w w:val="91"/>
              </w:rPr>
              <w:t>—</w:t>
            </w:r>
          </w:p>
        </w:tc>
        <w:tc>
          <w:tcPr>
            <w:tcW w:w="300" w:type="dxa"/>
            <w:vAlign w:val="bottom"/>
            <w:tcBorders>
              <w:right w:val="single" w:sz="8" w:color="008256"/>
            </w:tcBorders>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Borders>
              <w:right w:val="single" w:sz="8" w:color="008256"/>
            </w:tcBorders>
          </w:tcPr>
          <w:p>
            <w:pPr>
              <w:jc w:val="center"/>
              <w:ind w:right="100"/>
              <w:spacing w:after="0"/>
              <w:rPr>
                <w:sz w:val="20"/>
                <w:szCs w:val="20"/>
                <w:color w:val="auto"/>
              </w:rPr>
            </w:pPr>
            <w:r>
              <w:rPr>
                <w:rFonts w:ascii="Arial" w:cs="Arial" w:eastAsia="Arial" w:hAnsi="Arial"/>
                <w:sz w:val="13"/>
                <w:szCs w:val="13"/>
                <w:color w:val="auto"/>
              </w:rPr>
              <w:t>—</w:t>
            </w:r>
          </w:p>
        </w:tc>
        <w:tc>
          <w:tcPr>
            <w:tcW w:w="1680" w:type="dxa"/>
            <w:vAlign w:val="bottom"/>
          </w:tcPr>
          <w:p>
            <w:pPr>
              <w:ind w:left="760"/>
              <w:spacing w:after="0"/>
              <w:rPr>
                <w:sz w:val="20"/>
                <w:szCs w:val="20"/>
                <w:color w:val="auto"/>
              </w:rPr>
            </w:pPr>
            <w:r>
              <w:rPr>
                <w:rFonts w:ascii="Arial" w:cs="Arial" w:eastAsia="Arial" w:hAnsi="Arial"/>
                <w:sz w:val="13"/>
                <w:szCs w:val="13"/>
                <w:color w:val="auto"/>
              </w:rPr>
              <w:t>—</w:t>
            </w:r>
          </w:p>
        </w:tc>
        <w:tc>
          <w:tcPr>
            <w:tcW w:w="40" w:type="dxa"/>
            <w:vAlign w:val="bottom"/>
            <w:tcBorders>
              <w:right w:val="single" w:sz="8" w:color="008055"/>
            </w:tcBorders>
          </w:tcPr>
          <w:p>
            <w:pPr>
              <w:spacing w:after="0"/>
              <w:rPr>
                <w:sz w:val="16"/>
                <w:szCs w:val="16"/>
                <w:color w:val="auto"/>
              </w:rPr>
            </w:pPr>
          </w:p>
        </w:tc>
      </w:tr>
      <w:tr>
        <w:trPr>
          <w:trHeight w:val="198"/>
        </w:trPr>
        <w:tc>
          <w:tcPr>
            <w:tcW w:w="820" w:type="dxa"/>
            <w:vAlign w:val="bottom"/>
            <w:shd w:val="clear" w:color="auto" w:fill="E6F4EF"/>
          </w:tcPr>
          <w:p>
            <w:pPr>
              <w:ind w:left="280"/>
              <w:spacing w:after="0"/>
              <w:rPr>
                <w:sz w:val="20"/>
                <w:szCs w:val="20"/>
                <w:color w:val="auto"/>
              </w:rPr>
            </w:pPr>
            <w:r>
              <w:rPr>
                <w:rFonts w:ascii="Arial" w:cs="Arial" w:eastAsia="Arial" w:hAnsi="Arial"/>
                <w:sz w:val="13"/>
                <w:szCs w:val="13"/>
                <w:color w:val="auto"/>
              </w:rPr>
              <w:t>Asian</w:t>
            </w:r>
          </w:p>
        </w:tc>
        <w:tc>
          <w:tcPr>
            <w:tcW w:w="3400" w:type="dxa"/>
            <w:vAlign w:val="bottom"/>
            <w:tcBorders>
              <w:right w:val="single" w:sz="8" w:color="008256"/>
            </w:tcBorders>
            <w:shd w:val="clear" w:color="auto" w:fill="E6F4EF"/>
          </w:tcPr>
          <w:p>
            <w:pPr>
              <w:spacing w:after="0"/>
              <w:rPr>
                <w:sz w:val="17"/>
                <w:szCs w:val="17"/>
                <w:color w:val="auto"/>
              </w:rPr>
            </w:pPr>
          </w:p>
        </w:tc>
        <w:tc>
          <w:tcPr>
            <w:tcW w:w="260" w:type="dxa"/>
            <w:vAlign w:val="bottom"/>
            <w:tcBorders>
              <w:right w:val="single" w:sz="8" w:color="E6F4EF"/>
            </w:tcBorders>
            <w:shd w:val="clear" w:color="auto" w:fill="E6F4EF"/>
          </w:tcPr>
          <w:p>
            <w:pPr>
              <w:spacing w:after="0"/>
              <w:rPr>
                <w:sz w:val="17"/>
                <w:szCs w:val="17"/>
                <w:color w:val="auto"/>
              </w:rPr>
            </w:pPr>
          </w:p>
        </w:tc>
        <w:tc>
          <w:tcPr>
            <w:tcW w:w="1500" w:type="dxa"/>
            <w:vAlign w:val="bottom"/>
            <w:tcBorders>
              <w:right w:val="single" w:sz="8" w:color="008256"/>
            </w:tcBorders>
            <w:shd w:val="clear" w:color="auto" w:fill="E6F4EF"/>
          </w:tcPr>
          <w:p>
            <w:pPr>
              <w:jc w:val="center"/>
              <w:ind w:right="204"/>
              <w:spacing w:after="0"/>
              <w:rPr>
                <w:sz w:val="20"/>
                <w:szCs w:val="20"/>
                <w:color w:val="auto"/>
              </w:rPr>
            </w:pPr>
            <w:r>
              <w:rPr>
                <w:rFonts w:ascii="Arial" w:cs="Arial" w:eastAsia="Arial" w:hAnsi="Arial"/>
                <w:sz w:val="13"/>
                <w:szCs w:val="13"/>
                <w:color w:val="auto"/>
                <w:w w:val="82"/>
              </w:rPr>
              <w:t>1</w:t>
            </w:r>
          </w:p>
        </w:tc>
        <w:tc>
          <w:tcPr>
            <w:tcW w:w="180" w:type="dxa"/>
            <w:vAlign w:val="bottom"/>
            <w:tcBorders>
              <w:right w:val="single" w:sz="8" w:color="E6F4EF"/>
            </w:tcBorders>
            <w:shd w:val="clear" w:color="auto" w:fill="E6F4EF"/>
          </w:tcPr>
          <w:p>
            <w:pPr>
              <w:spacing w:after="0"/>
              <w:rPr>
                <w:sz w:val="17"/>
                <w:szCs w:val="17"/>
                <w:color w:val="auto"/>
              </w:rPr>
            </w:pPr>
          </w:p>
        </w:tc>
        <w:tc>
          <w:tcPr>
            <w:tcW w:w="1300" w:type="dxa"/>
            <w:vAlign w:val="bottom"/>
            <w:shd w:val="clear" w:color="auto" w:fill="E6F4EF"/>
          </w:tcPr>
          <w:p>
            <w:pPr>
              <w:jc w:val="center"/>
              <w:ind w:left="18"/>
              <w:spacing w:after="0"/>
              <w:rPr>
                <w:sz w:val="20"/>
                <w:szCs w:val="20"/>
                <w:color w:val="auto"/>
              </w:rPr>
            </w:pPr>
            <w:r>
              <w:rPr>
                <w:rFonts w:ascii="Arial" w:cs="Arial" w:eastAsia="Arial" w:hAnsi="Arial"/>
                <w:sz w:val="13"/>
                <w:szCs w:val="13"/>
                <w:color w:val="auto"/>
                <w:w w:val="91"/>
              </w:rPr>
              <w:t>—</w:t>
            </w:r>
          </w:p>
        </w:tc>
        <w:tc>
          <w:tcPr>
            <w:tcW w:w="300" w:type="dxa"/>
            <w:vAlign w:val="bottom"/>
            <w:tcBorders>
              <w:right w:val="single" w:sz="8" w:color="008256"/>
            </w:tcBorders>
            <w:shd w:val="clear" w:color="auto" w:fill="E6F4EF"/>
          </w:tcPr>
          <w:p>
            <w:pPr>
              <w:spacing w:after="0"/>
              <w:rPr>
                <w:sz w:val="17"/>
                <w:szCs w:val="17"/>
                <w:color w:val="auto"/>
              </w:rPr>
            </w:pPr>
          </w:p>
        </w:tc>
        <w:tc>
          <w:tcPr>
            <w:tcW w:w="100" w:type="dxa"/>
            <w:vAlign w:val="bottom"/>
            <w:tcBorders>
              <w:right w:val="single" w:sz="8" w:color="E6F4EF"/>
            </w:tcBorders>
            <w:shd w:val="clear" w:color="auto" w:fill="E6F4EF"/>
          </w:tcPr>
          <w:p>
            <w:pPr>
              <w:spacing w:after="0"/>
              <w:rPr>
                <w:sz w:val="17"/>
                <w:szCs w:val="17"/>
                <w:color w:val="auto"/>
              </w:rPr>
            </w:pPr>
          </w:p>
        </w:tc>
        <w:tc>
          <w:tcPr>
            <w:tcW w:w="1720" w:type="dxa"/>
            <w:vAlign w:val="bottom"/>
            <w:tcBorders>
              <w:right w:val="single" w:sz="8" w:color="008256"/>
            </w:tcBorders>
            <w:shd w:val="clear" w:color="auto" w:fill="E6F4EF"/>
          </w:tcPr>
          <w:p>
            <w:pPr>
              <w:jc w:val="center"/>
              <w:ind w:right="100"/>
              <w:spacing w:after="0"/>
              <w:rPr>
                <w:sz w:val="20"/>
                <w:szCs w:val="20"/>
                <w:color w:val="auto"/>
              </w:rPr>
            </w:pPr>
            <w:r>
              <w:rPr>
                <w:rFonts w:ascii="Arial" w:cs="Arial" w:eastAsia="Arial" w:hAnsi="Arial"/>
                <w:sz w:val="13"/>
                <w:szCs w:val="13"/>
                <w:color w:val="auto"/>
              </w:rPr>
              <w:t>—</w:t>
            </w:r>
          </w:p>
        </w:tc>
        <w:tc>
          <w:tcPr>
            <w:tcW w:w="1680" w:type="dxa"/>
            <w:vAlign w:val="bottom"/>
            <w:tcBorders>
              <w:right w:val="single" w:sz="8" w:color="E6F4EF"/>
            </w:tcBorders>
            <w:shd w:val="clear" w:color="auto" w:fill="E6F4EF"/>
          </w:tcPr>
          <w:p>
            <w:pPr>
              <w:ind w:left="760"/>
              <w:spacing w:after="0"/>
              <w:rPr>
                <w:sz w:val="20"/>
                <w:szCs w:val="20"/>
                <w:color w:val="auto"/>
              </w:rPr>
            </w:pPr>
            <w:r>
              <w:rPr>
                <w:rFonts w:ascii="Arial" w:cs="Arial" w:eastAsia="Arial" w:hAnsi="Arial"/>
                <w:sz w:val="13"/>
                <w:szCs w:val="13"/>
                <w:color w:val="auto"/>
              </w:rPr>
              <w:t>—</w:t>
            </w:r>
          </w:p>
        </w:tc>
        <w:tc>
          <w:tcPr>
            <w:tcW w:w="40" w:type="dxa"/>
            <w:vAlign w:val="bottom"/>
            <w:tcBorders>
              <w:right w:val="single" w:sz="8" w:color="008055"/>
            </w:tcBorders>
            <w:shd w:val="clear" w:color="auto" w:fill="E6F4EF"/>
          </w:tcPr>
          <w:p>
            <w:pPr>
              <w:spacing w:after="0"/>
              <w:rPr>
                <w:sz w:val="17"/>
                <w:szCs w:val="17"/>
                <w:color w:val="auto"/>
              </w:rPr>
            </w:pPr>
          </w:p>
        </w:tc>
      </w:tr>
      <w:tr>
        <w:trPr>
          <w:trHeight w:val="184"/>
        </w:trPr>
        <w:tc>
          <w:tcPr>
            <w:tcW w:w="4220" w:type="dxa"/>
            <w:vAlign w:val="bottom"/>
            <w:tcBorders>
              <w:right w:val="single" w:sz="8" w:color="008256"/>
            </w:tcBorders>
            <w:gridSpan w:val="2"/>
          </w:tcPr>
          <w:p>
            <w:pPr>
              <w:ind w:left="280"/>
              <w:spacing w:after="0"/>
              <w:rPr>
                <w:sz w:val="20"/>
                <w:szCs w:val="20"/>
                <w:color w:val="auto"/>
              </w:rPr>
            </w:pPr>
            <w:r>
              <w:rPr>
                <w:rFonts w:ascii="Arial" w:cs="Arial" w:eastAsia="Arial" w:hAnsi="Arial"/>
                <w:sz w:val="13"/>
                <w:szCs w:val="13"/>
                <w:color w:val="auto"/>
              </w:rPr>
              <w:t>Hispanic or Latinx</w:t>
            </w:r>
          </w:p>
        </w:tc>
        <w:tc>
          <w:tcPr>
            <w:tcW w:w="260" w:type="dxa"/>
            <w:vAlign w:val="bottom"/>
          </w:tcPr>
          <w:p>
            <w:pPr>
              <w:spacing w:after="0"/>
              <w:rPr>
                <w:sz w:val="16"/>
                <w:szCs w:val="16"/>
                <w:color w:val="auto"/>
              </w:rPr>
            </w:pPr>
          </w:p>
        </w:tc>
        <w:tc>
          <w:tcPr>
            <w:tcW w:w="1500" w:type="dxa"/>
            <w:vAlign w:val="bottom"/>
            <w:tcBorders>
              <w:right w:val="single" w:sz="8" w:color="008256"/>
            </w:tcBorders>
          </w:tcPr>
          <w:p>
            <w:pPr>
              <w:jc w:val="center"/>
              <w:ind w:right="204"/>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1300" w:type="dxa"/>
            <w:vAlign w:val="bottom"/>
          </w:tcPr>
          <w:p>
            <w:pPr>
              <w:jc w:val="center"/>
              <w:ind w:left="18"/>
              <w:spacing w:after="0"/>
              <w:rPr>
                <w:sz w:val="20"/>
                <w:szCs w:val="20"/>
                <w:color w:val="auto"/>
              </w:rPr>
            </w:pPr>
            <w:r>
              <w:rPr>
                <w:rFonts w:ascii="Arial" w:cs="Arial" w:eastAsia="Arial" w:hAnsi="Arial"/>
                <w:sz w:val="13"/>
                <w:szCs w:val="13"/>
                <w:color w:val="auto"/>
                <w:w w:val="91"/>
              </w:rPr>
              <w:t>—</w:t>
            </w:r>
          </w:p>
        </w:tc>
        <w:tc>
          <w:tcPr>
            <w:tcW w:w="300" w:type="dxa"/>
            <w:vAlign w:val="bottom"/>
            <w:tcBorders>
              <w:right w:val="single" w:sz="8" w:color="008256"/>
            </w:tcBorders>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Borders>
              <w:right w:val="single" w:sz="8" w:color="008256"/>
            </w:tcBorders>
          </w:tcPr>
          <w:p>
            <w:pPr>
              <w:jc w:val="center"/>
              <w:ind w:right="100"/>
              <w:spacing w:after="0"/>
              <w:rPr>
                <w:sz w:val="20"/>
                <w:szCs w:val="20"/>
                <w:color w:val="auto"/>
              </w:rPr>
            </w:pPr>
            <w:r>
              <w:rPr>
                <w:rFonts w:ascii="Arial" w:cs="Arial" w:eastAsia="Arial" w:hAnsi="Arial"/>
                <w:sz w:val="13"/>
                <w:szCs w:val="13"/>
                <w:color w:val="auto"/>
              </w:rPr>
              <w:t>—</w:t>
            </w:r>
          </w:p>
        </w:tc>
        <w:tc>
          <w:tcPr>
            <w:tcW w:w="1680" w:type="dxa"/>
            <w:vAlign w:val="bottom"/>
          </w:tcPr>
          <w:p>
            <w:pPr>
              <w:ind w:left="760"/>
              <w:spacing w:after="0"/>
              <w:rPr>
                <w:sz w:val="20"/>
                <w:szCs w:val="20"/>
                <w:color w:val="auto"/>
              </w:rPr>
            </w:pPr>
            <w:r>
              <w:rPr>
                <w:rFonts w:ascii="Arial" w:cs="Arial" w:eastAsia="Arial" w:hAnsi="Arial"/>
                <w:sz w:val="13"/>
                <w:szCs w:val="13"/>
                <w:color w:val="auto"/>
              </w:rPr>
              <w:t>—</w:t>
            </w:r>
          </w:p>
        </w:tc>
        <w:tc>
          <w:tcPr>
            <w:tcW w:w="40" w:type="dxa"/>
            <w:vAlign w:val="bottom"/>
            <w:tcBorders>
              <w:right w:val="single" w:sz="8" w:color="008055"/>
            </w:tcBorders>
          </w:tcPr>
          <w:p>
            <w:pPr>
              <w:spacing w:after="0"/>
              <w:rPr>
                <w:sz w:val="16"/>
                <w:szCs w:val="16"/>
                <w:color w:val="auto"/>
              </w:rPr>
            </w:pPr>
          </w:p>
        </w:tc>
      </w:tr>
      <w:tr>
        <w:trPr>
          <w:trHeight w:val="198"/>
        </w:trPr>
        <w:tc>
          <w:tcPr>
            <w:tcW w:w="4220" w:type="dxa"/>
            <w:vAlign w:val="bottom"/>
            <w:tcBorders>
              <w:right w:val="single" w:sz="8" w:color="008256"/>
            </w:tcBorders>
            <w:gridSpan w:val="2"/>
            <w:shd w:val="clear" w:color="auto" w:fill="E6F4EF"/>
          </w:tcPr>
          <w:p>
            <w:pPr>
              <w:ind w:left="280"/>
              <w:spacing w:after="0"/>
              <w:rPr>
                <w:sz w:val="20"/>
                <w:szCs w:val="20"/>
                <w:color w:val="auto"/>
              </w:rPr>
            </w:pPr>
            <w:r>
              <w:rPr>
                <w:rFonts w:ascii="Arial" w:cs="Arial" w:eastAsia="Arial" w:hAnsi="Arial"/>
                <w:sz w:val="13"/>
                <w:szCs w:val="13"/>
                <w:color w:val="auto"/>
              </w:rPr>
              <w:t>Native Hawaiian or Pacific Islander</w:t>
            </w:r>
          </w:p>
        </w:tc>
        <w:tc>
          <w:tcPr>
            <w:tcW w:w="260" w:type="dxa"/>
            <w:vAlign w:val="bottom"/>
            <w:tcBorders>
              <w:right w:val="single" w:sz="8" w:color="E6F4EF"/>
            </w:tcBorders>
            <w:shd w:val="clear" w:color="auto" w:fill="E6F4EF"/>
          </w:tcPr>
          <w:p>
            <w:pPr>
              <w:spacing w:after="0"/>
              <w:rPr>
                <w:sz w:val="17"/>
                <w:szCs w:val="17"/>
                <w:color w:val="auto"/>
              </w:rPr>
            </w:pPr>
          </w:p>
        </w:tc>
        <w:tc>
          <w:tcPr>
            <w:tcW w:w="1500" w:type="dxa"/>
            <w:vAlign w:val="bottom"/>
            <w:tcBorders>
              <w:right w:val="single" w:sz="8" w:color="008256"/>
            </w:tcBorders>
            <w:shd w:val="clear" w:color="auto" w:fill="E6F4EF"/>
          </w:tcPr>
          <w:p>
            <w:pPr>
              <w:jc w:val="center"/>
              <w:ind w:right="204"/>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E6F4EF"/>
            </w:tcBorders>
            <w:shd w:val="clear" w:color="auto" w:fill="E6F4EF"/>
          </w:tcPr>
          <w:p>
            <w:pPr>
              <w:spacing w:after="0"/>
              <w:rPr>
                <w:sz w:val="17"/>
                <w:szCs w:val="17"/>
                <w:color w:val="auto"/>
              </w:rPr>
            </w:pPr>
          </w:p>
        </w:tc>
        <w:tc>
          <w:tcPr>
            <w:tcW w:w="1300" w:type="dxa"/>
            <w:vAlign w:val="bottom"/>
            <w:shd w:val="clear" w:color="auto" w:fill="E6F4EF"/>
          </w:tcPr>
          <w:p>
            <w:pPr>
              <w:jc w:val="center"/>
              <w:ind w:left="18"/>
              <w:spacing w:after="0"/>
              <w:rPr>
                <w:sz w:val="20"/>
                <w:szCs w:val="20"/>
                <w:color w:val="auto"/>
              </w:rPr>
            </w:pPr>
            <w:r>
              <w:rPr>
                <w:rFonts w:ascii="Arial" w:cs="Arial" w:eastAsia="Arial" w:hAnsi="Arial"/>
                <w:sz w:val="13"/>
                <w:szCs w:val="13"/>
                <w:color w:val="auto"/>
                <w:w w:val="91"/>
              </w:rPr>
              <w:t>—</w:t>
            </w:r>
          </w:p>
        </w:tc>
        <w:tc>
          <w:tcPr>
            <w:tcW w:w="300" w:type="dxa"/>
            <w:vAlign w:val="bottom"/>
            <w:tcBorders>
              <w:right w:val="single" w:sz="8" w:color="008256"/>
            </w:tcBorders>
            <w:shd w:val="clear" w:color="auto" w:fill="E6F4EF"/>
          </w:tcPr>
          <w:p>
            <w:pPr>
              <w:spacing w:after="0"/>
              <w:rPr>
                <w:sz w:val="17"/>
                <w:szCs w:val="17"/>
                <w:color w:val="auto"/>
              </w:rPr>
            </w:pPr>
          </w:p>
        </w:tc>
        <w:tc>
          <w:tcPr>
            <w:tcW w:w="100" w:type="dxa"/>
            <w:vAlign w:val="bottom"/>
            <w:tcBorders>
              <w:right w:val="single" w:sz="8" w:color="E6F4EF"/>
            </w:tcBorders>
            <w:shd w:val="clear" w:color="auto" w:fill="E6F4EF"/>
          </w:tcPr>
          <w:p>
            <w:pPr>
              <w:spacing w:after="0"/>
              <w:rPr>
                <w:sz w:val="17"/>
                <w:szCs w:val="17"/>
                <w:color w:val="auto"/>
              </w:rPr>
            </w:pPr>
          </w:p>
        </w:tc>
        <w:tc>
          <w:tcPr>
            <w:tcW w:w="1720" w:type="dxa"/>
            <w:vAlign w:val="bottom"/>
            <w:tcBorders>
              <w:right w:val="single" w:sz="8" w:color="008256"/>
            </w:tcBorders>
            <w:shd w:val="clear" w:color="auto" w:fill="E6F4EF"/>
          </w:tcPr>
          <w:p>
            <w:pPr>
              <w:jc w:val="center"/>
              <w:ind w:right="100"/>
              <w:spacing w:after="0"/>
              <w:rPr>
                <w:sz w:val="20"/>
                <w:szCs w:val="20"/>
                <w:color w:val="auto"/>
              </w:rPr>
            </w:pPr>
            <w:r>
              <w:rPr>
                <w:rFonts w:ascii="Arial" w:cs="Arial" w:eastAsia="Arial" w:hAnsi="Arial"/>
                <w:sz w:val="13"/>
                <w:szCs w:val="13"/>
                <w:color w:val="auto"/>
              </w:rPr>
              <w:t>—</w:t>
            </w:r>
          </w:p>
        </w:tc>
        <w:tc>
          <w:tcPr>
            <w:tcW w:w="1680" w:type="dxa"/>
            <w:vAlign w:val="bottom"/>
            <w:tcBorders>
              <w:right w:val="single" w:sz="8" w:color="E6F4EF"/>
            </w:tcBorders>
            <w:shd w:val="clear" w:color="auto" w:fill="E6F4EF"/>
          </w:tcPr>
          <w:p>
            <w:pPr>
              <w:ind w:left="760"/>
              <w:spacing w:after="0"/>
              <w:rPr>
                <w:sz w:val="20"/>
                <w:szCs w:val="20"/>
                <w:color w:val="auto"/>
              </w:rPr>
            </w:pPr>
            <w:r>
              <w:rPr>
                <w:rFonts w:ascii="Arial" w:cs="Arial" w:eastAsia="Arial" w:hAnsi="Arial"/>
                <w:sz w:val="13"/>
                <w:szCs w:val="13"/>
                <w:color w:val="auto"/>
              </w:rPr>
              <w:t>—</w:t>
            </w:r>
          </w:p>
        </w:tc>
        <w:tc>
          <w:tcPr>
            <w:tcW w:w="40" w:type="dxa"/>
            <w:vAlign w:val="bottom"/>
            <w:tcBorders>
              <w:right w:val="single" w:sz="8" w:color="008055"/>
            </w:tcBorders>
            <w:shd w:val="clear" w:color="auto" w:fill="E6F4EF"/>
          </w:tcPr>
          <w:p>
            <w:pPr>
              <w:spacing w:after="0"/>
              <w:rPr>
                <w:sz w:val="17"/>
                <w:szCs w:val="17"/>
                <w:color w:val="auto"/>
              </w:rPr>
            </w:pPr>
          </w:p>
        </w:tc>
      </w:tr>
      <w:tr>
        <w:trPr>
          <w:trHeight w:val="191"/>
        </w:trPr>
        <w:tc>
          <w:tcPr>
            <w:tcW w:w="820" w:type="dxa"/>
            <w:vAlign w:val="bottom"/>
          </w:tcPr>
          <w:p>
            <w:pPr>
              <w:ind w:left="280"/>
              <w:spacing w:after="0"/>
              <w:rPr>
                <w:sz w:val="20"/>
                <w:szCs w:val="20"/>
                <w:color w:val="auto"/>
              </w:rPr>
            </w:pPr>
            <w:r>
              <w:rPr>
                <w:rFonts w:ascii="Arial" w:cs="Arial" w:eastAsia="Arial" w:hAnsi="Arial"/>
                <w:sz w:val="13"/>
                <w:szCs w:val="13"/>
                <w:color w:val="auto"/>
              </w:rPr>
              <w:t>White</w:t>
            </w:r>
          </w:p>
        </w:tc>
        <w:tc>
          <w:tcPr>
            <w:tcW w:w="3400" w:type="dxa"/>
            <w:vAlign w:val="bottom"/>
            <w:tcBorders>
              <w:right w:val="single" w:sz="8" w:color="008256"/>
            </w:tcBorders>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Borders>
              <w:right w:val="single" w:sz="8" w:color="008055"/>
            </w:tcBorders>
          </w:tcPr>
          <w:p>
            <w:pPr>
              <w:jc w:val="center"/>
              <w:ind w:right="204"/>
              <w:spacing w:after="0"/>
              <w:rPr>
                <w:sz w:val="20"/>
                <w:szCs w:val="20"/>
                <w:color w:val="auto"/>
              </w:rPr>
            </w:pPr>
            <w:r>
              <w:rPr>
                <w:rFonts w:ascii="Arial" w:cs="Arial" w:eastAsia="Arial" w:hAnsi="Arial"/>
                <w:sz w:val="13"/>
                <w:szCs w:val="13"/>
                <w:color w:val="auto"/>
                <w:w w:val="82"/>
              </w:rPr>
              <w:t>1</w:t>
            </w:r>
          </w:p>
        </w:tc>
        <w:tc>
          <w:tcPr>
            <w:tcW w:w="180" w:type="dxa"/>
            <w:vAlign w:val="bottom"/>
          </w:tcPr>
          <w:p>
            <w:pPr>
              <w:spacing w:after="0"/>
              <w:rPr>
                <w:sz w:val="16"/>
                <w:szCs w:val="16"/>
                <w:color w:val="auto"/>
              </w:rPr>
            </w:pPr>
          </w:p>
        </w:tc>
        <w:tc>
          <w:tcPr>
            <w:tcW w:w="1300" w:type="dxa"/>
            <w:vAlign w:val="bottom"/>
          </w:tcPr>
          <w:p>
            <w:pPr>
              <w:jc w:val="center"/>
              <w:ind w:left="18"/>
              <w:spacing w:after="0"/>
              <w:rPr>
                <w:sz w:val="20"/>
                <w:szCs w:val="20"/>
                <w:color w:val="auto"/>
              </w:rPr>
            </w:pPr>
            <w:r>
              <w:rPr>
                <w:rFonts w:ascii="Arial" w:cs="Arial" w:eastAsia="Arial" w:hAnsi="Arial"/>
                <w:sz w:val="13"/>
                <w:szCs w:val="13"/>
                <w:color w:val="auto"/>
              </w:rPr>
              <w:t>2</w:t>
            </w:r>
          </w:p>
        </w:tc>
        <w:tc>
          <w:tcPr>
            <w:tcW w:w="300" w:type="dxa"/>
            <w:vAlign w:val="bottom"/>
            <w:tcBorders>
              <w:right w:val="single" w:sz="8" w:color="008055"/>
            </w:tcBorders>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Borders>
              <w:right w:val="single" w:sz="8" w:color="008055"/>
            </w:tcBorders>
          </w:tcPr>
          <w:p>
            <w:pPr>
              <w:jc w:val="center"/>
              <w:ind w:right="100"/>
              <w:spacing w:after="0"/>
              <w:rPr>
                <w:sz w:val="20"/>
                <w:szCs w:val="20"/>
                <w:color w:val="auto"/>
              </w:rPr>
            </w:pPr>
            <w:r>
              <w:rPr>
                <w:rFonts w:ascii="Arial" w:cs="Arial" w:eastAsia="Arial" w:hAnsi="Arial"/>
                <w:sz w:val="13"/>
                <w:szCs w:val="13"/>
                <w:color w:val="auto"/>
              </w:rPr>
              <w:t>—</w:t>
            </w:r>
          </w:p>
        </w:tc>
        <w:tc>
          <w:tcPr>
            <w:tcW w:w="1680" w:type="dxa"/>
            <w:vAlign w:val="bottom"/>
          </w:tcPr>
          <w:p>
            <w:pPr>
              <w:ind w:left="760"/>
              <w:spacing w:after="0"/>
              <w:rPr>
                <w:sz w:val="20"/>
                <w:szCs w:val="20"/>
                <w:color w:val="auto"/>
              </w:rPr>
            </w:pPr>
            <w:r>
              <w:rPr>
                <w:rFonts w:ascii="Arial" w:cs="Arial" w:eastAsia="Arial" w:hAnsi="Arial"/>
                <w:sz w:val="13"/>
                <w:szCs w:val="13"/>
                <w:color w:val="auto"/>
              </w:rPr>
              <w:t>—</w:t>
            </w:r>
          </w:p>
        </w:tc>
        <w:tc>
          <w:tcPr>
            <w:tcW w:w="40" w:type="dxa"/>
            <w:vAlign w:val="bottom"/>
            <w:tcBorders>
              <w:right w:val="single" w:sz="8" w:color="008055"/>
            </w:tcBorders>
          </w:tcPr>
          <w:p>
            <w:pPr>
              <w:spacing w:after="0"/>
              <w:rPr>
                <w:sz w:val="16"/>
                <w:szCs w:val="16"/>
                <w:color w:val="auto"/>
              </w:rPr>
            </w:pPr>
          </w:p>
        </w:tc>
      </w:tr>
      <w:tr>
        <w:trPr>
          <w:trHeight w:val="191"/>
        </w:trPr>
        <w:tc>
          <w:tcPr>
            <w:tcW w:w="4220" w:type="dxa"/>
            <w:vAlign w:val="bottom"/>
            <w:tcBorders>
              <w:right w:val="single" w:sz="8" w:color="008256"/>
            </w:tcBorders>
            <w:gridSpan w:val="2"/>
            <w:shd w:val="clear" w:color="auto" w:fill="E6F4EF"/>
          </w:tcPr>
          <w:p>
            <w:pPr>
              <w:ind w:left="280"/>
              <w:spacing w:after="0"/>
              <w:rPr>
                <w:sz w:val="20"/>
                <w:szCs w:val="20"/>
                <w:color w:val="auto"/>
              </w:rPr>
            </w:pPr>
            <w:r>
              <w:rPr>
                <w:rFonts w:ascii="Arial" w:cs="Arial" w:eastAsia="Arial" w:hAnsi="Arial"/>
                <w:sz w:val="13"/>
                <w:szCs w:val="13"/>
                <w:color w:val="auto"/>
              </w:rPr>
              <w:t>Two or More Races or Ethnicities</w:t>
            </w:r>
          </w:p>
        </w:tc>
        <w:tc>
          <w:tcPr>
            <w:tcW w:w="260" w:type="dxa"/>
            <w:vAlign w:val="bottom"/>
            <w:tcBorders>
              <w:right w:val="single" w:sz="8" w:color="E6F4EF"/>
            </w:tcBorders>
            <w:shd w:val="clear" w:color="auto" w:fill="E6F4EF"/>
          </w:tcPr>
          <w:p>
            <w:pPr>
              <w:spacing w:after="0"/>
              <w:rPr>
                <w:sz w:val="16"/>
                <w:szCs w:val="16"/>
                <w:color w:val="auto"/>
              </w:rPr>
            </w:pPr>
          </w:p>
        </w:tc>
        <w:tc>
          <w:tcPr>
            <w:tcW w:w="1500" w:type="dxa"/>
            <w:vAlign w:val="bottom"/>
            <w:tcBorders>
              <w:right w:val="single" w:sz="8" w:color="008256"/>
            </w:tcBorders>
            <w:shd w:val="clear" w:color="auto" w:fill="E6F4EF"/>
          </w:tcPr>
          <w:p>
            <w:pPr>
              <w:jc w:val="center"/>
              <w:ind w:right="204"/>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E6F4EF"/>
            </w:tcBorders>
            <w:shd w:val="clear" w:color="auto" w:fill="E6F4EF"/>
          </w:tcPr>
          <w:p>
            <w:pPr>
              <w:spacing w:after="0"/>
              <w:rPr>
                <w:sz w:val="16"/>
                <w:szCs w:val="16"/>
                <w:color w:val="auto"/>
              </w:rPr>
            </w:pPr>
          </w:p>
        </w:tc>
        <w:tc>
          <w:tcPr>
            <w:tcW w:w="1300" w:type="dxa"/>
            <w:vAlign w:val="bottom"/>
            <w:shd w:val="clear" w:color="auto" w:fill="E6F4EF"/>
          </w:tcPr>
          <w:p>
            <w:pPr>
              <w:jc w:val="center"/>
              <w:ind w:left="18"/>
              <w:spacing w:after="0"/>
              <w:rPr>
                <w:sz w:val="20"/>
                <w:szCs w:val="20"/>
                <w:color w:val="auto"/>
              </w:rPr>
            </w:pPr>
            <w:r>
              <w:rPr>
                <w:rFonts w:ascii="Arial" w:cs="Arial" w:eastAsia="Arial" w:hAnsi="Arial"/>
                <w:sz w:val="13"/>
                <w:szCs w:val="13"/>
                <w:color w:val="auto"/>
                <w:w w:val="91"/>
              </w:rPr>
              <w:t>—</w:t>
            </w:r>
          </w:p>
        </w:tc>
        <w:tc>
          <w:tcPr>
            <w:tcW w:w="300" w:type="dxa"/>
            <w:vAlign w:val="bottom"/>
            <w:tcBorders>
              <w:right w:val="single" w:sz="8" w:color="008256"/>
            </w:tcBorders>
            <w:shd w:val="clear" w:color="auto" w:fill="E6F4EF"/>
          </w:tcPr>
          <w:p>
            <w:pPr>
              <w:spacing w:after="0"/>
              <w:rPr>
                <w:sz w:val="16"/>
                <w:szCs w:val="16"/>
                <w:color w:val="auto"/>
              </w:rPr>
            </w:pPr>
          </w:p>
        </w:tc>
        <w:tc>
          <w:tcPr>
            <w:tcW w:w="100" w:type="dxa"/>
            <w:vAlign w:val="bottom"/>
            <w:tcBorders>
              <w:right w:val="single" w:sz="8" w:color="E6F4EF"/>
            </w:tcBorders>
            <w:shd w:val="clear" w:color="auto" w:fill="E6F4EF"/>
          </w:tcPr>
          <w:p>
            <w:pPr>
              <w:spacing w:after="0"/>
              <w:rPr>
                <w:sz w:val="16"/>
                <w:szCs w:val="16"/>
                <w:color w:val="auto"/>
              </w:rPr>
            </w:pPr>
          </w:p>
        </w:tc>
        <w:tc>
          <w:tcPr>
            <w:tcW w:w="1720" w:type="dxa"/>
            <w:vAlign w:val="bottom"/>
            <w:tcBorders>
              <w:right w:val="single" w:sz="8" w:color="008256"/>
            </w:tcBorders>
            <w:shd w:val="clear" w:color="auto" w:fill="E6F4EF"/>
          </w:tcPr>
          <w:p>
            <w:pPr>
              <w:jc w:val="center"/>
              <w:ind w:right="100"/>
              <w:spacing w:after="0"/>
              <w:rPr>
                <w:sz w:val="20"/>
                <w:szCs w:val="20"/>
                <w:color w:val="auto"/>
              </w:rPr>
            </w:pPr>
            <w:r>
              <w:rPr>
                <w:rFonts w:ascii="Arial" w:cs="Arial" w:eastAsia="Arial" w:hAnsi="Arial"/>
                <w:sz w:val="13"/>
                <w:szCs w:val="13"/>
                <w:color w:val="auto"/>
              </w:rPr>
              <w:t>—</w:t>
            </w:r>
          </w:p>
        </w:tc>
        <w:tc>
          <w:tcPr>
            <w:tcW w:w="1680" w:type="dxa"/>
            <w:vAlign w:val="bottom"/>
            <w:tcBorders>
              <w:right w:val="single" w:sz="8" w:color="E6F4EF"/>
            </w:tcBorders>
            <w:shd w:val="clear" w:color="auto" w:fill="E6F4EF"/>
          </w:tcPr>
          <w:p>
            <w:pPr>
              <w:ind w:left="760"/>
              <w:spacing w:after="0"/>
              <w:rPr>
                <w:sz w:val="20"/>
                <w:szCs w:val="20"/>
                <w:color w:val="auto"/>
              </w:rPr>
            </w:pPr>
            <w:r>
              <w:rPr>
                <w:rFonts w:ascii="Arial" w:cs="Arial" w:eastAsia="Arial" w:hAnsi="Arial"/>
                <w:sz w:val="13"/>
                <w:szCs w:val="13"/>
                <w:color w:val="auto"/>
              </w:rPr>
              <w:t>—</w:t>
            </w:r>
          </w:p>
        </w:tc>
        <w:tc>
          <w:tcPr>
            <w:tcW w:w="40" w:type="dxa"/>
            <w:vAlign w:val="bottom"/>
            <w:tcBorders>
              <w:right w:val="single" w:sz="8" w:color="008256"/>
            </w:tcBorders>
            <w:shd w:val="clear" w:color="auto" w:fill="E6F4EF"/>
          </w:tcPr>
          <w:p>
            <w:pPr>
              <w:spacing w:after="0"/>
              <w:rPr>
                <w:sz w:val="16"/>
                <w:szCs w:val="16"/>
                <w:color w:val="auto"/>
              </w:rPr>
            </w:pPr>
          </w:p>
        </w:tc>
      </w:tr>
      <w:tr>
        <w:trPr>
          <w:trHeight w:val="184"/>
        </w:trPr>
        <w:tc>
          <w:tcPr>
            <w:tcW w:w="820" w:type="dxa"/>
            <w:vAlign w:val="bottom"/>
          </w:tcPr>
          <w:p>
            <w:pPr>
              <w:ind w:left="280"/>
              <w:spacing w:after="0"/>
              <w:rPr>
                <w:sz w:val="20"/>
                <w:szCs w:val="20"/>
                <w:color w:val="auto"/>
              </w:rPr>
            </w:pPr>
            <w:r>
              <w:rPr>
                <w:rFonts w:ascii="Arial" w:cs="Arial" w:eastAsia="Arial" w:hAnsi="Arial"/>
                <w:sz w:val="13"/>
                <w:szCs w:val="13"/>
                <w:color w:val="auto"/>
              </w:rPr>
              <w:t>LGBTQ+</w:t>
            </w:r>
          </w:p>
        </w:tc>
        <w:tc>
          <w:tcPr>
            <w:tcW w:w="3400" w:type="dxa"/>
            <w:vAlign w:val="bottom"/>
            <w:tcBorders>
              <w:right w:val="single" w:sz="8" w:color="008256"/>
            </w:tcBorders>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Borders>
              <w:right w:val="single" w:sz="8" w:color="008256"/>
            </w:tcBorders>
          </w:tcPr>
          <w:p>
            <w:pPr>
              <w:jc w:val="center"/>
              <w:ind w:right="204"/>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6"/>
                <w:szCs w:val="16"/>
                <w:color w:val="auto"/>
              </w:rPr>
            </w:pPr>
          </w:p>
        </w:tc>
        <w:tc>
          <w:tcPr>
            <w:tcW w:w="1300" w:type="dxa"/>
            <w:vAlign w:val="bottom"/>
          </w:tcPr>
          <w:p>
            <w:pPr>
              <w:jc w:val="center"/>
              <w:ind w:left="18"/>
              <w:spacing w:after="0"/>
              <w:rPr>
                <w:sz w:val="20"/>
                <w:szCs w:val="20"/>
                <w:color w:val="auto"/>
              </w:rPr>
            </w:pPr>
            <w:r>
              <w:rPr>
                <w:rFonts w:ascii="Arial" w:cs="Arial" w:eastAsia="Arial" w:hAnsi="Arial"/>
                <w:sz w:val="13"/>
                <w:szCs w:val="13"/>
                <w:color w:val="auto"/>
                <w:w w:val="91"/>
              </w:rPr>
              <w:t>—</w:t>
            </w:r>
          </w:p>
        </w:tc>
        <w:tc>
          <w:tcPr>
            <w:tcW w:w="300" w:type="dxa"/>
            <w:vAlign w:val="bottom"/>
            <w:tcBorders>
              <w:right w:val="single" w:sz="8" w:color="008256"/>
            </w:tcBorders>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Borders>
              <w:right w:val="single" w:sz="8" w:color="008256"/>
            </w:tcBorders>
          </w:tcPr>
          <w:p>
            <w:pPr>
              <w:jc w:val="center"/>
              <w:ind w:right="100"/>
              <w:spacing w:after="0"/>
              <w:rPr>
                <w:sz w:val="20"/>
                <w:szCs w:val="20"/>
                <w:color w:val="auto"/>
              </w:rPr>
            </w:pPr>
            <w:r>
              <w:rPr>
                <w:rFonts w:ascii="Arial" w:cs="Arial" w:eastAsia="Arial" w:hAnsi="Arial"/>
                <w:sz w:val="13"/>
                <w:szCs w:val="13"/>
                <w:color w:val="auto"/>
              </w:rPr>
              <w:t>—</w:t>
            </w:r>
          </w:p>
        </w:tc>
        <w:tc>
          <w:tcPr>
            <w:tcW w:w="1680" w:type="dxa"/>
            <w:vAlign w:val="bottom"/>
          </w:tcPr>
          <w:p>
            <w:pPr>
              <w:ind w:left="760"/>
              <w:spacing w:after="0"/>
              <w:rPr>
                <w:sz w:val="20"/>
                <w:szCs w:val="20"/>
                <w:color w:val="auto"/>
              </w:rPr>
            </w:pPr>
            <w:r>
              <w:rPr>
                <w:rFonts w:ascii="Arial" w:cs="Arial" w:eastAsia="Arial" w:hAnsi="Arial"/>
                <w:sz w:val="13"/>
                <w:szCs w:val="13"/>
                <w:color w:val="auto"/>
              </w:rPr>
              <w:t>—</w:t>
            </w:r>
          </w:p>
        </w:tc>
        <w:tc>
          <w:tcPr>
            <w:tcW w:w="40" w:type="dxa"/>
            <w:vAlign w:val="bottom"/>
            <w:tcBorders>
              <w:right w:val="single" w:sz="8" w:color="008256"/>
            </w:tcBorders>
          </w:tcPr>
          <w:p>
            <w:pPr>
              <w:spacing w:after="0"/>
              <w:rPr>
                <w:sz w:val="16"/>
                <w:szCs w:val="16"/>
                <w:color w:val="auto"/>
              </w:rPr>
            </w:pPr>
          </w:p>
        </w:tc>
      </w:tr>
      <w:tr>
        <w:trPr>
          <w:trHeight w:val="198"/>
        </w:trPr>
        <w:tc>
          <w:tcPr>
            <w:tcW w:w="4220" w:type="dxa"/>
            <w:vAlign w:val="bottom"/>
            <w:tcBorders>
              <w:right w:val="single" w:sz="8" w:color="008256"/>
            </w:tcBorders>
            <w:gridSpan w:val="2"/>
            <w:shd w:val="clear" w:color="auto" w:fill="E6F4EF"/>
          </w:tcPr>
          <w:p>
            <w:pPr>
              <w:ind w:left="280"/>
              <w:spacing w:after="0"/>
              <w:rPr>
                <w:sz w:val="20"/>
                <w:szCs w:val="20"/>
                <w:color w:val="auto"/>
              </w:rPr>
            </w:pPr>
            <w:r>
              <w:rPr>
                <w:rFonts w:ascii="Arial" w:cs="Arial" w:eastAsia="Arial" w:hAnsi="Arial"/>
                <w:sz w:val="13"/>
                <w:szCs w:val="13"/>
                <w:color w:val="auto"/>
              </w:rPr>
              <w:t>Did Not Disclose Demographic Background</w:t>
            </w:r>
          </w:p>
        </w:tc>
        <w:tc>
          <w:tcPr>
            <w:tcW w:w="260" w:type="dxa"/>
            <w:vAlign w:val="bottom"/>
            <w:tcBorders>
              <w:right w:val="single" w:sz="8" w:color="E6F4EF"/>
            </w:tcBorders>
            <w:shd w:val="clear" w:color="auto" w:fill="E6F4EF"/>
          </w:tcPr>
          <w:p>
            <w:pPr>
              <w:spacing w:after="0"/>
              <w:rPr>
                <w:sz w:val="17"/>
                <w:szCs w:val="17"/>
                <w:color w:val="auto"/>
              </w:rPr>
            </w:pPr>
          </w:p>
        </w:tc>
        <w:tc>
          <w:tcPr>
            <w:tcW w:w="1500" w:type="dxa"/>
            <w:vAlign w:val="bottom"/>
            <w:tcBorders>
              <w:right w:val="single" w:sz="8" w:color="008256"/>
            </w:tcBorders>
            <w:shd w:val="clear" w:color="auto" w:fill="E6F4EF"/>
          </w:tcPr>
          <w:p>
            <w:pPr>
              <w:jc w:val="center"/>
              <w:ind w:right="204"/>
              <w:spacing w:after="0"/>
              <w:rPr>
                <w:sz w:val="20"/>
                <w:szCs w:val="20"/>
                <w:color w:val="auto"/>
              </w:rPr>
            </w:pPr>
            <w:r>
              <w:rPr>
                <w:rFonts w:ascii="Arial" w:cs="Arial" w:eastAsia="Arial" w:hAnsi="Arial"/>
                <w:sz w:val="13"/>
                <w:szCs w:val="13"/>
                <w:color w:val="auto"/>
              </w:rPr>
              <w:t>—</w:t>
            </w:r>
          </w:p>
        </w:tc>
        <w:tc>
          <w:tcPr>
            <w:tcW w:w="180" w:type="dxa"/>
            <w:vAlign w:val="bottom"/>
            <w:tcBorders>
              <w:right w:val="single" w:sz="8" w:color="E6F4EF"/>
            </w:tcBorders>
            <w:shd w:val="clear" w:color="auto" w:fill="E6F4EF"/>
          </w:tcPr>
          <w:p>
            <w:pPr>
              <w:spacing w:after="0"/>
              <w:rPr>
                <w:sz w:val="17"/>
                <w:szCs w:val="17"/>
                <w:color w:val="auto"/>
              </w:rPr>
            </w:pPr>
          </w:p>
        </w:tc>
        <w:tc>
          <w:tcPr>
            <w:tcW w:w="1300" w:type="dxa"/>
            <w:vAlign w:val="bottom"/>
            <w:shd w:val="clear" w:color="auto" w:fill="E6F4EF"/>
          </w:tcPr>
          <w:p>
            <w:pPr>
              <w:jc w:val="center"/>
              <w:ind w:left="18"/>
              <w:spacing w:after="0"/>
              <w:rPr>
                <w:sz w:val="20"/>
                <w:szCs w:val="20"/>
                <w:color w:val="auto"/>
              </w:rPr>
            </w:pPr>
            <w:r>
              <w:rPr>
                <w:rFonts w:ascii="Arial" w:cs="Arial" w:eastAsia="Arial" w:hAnsi="Arial"/>
                <w:sz w:val="13"/>
                <w:szCs w:val="13"/>
                <w:color w:val="auto"/>
                <w:w w:val="91"/>
              </w:rPr>
              <w:t>—</w:t>
            </w:r>
          </w:p>
        </w:tc>
        <w:tc>
          <w:tcPr>
            <w:tcW w:w="300" w:type="dxa"/>
            <w:vAlign w:val="bottom"/>
            <w:tcBorders>
              <w:right w:val="single" w:sz="8" w:color="008256"/>
            </w:tcBorders>
            <w:shd w:val="clear" w:color="auto" w:fill="E6F4EF"/>
          </w:tcPr>
          <w:p>
            <w:pPr>
              <w:spacing w:after="0"/>
              <w:rPr>
                <w:sz w:val="17"/>
                <w:szCs w:val="17"/>
                <w:color w:val="auto"/>
              </w:rPr>
            </w:pPr>
          </w:p>
        </w:tc>
        <w:tc>
          <w:tcPr>
            <w:tcW w:w="100" w:type="dxa"/>
            <w:vAlign w:val="bottom"/>
            <w:tcBorders>
              <w:right w:val="single" w:sz="8" w:color="E6F4EF"/>
            </w:tcBorders>
            <w:shd w:val="clear" w:color="auto" w:fill="E6F4EF"/>
          </w:tcPr>
          <w:p>
            <w:pPr>
              <w:spacing w:after="0"/>
              <w:rPr>
                <w:sz w:val="17"/>
                <w:szCs w:val="17"/>
                <w:color w:val="auto"/>
              </w:rPr>
            </w:pPr>
          </w:p>
        </w:tc>
        <w:tc>
          <w:tcPr>
            <w:tcW w:w="1720" w:type="dxa"/>
            <w:vAlign w:val="bottom"/>
            <w:tcBorders>
              <w:right w:val="single" w:sz="8" w:color="008256"/>
            </w:tcBorders>
            <w:shd w:val="clear" w:color="auto" w:fill="E6F4EF"/>
          </w:tcPr>
          <w:p>
            <w:pPr>
              <w:jc w:val="center"/>
              <w:ind w:right="100"/>
              <w:spacing w:after="0"/>
              <w:rPr>
                <w:sz w:val="20"/>
                <w:szCs w:val="20"/>
                <w:color w:val="auto"/>
              </w:rPr>
            </w:pPr>
            <w:r>
              <w:rPr>
                <w:rFonts w:ascii="Arial" w:cs="Arial" w:eastAsia="Arial" w:hAnsi="Arial"/>
                <w:sz w:val="13"/>
                <w:szCs w:val="13"/>
                <w:color w:val="auto"/>
              </w:rPr>
              <w:t>—</w:t>
            </w:r>
          </w:p>
        </w:tc>
        <w:tc>
          <w:tcPr>
            <w:tcW w:w="1680" w:type="dxa"/>
            <w:vAlign w:val="bottom"/>
            <w:tcBorders>
              <w:right w:val="single" w:sz="8" w:color="E6F4EF"/>
            </w:tcBorders>
            <w:shd w:val="clear" w:color="auto" w:fill="E6F4EF"/>
          </w:tcPr>
          <w:p>
            <w:pPr>
              <w:ind w:left="760"/>
              <w:spacing w:after="0"/>
              <w:rPr>
                <w:sz w:val="20"/>
                <w:szCs w:val="20"/>
                <w:color w:val="auto"/>
              </w:rPr>
            </w:pPr>
            <w:r>
              <w:rPr>
                <w:rFonts w:ascii="Arial" w:cs="Arial" w:eastAsia="Arial" w:hAnsi="Arial"/>
                <w:sz w:val="13"/>
                <w:szCs w:val="13"/>
                <w:color w:val="auto"/>
              </w:rPr>
              <w:t>—</w:t>
            </w:r>
          </w:p>
        </w:tc>
        <w:tc>
          <w:tcPr>
            <w:tcW w:w="40" w:type="dxa"/>
            <w:vAlign w:val="bottom"/>
            <w:tcBorders>
              <w:right w:val="single" w:sz="8" w:color="008256"/>
            </w:tcBorders>
            <w:shd w:val="clear" w:color="auto" w:fill="E6F4EF"/>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wp:posOffset>
            </wp:positionH>
            <wp:positionV relativeFrom="paragraph">
              <wp:posOffset>-4937760</wp:posOffset>
            </wp:positionV>
            <wp:extent cx="74295" cy="10096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4295" cy="100965"/>
                    </a:xfrm>
                    <a:prstGeom prst="rect">
                      <a:avLst/>
                    </a:prstGeom>
                    <a:noFill/>
                  </pic:spPr>
                </pic:pic>
              </a:graphicData>
            </a:graphic>
          </wp:anchor>
        </w:drawing>
        <w:drawing>
          <wp:anchor simplePos="0" relativeHeight="251657728" behindDoc="1" locked="0" layoutInCell="0" allowOverlap="1">
            <wp:simplePos x="0" y="0"/>
            <wp:positionH relativeFrom="column">
              <wp:posOffset>50165</wp:posOffset>
            </wp:positionH>
            <wp:positionV relativeFrom="paragraph">
              <wp:posOffset>-4728845</wp:posOffset>
            </wp:positionV>
            <wp:extent cx="67310" cy="806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310" cy="80645"/>
                    </a:xfrm>
                    <a:prstGeom prst="rect">
                      <a:avLst/>
                    </a:prstGeom>
                    <a:noFill/>
                  </pic:spPr>
                </pic:pic>
              </a:graphicData>
            </a:graphic>
          </wp:anchor>
        </w:drawing>
        <w:drawing>
          <wp:anchor simplePos="0" relativeHeight="251657728" behindDoc="1" locked="0" layoutInCell="0" allowOverlap="1">
            <wp:simplePos x="0" y="0"/>
            <wp:positionH relativeFrom="column">
              <wp:posOffset>50165</wp:posOffset>
            </wp:positionH>
            <wp:positionV relativeFrom="paragraph">
              <wp:posOffset>-4526915</wp:posOffset>
            </wp:positionV>
            <wp:extent cx="87630" cy="806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7630" cy="80645"/>
                    </a:xfrm>
                    <a:prstGeom prst="rect">
                      <a:avLst/>
                    </a:prstGeom>
                    <a:noFill/>
                  </pic:spPr>
                </pic:pic>
              </a:graphicData>
            </a:graphic>
          </wp:anchor>
        </w:drawing>
        <w:drawing>
          <wp:anchor simplePos="0" relativeHeight="251657728" behindDoc="1" locked="0" layoutInCell="0" allowOverlap="1">
            <wp:simplePos x="0" y="0"/>
            <wp:positionH relativeFrom="column">
              <wp:posOffset>50165</wp:posOffset>
            </wp:positionH>
            <wp:positionV relativeFrom="paragraph">
              <wp:posOffset>-4324985</wp:posOffset>
            </wp:positionV>
            <wp:extent cx="74295" cy="806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4295" cy="80645"/>
                    </a:xfrm>
                    <a:prstGeom prst="rect">
                      <a:avLst/>
                    </a:prstGeom>
                    <a:noFill/>
                  </pic:spPr>
                </pic:pic>
              </a:graphicData>
            </a:graphic>
          </wp:anchor>
        </w:drawing>
        <w:drawing>
          <wp:anchor simplePos="0" relativeHeight="251657728" behindDoc="1" locked="0" layoutInCell="0" allowOverlap="1">
            <wp:simplePos x="0" y="0"/>
            <wp:positionH relativeFrom="column">
              <wp:posOffset>50165</wp:posOffset>
            </wp:positionH>
            <wp:positionV relativeFrom="paragraph">
              <wp:posOffset>-4122420</wp:posOffset>
            </wp:positionV>
            <wp:extent cx="87630" cy="806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7630" cy="80645"/>
                    </a:xfrm>
                    <a:prstGeom prst="rect">
                      <a:avLst/>
                    </a:prstGeom>
                    <a:noFill/>
                  </pic:spPr>
                </pic:pic>
              </a:graphicData>
            </a:graphic>
          </wp:anchor>
        </w:drawing>
        <w:drawing>
          <wp:anchor simplePos="0" relativeHeight="251657728" behindDoc="1" locked="0" layoutInCell="0" allowOverlap="1">
            <wp:simplePos x="0" y="0"/>
            <wp:positionH relativeFrom="column">
              <wp:posOffset>50165</wp:posOffset>
            </wp:positionH>
            <wp:positionV relativeFrom="paragraph">
              <wp:posOffset>-3920490</wp:posOffset>
            </wp:positionV>
            <wp:extent cx="67310" cy="806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7310" cy="80645"/>
                    </a:xfrm>
                    <a:prstGeom prst="rect">
                      <a:avLst/>
                    </a:prstGeom>
                    <a:noFill/>
                  </pic:spPr>
                </pic:pic>
              </a:graphicData>
            </a:graphic>
          </wp:anchor>
        </w:drawing>
        <w:drawing>
          <wp:anchor simplePos="0" relativeHeight="251657728" behindDoc="1" locked="0" layoutInCell="0" allowOverlap="1">
            <wp:simplePos x="0" y="0"/>
            <wp:positionH relativeFrom="column">
              <wp:posOffset>50165</wp:posOffset>
            </wp:positionH>
            <wp:positionV relativeFrom="paragraph">
              <wp:posOffset>-3718560</wp:posOffset>
            </wp:positionV>
            <wp:extent cx="74295" cy="806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4295" cy="80645"/>
                    </a:xfrm>
                    <a:prstGeom prst="rect">
                      <a:avLst/>
                    </a:prstGeom>
                    <a:noFill/>
                  </pic:spPr>
                </pic:pic>
              </a:graphicData>
            </a:graphic>
          </wp:anchor>
        </w:drawing>
        <w:drawing>
          <wp:anchor simplePos="0" relativeHeight="251657728" behindDoc="1" locked="0" layoutInCell="0" allowOverlap="1">
            <wp:simplePos x="0" y="0"/>
            <wp:positionH relativeFrom="column">
              <wp:posOffset>50165</wp:posOffset>
            </wp:positionH>
            <wp:positionV relativeFrom="paragraph">
              <wp:posOffset>-3515995</wp:posOffset>
            </wp:positionV>
            <wp:extent cx="67310" cy="806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310" cy="80645"/>
                    </a:xfrm>
                    <a:prstGeom prst="rect">
                      <a:avLst/>
                    </a:prstGeom>
                    <a:noFill/>
                  </pic:spPr>
                </pic:pic>
              </a:graphicData>
            </a:graphic>
          </wp:anchor>
        </w:drawing>
        <w:drawing>
          <wp:anchor simplePos="0" relativeHeight="251657728" behindDoc="1" locked="0" layoutInCell="0" allowOverlap="1">
            <wp:simplePos x="0" y="0"/>
            <wp:positionH relativeFrom="column">
              <wp:posOffset>50165</wp:posOffset>
            </wp:positionH>
            <wp:positionV relativeFrom="paragraph">
              <wp:posOffset>-3314065</wp:posOffset>
            </wp:positionV>
            <wp:extent cx="80645" cy="806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0645" cy="80645"/>
                    </a:xfrm>
                    <a:prstGeom prst="rect">
                      <a:avLst/>
                    </a:prstGeom>
                    <a:noFill/>
                  </pic:spPr>
                </pic:pic>
              </a:graphicData>
            </a:graphic>
          </wp:anchor>
        </w:drawing>
        <w:drawing>
          <wp:anchor simplePos="0" relativeHeight="251657728" behindDoc="1" locked="0" layoutInCell="0" allowOverlap="1">
            <wp:simplePos x="0" y="0"/>
            <wp:positionH relativeFrom="column">
              <wp:posOffset>50165</wp:posOffset>
            </wp:positionH>
            <wp:positionV relativeFrom="paragraph">
              <wp:posOffset>-3112135</wp:posOffset>
            </wp:positionV>
            <wp:extent cx="87630" cy="806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7630" cy="80645"/>
                    </a:xfrm>
                    <a:prstGeom prst="rect">
                      <a:avLst/>
                    </a:prstGeom>
                    <a:noFill/>
                  </pic:spPr>
                </pic:pic>
              </a:graphicData>
            </a:graphic>
          </wp:anchor>
        </w:drawing>
        <w:drawing>
          <wp:anchor simplePos="0" relativeHeight="251657728" behindDoc="1" locked="0" layoutInCell="0" allowOverlap="1">
            <wp:simplePos x="0" y="0"/>
            <wp:positionH relativeFrom="column">
              <wp:posOffset>50165</wp:posOffset>
            </wp:positionH>
            <wp:positionV relativeFrom="paragraph">
              <wp:posOffset>-2909570</wp:posOffset>
            </wp:positionV>
            <wp:extent cx="87630" cy="806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7630" cy="80645"/>
                    </a:xfrm>
                    <a:prstGeom prst="rect">
                      <a:avLst/>
                    </a:prstGeom>
                    <a:noFill/>
                  </pic:spPr>
                </pic:pic>
              </a:graphicData>
            </a:graphic>
          </wp:anchor>
        </w:drawing>
        <w:drawing>
          <wp:anchor simplePos="0" relativeHeight="251657728" behindDoc="1" locked="0" layoutInCell="0" allowOverlap="1">
            <wp:simplePos x="0" y="0"/>
            <wp:positionH relativeFrom="column">
              <wp:posOffset>4409440</wp:posOffset>
            </wp:positionH>
            <wp:positionV relativeFrom="paragraph">
              <wp:posOffset>-2593340</wp:posOffset>
            </wp:positionV>
            <wp:extent cx="74295" cy="806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4295" cy="80645"/>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-2606675</wp:posOffset>
            </wp:positionV>
            <wp:extent cx="67310" cy="876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7310" cy="87630"/>
                    </a:xfrm>
                    <a:prstGeom prst="rect">
                      <a:avLst/>
                    </a:prstGeom>
                    <a:noFill/>
                  </pic:spPr>
                </pic:pic>
              </a:graphicData>
            </a:graphic>
          </wp:anchor>
        </w:drawing>
        <w:drawing>
          <wp:anchor simplePos="0" relativeHeight="251657728" behindDoc="1" locked="0" layoutInCell="0" allowOverlap="1">
            <wp:simplePos x="0" y="0"/>
            <wp:positionH relativeFrom="column">
              <wp:posOffset>6558280</wp:posOffset>
            </wp:positionH>
            <wp:positionV relativeFrom="paragraph">
              <wp:posOffset>-2606675</wp:posOffset>
            </wp:positionV>
            <wp:extent cx="67310" cy="876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7310" cy="87630"/>
                    </a:xfrm>
                    <a:prstGeom prst="rect">
                      <a:avLst/>
                    </a:prstGeom>
                    <a:noFill/>
                  </pic:spPr>
                </pic:pic>
              </a:graphicData>
            </a:graphic>
          </wp:anchor>
        </w:drawing>
        <w:drawing>
          <wp:anchor simplePos="0" relativeHeight="251657728" behindDoc="1" locked="0" layoutInCell="0" allowOverlap="1">
            <wp:simplePos x="0" y="0"/>
            <wp:positionH relativeFrom="column">
              <wp:posOffset>5480685</wp:posOffset>
            </wp:positionH>
            <wp:positionV relativeFrom="paragraph">
              <wp:posOffset>-2465070</wp:posOffset>
            </wp:positionV>
            <wp:extent cx="67310" cy="806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7310" cy="80645"/>
                    </a:xfrm>
                    <a:prstGeom prst="rect">
                      <a:avLst/>
                    </a:prstGeom>
                    <a:noFill/>
                  </pic:spPr>
                </pic:pic>
              </a:graphicData>
            </a:graphic>
          </wp:anchor>
        </w:drawing>
        <w:drawing>
          <wp:anchor simplePos="0" relativeHeight="251657728" behindDoc="1" locked="0" layoutInCell="0" allowOverlap="1">
            <wp:simplePos x="0" y="0"/>
            <wp:positionH relativeFrom="column">
              <wp:posOffset>6551930</wp:posOffset>
            </wp:positionH>
            <wp:positionV relativeFrom="paragraph">
              <wp:posOffset>-2465070</wp:posOffset>
            </wp:positionV>
            <wp:extent cx="80645" cy="742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0645" cy="7429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-2222500</wp:posOffset>
            </wp:positionV>
            <wp:extent cx="100965" cy="742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0965" cy="74295"/>
                    </a:xfrm>
                    <a:prstGeom prst="rect">
                      <a:avLst/>
                    </a:prstGeom>
                    <a:noFill/>
                  </pic:spPr>
                </pic:pic>
              </a:graphicData>
            </a:graphic>
          </wp:anchor>
        </w:drawing>
        <w:drawing>
          <wp:anchor simplePos="0" relativeHeight="251657728" behindDoc="1" locked="0" layoutInCell="0" allowOverlap="1">
            <wp:simplePos x="0" y="0"/>
            <wp:positionH relativeFrom="column">
              <wp:posOffset>447675</wp:posOffset>
            </wp:positionH>
            <wp:positionV relativeFrom="paragraph">
              <wp:posOffset>-2216150</wp:posOffset>
            </wp:positionV>
            <wp:extent cx="53975" cy="673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3975" cy="673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356870</wp:posOffset>
            </wp:positionV>
            <wp:extent cx="7161530" cy="2895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289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 xml:space="preserve">6 </w:t>
      </w:r>
      <w:r>
        <w:rPr>
          <w:rFonts w:ascii="Arial" w:cs="Arial" w:eastAsia="Arial" w:hAnsi="Arial"/>
          <w:sz w:val="13"/>
          <w:szCs w:val="13"/>
          <w:color w:val="auto"/>
        </w:rPr>
        <w:t>PROXY STATEMENT 2025</w:t>
      </w:r>
    </w:p>
    <w:p>
      <w:pPr>
        <w:sectPr>
          <w:pgSz w:w="11900" w:h="16838" w:orient="portrait"/>
          <w:cols w:equalWidth="0" w:num="1">
            <w:col w:w="11300"/>
          </w:cols>
          <w:pgMar w:left="300" w:top="171" w:right="299" w:bottom="1440" w:gutter="0" w:footer="0" w:header="0"/>
        </w:sectPr>
      </w:pPr>
    </w:p>
    <w:bookmarkStart w:id="11" w:name="page12"/>
    <w:bookmarkEnd w:id="11"/>
    <w:p>
      <w:pPr>
        <w:ind w:left="6380"/>
        <w:spacing w:after="0"/>
        <w:rPr>
          <w:sz w:val="20"/>
          <w:szCs w:val="20"/>
          <w:color w:val="auto"/>
        </w:rPr>
      </w:pPr>
      <w:r>
        <w:rPr>
          <w:rFonts w:ascii="Arial" w:cs="Arial" w:eastAsia="Arial" w:hAnsi="Arial"/>
          <w:sz w:val="13"/>
          <w:szCs w:val="13"/>
          <w:b w:val="1"/>
          <w:bCs w:val="1"/>
          <w:color w:val="00482F"/>
        </w:rPr>
        <w:drawing>
          <wp:anchor simplePos="0" relativeHeight="251657728" behindDoc="1" locked="0" layoutInCell="0" allowOverlap="1">
            <wp:simplePos x="0" y="0"/>
            <wp:positionH relativeFrom="page">
              <wp:posOffset>4195445</wp:posOffset>
            </wp:positionH>
            <wp:positionV relativeFrom="page">
              <wp:posOffset>102235</wp:posOffset>
            </wp:positionV>
            <wp:extent cx="1515745" cy="147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15745" cy="147955"/>
                    </a:xfrm>
                    <a:prstGeom prst="rect">
                      <a:avLst/>
                    </a:prstGeom>
                    <a:noFill/>
                  </pic:spPr>
                </pic:pic>
              </a:graphicData>
            </a:graphic>
          </wp:anchor>
        </w:drawing>
        <w:t>PROXY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Compensation</w:t>
      </w:r>
    </w:p>
    <w:p>
      <w:pPr>
        <w:spacing w:after="0" w:line="181" w:lineRule="exact"/>
        <w:rPr>
          <w:sz w:val="20"/>
          <w:szCs w:val="20"/>
          <w:color w:val="auto"/>
        </w:rPr>
      </w:pPr>
    </w:p>
    <w:p>
      <w:pPr>
        <w:ind w:right="60"/>
        <w:spacing w:after="0" w:line="261" w:lineRule="auto"/>
        <w:rPr>
          <w:sz w:val="20"/>
          <w:szCs w:val="20"/>
          <w:color w:val="auto"/>
        </w:rPr>
      </w:pPr>
      <w:r>
        <w:rPr>
          <w:rFonts w:ascii="Arial" w:cs="Arial" w:eastAsia="Arial" w:hAnsi="Arial"/>
          <w:sz w:val="13"/>
          <w:szCs w:val="13"/>
          <w:color w:val="auto"/>
        </w:rPr>
        <w:t>We are an “emerging growth company,” as defined in the JOBS Act. As an emerging growth company, we have reduced disclosure and are exempt from certain requirements related to executive compensation, including the requirements to hold non-binding advisory votes on executive compensation, to provide information relating to the ratio of total compensation of our Chief Executive Officer to the median of the annual total compensation of all of our employees and to provide specific disclosure regarding pay versus performance.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Processes and Procedures for Compensation Decisions</w:t>
      </w:r>
    </w:p>
    <w:p>
      <w:pPr>
        <w:spacing w:after="0" w:line="174" w:lineRule="exact"/>
        <w:rPr>
          <w:sz w:val="20"/>
          <w:szCs w:val="20"/>
          <w:color w:val="auto"/>
        </w:rPr>
      </w:pPr>
    </w:p>
    <w:p>
      <w:pPr>
        <w:ind w:right="100"/>
        <w:spacing w:after="0" w:line="254" w:lineRule="auto"/>
        <w:rPr>
          <w:sz w:val="20"/>
          <w:szCs w:val="20"/>
          <w:color w:val="auto"/>
        </w:rPr>
      </w:pPr>
      <w:r>
        <w:rPr>
          <w:rFonts w:ascii="Arial" w:cs="Arial" w:eastAsia="Arial" w:hAnsi="Arial"/>
          <w:sz w:val="13"/>
          <w:szCs w:val="13"/>
          <w:color w:val="auto"/>
        </w:rPr>
        <w:t>Our Compensation Committee is primarily responsible for establishing and reviewing our general compensation strategy. In addition, the Compensation Committee oversees our compensation and benefit plans and policies, administers our equity incentive plans and reviews and approves annually all compensation decisions relating to all of our executive officers, including our Named Executive Officers (as defined in “Named Executive Officer Compensation Tables” below). The Compensation Committee considers recommendations from our Chief Executive Officer regarding the compensation of our executive officers, other than himself. Under its charter, our Compensation Committee has the authority to retain or obtain the advice of compensation consultants, independent legal counsel and other advisers.</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color w:val="auto"/>
        </w:rPr>
        <w:t>Key elements of our compensation program for Named Executive Officers in 2024 are set forth below.</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060" w:type="dxa"/>
            <w:vAlign w:val="bottom"/>
            <w:tcBorders>
              <w:top w:val="single" w:sz="8" w:color="008256"/>
              <w:right w:val="single" w:sz="8" w:color="008256"/>
            </w:tcBorders>
          </w:tcPr>
          <w:p>
            <w:pPr>
              <w:ind w:left="80"/>
              <w:spacing w:after="0"/>
              <w:rPr>
                <w:sz w:val="20"/>
                <w:szCs w:val="20"/>
                <w:color w:val="auto"/>
              </w:rPr>
            </w:pPr>
            <w:r>
              <w:rPr>
                <w:rFonts w:ascii="Arial" w:cs="Arial" w:eastAsia="Arial" w:hAnsi="Arial"/>
                <w:sz w:val="13"/>
                <w:szCs w:val="13"/>
                <w:b w:val="1"/>
                <w:bCs w:val="1"/>
                <w:color w:val="auto"/>
              </w:rPr>
              <w:t>Compensation Element</w:t>
            </w:r>
          </w:p>
        </w:tc>
        <w:tc>
          <w:tcPr>
            <w:tcW w:w="3680" w:type="dxa"/>
            <w:vAlign w:val="bottom"/>
            <w:tcBorders>
              <w:top w:val="single" w:sz="8" w:color="008256"/>
              <w:right w:val="single" w:sz="8" w:color="008256"/>
            </w:tcBorders>
          </w:tcPr>
          <w:p>
            <w:pPr>
              <w:ind w:left="60"/>
              <w:spacing w:after="0"/>
              <w:rPr>
                <w:sz w:val="20"/>
                <w:szCs w:val="20"/>
                <w:color w:val="auto"/>
              </w:rPr>
            </w:pPr>
            <w:r>
              <w:rPr>
                <w:rFonts w:ascii="Arial" w:cs="Arial" w:eastAsia="Arial" w:hAnsi="Arial"/>
                <w:sz w:val="13"/>
                <w:szCs w:val="13"/>
                <w:b w:val="1"/>
                <w:bCs w:val="1"/>
                <w:color w:val="auto"/>
              </w:rPr>
              <w:t>Brief Description</w:t>
            </w:r>
          </w:p>
        </w:tc>
        <w:tc>
          <w:tcPr>
            <w:tcW w:w="3540" w:type="dxa"/>
            <w:vAlign w:val="bottom"/>
            <w:tcBorders>
              <w:top w:val="single" w:sz="8" w:color="008256"/>
            </w:tcBorders>
          </w:tcPr>
          <w:p>
            <w:pPr>
              <w:ind w:left="60"/>
              <w:spacing w:after="0"/>
              <w:rPr>
                <w:sz w:val="20"/>
                <w:szCs w:val="20"/>
                <w:color w:val="auto"/>
              </w:rPr>
            </w:pPr>
            <w:r>
              <w:rPr>
                <w:rFonts w:ascii="Arial" w:cs="Arial" w:eastAsia="Arial" w:hAnsi="Arial"/>
                <w:sz w:val="13"/>
                <w:szCs w:val="13"/>
                <w:b w:val="1"/>
                <w:bCs w:val="1"/>
                <w:color w:val="auto"/>
              </w:rPr>
              <w:t>Objectives</w:t>
            </w:r>
          </w:p>
        </w:tc>
        <w:tc>
          <w:tcPr>
            <w:tcW w:w="0" w:type="dxa"/>
            <w:vAlign w:val="bottom"/>
          </w:tcPr>
          <w:p>
            <w:pPr>
              <w:spacing w:after="0"/>
              <w:rPr>
                <w:sz w:val="1"/>
                <w:szCs w:val="1"/>
                <w:color w:val="auto"/>
              </w:rPr>
            </w:pPr>
          </w:p>
        </w:tc>
      </w:tr>
      <w:tr>
        <w:trPr>
          <w:trHeight w:val="71"/>
        </w:trPr>
        <w:tc>
          <w:tcPr>
            <w:tcW w:w="4060" w:type="dxa"/>
            <w:vAlign w:val="bottom"/>
            <w:tcBorders>
              <w:right w:val="single" w:sz="8" w:color="008256"/>
            </w:tcBorders>
          </w:tcPr>
          <w:p>
            <w:pPr>
              <w:spacing w:after="0"/>
              <w:rPr>
                <w:sz w:val="6"/>
                <w:szCs w:val="6"/>
                <w:color w:val="auto"/>
              </w:rPr>
            </w:pPr>
          </w:p>
        </w:tc>
        <w:tc>
          <w:tcPr>
            <w:tcW w:w="3680" w:type="dxa"/>
            <w:vAlign w:val="bottom"/>
            <w:tcBorders>
              <w:right w:val="single" w:sz="8" w:color="008256"/>
            </w:tcBorders>
          </w:tcPr>
          <w:p>
            <w:pPr>
              <w:spacing w:after="0"/>
              <w:rPr>
                <w:sz w:val="6"/>
                <w:szCs w:val="6"/>
                <w:color w:val="auto"/>
              </w:rPr>
            </w:pPr>
          </w:p>
        </w:tc>
        <w:tc>
          <w:tcPr>
            <w:tcW w:w="35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2"/>
        </w:trPr>
        <w:tc>
          <w:tcPr>
            <w:tcW w:w="4060" w:type="dxa"/>
            <w:vAlign w:val="bottom"/>
            <w:tcBorders>
              <w:right w:val="single" w:sz="8" w:color="008256"/>
            </w:tcBorders>
            <w:shd w:val="clear" w:color="auto" w:fill="E6F4EF"/>
          </w:tcPr>
          <w:p>
            <w:pPr>
              <w:ind w:left="80"/>
              <w:spacing w:after="0"/>
              <w:rPr>
                <w:sz w:val="20"/>
                <w:szCs w:val="20"/>
                <w:color w:val="auto"/>
              </w:rPr>
            </w:pPr>
            <w:r>
              <w:rPr>
                <w:rFonts w:ascii="Arial" w:cs="Arial" w:eastAsia="Arial" w:hAnsi="Arial"/>
                <w:sz w:val="13"/>
                <w:szCs w:val="13"/>
                <w:b w:val="1"/>
                <w:bCs w:val="1"/>
                <w:color w:val="auto"/>
              </w:rPr>
              <w:t>Base Salary</w:t>
            </w:r>
          </w:p>
        </w:tc>
        <w:tc>
          <w:tcPr>
            <w:tcW w:w="3680" w:type="dxa"/>
            <w:vAlign w:val="bottom"/>
            <w:tcBorders>
              <w:right w:val="single" w:sz="8" w:color="008256"/>
            </w:tcBorders>
            <w:shd w:val="clear" w:color="auto" w:fill="E6F4EF"/>
          </w:tcPr>
          <w:p>
            <w:pPr>
              <w:ind w:left="60"/>
              <w:spacing w:after="0"/>
              <w:rPr>
                <w:sz w:val="20"/>
                <w:szCs w:val="20"/>
                <w:color w:val="auto"/>
              </w:rPr>
            </w:pPr>
            <w:r>
              <w:rPr>
                <w:rFonts w:ascii="Arial" w:cs="Arial" w:eastAsia="Arial" w:hAnsi="Arial"/>
                <w:sz w:val="13"/>
                <w:szCs w:val="13"/>
                <w:color w:val="auto"/>
              </w:rPr>
              <w:t>Fixed cash compensation</w:t>
            </w:r>
          </w:p>
        </w:tc>
        <w:tc>
          <w:tcPr>
            <w:tcW w:w="3540" w:type="dxa"/>
            <w:vAlign w:val="bottom"/>
            <w:shd w:val="clear" w:color="auto" w:fill="E6F4EF"/>
          </w:tcPr>
          <w:p>
            <w:pPr>
              <w:ind w:left="60"/>
              <w:spacing w:after="0"/>
              <w:rPr>
                <w:sz w:val="20"/>
                <w:szCs w:val="20"/>
                <w:color w:val="auto"/>
              </w:rPr>
            </w:pPr>
            <w:r>
              <w:rPr>
                <w:rFonts w:ascii="Arial" w:cs="Arial" w:eastAsia="Arial" w:hAnsi="Arial"/>
                <w:sz w:val="13"/>
                <w:szCs w:val="13"/>
                <w:color w:val="auto"/>
              </w:rPr>
              <w:t>Attract and retain key executives</w:t>
            </w:r>
          </w:p>
        </w:tc>
        <w:tc>
          <w:tcPr>
            <w:tcW w:w="0" w:type="dxa"/>
            <w:vAlign w:val="bottom"/>
          </w:tcPr>
          <w:p>
            <w:pPr>
              <w:spacing w:after="0"/>
              <w:rPr>
                <w:sz w:val="1"/>
                <w:szCs w:val="1"/>
                <w:color w:val="auto"/>
              </w:rPr>
            </w:pPr>
          </w:p>
        </w:tc>
      </w:tr>
      <w:tr>
        <w:trPr>
          <w:trHeight w:val="262"/>
        </w:trPr>
        <w:tc>
          <w:tcPr>
            <w:tcW w:w="4060" w:type="dxa"/>
            <w:vAlign w:val="bottom"/>
            <w:tcBorders>
              <w:right w:val="single" w:sz="8" w:color="008256"/>
            </w:tcBorders>
          </w:tcPr>
          <w:p>
            <w:pPr>
              <w:ind w:left="80"/>
              <w:spacing w:after="0"/>
              <w:rPr>
                <w:sz w:val="20"/>
                <w:szCs w:val="20"/>
                <w:color w:val="auto"/>
              </w:rPr>
            </w:pPr>
            <w:r>
              <w:rPr>
                <w:rFonts w:ascii="Arial" w:cs="Arial" w:eastAsia="Arial" w:hAnsi="Arial"/>
                <w:sz w:val="13"/>
                <w:szCs w:val="13"/>
                <w:b w:val="1"/>
                <w:bCs w:val="1"/>
                <w:color w:val="auto"/>
              </w:rPr>
              <w:t>Annual Incentive Program</w:t>
            </w:r>
          </w:p>
        </w:tc>
        <w:tc>
          <w:tcPr>
            <w:tcW w:w="3680" w:type="dxa"/>
            <w:vAlign w:val="bottom"/>
            <w:tcBorders>
              <w:right w:val="single" w:sz="8" w:color="008256"/>
            </w:tcBorders>
          </w:tcPr>
          <w:p>
            <w:pPr>
              <w:ind w:left="60"/>
              <w:spacing w:after="0"/>
              <w:rPr>
                <w:sz w:val="20"/>
                <w:szCs w:val="20"/>
                <w:color w:val="auto"/>
              </w:rPr>
            </w:pPr>
            <w:r>
              <w:rPr>
                <w:rFonts w:ascii="Arial" w:cs="Arial" w:eastAsia="Arial" w:hAnsi="Arial"/>
                <w:sz w:val="13"/>
                <w:szCs w:val="13"/>
                <w:color w:val="auto"/>
              </w:rPr>
              <w:t>Performance-based cash compensation</w:t>
            </w:r>
          </w:p>
        </w:tc>
        <w:tc>
          <w:tcPr>
            <w:tcW w:w="3540" w:type="dxa"/>
            <w:vAlign w:val="bottom"/>
          </w:tcPr>
          <w:p>
            <w:pPr>
              <w:ind w:left="60"/>
              <w:spacing w:after="0"/>
              <w:rPr>
                <w:sz w:val="20"/>
                <w:szCs w:val="20"/>
                <w:color w:val="auto"/>
              </w:rPr>
            </w:pPr>
            <w:r>
              <w:rPr>
                <w:rFonts w:ascii="Arial" w:cs="Arial" w:eastAsia="Arial" w:hAnsi="Arial"/>
                <w:sz w:val="13"/>
                <w:szCs w:val="13"/>
                <w:color w:val="auto"/>
              </w:rPr>
              <w:t>Enhance alignment with Company performance</w:t>
            </w:r>
          </w:p>
        </w:tc>
        <w:tc>
          <w:tcPr>
            <w:tcW w:w="0" w:type="dxa"/>
            <w:vAlign w:val="bottom"/>
          </w:tcPr>
          <w:p>
            <w:pPr>
              <w:spacing w:after="0"/>
              <w:rPr>
                <w:sz w:val="1"/>
                <w:szCs w:val="1"/>
                <w:color w:val="auto"/>
              </w:rPr>
            </w:pPr>
          </w:p>
        </w:tc>
      </w:tr>
      <w:tr>
        <w:trPr>
          <w:trHeight w:val="262"/>
        </w:trPr>
        <w:tc>
          <w:tcPr>
            <w:tcW w:w="4060" w:type="dxa"/>
            <w:vAlign w:val="bottom"/>
            <w:tcBorders>
              <w:right w:val="single" w:sz="8" w:color="008256"/>
            </w:tcBorders>
            <w:shd w:val="clear" w:color="auto" w:fill="E6F4EF"/>
          </w:tcPr>
          <w:p>
            <w:pPr>
              <w:ind w:left="80"/>
              <w:spacing w:after="0"/>
              <w:rPr>
                <w:sz w:val="20"/>
                <w:szCs w:val="20"/>
                <w:color w:val="auto"/>
              </w:rPr>
            </w:pPr>
            <w:r>
              <w:rPr>
                <w:rFonts w:ascii="Arial" w:cs="Arial" w:eastAsia="Arial" w:hAnsi="Arial"/>
                <w:sz w:val="13"/>
                <w:szCs w:val="13"/>
                <w:b w:val="1"/>
                <w:bCs w:val="1"/>
                <w:color w:val="auto"/>
              </w:rPr>
              <w:t>Equity Awards</w:t>
            </w:r>
          </w:p>
        </w:tc>
        <w:tc>
          <w:tcPr>
            <w:tcW w:w="3680" w:type="dxa"/>
            <w:vAlign w:val="bottom"/>
            <w:tcBorders>
              <w:right w:val="single" w:sz="8" w:color="008256"/>
            </w:tcBorders>
            <w:shd w:val="clear" w:color="auto" w:fill="E6F4EF"/>
          </w:tcPr>
          <w:p>
            <w:pPr>
              <w:ind w:left="60"/>
              <w:spacing w:after="0"/>
              <w:rPr>
                <w:sz w:val="20"/>
                <w:szCs w:val="20"/>
                <w:color w:val="auto"/>
              </w:rPr>
            </w:pPr>
            <w:r>
              <w:rPr>
                <w:rFonts w:ascii="Arial" w:cs="Arial" w:eastAsia="Arial" w:hAnsi="Arial"/>
                <w:sz w:val="13"/>
                <w:szCs w:val="13"/>
                <w:color w:val="auto"/>
              </w:rPr>
              <w:t>Restricted Stock Units (RSUs)</w:t>
            </w:r>
          </w:p>
        </w:tc>
        <w:tc>
          <w:tcPr>
            <w:tcW w:w="3540" w:type="dxa"/>
            <w:vAlign w:val="bottom"/>
            <w:shd w:val="clear" w:color="auto" w:fill="E6F4EF"/>
          </w:tcPr>
          <w:p>
            <w:pPr>
              <w:ind w:left="60"/>
              <w:spacing w:after="0"/>
              <w:rPr>
                <w:sz w:val="20"/>
                <w:szCs w:val="20"/>
                <w:color w:val="auto"/>
              </w:rPr>
            </w:pPr>
            <w:r>
              <w:rPr>
                <w:rFonts w:ascii="Arial" w:cs="Arial" w:eastAsia="Arial" w:hAnsi="Arial"/>
                <w:sz w:val="13"/>
                <w:szCs w:val="13"/>
                <w:color w:val="auto"/>
              </w:rPr>
              <w:t>Enhance alignment with stockholders</w:t>
            </w:r>
          </w:p>
        </w:tc>
        <w:tc>
          <w:tcPr>
            <w:tcW w:w="0" w:type="dxa"/>
            <w:vAlign w:val="bottom"/>
          </w:tcPr>
          <w:p>
            <w:pPr>
              <w:spacing w:after="0"/>
              <w:rPr>
                <w:sz w:val="1"/>
                <w:szCs w:val="1"/>
                <w:color w:val="auto"/>
              </w:rPr>
            </w:pPr>
          </w:p>
        </w:tc>
      </w:tr>
      <w:tr>
        <w:trPr>
          <w:trHeight w:val="259"/>
        </w:trPr>
        <w:tc>
          <w:tcPr>
            <w:tcW w:w="4060" w:type="dxa"/>
            <w:vAlign w:val="bottom"/>
            <w:tcBorders>
              <w:right w:val="single" w:sz="8" w:color="008256"/>
            </w:tcBorders>
            <w:shd w:val="clear" w:color="auto" w:fill="E6F4EF"/>
          </w:tcPr>
          <w:p>
            <w:pPr>
              <w:spacing w:after="0"/>
              <w:rPr>
                <w:sz w:val="22"/>
                <w:szCs w:val="22"/>
                <w:color w:val="auto"/>
              </w:rPr>
            </w:pPr>
          </w:p>
        </w:tc>
        <w:tc>
          <w:tcPr>
            <w:tcW w:w="3680" w:type="dxa"/>
            <w:vAlign w:val="bottom"/>
            <w:tcBorders>
              <w:right w:val="single" w:sz="8" w:color="008256"/>
            </w:tcBorders>
            <w:shd w:val="clear" w:color="auto" w:fill="E6F4EF"/>
          </w:tcPr>
          <w:p>
            <w:pPr>
              <w:ind w:left="60"/>
              <w:spacing w:after="0"/>
              <w:rPr>
                <w:sz w:val="20"/>
                <w:szCs w:val="20"/>
                <w:color w:val="auto"/>
              </w:rPr>
            </w:pPr>
            <w:r>
              <w:rPr>
                <w:rFonts w:ascii="Arial" w:cs="Arial" w:eastAsia="Arial" w:hAnsi="Arial"/>
                <w:sz w:val="13"/>
                <w:szCs w:val="13"/>
                <w:color w:val="auto"/>
              </w:rPr>
              <w:t>Performance-based Stock Options (PSOs); and</w:t>
            </w:r>
          </w:p>
        </w:tc>
        <w:tc>
          <w:tcPr>
            <w:tcW w:w="3540" w:type="dxa"/>
            <w:vAlign w:val="bottom"/>
            <w:shd w:val="clear" w:color="auto" w:fill="E6F4EF"/>
          </w:tcPr>
          <w:p>
            <w:pPr>
              <w:ind w:left="60"/>
              <w:spacing w:after="0"/>
              <w:rPr>
                <w:sz w:val="20"/>
                <w:szCs w:val="20"/>
                <w:color w:val="auto"/>
              </w:rPr>
            </w:pPr>
            <w:r>
              <w:rPr>
                <w:rFonts w:ascii="Arial" w:cs="Arial" w:eastAsia="Arial" w:hAnsi="Arial"/>
                <w:sz w:val="13"/>
                <w:szCs w:val="13"/>
                <w:color w:val="auto"/>
              </w:rPr>
              <w:t>Multiple award types provide diverse incentives</w:t>
            </w:r>
          </w:p>
        </w:tc>
        <w:tc>
          <w:tcPr>
            <w:tcW w:w="0" w:type="dxa"/>
            <w:vAlign w:val="bottom"/>
          </w:tcPr>
          <w:p>
            <w:pPr>
              <w:spacing w:after="0"/>
              <w:rPr>
                <w:sz w:val="1"/>
                <w:szCs w:val="1"/>
                <w:color w:val="auto"/>
              </w:rPr>
            </w:pPr>
          </w:p>
        </w:tc>
      </w:tr>
      <w:tr>
        <w:trPr>
          <w:trHeight w:val="278"/>
        </w:trPr>
        <w:tc>
          <w:tcPr>
            <w:tcW w:w="4060" w:type="dxa"/>
            <w:vAlign w:val="bottom"/>
            <w:tcBorders>
              <w:right w:val="single" w:sz="8" w:color="008256"/>
            </w:tcBorders>
            <w:shd w:val="clear" w:color="auto" w:fill="E6F4EF"/>
          </w:tcPr>
          <w:p>
            <w:pPr>
              <w:spacing w:after="0"/>
              <w:rPr>
                <w:sz w:val="24"/>
                <w:szCs w:val="24"/>
                <w:color w:val="auto"/>
              </w:rPr>
            </w:pPr>
          </w:p>
        </w:tc>
        <w:tc>
          <w:tcPr>
            <w:tcW w:w="3680" w:type="dxa"/>
            <w:vAlign w:val="bottom"/>
            <w:tcBorders>
              <w:right w:val="single" w:sz="8" w:color="008256"/>
            </w:tcBorders>
            <w:shd w:val="clear" w:color="auto" w:fill="E6F4EF"/>
          </w:tcPr>
          <w:p>
            <w:pPr>
              <w:ind w:left="60"/>
              <w:spacing w:after="0"/>
              <w:rPr>
                <w:sz w:val="20"/>
                <w:szCs w:val="20"/>
                <w:color w:val="auto"/>
              </w:rPr>
            </w:pPr>
            <w:r>
              <w:rPr>
                <w:rFonts w:ascii="Arial" w:cs="Arial" w:eastAsia="Arial" w:hAnsi="Arial"/>
                <w:sz w:val="13"/>
                <w:szCs w:val="13"/>
                <w:color w:val="auto"/>
              </w:rPr>
              <w:t>Performance-based Restricted Stock Units (PSUs)</w:t>
            </w:r>
          </w:p>
        </w:tc>
        <w:tc>
          <w:tcPr>
            <w:tcW w:w="3540" w:type="dxa"/>
            <w:vAlign w:val="bottom"/>
            <w:shd w:val="clear" w:color="auto" w:fill="E6F4EF"/>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60" w:type="dxa"/>
            <w:vAlign w:val="bottom"/>
            <w:tcBorders>
              <w:right w:val="single" w:sz="8" w:color="008256"/>
            </w:tcBorders>
          </w:tcPr>
          <w:p>
            <w:pPr>
              <w:ind w:left="80"/>
              <w:spacing w:after="0"/>
              <w:rPr>
                <w:sz w:val="20"/>
                <w:szCs w:val="20"/>
                <w:color w:val="auto"/>
              </w:rPr>
            </w:pPr>
            <w:r>
              <w:rPr>
                <w:rFonts w:ascii="Arial" w:cs="Arial" w:eastAsia="Arial" w:hAnsi="Arial"/>
                <w:sz w:val="13"/>
                <w:szCs w:val="13"/>
                <w:b w:val="1"/>
                <w:bCs w:val="1"/>
                <w:color w:val="auto"/>
              </w:rPr>
              <w:t>Change of Control and</w:t>
            </w:r>
          </w:p>
        </w:tc>
        <w:tc>
          <w:tcPr>
            <w:tcW w:w="3680" w:type="dxa"/>
            <w:vAlign w:val="bottom"/>
            <w:tcBorders>
              <w:right w:val="single" w:sz="8" w:color="008256"/>
            </w:tcBorders>
            <w:vMerge w:val="restart"/>
          </w:tcPr>
          <w:p>
            <w:pPr>
              <w:ind w:left="60"/>
              <w:spacing w:after="0"/>
              <w:rPr>
                <w:sz w:val="20"/>
                <w:szCs w:val="20"/>
                <w:color w:val="auto"/>
              </w:rPr>
            </w:pPr>
            <w:r>
              <w:rPr>
                <w:rFonts w:ascii="Arial" w:cs="Arial" w:eastAsia="Arial" w:hAnsi="Arial"/>
                <w:sz w:val="13"/>
                <w:szCs w:val="13"/>
                <w:color w:val="auto"/>
              </w:rPr>
              <w:t>Lump sum payment of base salary that would have been</w:t>
            </w:r>
          </w:p>
        </w:tc>
        <w:tc>
          <w:tcPr>
            <w:tcW w:w="3540" w:type="dxa"/>
            <w:vAlign w:val="bottom"/>
            <w:vMerge w:val="restart"/>
          </w:tcPr>
          <w:p>
            <w:pPr>
              <w:ind w:left="60"/>
              <w:spacing w:after="0"/>
              <w:rPr>
                <w:sz w:val="20"/>
                <w:szCs w:val="20"/>
                <w:color w:val="auto"/>
              </w:rPr>
            </w:pPr>
            <w:r>
              <w:rPr>
                <w:rFonts w:ascii="Arial" w:cs="Arial" w:eastAsia="Arial" w:hAnsi="Arial"/>
                <w:sz w:val="13"/>
                <w:szCs w:val="13"/>
                <w:color w:val="auto"/>
              </w:rPr>
              <w:t>Motivate executives to drive business success independent</w:t>
            </w:r>
          </w:p>
        </w:tc>
        <w:tc>
          <w:tcPr>
            <w:tcW w:w="0" w:type="dxa"/>
            <w:vAlign w:val="bottom"/>
          </w:tcPr>
          <w:p>
            <w:pPr>
              <w:spacing w:after="0"/>
              <w:rPr>
                <w:sz w:val="1"/>
                <w:szCs w:val="1"/>
                <w:color w:val="auto"/>
              </w:rPr>
            </w:pPr>
          </w:p>
        </w:tc>
      </w:tr>
      <w:tr>
        <w:trPr>
          <w:trHeight w:val="125"/>
        </w:trPr>
        <w:tc>
          <w:tcPr>
            <w:tcW w:w="4060" w:type="dxa"/>
            <w:vAlign w:val="bottom"/>
            <w:tcBorders>
              <w:right w:val="single" w:sz="8" w:color="008256"/>
            </w:tcBorders>
            <w:vMerge w:val="restart"/>
          </w:tcPr>
          <w:p>
            <w:pPr>
              <w:ind w:left="80"/>
              <w:spacing w:after="0"/>
              <w:rPr>
                <w:sz w:val="20"/>
                <w:szCs w:val="20"/>
                <w:color w:val="auto"/>
              </w:rPr>
            </w:pPr>
            <w:r>
              <w:rPr>
                <w:rFonts w:ascii="Arial" w:cs="Arial" w:eastAsia="Arial" w:hAnsi="Arial"/>
                <w:sz w:val="13"/>
                <w:szCs w:val="13"/>
                <w:b w:val="1"/>
                <w:bCs w:val="1"/>
                <w:color w:val="auto"/>
              </w:rPr>
              <w:t>Severance Policy</w:t>
            </w:r>
          </w:p>
        </w:tc>
        <w:tc>
          <w:tcPr>
            <w:tcW w:w="3680" w:type="dxa"/>
            <w:vAlign w:val="bottom"/>
            <w:tcBorders>
              <w:right w:val="single" w:sz="8" w:color="008256"/>
            </w:tcBorders>
            <w:vMerge w:val="continue"/>
          </w:tcPr>
          <w:p>
            <w:pPr>
              <w:spacing w:after="0"/>
              <w:rPr>
                <w:sz w:val="10"/>
                <w:szCs w:val="10"/>
                <w:color w:val="auto"/>
              </w:rPr>
            </w:pPr>
          </w:p>
        </w:tc>
        <w:tc>
          <w:tcPr>
            <w:tcW w:w="3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8"/>
        </w:trPr>
        <w:tc>
          <w:tcPr>
            <w:tcW w:w="4060" w:type="dxa"/>
            <w:vAlign w:val="bottom"/>
            <w:tcBorders>
              <w:right w:val="single" w:sz="8" w:color="008256"/>
            </w:tcBorders>
            <w:vMerge w:val="continue"/>
          </w:tcPr>
          <w:p>
            <w:pPr>
              <w:spacing w:after="0"/>
              <w:rPr>
                <w:sz w:val="4"/>
                <w:szCs w:val="4"/>
                <w:color w:val="auto"/>
              </w:rPr>
            </w:pPr>
          </w:p>
        </w:tc>
        <w:tc>
          <w:tcPr>
            <w:tcW w:w="3680" w:type="dxa"/>
            <w:vAlign w:val="bottom"/>
            <w:tcBorders>
              <w:right w:val="single" w:sz="8" w:color="008256"/>
            </w:tcBorders>
            <w:vMerge w:val="restart"/>
          </w:tcPr>
          <w:p>
            <w:pPr>
              <w:ind w:left="60"/>
              <w:spacing w:after="0"/>
              <w:rPr>
                <w:sz w:val="20"/>
                <w:szCs w:val="20"/>
                <w:color w:val="auto"/>
              </w:rPr>
            </w:pPr>
            <w:r>
              <w:rPr>
                <w:rFonts w:ascii="Arial" w:cs="Arial" w:eastAsia="Arial" w:hAnsi="Arial"/>
                <w:sz w:val="13"/>
                <w:szCs w:val="13"/>
                <w:color w:val="auto"/>
              </w:rPr>
              <w:t>earned during the applicable severance period;</w:t>
            </w:r>
          </w:p>
        </w:tc>
        <w:tc>
          <w:tcPr>
            <w:tcW w:w="3540" w:type="dxa"/>
            <w:vAlign w:val="bottom"/>
            <w:vMerge w:val="restart"/>
          </w:tcPr>
          <w:p>
            <w:pPr>
              <w:ind w:left="60"/>
              <w:spacing w:after="0"/>
              <w:rPr>
                <w:sz w:val="20"/>
                <w:szCs w:val="20"/>
                <w:color w:val="auto"/>
              </w:rPr>
            </w:pPr>
            <w:r>
              <w:rPr>
                <w:rFonts w:ascii="Arial" w:cs="Arial" w:eastAsia="Arial" w:hAnsi="Arial"/>
                <w:sz w:val="13"/>
                <w:szCs w:val="13"/>
                <w:color w:val="auto"/>
              </w:rPr>
              <w:t>of the possible occurrence of any transaction</w:t>
            </w:r>
          </w:p>
        </w:tc>
        <w:tc>
          <w:tcPr>
            <w:tcW w:w="0" w:type="dxa"/>
            <w:vAlign w:val="bottom"/>
          </w:tcPr>
          <w:p>
            <w:pPr>
              <w:spacing w:after="0"/>
              <w:rPr>
                <w:sz w:val="1"/>
                <w:szCs w:val="1"/>
                <w:color w:val="auto"/>
              </w:rPr>
            </w:pPr>
          </w:p>
        </w:tc>
      </w:tr>
      <w:tr>
        <w:trPr>
          <w:trHeight w:val="119"/>
        </w:trPr>
        <w:tc>
          <w:tcPr>
            <w:tcW w:w="4060" w:type="dxa"/>
            <w:vAlign w:val="bottom"/>
            <w:tcBorders>
              <w:right w:val="single" w:sz="8" w:color="008256"/>
            </w:tcBorders>
          </w:tcPr>
          <w:p>
            <w:pPr>
              <w:spacing w:after="0"/>
              <w:rPr>
                <w:sz w:val="10"/>
                <w:szCs w:val="10"/>
                <w:color w:val="auto"/>
              </w:rPr>
            </w:pPr>
          </w:p>
        </w:tc>
        <w:tc>
          <w:tcPr>
            <w:tcW w:w="3680" w:type="dxa"/>
            <w:vAlign w:val="bottom"/>
            <w:tcBorders>
              <w:right w:val="single" w:sz="8" w:color="008256"/>
            </w:tcBorders>
            <w:vMerge w:val="continue"/>
          </w:tcPr>
          <w:p>
            <w:pPr>
              <w:spacing w:after="0"/>
              <w:rPr>
                <w:sz w:val="10"/>
                <w:szCs w:val="10"/>
                <w:color w:val="auto"/>
              </w:rPr>
            </w:pPr>
          </w:p>
        </w:tc>
        <w:tc>
          <w:tcPr>
            <w:tcW w:w="3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8"/>
        </w:trPr>
        <w:tc>
          <w:tcPr>
            <w:tcW w:w="4060" w:type="dxa"/>
            <w:vAlign w:val="bottom"/>
            <w:tcBorders>
              <w:right w:val="single" w:sz="8" w:color="008256"/>
            </w:tcBorders>
          </w:tcPr>
          <w:p>
            <w:pPr>
              <w:spacing w:after="0"/>
              <w:rPr>
                <w:sz w:val="20"/>
                <w:szCs w:val="20"/>
                <w:color w:val="auto"/>
              </w:rPr>
            </w:pPr>
          </w:p>
        </w:tc>
        <w:tc>
          <w:tcPr>
            <w:tcW w:w="3680" w:type="dxa"/>
            <w:vAlign w:val="bottom"/>
            <w:tcBorders>
              <w:right w:val="single" w:sz="8" w:color="008256"/>
            </w:tcBorders>
          </w:tcPr>
          <w:p>
            <w:pPr>
              <w:ind w:left="60"/>
              <w:spacing w:after="0"/>
              <w:rPr>
                <w:sz w:val="20"/>
                <w:szCs w:val="20"/>
                <w:color w:val="auto"/>
              </w:rPr>
            </w:pPr>
            <w:r>
              <w:rPr>
                <w:rFonts w:ascii="Arial" w:cs="Arial" w:eastAsia="Arial" w:hAnsi="Arial"/>
                <w:sz w:val="13"/>
                <w:szCs w:val="13"/>
                <w:color w:val="auto"/>
              </w:rPr>
              <w:t>Payment of, or reimbursement for, continued healthcare</w:t>
            </w:r>
          </w:p>
        </w:tc>
        <w:tc>
          <w:tcPr>
            <w:tcW w:w="3540" w:type="dxa"/>
            <w:vAlign w:val="bottom"/>
          </w:tcPr>
          <w:p>
            <w:pPr>
              <w:ind w:left="60"/>
              <w:spacing w:after="0"/>
              <w:rPr>
                <w:sz w:val="20"/>
                <w:szCs w:val="20"/>
                <w:color w:val="auto"/>
              </w:rPr>
            </w:pPr>
            <w:r>
              <w:rPr>
                <w:rFonts w:ascii="Arial" w:cs="Arial" w:eastAsia="Arial" w:hAnsi="Arial"/>
                <w:sz w:val="13"/>
                <w:szCs w:val="13"/>
                <w:color w:val="auto"/>
              </w:rPr>
              <w:t>Maximize stockholder value by retaining key personnel</w:t>
            </w:r>
          </w:p>
        </w:tc>
        <w:tc>
          <w:tcPr>
            <w:tcW w:w="0" w:type="dxa"/>
            <w:vAlign w:val="bottom"/>
          </w:tcPr>
          <w:p>
            <w:pPr>
              <w:spacing w:after="0"/>
              <w:rPr>
                <w:sz w:val="1"/>
                <w:szCs w:val="1"/>
                <w:color w:val="auto"/>
              </w:rPr>
            </w:pPr>
          </w:p>
        </w:tc>
      </w:tr>
      <w:tr>
        <w:trPr>
          <w:trHeight w:val="149"/>
        </w:trPr>
        <w:tc>
          <w:tcPr>
            <w:tcW w:w="4060" w:type="dxa"/>
            <w:vAlign w:val="bottom"/>
            <w:tcBorders>
              <w:right w:val="single" w:sz="8" w:color="008256"/>
            </w:tcBorders>
          </w:tcPr>
          <w:p>
            <w:pPr>
              <w:spacing w:after="0"/>
              <w:rPr>
                <w:sz w:val="12"/>
                <w:szCs w:val="12"/>
                <w:color w:val="auto"/>
              </w:rPr>
            </w:pPr>
          </w:p>
        </w:tc>
        <w:tc>
          <w:tcPr>
            <w:tcW w:w="3680" w:type="dxa"/>
            <w:vAlign w:val="bottom"/>
            <w:tcBorders>
              <w:right w:val="single" w:sz="8" w:color="008256"/>
            </w:tcBorders>
          </w:tcPr>
          <w:p>
            <w:pPr>
              <w:ind w:left="60"/>
              <w:spacing w:after="0"/>
              <w:rPr>
                <w:sz w:val="20"/>
                <w:szCs w:val="20"/>
                <w:color w:val="auto"/>
              </w:rPr>
            </w:pPr>
            <w:r>
              <w:rPr>
                <w:rFonts w:ascii="Arial" w:cs="Arial" w:eastAsia="Arial" w:hAnsi="Arial"/>
                <w:sz w:val="13"/>
                <w:szCs w:val="13"/>
                <w:color w:val="auto"/>
              </w:rPr>
              <w:t>coverage under COBRA for the applicable severance period;</w:t>
            </w:r>
          </w:p>
        </w:tc>
        <w:tc>
          <w:tcPr>
            <w:tcW w:w="3540" w:type="dxa"/>
            <w:vAlign w:val="bottom"/>
          </w:tcPr>
          <w:p>
            <w:pPr>
              <w:ind w:left="60"/>
              <w:spacing w:after="0"/>
              <w:rPr>
                <w:sz w:val="20"/>
                <w:szCs w:val="20"/>
                <w:color w:val="auto"/>
              </w:rPr>
            </w:pPr>
            <w:r>
              <w:rPr>
                <w:rFonts w:ascii="Arial" w:cs="Arial" w:eastAsia="Arial" w:hAnsi="Arial"/>
                <w:sz w:val="13"/>
                <w:szCs w:val="13"/>
                <w:color w:val="auto"/>
              </w:rPr>
              <w:t>during actual or rumored transactions</w:t>
            </w:r>
          </w:p>
        </w:tc>
        <w:tc>
          <w:tcPr>
            <w:tcW w:w="0" w:type="dxa"/>
            <w:vAlign w:val="bottom"/>
          </w:tcPr>
          <w:p>
            <w:pPr>
              <w:spacing w:after="0"/>
              <w:rPr>
                <w:sz w:val="1"/>
                <w:szCs w:val="1"/>
                <w:color w:val="auto"/>
              </w:rPr>
            </w:pPr>
          </w:p>
        </w:tc>
      </w:tr>
      <w:tr>
        <w:trPr>
          <w:trHeight w:val="167"/>
        </w:trPr>
        <w:tc>
          <w:tcPr>
            <w:tcW w:w="4060" w:type="dxa"/>
            <w:vAlign w:val="bottom"/>
            <w:tcBorders>
              <w:right w:val="single" w:sz="8" w:color="008256"/>
            </w:tcBorders>
          </w:tcPr>
          <w:p>
            <w:pPr>
              <w:spacing w:after="0"/>
              <w:rPr>
                <w:sz w:val="14"/>
                <w:szCs w:val="14"/>
                <w:color w:val="auto"/>
              </w:rPr>
            </w:pPr>
          </w:p>
        </w:tc>
        <w:tc>
          <w:tcPr>
            <w:tcW w:w="3680" w:type="dxa"/>
            <w:vAlign w:val="bottom"/>
            <w:tcBorders>
              <w:right w:val="single" w:sz="8" w:color="008256"/>
            </w:tcBorders>
          </w:tcPr>
          <w:p>
            <w:pPr>
              <w:ind w:left="60"/>
              <w:spacing w:after="0"/>
              <w:rPr>
                <w:sz w:val="20"/>
                <w:szCs w:val="20"/>
                <w:color w:val="auto"/>
              </w:rPr>
            </w:pPr>
            <w:r>
              <w:rPr>
                <w:rFonts w:ascii="Arial" w:cs="Arial" w:eastAsia="Arial" w:hAnsi="Arial"/>
                <w:sz w:val="13"/>
                <w:szCs w:val="13"/>
                <w:color w:val="auto"/>
              </w:rPr>
              <w:t>and</w:t>
            </w:r>
          </w:p>
        </w:tc>
        <w:tc>
          <w:tcPr>
            <w:tcW w:w="3540" w:type="dxa"/>
            <w:vAlign w:val="bottom"/>
            <w:vMerge w:val="restart"/>
          </w:tcPr>
          <w:p>
            <w:pPr>
              <w:ind w:left="60"/>
              <w:spacing w:after="0"/>
              <w:rPr>
                <w:sz w:val="20"/>
                <w:szCs w:val="20"/>
                <w:color w:val="auto"/>
              </w:rPr>
            </w:pPr>
            <w:r>
              <w:rPr>
                <w:rFonts w:ascii="Arial" w:cs="Arial" w:eastAsia="Arial" w:hAnsi="Arial"/>
                <w:sz w:val="13"/>
                <w:szCs w:val="13"/>
                <w:color w:val="auto"/>
              </w:rPr>
              <w:t>Enhance the Company’s ability to attract/retain key</w:t>
            </w:r>
          </w:p>
        </w:tc>
        <w:tc>
          <w:tcPr>
            <w:tcW w:w="0" w:type="dxa"/>
            <w:vAlign w:val="bottom"/>
          </w:tcPr>
          <w:p>
            <w:pPr>
              <w:spacing w:after="0"/>
              <w:rPr>
                <w:sz w:val="1"/>
                <w:szCs w:val="1"/>
                <w:color w:val="auto"/>
              </w:rPr>
            </w:pPr>
          </w:p>
        </w:tc>
      </w:tr>
      <w:tr>
        <w:trPr>
          <w:trHeight w:val="98"/>
        </w:trPr>
        <w:tc>
          <w:tcPr>
            <w:tcW w:w="4060" w:type="dxa"/>
            <w:vAlign w:val="bottom"/>
            <w:tcBorders>
              <w:right w:val="single" w:sz="8" w:color="008256"/>
            </w:tcBorders>
          </w:tcPr>
          <w:p>
            <w:pPr>
              <w:spacing w:after="0"/>
              <w:rPr>
                <w:sz w:val="8"/>
                <w:szCs w:val="8"/>
                <w:color w:val="auto"/>
              </w:rPr>
            </w:pPr>
          </w:p>
        </w:tc>
        <w:tc>
          <w:tcPr>
            <w:tcW w:w="3680" w:type="dxa"/>
            <w:vAlign w:val="bottom"/>
            <w:tcBorders>
              <w:right w:val="single" w:sz="8" w:color="008256"/>
            </w:tcBorders>
          </w:tcPr>
          <w:p>
            <w:pPr>
              <w:spacing w:after="0"/>
              <w:rPr>
                <w:sz w:val="8"/>
                <w:szCs w:val="8"/>
                <w:color w:val="auto"/>
              </w:rPr>
            </w:pPr>
          </w:p>
        </w:tc>
        <w:tc>
          <w:tcPr>
            <w:tcW w:w="3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59"/>
        </w:trPr>
        <w:tc>
          <w:tcPr>
            <w:tcW w:w="4060" w:type="dxa"/>
            <w:vAlign w:val="bottom"/>
            <w:tcBorders>
              <w:right w:val="single" w:sz="8" w:color="008256"/>
            </w:tcBorders>
          </w:tcPr>
          <w:p>
            <w:pPr>
              <w:spacing w:after="0"/>
              <w:rPr>
                <w:sz w:val="13"/>
                <w:szCs w:val="13"/>
                <w:color w:val="auto"/>
              </w:rPr>
            </w:pPr>
          </w:p>
        </w:tc>
        <w:tc>
          <w:tcPr>
            <w:tcW w:w="3680" w:type="dxa"/>
            <w:vAlign w:val="bottom"/>
            <w:tcBorders>
              <w:right w:val="single" w:sz="8" w:color="008256"/>
            </w:tcBorders>
          </w:tcPr>
          <w:p>
            <w:pPr>
              <w:ind w:left="60"/>
              <w:spacing w:after="0"/>
              <w:rPr>
                <w:sz w:val="20"/>
                <w:szCs w:val="20"/>
                <w:color w:val="auto"/>
              </w:rPr>
            </w:pPr>
            <w:r>
              <w:rPr>
                <w:rFonts w:ascii="Arial" w:cs="Arial" w:eastAsia="Arial" w:hAnsi="Arial"/>
                <w:sz w:val="13"/>
                <w:szCs w:val="13"/>
                <w:color w:val="auto"/>
              </w:rPr>
              <w:t>In the event of a change of control, acceleration of vesting of</w:t>
            </w:r>
          </w:p>
        </w:tc>
        <w:tc>
          <w:tcPr>
            <w:tcW w:w="3540" w:type="dxa"/>
            <w:vAlign w:val="bottom"/>
          </w:tcPr>
          <w:p>
            <w:pPr>
              <w:ind w:left="60"/>
              <w:spacing w:after="0"/>
              <w:rPr>
                <w:sz w:val="20"/>
                <w:szCs w:val="20"/>
                <w:color w:val="auto"/>
              </w:rPr>
            </w:pPr>
            <w:r>
              <w:rPr>
                <w:rFonts w:ascii="Arial" w:cs="Arial" w:eastAsia="Arial" w:hAnsi="Arial"/>
                <w:sz w:val="13"/>
                <w:szCs w:val="13"/>
                <w:color w:val="auto"/>
              </w:rPr>
              <w:t>executives</w:t>
            </w:r>
          </w:p>
        </w:tc>
        <w:tc>
          <w:tcPr>
            <w:tcW w:w="0" w:type="dxa"/>
            <w:vAlign w:val="bottom"/>
          </w:tcPr>
          <w:p>
            <w:pPr>
              <w:spacing w:after="0"/>
              <w:rPr>
                <w:sz w:val="1"/>
                <w:szCs w:val="1"/>
                <w:color w:val="auto"/>
              </w:rPr>
            </w:pPr>
          </w:p>
        </w:tc>
      </w:tr>
      <w:tr>
        <w:trPr>
          <w:trHeight w:val="167"/>
        </w:trPr>
        <w:tc>
          <w:tcPr>
            <w:tcW w:w="4060" w:type="dxa"/>
            <w:vAlign w:val="bottom"/>
            <w:tcBorders>
              <w:right w:val="single" w:sz="8" w:color="008256"/>
            </w:tcBorders>
          </w:tcPr>
          <w:p>
            <w:pPr>
              <w:spacing w:after="0"/>
              <w:rPr>
                <w:sz w:val="14"/>
                <w:szCs w:val="14"/>
                <w:color w:val="auto"/>
              </w:rPr>
            </w:pPr>
          </w:p>
        </w:tc>
        <w:tc>
          <w:tcPr>
            <w:tcW w:w="3680" w:type="dxa"/>
            <w:vAlign w:val="bottom"/>
            <w:tcBorders>
              <w:right w:val="single" w:sz="8" w:color="008256"/>
            </w:tcBorders>
          </w:tcPr>
          <w:p>
            <w:pPr>
              <w:ind w:left="60"/>
              <w:spacing w:after="0"/>
              <w:rPr>
                <w:sz w:val="20"/>
                <w:szCs w:val="20"/>
                <w:color w:val="auto"/>
              </w:rPr>
            </w:pPr>
            <w:r>
              <w:rPr>
                <w:rFonts w:ascii="Arial" w:cs="Arial" w:eastAsia="Arial" w:hAnsi="Arial"/>
                <w:sz w:val="13"/>
                <w:szCs w:val="13"/>
                <w:color w:val="auto"/>
              </w:rPr>
              <w:t>time-based awards.</w:t>
            </w:r>
          </w:p>
        </w:tc>
        <w:tc>
          <w:tcPr>
            <w:tcW w:w="3540" w:type="dxa"/>
            <w:vAlign w:val="bottom"/>
            <w:vMerge w:val="restart"/>
          </w:tcPr>
          <w:p>
            <w:pPr>
              <w:ind w:left="60"/>
              <w:spacing w:after="0"/>
              <w:rPr>
                <w:sz w:val="20"/>
                <w:szCs w:val="20"/>
                <w:color w:val="auto"/>
              </w:rPr>
            </w:pPr>
            <w:r>
              <w:rPr>
                <w:rFonts w:ascii="Arial" w:cs="Arial" w:eastAsia="Arial" w:hAnsi="Arial"/>
                <w:sz w:val="13"/>
                <w:szCs w:val="13"/>
                <w:color w:val="auto"/>
              </w:rPr>
              <w:t>Pre-established severance benefits can also limit one-off</w:t>
            </w:r>
          </w:p>
        </w:tc>
        <w:tc>
          <w:tcPr>
            <w:tcW w:w="0" w:type="dxa"/>
            <w:vAlign w:val="bottom"/>
          </w:tcPr>
          <w:p>
            <w:pPr>
              <w:spacing w:after="0"/>
              <w:rPr>
                <w:sz w:val="1"/>
                <w:szCs w:val="1"/>
                <w:color w:val="auto"/>
              </w:rPr>
            </w:pPr>
          </w:p>
        </w:tc>
      </w:tr>
      <w:tr>
        <w:trPr>
          <w:trHeight w:val="98"/>
        </w:trPr>
        <w:tc>
          <w:tcPr>
            <w:tcW w:w="4060" w:type="dxa"/>
            <w:vAlign w:val="bottom"/>
            <w:tcBorders>
              <w:right w:val="single" w:sz="8" w:color="008256"/>
            </w:tcBorders>
          </w:tcPr>
          <w:p>
            <w:pPr>
              <w:spacing w:after="0"/>
              <w:rPr>
                <w:sz w:val="8"/>
                <w:szCs w:val="8"/>
                <w:color w:val="auto"/>
              </w:rPr>
            </w:pPr>
          </w:p>
        </w:tc>
        <w:tc>
          <w:tcPr>
            <w:tcW w:w="3680" w:type="dxa"/>
            <w:vAlign w:val="bottom"/>
            <w:tcBorders>
              <w:right w:val="single" w:sz="8" w:color="008256"/>
            </w:tcBorders>
          </w:tcPr>
          <w:p>
            <w:pPr>
              <w:spacing w:after="0"/>
              <w:rPr>
                <w:sz w:val="8"/>
                <w:szCs w:val="8"/>
                <w:color w:val="auto"/>
              </w:rPr>
            </w:pPr>
          </w:p>
        </w:tc>
        <w:tc>
          <w:tcPr>
            <w:tcW w:w="3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7"/>
        </w:trPr>
        <w:tc>
          <w:tcPr>
            <w:tcW w:w="4060" w:type="dxa"/>
            <w:vAlign w:val="bottom"/>
            <w:tcBorders>
              <w:right w:val="single" w:sz="8" w:color="008256"/>
            </w:tcBorders>
          </w:tcPr>
          <w:p>
            <w:pPr>
              <w:spacing w:after="0"/>
              <w:rPr>
                <w:sz w:val="14"/>
                <w:szCs w:val="14"/>
                <w:color w:val="auto"/>
              </w:rPr>
            </w:pPr>
          </w:p>
        </w:tc>
        <w:tc>
          <w:tcPr>
            <w:tcW w:w="3680" w:type="dxa"/>
            <w:vAlign w:val="bottom"/>
            <w:tcBorders>
              <w:right w:val="single" w:sz="8" w:color="008256"/>
            </w:tcBorders>
          </w:tcPr>
          <w:p>
            <w:pPr>
              <w:spacing w:after="0"/>
              <w:rPr>
                <w:sz w:val="14"/>
                <w:szCs w:val="14"/>
                <w:color w:val="auto"/>
              </w:rPr>
            </w:pPr>
          </w:p>
        </w:tc>
        <w:tc>
          <w:tcPr>
            <w:tcW w:w="3540" w:type="dxa"/>
            <w:vAlign w:val="bottom"/>
          </w:tcPr>
          <w:p>
            <w:pPr>
              <w:ind w:left="60"/>
              <w:spacing w:after="0"/>
              <w:rPr>
                <w:sz w:val="20"/>
                <w:szCs w:val="20"/>
                <w:color w:val="auto"/>
              </w:rPr>
            </w:pPr>
            <w:r>
              <w:rPr>
                <w:rFonts w:ascii="Arial" w:cs="Arial" w:eastAsia="Arial" w:hAnsi="Arial"/>
                <w:sz w:val="13"/>
                <w:szCs w:val="13"/>
                <w:color w:val="auto"/>
              </w:rPr>
              <w:t>negotiations at the time of each executive termination</w:t>
            </w:r>
          </w:p>
        </w:tc>
        <w:tc>
          <w:tcPr>
            <w:tcW w:w="0" w:type="dxa"/>
            <w:vAlign w:val="bottom"/>
          </w:tcPr>
          <w:p>
            <w:pPr>
              <w:spacing w:after="0"/>
              <w:rPr>
                <w:sz w:val="1"/>
                <w:szCs w:val="1"/>
                <w:color w:val="auto"/>
              </w:rPr>
            </w:pPr>
          </w:p>
        </w:tc>
      </w:tr>
      <w:tr>
        <w:trPr>
          <w:trHeight w:val="24"/>
        </w:trPr>
        <w:tc>
          <w:tcPr>
            <w:tcW w:w="4060" w:type="dxa"/>
            <w:vAlign w:val="bottom"/>
            <w:tcBorders>
              <w:right w:val="single" w:sz="8" w:color="008256"/>
            </w:tcBorders>
          </w:tcPr>
          <w:p>
            <w:pPr>
              <w:spacing w:after="0"/>
              <w:rPr>
                <w:sz w:val="2"/>
                <w:szCs w:val="2"/>
                <w:color w:val="auto"/>
              </w:rPr>
            </w:pPr>
          </w:p>
        </w:tc>
        <w:tc>
          <w:tcPr>
            <w:tcW w:w="3680" w:type="dxa"/>
            <w:vAlign w:val="bottom"/>
            <w:tcBorders>
              <w:right w:val="single" w:sz="8" w:color="008256"/>
            </w:tcBorders>
          </w:tcPr>
          <w:p>
            <w:pPr>
              <w:spacing w:after="0"/>
              <w:rPr>
                <w:sz w:val="2"/>
                <w:szCs w:val="2"/>
                <w:color w:val="auto"/>
              </w:rPr>
            </w:pPr>
          </w:p>
        </w:tc>
        <w:tc>
          <w:tcPr>
            <w:tcW w:w="3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464820</wp:posOffset>
            </wp:positionV>
            <wp:extent cx="7161530" cy="2895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289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1160"/>
        <w:spacing w:after="0"/>
        <w:rPr>
          <w:sz w:val="20"/>
          <w:szCs w:val="20"/>
          <w:color w:val="auto"/>
        </w:rPr>
      </w:pPr>
      <w:r>
        <w:rPr>
          <w:rFonts w:ascii="Arial" w:cs="Arial" w:eastAsia="Arial" w:hAnsi="Arial"/>
          <w:sz w:val="13"/>
          <w:szCs w:val="13"/>
          <w:b w:val="1"/>
          <w:bCs w:val="1"/>
          <w:color w:val="auto"/>
        </w:rPr>
        <w:t>7</w:t>
      </w:r>
    </w:p>
    <w:p>
      <w:pPr>
        <w:sectPr>
          <w:pgSz w:w="11900" w:h="16838" w:orient="portrait"/>
          <w:cols w:equalWidth="0" w:num="1">
            <w:col w:w="11280"/>
          </w:cols>
          <w:pgMar w:left="300" w:top="171" w:right="319" w:bottom="1440" w:gutter="0" w:footer="0" w:header="0"/>
        </w:sectPr>
      </w:pPr>
    </w:p>
    <w:bookmarkStart w:id="12" w:name="page13"/>
    <w:bookmarkEnd w:id="12"/>
    <w:p>
      <w:pPr>
        <w:ind w:left="300"/>
        <w:spacing w:after="0"/>
        <w:rPr>
          <w:sz w:val="20"/>
          <w:szCs w:val="20"/>
          <w:color w:val="auto"/>
        </w:rPr>
      </w:pPr>
      <w:r>
        <w:rPr>
          <w:rFonts w:ascii="Arial" w:cs="Arial" w:eastAsia="Arial" w:hAnsi="Arial"/>
          <w:sz w:val="13"/>
          <w:szCs w:val="13"/>
          <w:b w:val="1"/>
          <w:bCs w:val="1"/>
          <w:color w:val="00482F"/>
        </w:rPr>
        <w:drawing>
          <wp:anchor simplePos="0" relativeHeight="251657728" behindDoc="1" locked="0" layoutInCell="0" allowOverlap="1">
            <wp:simplePos x="0" y="0"/>
            <wp:positionH relativeFrom="page">
              <wp:posOffset>328295</wp:posOffset>
            </wp:positionH>
            <wp:positionV relativeFrom="page">
              <wp:posOffset>102235</wp:posOffset>
            </wp:positionV>
            <wp:extent cx="1933575" cy="147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933575" cy="147955"/>
                    </a:xfrm>
                    <a:prstGeom prst="rect">
                      <a:avLst/>
                    </a:prstGeom>
                    <a:noFill/>
                  </pic:spPr>
                </pic:pic>
              </a:graphicData>
            </a:graphic>
          </wp:anchor>
        </w:drawing>
        <w:t>PROXY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3"/>
          <w:szCs w:val="13"/>
          <w:color w:val="auto"/>
        </w:rPr>
        <w:t>Key elements of our compensation governance for our Named Executive Officers are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127635</wp:posOffset>
            </wp:positionV>
            <wp:extent cx="7087870"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87870" cy="6985"/>
                    </a:xfrm>
                    <a:prstGeom prst="rect">
                      <a:avLst/>
                    </a:prstGeom>
                    <a:noFill/>
                  </pic:spPr>
                </pic:pic>
              </a:graphicData>
            </a:graphic>
          </wp:anchor>
        </w:drawing>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260" w:type="dxa"/>
            <w:vAlign w:val="bottom"/>
            <w:tcBorders>
              <w:bottom w:val="single" w:sz="8" w:color="008256"/>
            </w:tcBorders>
          </w:tcPr>
          <w:p>
            <w:pPr>
              <w:ind w:left="2260"/>
              <w:spacing w:after="0"/>
              <w:rPr>
                <w:sz w:val="20"/>
                <w:szCs w:val="20"/>
                <w:color w:val="auto"/>
              </w:rPr>
            </w:pPr>
            <w:r>
              <w:rPr>
                <w:rFonts w:ascii="Arial" w:cs="Arial" w:eastAsia="Arial" w:hAnsi="Arial"/>
                <w:sz w:val="11"/>
                <w:szCs w:val="11"/>
                <w:b w:val="1"/>
                <w:bCs w:val="1"/>
                <w:color w:val="0C6936"/>
              </w:rPr>
              <w:t>WHAT WE DO</w:t>
            </w:r>
          </w:p>
        </w:tc>
        <w:tc>
          <w:tcPr>
            <w:tcW w:w="640" w:type="dxa"/>
            <w:vAlign w:val="bottom"/>
          </w:tcPr>
          <w:p>
            <w:pPr>
              <w:spacing w:after="0"/>
              <w:rPr>
                <w:sz w:val="13"/>
                <w:szCs w:val="13"/>
                <w:color w:val="auto"/>
              </w:rPr>
            </w:pPr>
          </w:p>
        </w:tc>
        <w:tc>
          <w:tcPr>
            <w:tcW w:w="220" w:type="dxa"/>
            <w:vAlign w:val="bottom"/>
            <w:tcBorders>
              <w:bottom w:val="single" w:sz="8" w:color="008256"/>
            </w:tcBorders>
          </w:tcPr>
          <w:p>
            <w:pPr>
              <w:spacing w:after="0"/>
              <w:rPr>
                <w:sz w:val="13"/>
                <w:szCs w:val="13"/>
                <w:color w:val="auto"/>
              </w:rPr>
            </w:pPr>
          </w:p>
        </w:tc>
        <w:tc>
          <w:tcPr>
            <w:tcW w:w="5040" w:type="dxa"/>
            <w:vAlign w:val="bottom"/>
            <w:tcBorders>
              <w:bottom w:val="single" w:sz="8" w:color="008256"/>
            </w:tcBorders>
          </w:tcPr>
          <w:p>
            <w:pPr>
              <w:ind w:left="1860"/>
              <w:spacing w:after="0"/>
              <w:rPr>
                <w:sz w:val="20"/>
                <w:szCs w:val="20"/>
                <w:color w:val="auto"/>
              </w:rPr>
            </w:pPr>
            <w:r>
              <w:rPr>
                <w:rFonts w:ascii="Arial" w:cs="Arial" w:eastAsia="Arial" w:hAnsi="Arial"/>
                <w:sz w:val="11"/>
                <w:szCs w:val="11"/>
                <w:b w:val="1"/>
                <w:bCs w:val="1"/>
                <w:color w:val="0C6936"/>
              </w:rPr>
              <w:t>WHAT WE DON’T DO</w:t>
            </w:r>
          </w:p>
        </w:tc>
      </w:tr>
      <w:tr>
        <w:trPr>
          <w:trHeight w:val="169"/>
        </w:trPr>
        <w:tc>
          <w:tcPr>
            <w:tcW w:w="5260" w:type="dxa"/>
            <w:vAlign w:val="bottom"/>
          </w:tcPr>
          <w:p>
            <w:pPr>
              <w:ind w:left="80"/>
              <w:spacing w:after="0" w:line="150" w:lineRule="exact"/>
              <w:rPr>
                <w:sz w:val="20"/>
                <w:szCs w:val="20"/>
                <w:color w:val="auto"/>
              </w:rPr>
            </w:pPr>
            <w:r>
              <w:rPr>
                <w:rFonts w:ascii="MS PGothic" w:cs="MS PGothic" w:eastAsia="MS PGothic" w:hAnsi="MS PGothic"/>
                <w:sz w:val="13"/>
                <w:szCs w:val="13"/>
                <w:color w:val="77BC1F"/>
              </w:rPr>
              <w:t>✓</w:t>
            </w:r>
            <w:r>
              <w:rPr>
                <w:rFonts w:ascii="Arial" w:cs="Arial" w:eastAsia="Arial" w:hAnsi="Arial"/>
                <w:sz w:val="13"/>
                <w:szCs w:val="13"/>
                <w:color w:val="auto"/>
              </w:rPr>
              <w:t xml:space="preserve"> Multi-year vesting schedules for equity awards</w:t>
            </w:r>
          </w:p>
        </w:tc>
        <w:tc>
          <w:tcPr>
            <w:tcW w:w="860" w:type="dxa"/>
            <w:vAlign w:val="bottom"/>
            <w:gridSpan w:val="2"/>
          </w:tcPr>
          <w:p>
            <w:pPr>
              <w:ind w:left="720"/>
              <w:spacing w:after="0"/>
              <w:rPr>
                <w:sz w:val="20"/>
                <w:szCs w:val="20"/>
                <w:color w:val="auto"/>
              </w:rPr>
            </w:pPr>
            <w:r>
              <w:rPr>
                <w:rFonts w:ascii="Arial" w:cs="Arial" w:eastAsia="Arial" w:hAnsi="Arial"/>
                <w:sz w:val="13"/>
                <w:szCs w:val="13"/>
                <w:color w:val="77BC1F"/>
              </w:rPr>
              <w:t>×</w:t>
            </w:r>
          </w:p>
        </w:tc>
        <w:tc>
          <w:tcPr>
            <w:tcW w:w="5040" w:type="dxa"/>
            <w:vAlign w:val="bottom"/>
          </w:tcPr>
          <w:p>
            <w:pPr>
              <w:ind w:left="60"/>
              <w:spacing w:after="0"/>
              <w:rPr>
                <w:sz w:val="20"/>
                <w:szCs w:val="20"/>
                <w:color w:val="auto"/>
              </w:rPr>
            </w:pPr>
            <w:r>
              <w:rPr>
                <w:rFonts w:ascii="Arial" w:cs="Arial" w:eastAsia="Arial" w:hAnsi="Arial"/>
                <w:sz w:val="13"/>
                <w:szCs w:val="13"/>
                <w:color w:val="auto"/>
              </w:rPr>
              <w:t>No Employment Agreements</w:t>
            </w:r>
          </w:p>
        </w:tc>
      </w:tr>
      <w:tr>
        <w:trPr>
          <w:trHeight w:val="191"/>
        </w:trPr>
        <w:tc>
          <w:tcPr>
            <w:tcW w:w="5260" w:type="dxa"/>
            <w:vAlign w:val="bottom"/>
          </w:tcPr>
          <w:p>
            <w:pPr>
              <w:ind w:left="80"/>
              <w:spacing w:after="0" w:line="150" w:lineRule="exact"/>
              <w:rPr>
                <w:sz w:val="20"/>
                <w:szCs w:val="20"/>
                <w:color w:val="auto"/>
              </w:rPr>
            </w:pPr>
            <w:r>
              <w:rPr>
                <w:rFonts w:ascii="MS PGothic" w:cs="MS PGothic" w:eastAsia="MS PGothic" w:hAnsi="MS PGothic"/>
                <w:sz w:val="13"/>
                <w:szCs w:val="13"/>
                <w:color w:val="77BC1F"/>
              </w:rPr>
              <w:t>✓</w:t>
            </w:r>
            <w:r>
              <w:rPr>
                <w:rFonts w:ascii="Arial" w:cs="Arial" w:eastAsia="Arial" w:hAnsi="Arial"/>
                <w:sz w:val="13"/>
                <w:szCs w:val="13"/>
                <w:color w:val="auto"/>
              </w:rPr>
              <w:t xml:space="preserve"> Stock Ownership Principles</w:t>
            </w:r>
          </w:p>
        </w:tc>
        <w:tc>
          <w:tcPr>
            <w:tcW w:w="640" w:type="dxa"/>
            <w:vAlign w:val="bottom"/>
          </w:tcPr>
          <w:p>
            <w:pPr>
              <w:spacing w:after="0"/>
              <w:rPr>
                <w:sz w:val="16"/>
                <w:szCs w:val="16"/>
                <w:color w:val="auto"/>
              </w:rPr>
            </w:pPr>
          </w:p>
        </w:tc>
        <w:tc>
          <w:tcPr>
            <w:tcW w:w="5260" w:type="dxa"/>
            <w:vAlign w:val="bottom"/>
            <w:gridSpan w:val="2"/>
          </w:tcPr>
          <w:p>
            <w:pPr>
              <w:ind w:left="80"/>
              <w:spacing w:after="0"/>
              <w:rPr>
                <w:sz w:val="20"/>
                <w:szCs w:val="20"/>
                <w:color w:val="auto"/>
              </w:rPr>
            </w:pPr>
            <w:r>
              <w:rPr>
                <w:rFonts w:ascii="Arial" w:cs="Arial" w:eastAsia="Arial" w:hAnsi="Arial"/>
                <w:sz w:val="13"/>
                <w:szCs w:val="13"/>
                <w:color w:val="77BC1F"/>
              </w:rPr>
              <w:t xml:space="preserve">×  </w:t>
            </w:r>
            <w:r>
              <w:rPr>
                <w:rFonts w:ascii="Arial" w:cs="Arial" w:eastAsia="Arial" w:hAnsi="Arial"/>
                <w:sz w:val="13"/>
                <w:szCs w:val="13"/>
                <w:color w:val="000000"/>
              </w:rPr>
              <w:t>No Excise Tax Gross-Ups on Change-in-Control Payments</w:t>
            </w:r>
          </w:p>
        </w:tc>
      </w:tr>
      <w:tr>
        <w:trPr>
          <w:trHeight w:val="191"/>
        </w:trPr>
        <w:tc>
          <w:tcPr>
            <w:tcW w:w="5260" w:type="dxa"/>
            <w:vAlign w:val="bottom"/>
          </w:tcPr>
          <w:p>
            <w:pPr>
              <w:ind w:left="80"/>
              <w:spacing w:after="0" w:line="150" w:lineRule="exact"/>
              <w:rPr>
                <w:sz w:val="20"/>
                <w:szCs w:val="20"/>
                <w:color w:val="auto"/>
              </w:rPr>
            </w:pPr>
            <w:r>
              <w:rPr>
                <w:rFonts w:ascii="MS PGothic" w:cs="MS PGothic" w:eastAsia="MS PGothic" w:hAnsi="MS PGothic"/>
                <w:sz w:val="13"/>
                <w:szCs w:val="13"/>
                <w:color w:val="77BC1F"/>
              </w:rPr>
              <w:t>✓</w:t>
            </w:r>
            <w:r>
              <w:rPr>
                <w:rFonts w:ascii="Arial" w:cs="Arial" w:eastAsia="Arial" w:hAnsi="Arial"/>
                <w:sz w:val="13"/>
                <w:szCs w:val="13"/>
                <w:color w:val="auto"/>
              </w:rPr>
              <w:t xml:space="preserve"> Use Independent Compensation Consultant</w:t>
            </w:r>
          </w:p>
        </w:tc>
        <w:tc>
          <w:tcPr>
            <w:tcW w:w="860" w:type="dxa"/>
            <w:vAlign w:val="bottom"/>
            <w:gridSpan w:val="2"/>
          </w:tcPr>
          <w:p>
            <w:pPr>
              <w:ind w:left="720"/>
              <w:spacing w:after="0"/>
              <w:rPr>
                <w:sz w:val="20"/>
                <w:szCs w:val="20"/>
                <w:color w:val="auto"/>
              </w:rPr>
            </w:pPr>
            <w:r>
              <w:rPr>
                <w:rFonts w:ascii="Arial" w:cs="Arial" w:eastAsia="Arial" w:hAnsi="Arial"/>
                <w:sz w:val="13"/>
                <w:szCs w:val="13"/>
                <w:color w:val="77BC1F"/>
              </w:rPr>
              <w:t>×</w:t>
            </w:r>
          </w:p>
        </w:tc>
        <w:tc>
          <w:tcPr>
            <w:tcW w:w="5040" w:type="dxa"/>
            <w:vAlign w:val="bottom"/>
          </w:tcPr>
          <w:p>
            <w:pPr>
              <w:ind w:left="60"/>
              <w:spacing w:after="0"/>
              <w:rPr>
                <w:sz w:val="20"/>
                <w:szCs w:val="20"/>
                <w:color w:val="auto"/>
              </w:rPr>
            </w:pPr>
            <w:r>
              <w:rPr>
                <w:rFonts w:ascii="Arial" w:cs="Arial" w:eastAsia="Arial" w:hAnsi="Arial"/>
                <w:sz w:val="13"/>
                <w:szCs w:val="13"/>
                <w:color w:val="auto"/>
              </w:rPr>
              <w:t>No Excessive Perquisites</w:t>
            </w:r>
          </w:p>
        </w:tc>
      </w:tr>
      <w:tr>
        <w:trPr>
          <w:trHeight w:val="191"/>
        </w:trPr>
        <w:tc>
          <w:tcPr>
            <w:tcW w:w="5260" w:type="dxa"/>
            <w:vAlign w:val="bottom"/>
          </w:tcPr>
          <w:p>
            <w:pPr>
              <w:ind w:left="80"/>
              <w:spacing w:after="0" w:line="150" w:lineRule="exact"/>
              <w:rPr>
                <w:sz w:val="20"/>
                <w:szCs w:val="20"/>
                <w:color w:val="auto"/>
              </w:rPr>
            </w:pPr>
            <w:r>
              <w:rPr>
                <w:rFonts w:ascii="MS PGothic" w:cs="MS PGothic" w:eastAsia="MS PGothic" w:hAnsi="MS PGothic"/>
                <w:sz w:val="13"/>
                <w:szCs w:val="13"/>
                <w:color w:val="77BC1F"/>
              </w:rPr>
              <w:t>✓</w:t>
            </w:r>
            <w:r>
              <w:rPr>
                <w:rFonts w:ascii="Arial" w:cs="Arial" w:eastAsia="Arial" w:hAnsi="Arial"/>
                <w:sz w:val="13"/>
                <w:szCs w:val="13"/>
                <w:color w:val="auto"/>
              </w:rPr>
              <w:t xml:space="preserve"> Anti-Hedging Policy, applicable to directors and employees</w:t>
            </w:r>
          </w:p>
        </w:tc>
        <w:tc>
          <w:tcPr>
            <w:tcW w:w="640" w:type="dxa"/>
            <w:vAlign w:val="bottom"/>
          </w:tcPr>
          <w:p>
            <w:pPr>
              <w:spacing w:after="0"/>
              <w:rPr>
                <w:sz w:val="16"/>
                <w:szCs w:val="16"/>
                <w:color w:val="auto"/>
              </w:rPr>
            </w:pPr>
          </w:p>
        </w:tc>
        <w:tc>
          <w:tcPr>
            <w:tcW w:w="5260" w:type="dxa"/>
            <w:vAlign w:val="bottom"/>
            <w:gridSpan w:val="2"/>
          </w:tcPr>
          <w:p>
            <w:pPr>
              <w:ind w:left="80"/>
              <w:spacing w:after="0"/>
              <w:rPr>
                <w:sz w:val="20"/>
                <w:szCs w:val="20"/>
                <w:color w:val="auto"/>
              </w:rPr>
            </w:pPr>
            <w:r>
              <w:rPr>
                <w:rFonts w:ascii="Arial" w:cs="Arial" w:eastAsia="Arial" w:hAnsi="Arial"/>
                <w:sz w:val="13"/>
                <w:szCs w:val="13"/>
                <w:color w:val="77BC1F"/>
              </w:rPr>
              <w:t xml:space="preserve">×  </w:t>
            </w:r>
            <w:r>
              <w:rPr>
                <w:rFonts w:ascii="Arial" w:cs="Arial" w:eastAsia="Arial" w:hAnsi="Arial"/>
                <w:sz w:val="13"/>
                <w:szCs w:val="13"/>
                <w:color w:val="000000"/>
              </w:rPr>
              <w:t>No Special Retirement Benefits designated solely for executive officers</w:t>
            </w:r>
          </w:p>
        </w:tc>
      </w:tr>
      <w:tr>
        <w:trPr>
          <w:trHeight w:val="188"/>
        </w:trPr>
        <w:tc>
          <w:tcPr>
            <w:tcW w:w="5260" w:type="dxa"/>
            <w:vAlign w:val="bottom"/>
          </w:tcPr>
          <w:p>
            <w:pPr>
              <w:ind w:left="80"/>
              <w:spacing w:after="0" w:line="150" w:lineRule="exact"/>
              <w:rPr>
                <w:sz w:val="20"/>
                <w:szCs w:val="20"/>
                <w:color w:val="auto"/>
              </w:rPr>
            </w:pPr>
            <w:r>
              <w:rPr>
                <w:rFonts w:ascii="MS PGothic" w:cs="MS PGothic" w:eastAsia="MS PGothic" w:hAnsi="MS PGothic"/>
                <w:sz w:val="13"/>
                <w:szCs w:val="13"/>
                <w:color w:val="77BC1F"/>
              </w:rPr>
              <w:t>✓</w:t>
            </w:r>
            <w:r>
              <w:rPr>
                <w:rFonts w:ascii="Arial" w:cs="Arial" w:eastAsia="Arial" w:hAnsi="Arial"/>
                <w:sz w:val="13"/>
                <w:szCs w:val="13"/>
                <w:color w:val="auto"/>
              </w:rPr>
              <w:t xml:space="preserve"> Compensation Recovery Policy, applicable to officers</w:t>
            </w:r>
          </w:p>
        </w:tc>
        <w:tc>
          <w:tcPr>
            <w:tcW w:w="640" w:type="dxa"/>
            <w:vAlign w:val="bottom"/>
          </w:tcPr>
          <w:p>
            <w:pPr>
              <w:spacing w:after="0"/>
              <w:rPr>
                <w:sz w:val="16"/>
                <w:szCs w:val="16"/>
                <w:color w:val="auto"/>
              </w:rPr>
            </w:pPr>
          </w:p>
        </w:tc>
        <w:tc>
          <w:tcPr>
            <w:tcW w:w="5260" w:type="dxa"/>
            <w:vAlign w:val="bottom"/>
            <w:gridSpan w:val="2"/>
          </w:tcPr>
          <w:p>
            <w:pPr>
              <w:ind w:left="80"/>
              <w:spacing w:after="0"/>
              <w:rPr>
                <w:sz w:val="20"/>
                <w:szCs w:val="20"/>
                <w:color w:val="auto"/>
              </w:rPr>
            </w:pPr>
            <w:r>
              <w:rPr>
                <w:rFonts w:ascii="Arial" w:cs="Arial" w:eastAsia="Arial" w:hAnsi="Arial"/>
                <w:sz w:val="13"/>
                <w:szCs w:val="13"/>
                <w:color w:val="77BC1F"/>
              </w:rPr>
              <w:t xml:space="preserve">×  </w:t>
            </w:r>
            <w:r>
              <w:rPr>
                <w:rFonts w:ascii="Arial" w:cs="Arial" w:eastAsia="Arial" w:hAnsi="Arial"/>
                <w:sz w:val="13"/>
                <w:szCs w:val="13"/>
                <w:color w:val="000000"/>
              </w:rPr>
              <w:t>Do not grant options with exercise prices at less than fair market value of our common</w:t>
            </w:r>
          </w:p>
        </w:tc>
      </w:tr>
      <w:tr>
        <w:trPr>
          <w:trHeight w:val="167"/>
        </w:trPr>
        <w:tc>
          <w:tcPr>
            <w:tcW w:w="52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40" w:type="dxa"/>
            <w:vAlign w:val="bottom"/>
          </w:tcPr>
          <w:p>
            <w:pPr>
              <w:ind w:left="60"/>
              <w:spacing w:after="0"/>
              <w:rPr>
                <w:sz w:val="20"/>
                <w:szCs w:val="20"/>
                <w:color w:val="auto"/>
              </w:rPr>
            </w:pPr>
            <w:r>
              <w:rPr>
                <w:rFonts w:ascii="Arial" w:cs="Arial" w:eastAsia="Arial" w:hAnsi="Arial"/>
                <w:sz w:val="13"/>
                <w:szCs w:val="13"/>
                <w:color w:val="auto"/>
              </w:rPr>
              <w:t>shares on the date of grant</w:t>
            </w:r>
          </w:p>
        </w:tc>
      </w:tr>
    </w:tbl>
    <w:p>
      <w:pPr>
        <w:spacing w:after="0" w:line="109" w:lineRule="exact"/>
        <w:rPr>
          <w:sz w:val="20"/>
          <w:szCs w:val="20"/>
          <w:color w:val="auto"/>
        </w:rPr>
      </w:pPr>
    </w:p>
    <w:p>
      <w:pPr>
        <w:spacing w:after="0"/>
        <w:rPr>
          <w:sz w:val="20"/>
          <w:szCs w:val="20"/>
          <w:color w:val="auto"/>
        </w:rPr>
      </w:pPr>
      <w:r>
        <w:rPr>
          <w:rFonts w:ascii="Arial" w:cs="Arial" w:eastAsia="Arial" w:hAnsi="Arial"/>
          <w:sz w:val="13"/>
          <w:szCs w:val="13"/>
          <w:color w:val="auto"/>
        </w:rPr>
        <w:t>Please see “Named Executive Officer Compensation Tables” and the related narrative disclosure for more information regarding the compensation of our Named Executive Officers.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Governance Highlights—Reasonable Governance with A Controlling Stockholder</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color w:val="auto"/>
        </w:rPr>
        <w:t>Key elements of our governance are set forth below.</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69"/>
        </w:trPr>
        <w:tc>
          <w:tcPr>
            <w:tcW w:w="5660" w:type="dxa"/>
            <w:vAlign w:val="bottom"/>
            <w:tcBorders>
              <w:top w:val="single" w:sz="8" w:color="008256"/>
              <w:right w:val="single" w:sz="8" w:color="008256"/>
            </w:tcBorders>
          </w:tcPr>
          <w:p>
            <w:pPr>
              <w:ind w:left="80"/>
              <w:spacing w:after="0"/>
              <w:rPr>
                <w:sz w:val="20"/>
                <w:szCs w:val="20"/>
                <w:color w:val="auto"/>
              </w:rPr>
            </w:pPr>
            <w:r>
              <w:rPr>
                <w:rFonts w:ascii="Arial" w:cs="Arial" w:eastAsia="Arial" w:hAnsi="Arial"/>
                <w:sz w:val="13"/>
                <w:szCs w:val="13"/>
                <w:color w:val="auto"/>
              </w:rPr>
              <w:t>Executive sessions of independent directors</w:t>
            </w:r>
          </w:p>
        </w:tc>
        <w:tc>
          <w:tcPr>
            <w:tcW w:w="5620" w:type="dxa"/>
            <w:vAlign w:val="bottom"/>
            <w:tcBorders>
              <w:top w:val="single" w:sz="8" w:color="008256"/>
            </w:tcBorders>
          </w:tcPr>
          <w:p>
            <w:pPr>
              <w:ind w:left="80"/>
              <w:spacing w:after="0"/>
              <w:rPr>
                <w:sz w:val="20"/>
                <w:szCs w:val="20"/>
                <w:color w:val="auto"/>
              </w:rPr>
            </w:pPr>
            <w:r>
              <w:rPr>
                <w:rFonts w:ascii="Arial" w:cs="Arial" w:eastAsia="Arial" w:hAnsi="Arial"/>
                <w:sz w:val="13"/>
                <w:szCs w:val="13"/>
                <w:color w:val="auto"/>
              </w:rPr>
              <w:t>Regular evaluation of director compensation</w:t>
            </w:r>
          </w:p>
        </w:tc>
      </w:tr>
      <w:tr>
        <w:trPr>
          <w:trHeight w:val="261"/>
        </w:trPr>
        <w:tc>
          <w:tcPr>
            <w:tcW w:w="5660" w:type="dxa"/>
            <w:vAlign w:val="bottom"/>
            <w:tcBorders>
              <w:right w:val="single" w:sz="8" w:color="008256"/>
            </w:tcBorders>
            <w:shd w:val="clear" w:color="auto" w:fill="E6F4EF"/>
          </w:tcPr>
          <w:p>
            <w:pPr>
              <w:ind w:left="80"/>
              <w:spacing w:after="0"/>
              <w:rPr>
                <w:sz w:val="20"/>
                <w:szCs w:val="20"/>
                <w:color w:val="auto"/>
              </w:rPr>
            </w:pPr>
            <w:r>
              <w:rPr>
                <w:rFonts w:ascii="Arial" w:cs="Arial" w:eastAsia="Arial" w:hAnsi="Arial"/>
                <w:sz w:val="13"/>
                <w:szCs w:val="13"/>
                <w:color w:val="auto"/>
              </w:rPr>
              <w:t>Annual Board and Committee self-evaluations</w:t>
            </w:r>
          </w:p>
        </w:tc>
        <w:tc>
          <w:tcPr>
            <w:tcW w:w="5620" w:type="dxa"/>
            <w:vAlign w:val="bottom"/>
            <w:shd w:val="clear" w:color="auto" w:fill="E6F4EF"/>
          </w:tcPr>
          <w:p>
            <w:pPr>
              <w:ind w:left="80"/>
              <w:spacing w:after="0"/>
              <w:rPr>
                <w:sz w:val="20"/>
                <w:szCs w:val="20"/>
                <w:color w:val="auto"/>
              </w:rPr>
            </w:pPr>
            <w:r>
              <w:rPr>
                <w:rFonts w:ascii="Arial" w:cs="Arial" w:eastAsia="Arial" w:hAnsi="Arial"/>
                <w:sz w:val="13"/>
                <w:szCs w:val="13"/>
                <w:color w:val="auto"/>
              </w:rPr>
              <w:t>Director onboarding program and continuing director education</w:t>
            </w:r>
          </w:p>
        </w:tc>
      </w:tr>
      <w:tr>
        <w:trPr>
          <w:trHeight w:val="248"/>
        </w:trPr>
        <w:tc>
          <w:tcPr>
            <w:tcW w:w="5660" w:type="dxa"/>
            <w:vAlign w:val="bottom"/>
            <w:tcBorders>
              <w:right w:val="single" w:sz="8" w:color="008256"/>
            </w:tcBorders>
          </w:tcPr>
          <w:p>
            <w:pPr>
              <w:ind w:left="80"/>
              <w:spacing w:after="0"/>
              <w:rPr>
                <w:sz w:val="20"/>
                <w:szCs w:val="20"/>
                <w:color w:val="auto"/>
              </w:rPr>
            </w:pPr>
            <w:r>
              <w:rPr>
                <w:rFonts w:ascii="Arial" w:cs="Arial" w:eastAsia="Arial" w:hAnsi="Arial"/>
                <w:sz w:val="13"/>
                <w:szCs w:val="13"/>
                <w:color w:val="auto"/>
              </w:rPr>
              <w:t>Board diversity</w:t>
            </w:r>
          </w:p>
        </w:tc>
        <w:tc>
          <w:tcPr>
            <w:tcW w:w="5620" w:type="dxa"/>
            <w:vAlign w:val="bottom"/>
          </w:tcPr>
          <w:p>
            <w:pPr>
              <w:ind w:left="80"/>
              <w:spacing w:after="0"/>
              <w:rPr>
                <w:sz w:val="20"/>
                <w:szCs w:val="20"/>
                <w:color w:val="auto"/>
              </w:rPr>
            </w:pPr>
            <w:r>
              <w:rPr>
                <w:rFonts w:ascii="Arial" w:cs="Arial" w:eastAsia="Arial" w:hAnsi="Arial"/>
                <w:sz w:val="13"/>
                <w:szCs w:val="13"/>
                <w:color w:val="auto"/>
              </w:rPr>
              <w:t>Periodic review of Committee charters and key governance policies</w:t>
            </w:r>
          </w:p>
        </w:tc>
      </w:tr>
      <w:tr>
        <w:trPr>
          <w:trHeight w:val="261"/>
        </w:trPr>
        <w:tc>
          <w:tcPr>
            <w:tcW w:w="5660" w:type="dxa"/>
            <w:vAlign w:val="bottom"/>
            <w:tcBorders>
              <w:right w:val="single" w:sz="8" w:color="008256"/>
            </w:tcBorders>
            <w:shd w:val="clear" w:color="auto" w:fill="E6F4EF"/>
          </w:tcPr>
          <w:p>
            <w:pPr>
              <w:ind w:left="80"/>
              <w:spacing w:after="0"/>
              <w:rPr>
                <w:sz w:val="20"/>
                <w:szCs w:val="20"/>
                <w:color w:val="auto"/>
              </w:rPr>
            </w:pPr>
            <w:r>
              <w:rPr>
                <w:rFonts w:ascii="Arial" w:cs="Arial" w:eastAsia="Arial" w:hAnsi="Arial"/>
                <w:sz w:val="13"/>
                <w:szCs w:val="13"/>
                <w:color w:val="auto"/>
              </w:rPr>
              <w:t>Detailed strategy and risk oversight by Board and Committees</w:t>
            </w:r>
          </w:p>
        </w:tc>
        <w:tc>
          <w:tcPr>
            <w:tcW w:w="5620" w:type="dxa"/>
            <w:vAlign w:val="bottom"/>
            <w:shd w:val="clear" w:color="auto" w:fill="E6F4EF"/>
          </w:tcPr>
          <w:p>
            <w:pPr>
              <w:ind w:left="80"/>
              <w:spacing w:after="0"/>
              <w:rPr>
                <w:sz w:val="20"/>
                <w:szCs w:val="20"/>
                <w:color w:val="auto"/>
              </w:rPr>
            </w:pPr>
            <w:r>
              <w:rPr>
                <w:rFonts w:ascii="Arial" w:cs="Arial" w:eastAsia="Arial" w:hAnsi="Arial"/>
                <w:sz w:val="13"/>
                <w:szCs w:val="13"/>
                <w:color w:val="auto"/>
              </w:rPr>
              <w:t>Commitment to fostering a diverse and inclusive workplace</w:t>
            </w:r>
          </w:p>
        </w:tc>
      </w:tr>
      <w:tr>
        <w:trPr>
          <w:trHeight w:val="223"/>
        </w:trPr>
        <w:tc>
          <w:tcPr>
            <w:tcW w:w="5660" w:type="dxa"/>
            <w:vAlign w:val="bottom"/>
            <w:tcBorders>
              <w:right w:val="single" w:sz="8" w:color="008256"/>
            </w:tcBorders>
          </w:tcPr>
          <w:p>
            <w:pPr>
              <w:ind w:left="80"/>
              <w:spacing w:after="0"/>
              <w:rPr>
                <w:sz w:val="20"/>
                <w:szCs w:val="20"/>
                <w:color w:val="auto"/>
              </w:rPr>
            </w:pPr>
            <w:r>
              <w:rPr>
                <w:rFonts w:ascii="Arial" w:cs="Arial" w:eastAsia="Arial" w:hAnsi="Arial"/>
                <w:sz w:val="13"/>
                <w:szCs w:val="13"/>
                <w:color w:val="auto"/>
              </w:rPr>
              <w:t>No director overboarding</w:t>
            </w:r>
          </w:p>
        </w:tc>
        <w:tc>
          <w:tcPr>
            <w:tcW w:w="5620" w:type="dxa"/>
            <w:vAlign w:val="bottom"/>
          </w:tcPr>
          <w:p>
            <w:pPr>
              <w:ind w:left="80"/>
              <w:spacing w:after="0"/>
              <w:rPr>
                <w:sz w:val="20"/>
                <w:szCs w:val="20"/>
                <w:color w:val="auto"/>
              </w:rPr>
            </w:pPr>
            <w:r>
              <w:rPr>
                <w:rFonts w:ascii="Arial" w:cs="Arial" w:eastAsia="Arial" w:hAnsi="Arial"/>
                <w:sz w:val="13"/>
                <w:szCs w:val="13"/>
                <w:color w:val="auto"/>
              </w:rPr>
              <w:t>Significant engagement with key employees across functional areas, including senior</w:t>
            </w:r>
          </w:p>
        </w:tc>
      </w:tr>
      <w:tr>
        <w:trPr>
          <w:trHeight w:val="167"/>
        </w:trPr>
        <w:tc>
          <w:tcPr>
            <w:tcW w:w="5660" w:type="dxa"/>
            <w:vAlign w:val="bottom"/>
            <w:tcBorders>
              <w:right w:val="single" w:sz="8" w:color="008256"/>
            </w:tcBorders>
          </w:tcPr>
          <w:p>
            <w:pPr>
              <w:spacing w:after="0"/>
              <w:rPr>
                <w:sz w:val="14"/>
                <w:szCs w:val="14"/>
                <w:color w:val="auto"/>
              </w:rPr>
            </w:pPr>
          </w:p>
        </w:tc>
        <w:tc>
          <w:tcPr>
            <w:tcW w:w="5620" w:type="dxa"/>
            <w:vAlign w:val="bottom"/>
          </w:tcPr>
          <w:p>
            <w:pPr>
              <w:ind w:left="80"/>
              <w:spacing w:after="0"/>
              <w:rPr>
                <w:sz w:val="20"/>
                <w:szCs w:val="20"/>
                <w:color w:val="auto"/>
              </w:rPr>
            </w:pPr>
            <w:r>
              <w:rPr>
                <w:rFonts w:ascii="Arial" w:cs="Arial" w:eastAsia="Arial" w:hAnsi="Arial"/>
                <w:sz w:val="13"/>
                <w:szCs w:val="13"/>
                <w:color w:val="auto"/>
              </w:rPr>
              <w:t>management</w:t>
            </w:r>
          </w:p>
        </w:tc>
      </w:tr>
      <w:tr>
        <w:trPr>
          <w:trHeight w:val="24"/>
        </w:trPr>
        <w:tc>
          <w:tcPr>
            <w:tcW w:w="5660" w:type="dxa"/>
            <w:vAlign w:val="bottom"/>
            <w:tcBorders>
              <w:right w:val="single" w:sz="8" w:color="008256"/>
            </w:tcBorders>
          </w:tcPr>
          <w:p>
            <w:pPr>
              <w:spacing w:after="0"/>
              <w:rPr>
                <w:sz w:val="2"/>
                <w:szCs w:val="2"/>
                <w:color w:val="auto"/>
              </w:rPr>
            </w:pPr>
          </w:p>
        </w:tc>
        <w:tc>
          <w:tcPr>
            <w:tcW w:w="5620" w:type="dxa"/>
            <w:vAlign w:val="bottom"/>
          </w:tcPr>
          <w:p>
            <w:pPr>
              <w:spacing w:after="0"/>
              <w:rPr>
                <w:sz w:val="2"/>
                <w:szCs w:val="2"/>
                <w:color w:val="auto"/>
              </w:rPr>
            </w:pPr>
          </w:p>
        </w:tc>
      </w:tr>
    </w:tbl>
    <w:p>
      <w:pPr>
        <w:spacing w:after="0" w:line="2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Environmental, Social, and Governance (ESG)</w:t>
      </w:r>
    </w:p>
    <w:p>
      <w:pPr>
        <w:spacing w:after="0" w:line="192" w:lineRule="exact"/>
        <w:rPr>
          <w:sz w:val="20"/>
          <w:szCs w:val="20"/>
          <w:color w:val="auto"/>
        </w:rPr>
      </w:pPr>
    </w:p>
    <w:p>
      <w:pPr>
        <w:ind w:right="40"/>
        <w:spacing w:after="0" w:line="253" w:lineRule="auto"/>
        <w:rPr>
          <w:sz w:val="20"/>
          <w:szCs w:val="20"/>
          <w:color w:val="auto"/>
        </w:rPr>
      </w:pPr>
      <w:r>
        <w:rPr>
          <w:rFonts w:ascii="Arial" w:cs="Arial" w:eastAsia="Arial" w:hAnsi="Arial"/>
          <w:sz w:val="13"/>
          <w:szCs w:val="13"/>
          <w:color w:val="auto"/>
        </w:rPr>
        <w:t>Our mission, to provide clarity for all of life’s financial decisions, is rooted in our belief that both individual consumers and SMBs should be empowered to make financial decisions with confidence. As a mission-driven, consumer-first company, we have long had a company culture oriented towards being responsible and socially conscious. Our commitments are a natural extension of our mission and while ESG considerations have been part of the NerdWallet story since our inception, our ESG reports allow us to articulate our vision and priorities clearly, and ensure we hold ourselves accountable for progress on critical ESG initiatives.</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color w:val="auto"/>
        </w:rPr>
        <w:t>Our ESG strategy is founded on three pillars:</w:t>
      </w:r>
    </w:p>
    <w:p>
      <w:pPr>
        <w:spacing w:after="0" w:line="179" w:lineRule="exact"/>
        <w:rPr>
          <w:sz w:val="20"/>
          <w:szCs w:val="20"/>
          <w:color w:val="auto"/>
        </w:rPr>
      </w:pPr>
    </w:p>
    <w:p>
      <w:pPr>
        <w:ind w:left="260" w:right="320" w:hanging="128"/>
        <w:spacing w:after="0" w:line="266" w:lineRule="auto"/>
        <w:tabs>
          <w:tab w:leader="none" w:pos="251" w:val="left"/>
        </w:tabs>
        <w:numPr>
          <w:ilvl w:val="0"/>
          <w:numId w:val="7"/>
        </w:numPr>
        <w:rPr>
          <w:rFonts w:ascii="Arial" w:cs="Arial" w:eastAsia="Arial" w:hAnsi="Arial"/>
          <w:sz w:val="13"/>
          <w:szCs w:val="13"/>
          <w:color w:val="auto"/>
        </w:rPr>
      </w:pPr>
      <w:r>
        <w:rPr>
          <w:rFonts w:ascii="Arial" w:cs="Arial" w:eastAsia="Arial" w:hAnsi="Arial"/>
          <w:sz w:val="13"/>
          <w:szCs w:val="13"/>
          <w:color w:val="auto"/>
        </w:rPr>
        <w:t>Achieving Our Vision, or the work we do to create a world in which everyone makes financial decisions with confidence. We know that not everyone has access to the information they need to make confident decisions, that not everyone is adequately served by financial incumbents, and addressing these inequities is endemic to our DNA.</w:t>
      </w:r>
    </w:p>
    <w:p>
      <w:pPr>
        <w:spacing w:after="0" w:line="135" w:lineRule="exact"/>
        <w:rPr>
          <w:rFonts w:ascii="Arial" w:cs="Arial" w:eastAsia="Arial" w:hAnsi="Arial"/>
          <w:sz w:val="13"/>
          <w:szCs w:val="13"/>
          <w:color w:val="auto"/>
        </w:rPr>
      </w:pPr>
    </w:p>
    <w:p>
      <w:pPr>
        <w:ind w:left="260" w:right="240" w:hanging="128"/>
        <w:spacing w:after="0" w:line="283" w:lineRule="auto"/>
        <w:tabs>
          <w:tab w:leader="none" w:pos="251" w:val="left"/>
        </w:tabs>
        <w:numPr>
          <w:ilvl w:val="0"/>
          <w:numId w:val="7"/>
        </w:numPr>
        <w:rPr>
          <w:rFonts w:ascii="Arial" w:cs="Arial" w:eastAsia="Arial" w:hAnsi="Arial"/>
          <w:sz w:val="13"/>
          <w:szCs w:val="13"/>
          <w:color w:val="auto"/>
        </w:rPr>
      </w:pPr>
      <w:r>
        <w:rPr>
          <w:rFonts w:ascii="Arial" w:cs="Arial" w:eastAsia="Arial" w:hAnsi="Arial"/>
          <w:sz w:val="13"/>
          <w:szCs w:val="13"/>
          <w:color w:val="auto"/>
        </w:rPr>
        <w:t>Investing in Our Nerds, or the work we do to provide our talented Nerds with an equitable and inclusive workplace in which they can thrive professionally and personally. Our Nerds are eager to make an impact, and we want to empower them in pursuit of our shared and individual goals.</w:t>
      </w:r>
    </w:p>
    <w:p>
      <w:pPr>
        <w:spacing w:after="0" w:line="124" w:lineRule="exact"/>
        <w:rPr>
          <w:rFonts w:ascii="Arial" w:cs="Arial" w:eastAsia="Arial" w:hAnsi="Arial"/>
          <w:sz w:val="13"/>
          <w:szCs w:val="13"/>
          <w:color w:val="auto"/>
        </w:rPr>
      </w:pPr>
    </w:p>
    <w:p>
      <w:pPr>
        <w:ind w:left="260" w:hanging="128"/>
        <w:spacing w:after="0"/>
        <w:tabs>
          <w:tab w:leader="none" w:pos="260" w:val="left"/>
        </w:tabs>
        <w:numPr>
          <w:ilvl w:val="0"/>
          <w:numId w:val="7"/>
        </w:numPr>
        <w:rPr>
          <w:rFonts w:ascii="Arial" w:cs="Arial" w:eastAsia="Arial" w:hAnsi="Arial"/>
          <w:sz w:val="13"/>
          <w:szCs w:val="13"/>
          <w:color w:val="auto"/>
        </w:rPr>
      </w:pPr>
      <w:r>
        <w:rPr>
          <w:rFonts w:ascii="Arial" w:cs="Arial" w:eastAsia="Arial" w:hAnsi="Arial"/>
          <w:sz w:val="13"/>
          <w:szCs w:val="13"/>
          <w:color w:val="auto"/>
        </w:rPr>
        <w:t>Building a Socially Responsible Business, or the work we do to ensure that our business practices protect and improve the lives of our consumers, our Nerds, and our wider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322580</wp:posOffset>
            </wp:positionV>
            <wp:extent cx="7161530" cy="28956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289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 xml:space="preserve">8 </w:t>
      </w:r>
      <w:r>
        <w:rPr>
          <w:rFonts w:ascii="Arial" w:cs="Arial" w:eastAsia="Arial" w:hAnsi="Arial"/>
          <w:sz w:val="13"/>
          <w:szCs w:val="13"/>
          <w:color w:val="auto"/>
        </w:rPr>
        <w:t>PROXY STATEMENT 2025</w:t>
      </w:r>
    </w:p>
    <w:p>
      <w:pPr>
        <w:sectPr>
          <w:pgSz w:w="11900" w:h="16838" w:orient="portrait"/>
          <w:cols w:equalWidth="0" w:num="1">
            <w:col w:w="11280"/>
          </w:cols>
          <w:pgMar w:left="300" w:top="171" w:right="319" w:bottom="1440" w:gutter="0" w:footer="0" w:header="0"/>
        </w:sectPr>
      </w:pPr>
    </w:p>
    <w:bookmarkStart w:id="13" w:name="page14"/>
    <w:bookmarkEnd w:id="13"/>
    <w:p>
      <w:pPr>
        <w:ind w:left="6380"/>
        <w:spacing w:after="0"/>
        <w:rPr>
          <w:sz w:val="20"/>
          <w:szCs w:val="20"/>
          <w:color w:val="auto"/>
        </w:rPr>
      </w:pPr>
      <w:r>
        <w:rPr>
          <w:rFonts w:ascii="Arial" w:cs="Arial" w:eastAsia="Arial" w:hAnsi="Arial"/>
          <w:sz w:val="13"/>
          <w:szCs w:val="13"/>
          <w:b w:val="1"/>
          <w:bCs w:val="1"/>
          <w:color w:val="00482F"/>
        </w:rPr>
        <w:drawing>
          <wp:anchor simplePos="0" relativeHeight="251657728" behindDoc="1" locked="0" layoutInCell="0" allowOverlap="1">
            <wp:simplePos x="0" y="0"/>
            <wp:positionH relativeFrom="page">
              <wp:posOffset>4195445</wp:posOffset>
            </wp:positionH>
            <wp:positionV relativeFrom="page">
              <wp:posOffset>102235</wp:posOffset>
            </wp:positionV>
            <wp:extent cx="1515745" cy="147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515745" cy="147955"/>
                    </a:xfrm>
                    <a:prstGeom prst="rect">
                      <a:avLst/>
                    </a:prstGeom>
                    <a:noFill/>
                  </pic:spPr>
                </pic:pic>
              </a:graphicData>
            </a:graphic>
          </wp:anchor>
        </w:drawing>
        <w:t>PROXY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2"/>
          <w:szCs w:val="12"/>
          <w:color w:val="auto"/>
        </w:rPr>
        <w:t>Our annual ESG report outlines our efforts and achievements across the three pillars of our ESG programs. You can find the report at https://www.nerdwallet.com/l/environmental-social-governance.</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Below are additional highlights from our 2024 report.</w:t>
      </w:r>
    </w:p>
    <w:p>
      <w:pPr>
        <w:spacing w:after="0" w:line="18" w:lineRule="exact"/>
        <w:rPr>
          <w:sz w:val="20"/>
          <w:szCs w:val="20"/>
          <w:color w:val="auto"/>
        </w:rPr>
      </w:pPr>
    </w:p>
    <w:p>
      <w:pPr>
        <w:ind w:left="500" w:hanging="240"/>
        <w:spacing w:after="0"/>
        <w:tabs>
          <w:tab w:leader="none" w:pos="500" w:val="left"/>
        </w:tabs>
        <w:numPr>
          <w:ilvl w:val="0"/>
          <w:numId w:val="8"/>
        </w:numPr>
        <w:rPr>
          <w:rFonts w:ascii="Arial" w:cs="Arial" w:eastAsia="Arial" w:hAnsi="Arial"/>
          <w:sz w:val="13"/>
          <w:szCs w:val="13"/>
          <w:color w:val="auto"/>
        </w:rPr>
      </w:pPr>
      <w:r>
        <w:rPr>
          <w:rFonts w:ascii="Arial" w:cs="Arial" w:eastAsia="Arial" w:hAnsi="Arial"/>
          <w:sz w:val="13"/>
          <w:szCs w:val="13"/>
          <w:color w:val="auto"/>
        </w:rPr>
        <w:t>Our Smart Money podcast continued to help consumers navigate their finances, reaching about 2 million downloads by midyear.</w:t>
      </w:r>
    </w:p>
    <w:p>
      <w:pPr>
        <w:spacing w:after="0" w:line="2" w:lineRule="exact"/>
        <w:rPr>
          <w:rFonts w:ascii="Arial" w:cs="Arial" w:eastAsia="Arial" w:hAnsi="Arial"/>
          <w:sz w:val="13"/>
          <w:szCs w:val="13"/>
          <w:color w:val="auto"/>
        </w:rPr>
      </w:pPr>
    </w:p>
    <w:p>
      <w:pPr>
        <w:ind w:left="520" w:right="200" w:hanging="260"/>
        <w:spacing w:after="0" w:line="246" w:lineRule="auto"/>
        <w:tabs>
          <w:tab w:leader="none" w:pos="511" w:val="left"/>
        </w:tabs>
        <w:numPr>
          <w:ilvl w:val="0"/>
          <w:numId w:val="8"/>
        </w:numPr>
        <w:rPr>
          <w:rFonts w:ascii="Arial" w:cs="Arial" w:eastAsia="Arial" w:hAnsi="Arial"/>
          <w:sz w:val="13"/>
          <w:szCs w:val="13"/>
          <w:color w:val="auto"/>
        </w:rPr>
      </w:pPr>
      <w:r>
        <w:rPr>
          <w:rFonts w:ascii="Arial" w:cs="Arial" w:eastAsia="Arial" w:hAnsi="Arial"/>
          <w:sz w:val="13"/>
          <w:szCs w:val="13"/>
          <w:color w:val="auto"/>
        </w:rPr>
        <w:t>We remain committed to our Financial Equity Pledge and reinvested our $2 million deposit into Self-Help Federal Credit Union, a CDCU that provides economic opportunity for underserved communities.</w:t>
      </w:r>
    </w:p>
    <w:p>
      <w:pPr>
        <w:spacing w:after="0" w:line="1" w:lineRule="exact"/>
        <w:rPr>
          <w:rFonts w:ascii="Arial" w:cs="Arial" w:eastAsia="Arial" w:hAnsi="Arial"/>
          <w:sz w:val="13"/>
          <w:szCs w:val="13"/>
          <w:color w:val="auto"/>
        </w:rPr>
      </w:pPr>
    </w:p>
    <w:p>
      <w:pPr>
        <w:ind w:left="520" w:right="140" w:hanging="260"/>
        <w:spacing w:after="0" w:line="244" w:lineRule="auto"/>
        <w:tabs>
          <w:tab w:leader="none" w:pos="511" w:val="left"/>
        </w:tabs>
        <w:numPr>
          <w:ilvl w:val="0"/>
          <w:numId w:val="8"/>
        </w:numPr>
        <w:rPr>
          <w:rFonts w:ascii="Arial" w:cs="Arial" w:eastAsia="Arial" w:hAnsi="Arial"/>
          <w:sz w:val="13"/>
          <w:szCs w:val="13"/>
          <w:color w:val="auto"/>
        </w:rPr>
      </w:pPr>
      <w:r>
        <w:rPr>
          <w:rFonts w:ascii="Arial" w:cs="Arial" w:eastAsia="Arial" w:hAnsi="Arial"/>
          <w:sz w:val="13"/>
          <w:szCs w:val="13"/>
          <w:color w:val="auto"/>
        </w:rPr>
        <w:t>We awarded more than $400,000 to support organizations furthering financial inclusion. In 2024, that included a $100,000 grant to the Juntos Avanzamos (“Together We Advance”) fund, a network of credit unions dedicated to serving Hispanic and immigrant communities, and helping the members of these communities navigate the U.S. financial system. Additionally, our eight ERGs received a total of $70,000 to direct toward organizations that align with their missions.</w:t>
      </w:r>
    </w:p>
    <w:p>
      <w:pPr>
        <w:ind w:left="500" w:hanging="240"/>
        <w:spacing w:after="0"/>
        <w:tabs>
          <w:tab w:leader="none" w:pos="500" w:val="left"/>
        </w:tabs>
        <w:numPr>
          <w:ilvl w:val="0"/>
          <w:numId w:val="8"/>
        </w:numPr>
        <w:rPr>
          <w:rFonts w:ascii="Arial" w:cs="Arial" w:eastAsia="Arial" w:hAnsi="Arial"/>
          <w:sz w:val="13"/>
          <w:szCs w:val="13"/>
          <w:color w:val="auto"/>
        </w:rPr>
      </w:pPr>
      <w:r>
        <w:rPr>
          <w:rFonts w:ascii="Arial" w:cs="Arial" w:eastAsia="Arial" w:hAnsi="Arial"/>
          <w:sz w:val="13"/>
          <w:szCs w:val="13"/>
          <w:color w:val="auto"/>
        </w:rPr>
        <w:t>During 2024, NerdWallet employees volunteered over 1,100 hours for the causes they care about.</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Board Oversight of ESG</w:t>
      </w:r>
    </w:p>
    <w:p>
      <w:pPr>
        <w:spacing w:after="0" w:line="169" w:lineRule="exact"/>
        <w:rPr>
          <w:sz w:val="20"/>
          <w:szCs w:val="20"/>
          <w:color w:val="auto"/>
        </w:rPr>
      </w:pPr>
    </w:p>
    <w:p>
      <w:pPr>
        <w:ind w:right="40"/>
        <w:spacing w:after="0" w:line="249" w:lineRule="auto"/>
        <w:rPr>
          <w:sz w:val="20"/>
          <w:szCs w:val="20"/>
          <w:color w:val="auto"/>
        </w:rPr>
      </w:pPr>
      <w:r>
        <w:rPr>
          <w:rFonts w:ascii="Arial" w:cs="Arial" w:eastAsia="Arial" w:hAnsi="Arial"/>
          <w:sz w:val="13"/>
          <w:szCs w:val="13"/>
          <w:color w:val="auto"/>
        </w:rPr>
        <w:t>Our Board is committed to overseeing NerdWallet’s efforts to integrate ESG principles and practices throughout the organization and the development of an ESG strategy. Our Board is responsible for managing the development and execution of our ESG strategy. In 2022, the Board formed an Executive ESG Committee that is responsible for developing the principles of execution, strategy alignment and management of the ESG Working Group. Our ESG Working Group is comprised of delegates representing a cross-section of our organization, including members of our human resources, legal, information technology, investor relations and financial teams, and is involved in policy planning, day-to-day implementation and the coordination of corporate-wide ESG efforts, and is overseen by the Executive ESG Committee. An overview of our structure and breakdown of responsibilities can be found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838200</wp:posOffset>
            </wp:positionH>
            <wp:positionV relativeFrom="paragraph">
              <wp:posOffset>0</wp:posOffset>
            </wp:positionV>
            <wp:extent cx="5497830" cy="26612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497830" cy="2661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 xml:space="preserve">As we continue to implement and evolve our ESG efforts, we are committed to sharing our progress. Our most recent ESG report can be found here: </w:t>
      </w:r>
      <w:r>
        <w:rPr>
          <w:rFonts w:ascii="Arial" w:cs="Arial" w:eastAsia="Arial" w:hAnsi="Arial"/>
          <w:sz w:val="13"/>
          <w:szCs w:val="13"/>
          <w:u w:val="single" w:color="auto"/>
          <w:color w:val="auto"/>
        </w:rPr>
        <w:t>https://www.nerdwallet.com/l/environmental-social-governance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180340</wp:posOffset>
            </wp:positionV>
            <wp:extent cx="7161530" cy="2895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28956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ind w:left="11160"/>
        <w:spacing w:after="0"/>
        <w:rPr>
          <w:sz w:val="20"/>
          <w:szCs w:val="20"/>
          <w:color w:val="auto"/>
        </w:rPr>
      </w:pPr>
      <w:r>
        <w:rPr>
          <w:rFonts w:ascii="Arial" w:cs="Arial" w:eastAsia="Arial" w:hAnsi="Arial"/>
          <w:sz w:val="13"/>
          <w:szCs w:val="13"/>
          <w:b w:val="1"/>
          <w:bCs w:val="1"/>
          <w:color w:val="auto"/>
        </w:rPr>
        <w:t>9</w:t>
      </w:r>
    </w:p>
    <w:p>
      <w:pPr>
        <w:sectPr>
          <w:pgSz w:w="11900" w:h="16838" w:orient="portrait"/>
          <w:cols w:equalWidth="0" w:num="1">
            <w:col w:w="11260"/>
          </w:cols>
          <w:pgMar w:left="300" w:top="171" w:right="339" w:bottom="1440" w:gutter="0" w:footer="0" w:header="0"/>
        </w:sectPr>
      </w:pPr>
    </w:p>
    <w:bookmarkStart w:id="14" w:name="page15"/>
    <w:bookmarkEnd w:id="14"/>
    <w:p>
      <w:pPr>
        <w:ind w:left="300"/>
        <w:spacing w:after="0"/>
        <w:rPr>
          <w:sz w:val="20"/>
          <w:szCs w:val="20"/>
          <w:color w:val="auto"/>
        </w:rPr>
      </w:pPr>
      <w:r>
        <w:rPr>
          <w:rFonts w:ascii="Arial" w:cs="Arial" w:eastAsia="Arial" w:hAnsi="Arial"/>
          <w:sz w:val="13"/>
          <w:szCs w:val="13"/>
          <w:b w:val="1"/>
          <w:bCs w:val="1"/>
          <w:color w:val="00482F"/>
        </w:rPr>
        <w:drawing>
          <wp:anchor simplePos="0" relativeHeight="251657728" behindDoc="1" locked="0" layoutInCell="0" allowOverlap="1">
            <wp:simplePos x="0" y="0"/>
            <wp:positionH relativeFrom="page">
              <wp:posOffset>328295</wp:posOffset>
            </wp:positionH>
            <wp:positionV relativeFrom="page">
              <wp:posOffset>102235</wp:posOffset>
            </wp:positionV>
            <wp:extent cx="1933575" cy="147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933575" cy="147955"/>
                    </a:xfrm>
                    <a:prstGeom prst="rect">
                      <a:avLst/>
                    </a:prstGeom>
                    <a:noFill/>
                  </pic:spPr>
                </pic:pic>
              </a:graphicData>
            </a:graphic>
          </wp:anchor>
        </w:drawing>
        <w:t>PROXY SUMMARY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Human Capital Management Highlights</w:t>
      </w:r>
    </w:p>
    <w:p>
      <w:pPr>
        <w:spacing w:after="0" w:line="181" w:lineRule="exact"/>
        <w:rPr>
          <w:sz w:val="20"/>
          <w:szCs w:val="20"/>
          <w:color w:val="auto"/>
        </w:rPr>
      </w:pPr>
    </w:p>
    <w:p>
      <w:pPr>
        <w:jc w:val="both"/>
        <w:ind w:right="160"/>
        <w:spacing w:after="0" w:line="261" w:lineRule="auto"/>
        <w:rPr>
          <w:sz w:val="20"/>
          <w:szCs w:val="20"/>
          <w:color w:val="auto"/>
        </w:rPr>
      </w:pPr>
      <w:r>
        <w:rPr>
          <w:rFonts w:ascii="Arial" w:cs="Arial" w:eastAsia="Arial" w:hAnsi="Arial"/>
          <w:sz w:val="13"/>
          <w:szCs w:val="13"/>
          <w:b w:val="1"/>
          <w:bCs w:val="1"/>
          <w:color w:val="auto"/>
        </w:rPr>
        <w:t xml:space="preserve">Our Culture and Engagement. </w:t>
      </w:r>
      <w:r>
        <w:rPr>
          <w:rFonts w:ascii="Arial" w:cs="Arial" w:eastAsia="Arial" w:hAnsi="Arial"/>
          <w:sz w:val="13"/>
          <w:szCs w:val="13"/>
          <w:color w:val="auto"/>
        </w:rPr>
        <w:t>Core to our culture is our commitment to our values; (1) Consumer, Company, Team, Self; (2) Relentless Self-Improvement; (3) Ownership; (4) Informed Risk-Taking;</w:t>
      </w:r>
      <w:r>
        <w:rPr>
          <w:rFonts w:ascii="Arial" w:cs="Arial" w:eastAsia="Arial" w:hAnsi="Arial"/>
          <w:sz w:val="13"/>
          <w:szCs w:val="13"/>
          <w:b w:val="1"/>
          <w:bCs w:val="1"/>
          <w:color w:val="auto"/>
        </w:rPr>
        <w:t xml:space="preserve"> </w:t>
      </w:r>
      <w:r>
        <w:rPr>
          <w:rFonts w:ascii="Arial" w:cs="Arial" w:eastAsia="Arial" w:hAnsi="Arial"/>
          <w:sz w:val="13"/>
          <w:szCs w:val="13"/>
          <w:color w:val="auto"/>
        </w:rPr>
        <w:t>and (5) Open, Candid and Constructive. We measure employee performance against these company values and measure employee engagement through surveys, and participation at all-hands and town hall-style meetings with leadership.</w:t>
      </w:r>
    </w:p>
    <w:p>
      <w:pPr>
        <w:spacing w:after="0" w:line="149" w:lineRule="exact"/>
        <w:rPr>
          <w:sz w:val="20"/>
          <w:szCs w:val="20"/>
          <w:color w:val="auto"/>
        </w:rPr>
      </w:pPr>
    </w:p>
    <w:p>
      <w:pPr>
        <w:ind w:right="180"/>
        <w:spacing w:after="0" w:line="283" w:lineRule="auto"/>
        <w:rPr>
          <w:sz w:val="20"/>
          <w:szCs w:val="20"/>
          <w:color w:val="auto"/>
        </w:rPr>
      </w:pPr>
      <w:r>
        <w:rPr>
          <w:rFonts w:ascii="Arial" w:cs="Arial" w:eastAsia="Arial" w:hAnsi="Arial"/>
          <w:sz w:val="12"/>
          <w:szCs w:val="12"/>
          <w:b w:val="1"/>
          <w:bCs w:val="1"/>
          <w:color w:val="auto"/>
        </w:rPr>
        <w:t xml:space="preserve">Compensation and Benefits. </w:t>
      </w:r>
      <w:r>
        <w:rPr>
          <w:rFonts w:ascii="Arial" w:cs="Arial" w:eastAsia="Arial" w:hAnsi="Arial"/>
          <w:sz w:val="12"/>
          <w:szCs w:val="12"/>
          <w:color w:val="auto"/>
        </w:rPr>
        <w:t>NerdWallet offers market-competitive compensation and benefits to attract employees and a pay-for-performance philosophy to engage and retain our employees. We</w:t>
      </w:r>
      <w:r>
        <w:rPr>
          <w:rFonts w:ascii="Arial" w:cs="Arial" w:eastAsia="Arial" w:hAnsi="Arial"/>
          <w:sz w:val="12"/>
          <w:szCs w:val="12"/>
          <w:b w:val="1"/>
          <w:bCs w:val="1"/>
          <w:color w:val="auto"/>
        </w:rPr>
        <w:t xml:space="preserve"> </w:t>
      </w:r>
      <w:r>
        <w:rPr>
          <w:rFonts w:ascii="Arial" w:cs="Arial" w:eastAsia="Arial" w:hAnsi="Arial"/>
          <w:sz w:val="12"/>
          <w:szCs w:val="12"/>
          <w:color w:val="auto"/>
        </w:rPr>
        <w:t>want our employees to feel invested in the future of NerdWallet by offering most full-time employees equity-based compensation upon hire and through annual equity grants. We are Fair Pay Workplace certified and continued our global pay transparency initiative that was rolled out in 2023, disclosing salary ranges on our job postings and individual salary ranges to employees.</w:t>
      </w:r>
    </w:p>
    <w:p>
      <w:pPr>
        <w:spacing w:after="0" w:line="138" w:lineRule="exact"/>
        <w:rPr>
          <w:sz w:val="20"/>
          <w:szCs w:val="20"/>
          <w:color w:val="auto"/>
        </w:rPr>
      </w:pPr>
    </w:p>
    <w:p>
      <w:pPr>
        <w:ind w:right="240"/>
        <w:spacing w:after="0" w:line="266" w:lineRule="auto"/>
        <w:rPr>
          <w:sz w:val="20"/>
          <w:szCs w:val="20"/>
          <w:color w:val="auto"/>
        </w:rPr>
      </w:pPr>
      <w:r>
        <w:rPr>
          <w:rFonts w:ascii="Arial" w:cs="Arial" w:eastAsia="Arial" w:hAnsi="Arial"/>
          <w:sz w:val="13"/>
          <w:szCs w:val="13"/>
          <w:b w:val="1"/>
          <w:bCs w:val="1"/>
          <w:color w:val="auto"/>
        </w:rPr>
        <w:t xml:space="preserve">Pay Fairness. </w:t>
      </w:r>
      <w:r>
        <w:rPr>
          <w:rFonts w:ascii="Arial" w:cs="Arial" w:eastAsia="Arial" w:hAnsi="Arial"/>
          <w:sz w:val="13"/>
          <w:szCs w:val="13"/>
          <w:color w:val="auto"/>
        </w:rPr>
        <w:t>We use a third party platform to analyze our employee salaries for gaps based on race or gender. This analysis happens at least twice a year during our compensation cycle, and we</w:t>
      </w:r>
      <w:r>
        <w:rPr>
          <w:rFonts w:ascii="Arial" w:cs="Arial" w:eastAsia="Arial" w:hAnsi="Arial"/>
          <w:sz w:val="13"/>
          <w:szCs w:val="13"/>
          <w:b w:val="1"/>
          <w:bCs w:val="1"/>
          <w:color w:val="auto"/>
        </w:rPr>
        <w:t xml:space="preserve"> </w:t>
      </w:r>
      <w:r>
        <w:rPr>
          <w:rFonts w:ascii="Arial" w:cs="Arial" w:eastAsia="Arial" w:hAnsi="Arial"/>
          <w:sz w:val="13"/>
          <w:szCs w:val="13"/>
          <w:color w:val="auto"/>
        </w:rPr>
        <w:t>take action when discrepancies emerge.</w:t>
      </w:r>
    </w:p>
    <w:p>
      <w:pPr>
        <w:spacing w:after="0" w:line="146" w:lineRule="exact"/>
        <w:rPr>
          <w:sz w:val="20"/>
          <w:szCs w:val="20"/>
          <w:color w:val="auto"/>
        </w:rPr>
      </w:pPr>
    </w:p>
    <w:p>
      <w:pPr>
        <w:ind w:right="200"/>
        <w:spacing w:after="0" w:line="253" w:lineRule="auto"/>
        <w:rPr>
          <w:sz w:val="20"/>
          <w:szCs w:val="20"/>
          <w:color w:val="auto"/>
        </w:rPr>
      </w:pPr>
      <w:r>
        <w:rPr>
          <w:rFonts w:ascii="Arial" w:cs="Arial" w:eastAsia="Arial" w:hAnsi="Arial"/>
          <w:sz w:val="13"/>
          <w:szCs w:val="13"/>
          <w:b w:val="1"/>
          <w:bCs w:val="1"/>
          <w:color w:val="auto"/>
        </w:rPr>
        <w:t xml:space="preserve">Talent Enablement and Belonging. </w:t>
      </w:r>
      <w:r>
        <w:rPr>
          <w:rFonts w:ascii="Arial" w:cs="Arial" w:eastAsia="Arial" w:hAnsi="Arial"/>
          <w:sz w:val="13"/>
          <w:szCs w:val="13"/>
          <w:color w:val="auto"/>
        </w:rPr>
        <w:t>At NerdWallet, we aspire to provide people with the confidence they need to live their best lives—however they identify. For our consumers, this means building</w:t>
      </w:r>
      <w:r>
        <w:rPr>
          <w:rFonts w:ascii="Arial" w:cs="Arial" w:eastAsia="Arial" w:hAnsi="Arial"/>
          <w:sz w:val="13"/>
          <w:szCs w:val="13"/>
          <w:b w:val="1"/>
          <w:bCs w:val="1"/>
          <w:color w:val="auto"/>
        </w:rPr>
        <w:t xml:space="preserve"> </w:t>
      </w:r>
      <w:r>
        <w:rPr>
          <w:rFonts w:ascii="Arial" w:cs="Arial" w:eastAsia="Arial" w:hAnsi="Arial"/>
          <w:sz w:val="13"/>
          <w:szCs w:val="13"/>
          <w:color w:val="auto"/>
        </w:rPr>
        <w:t>their financial confidence. For our Nerds, this means fostering an inclusive culture that allows all Nerds to be their authentic selves, grow their skills, contribute, and thrive with the confidence of belonging. Our talent enablement and belonging efforts are centered around ensuring we are building a diverse organization across all business aspects and creating an inclusive culture where everyone is engaged and has access to opportunities.</w:t>
      </w:r>
    </w:p>
    <w:p>
      <w:pPr>
        <w:spacing w:after="0" w:line="165" w:lineRule="exact"/>
        <w:rPr>
          <w:sz w:val="20"/>
          <w:szCs w:val="20"/>
          <w:color w:val="auto"/>
        </w:rPr>
      </w:pPr>
    </w:p>
    <w:p>
      <w:pPr>
        <w:spacing w:after="0" w:line="261" w:lineRule="auto"/>
        <w:rPr>
          <w:sz w:val="20"/>
          <w:szCs w:val="20"/>
          <w:color w:val="auto"/>
        </w:rPr>
      </w:pPr>
      <w:r>
        <w:rPr>
          <w:rFonts w:ascii="Arial" w:cs="Arial" w:eastAsia="Arial" w:hAnsi="Arial"/>
          <w:sz w:val="13"/>
          <w:szCs w:val="13"/>
          <w:b w:val="1"/>
          <w:bCs w:val="1"/>
          <w:color w:val="auto"/>
        </w:rPr>
        <w:t xml:space="preserve">Employee Resource Groups. </w:t>
      </w:r>
      <w:r>
        <w:rPr>
          <w:rFonts w:ascii="Arial" w:cs="Arial" w:eastAsia="Arial" w:hAnsi="Arial"/>
          <w:sz w:val="13"/>
          <w:szCs w:val="13"/>
          <w:color w:val="auto"/>
        </w:rPr>
        <w:t>NerdWallet proudly supports eight (8) Employee Resource Groups (ERGs), which are voluntary, team member-led organizations open to all Nerds and dedicated to</w:t>
      </w:r>
      <w:r>
        <w:rPr>
          <w:rFonts w:ascii="Arial" w:cs="Arial" w:eastAsia="Arial" w:hAnsi="Arial"/>
          <w:sz w:val="13"/>
          <w:szCs w:val="13"/>
          <w:b w:val="1"/>
          <w:bCs w:val="1"/>
          <w:color w:val="auto"/>
        </w:rPr>
        <w:t xml:space="preserve"> </w:t>
      </w:r>
      <w:r>
        <w:rPr>
          <w:rFonts w:ascii="Arial" w:cs="Arial" w:eastAsia="Arial" w:hAnsi="Arial"/>
          <w:sz w:val="13"/>
          <w:szCs w:val="13"/>
          <w:color w:val="auto"/>
        </w:rPr>
        <w:t>fostering an inclusive and supportive workplace. These ERGs play a vital role in ensuring that NerdWallet's culture aligns with its mission, values, and business practices, creating a workplace where all employees feel valued, heard, and empowered to thrive.</w:t>
      </w:r>
    </w:p>
    <w:p>
      <w:pPr>
        <w:spacing w:after="0" w:line="138" w:lineRule="exact"/>
        <w:rPr>
          <w:sz w:val="20"/>
          <w:szCs w:val="20"/>
          <w:color w:val="auto"/>
        </w:rPr>
      </w:pPr>
    </w:p>
    <w:p>
      <w:pPr>
        <w:ind w:right="340"/>
        <w:spacing w:after="0" w:line="283" w:lineRule="auto"/>
        <w:rPr>
          <w:sz w:val="20"/>
          <w:szCs w:val="20"/>
          <w:color w:val="auto"/>
        </w:rPr>
      </w:pPr>
      <w:r>
        <w:rPr>
          <w:rFonts w:ascii="Arial" w:cs="Arial" w:eastAsia="Arial" w:hAnsi="Arial"/>
          <w:sz w:val="13"/>
          <w:szCs w:val="13"/>
          <w:b w:val="1"/>
          <w:bCs w:val="1"/>
          <w:color w:val="auto"/>
        </w:rPr>
        <w:t xml:space="preserve">Remote Work. </w:t>
      </w:r>
      <w:r>
        <w:rPr>
          <w:rFonts w:ascii="Arial" w:cs="Arial" w:eastAsia="Arial" w:hAnsi="Arial"/>
          <w:sz w:val="13"/>
          <w:szCs w:val="13"/>
          <w:color w:val="auto"/>
        </w:rPr>
        <w:t>Most of our employees transitioned or were hired into permanent remote status and are not required to report to an office for work. We have embraced this change and continue to</w:t>
      </w:r>
      <w:r>
        <w:rPr>
          <w:rFonts w:ascii="Arial" w:cs="Arial" w:eastAsia="Arial" w:hAnsi="Arial"/>
          <w:sz w:val="13"/>
          <w:szCs w:val="13"/>
          <w:b w:val="1"/>
          <w:bCs w:val="1"/>
          <w:color w:val="auto"/>
        </w:rPr>
        <w:t xml:space="preserve"> </w:t>
      </w:r>
      <w:r>
        <w:rPr>
          <w:rFonts w:ascii="Arial" w:cs="Arial" w:eastAsia="Arial" w:hAnsi="Arial"/>
          <w:sz w:val="13"/>
          <w:szCs w:val="13"/>
          <w:color w:val="auto"/>
        </w:rPr>
        <w:t>evolve our practices for employees to be their most productive and engaged working outside of a traditional office environment.</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Awards and Recognition</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color w:val="auto"/>
        </w:rPr>
        <w:t>In 2024, NerdWallet won several awards and made several prestigious lists including:</w:t>
      </w:r>
    </w:p>
    <w:p>
      <w:pPr>
        <w:spacing w:after="0" w:line="169" w:lineRule="exact"/>
        <w:rPr>
          <w:sz w:val="20"/>
          <w:szCs w:val="20"/>
          <w:color w:val="auto"/>
        </w:rPr>
      </w:pPr>
    </w:p>
    <w:p>
      <w:pPr>
        <w:ind w:left="260" w:hanging="128"/>
        <w:spacing w:after="0"/>
        <w:tabs>
          <w:tab w:leader="none" w:pos="260" w:val="left"/>
        </w:tabs>
        <w:numPr>
          <w:ilvl w:val="0"/>
          <w:numId w:val="9"/>
        </w:numPr>
        <w:rPr>
          <w:rFonts w:ascii="Arial" w:cs="Arial" w:eastAsia="Arial" w:hAnsi="Arial"/>
          <w:sz w:val="13"/>
          <w:szCs w:val="13"/>
          <w:color w:val="auto"/>
        </w:rPr>
      </w:pPr>
      <w:r>
        <w:rPr>
          <w:rFonts w:ascii="Arial" w:cs="Arial" w:eastAsia="Arial" w:hAnsi="Arial"/>
          <w:sz w:val="13"/>
          <w:szCs w:val="13"/>
          <w:color w:val="auto"/>
        </w:rPr>
        <w:t>Fortune's Best Workplaces for Parents</w:t>
      </w:r>
    </w:p>
    <w:p>
      <w:pPr>
        <w:spacing w:after="0" w:line="11" w:lineRule="exact"/>
        <w:rPr>
          <w:rFonts w:ascii="Arial" w:cs="Arial" w:eastAsia="Arial" w:hAnsi="Arial"/>
          <w:sz w:val="13"/>
          <w:szCs w:val="13"/>
          <w:color w:val="auto"/>
        </w:rPr>
      </w:pPr>
    </w:p>
    <w:p>
      <w:pPr>
        <w:ind w:left="260" w:hanging="128"/>
        <w:spacing w:after="0"/>
        <w:tabs>
          <w:tab w:leader="none" w:pos="260" w:val="left"/>
        </w:tabs>
        <w:numPr>
          <w:ilvl w:val="0"/>
          <w:numId w:val="9"/>
        </w:numPr>
        <w:rPr>
          <w:rFonts w:ascii="Arial" w:cs="Arial" w:eastAsia="Arial" w:hAnsi="Arial"/>
          <w:sz w:val="13"/>
          <w:szCs w:val="13"/>
          <w:color w:val="auto"/>
        </w:rPr>
      </w:pPr>
      <w:r>
        <w:rPr>
          <w:rFonts w:ascii="Arial" w:cs="Arial" w:eastAsia="Arial" w:hAnsi="Arial"/>
          <w:sz w:val="13"/>
          <w:szCs w:val="13"/>
          <w:color w:val="auto"/>
        </w:rPr>
        <w:t>Fortune's Best Workplaces in the Bay Area</w:t>
      </w:r>
    </w:p>
    <w:p>
      <w:pPr>
        <w:spacing w:after="0" w:line="5" w:lineRule="exact"/>
        <w:rPr>
          <w:rFonts w:ascii="Arial" w:cs="Arial" w:eastAsia="Arial" w:hAnsi="Arial"/>
          <w:sz w:val="13"/>
          <w:szCs w:val="13"/>
          <w:color w:val="auto"/>
        </w:rPr>
      </w:pPr>
    </w:p>
    <w:p>
      <w:pPr>
        <w:ind w:left="260" w:hanging="128"/>
        <w:spacing w:after="0"/>
        <w:tabs>
          <w:tab w:leader="none" w:pos="260" w:val="left"/>
        </w:tabs>
        <w:numPr>
          <w:ilvl w:val="0"/>
          <w:numId w:val="9"/>
        </w:numPr>
        <w:rPr>
          <w:rFonts w:ascii="Arial" w:cs="Arial" w:eastAsia="Arial" w:hAnsi="Arial"/>
          <w:sz w:val="13"/>
          <w:szCs w:val="13"/>
          <w:color w:val="auto"/>
        </w:rPr>
      </w:pPr>
      <w:r>
        <w:rPr>
          <w:rFonts w:ascii="Arial" w:cs="Arial" w:eastAsia="Arial" w:hAnsi="Arial"/>
          <w:sz w:val="13"/>
          <w:szCs w:val="13"/>
          <w:color w:val="auto"/>
        </w:rPr>
        <w:t>U.S. News Best Companies to Work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661035</wp:posOffset>
            </wp:positionV>
            <wp:extent cx="7161530" cy="2895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289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 xml:space="preserve">10 </w:t>
      </w:r>
      <w:r>
        <w:rPr>
          <w:rFonts w:ascii="Arial" w:cs="Arial" w:eastAsia="Arial" w:hAnsi="Arial"/>
          <w:sz w:val="13"/>
          <w:szCs w:val="13"/>
          <w:color w:val="auto"/>
        </w:rPr>
        <w:t>PROXY STATEMENT 2025</w:t>
      </w:r>
    </w:p>
    <w:p>
      <w:pPr>
        <w:sectPr>
          <w:pgSz w:w="11900" w:h="16838" w:orient="portrait"/>
          <w:cols w:equalWidth="0" w:num="1">
            <w:col w:w="11280"/>
          </w:cols>
          <w:pgMar w:left="300" w:top="171" w:right="319" w:bottom="1440" w:gutter="0" w:footer="0" w:header="0"/>
        </w:sectPr>
      </w:pPr>
    </w:p>
    <w:bookmarkStart w:id="15" w:name="page16"/>
    <w:bookmarkEnd w:id="15"/>
    <w:p>
      <w:pPr>
        <w:ind w:left="8120"/>
        <w:spacing w:after="0"/>
        <w:rPr>
          <w:sz w:val="20"/>
          <w:szCs w:val="20"/>
          <w:color w:val="auto"/>
        </w:rPr>
      </w:pPr>
      <w:r>
        <w:rPr>
          <w:rFonts w:ascii="Arial" w:cs="Arial" w:eastAsia="Arial" w:hAnsi="Arial"/>
          <w:sz w:val="13"/>
          <w:szCs w:val="13"/>
          <w:b w:val="1"/>
          <w:bCs w:val="1"/>
          <w:color w:val="00482F"/>
        </w:rPr>
        <w:drawing>
          <wp:anchor simplePos="0" relativeHeight="251657728" behindDoc="1" locked="0" layoutInCell="0" allowOverlap="1">
            <wp:simplePos x="0" y="0"/>
            <wp:positionH relativeFrom="page">
              <wp:posOffset>5293995</wp:posOffset>
            </wp:positionH>
            <wp:positionV relativeFrom="page">
              <wp:posOffset>102235</wp:posOffset>
            </wp:positionV>
            <wp:extent cx="1933575" cy="2495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933575" cy="249555"/>
                    </a:xfrm>
                    <a:prstGeom prst="rect">
                      <a:avLst/>
                    </a:prstGeom>
                    <a:noFill/>
                  </pic:spPr>
                </pic:pic>
              </a:graphicData>
            </a:graphic>
          </wp:anchor>
        </w:drawing>
        <w:t>PROPOSAL NO. 1:</w:t>
      </w:r>
    </w:p>
    <w:p>
      <w:pPr>
        <w:spacing w:after="0" w:line="11" w:lineRule="exact"/>
        <w:rPr>
          <w:sz w:val="20"/>
          <w:szCs w:val="20"/>
          <w:color w:val="auto"/>
        </w:rPr>
      </w:pPr>
    </w:p>
    <w:p>
      <w:pPr>
        <w:ind w:left="8120"/>
        <w:spacing w:after="0"/>
        <w:rPr>
          <w:sz w:val="20"/>
          <w:szCs w:val="20"/>
          <w:color w:val="auto"/>
        </w:rPr>
      </w:pPr>
      <w:r>
        <w:rPr>
          <w:rFonts w:ascii="Arial" w:cs="Arial" w:eastAsia="Arial" w:hAnsi="Arial"/>
          <w:sz w:val="13"/>
          <w:szCs w:val="13"/>
          <w:b w:val="1"/>
          <w:bCs w:val="1"/>
          <w:color w:val="00482F"/>
        </w:rPr>
        <w:t>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34"/>
          <w:szCs w:val="34"/>
          <w:b w:val="1"/>
          <w:bCs w:val="1"/>
          <w:color w:val="auto"/>
        </w:rPr>
        <w:t>Proposal No. 1—Election of Directors</w:t>
      </w:r>
    </w:p>
    <w:p>
      <w:pPr>
        <w:spacing w:after="0" w:line="194" w:lineRule="exact"/>
        <w:rPr>
          <w:sz w:val="20"/>
          <w:szCs w:val="20"/>
          <w:color w:val="auto"/>
        </w:rPr>
      </w:pPr>
    </w:p>
    <w:p>
      <w:pPr>
        <w:spacing w:after="0" w:line="254" w:lineRule="auto"/>
        <w:rPr>
          <w:sz w:val="20"/>
          <w:szCs w:val="20"/>
          <w:color w:val="auto"/>
        </w:rPr>
      </w:pPr>
      <w:r>
        <w:rPr>
          <w:rFonts w:ascii="Arial" w:cs="Arial" w:eastAsia="Arial" w:hAnsi="Arial"/>
          <w:sz w:val="13"/>
          <w:szCs w:val="13"/>
          <w:color w:val="auto"/>
        </w:rPr>
        <w:t>Our Board currently has five (5) members, of whom four (4) are being nominated for election at the Annual Meeting to hold office until the next annual meeting and until their respective successors have been duly elected and qualified, or until such director’s earlier resignation, retirement or other termination of service. Maurice Taylor has decided not to stand for reelection at the Annual Meeting. Therefore, Mr. Taylor's service, as a director, will terminate as of the Annual Meeting date, or May 21, 2025. Mr. Taylor's decision not to stand for reelection is not due to any disagreement with the Company on any matter relating to the Company's operations, policies, or practices. Upon Mr. Taylor's departure, Lynne Laube, subject to her election by our stockholders, will assume a position on the Audit Committee in addition to continuing to serve as chair of the Compensation Committee.</w:t>
      </w:r>
    </w:p>
    <w:p>
      <w:pPr>
        <w:spacing w:after="0" w:line="164" w:lineRule="exact"/>
        <w:rPr>
          <w:sz w:val="20"/>
          <w:szCs w:val="20"/>
          <w:color w:val="auto"/>
        </w:rPr>
      </w:pPr>
    </w:p>
    <w:p>
      <w:pPr>
        <w:ind w:right="60"/>
        <w:spacing w:after="0" w:line="251" w:lineRule="auto"/>
        <w:rPr>
          <w:sz w:val="20"/>
          <w:szCs w:val="20"/>
          <w:color w:val="auto"/>
        </w:rPr>
      </w:pPr>
      <w:r>
        <w:rPr>
          <w:rFonts w:ascii="Arial" w:cs="Arial" w:eastAsia="Arial" w:hAnsi="Arial"/>
          <w:sz w:val="13"/>
          <w:szCs w:val="13"/>
          <w:color w:val="auto"/>
        </w:rPr>
        <w:t>All of our director nominees were previously elected by our stockholders. The Board has determined that all of the director nominees are independent, except for Mr. Chen, who is not considered independent due to his position as our Chief Executive Officer. There are no family relationships among any of the directors, director nominees and executive officers. Each nominee has agreed to serve, if elected. If any nominee declines or is unable to accept such nomination or is unable to serve, an event which we do not expect, the Board reserves the right in its discretion to substitute another person as a nominee or to reduce the number of nominees and the size of the Board. In this event, the proxy holders may vote, in their discretion, for any substitute nominee proposed by the Board. We have presented below biographical information regarding each nominee. This biographical information is supplemented by additional information regarding the particular experiences, qualifications, attributes and skills that led the Board to conclude each nominee should serve on the Board. This additional information is set forth under “Proxy Summary—A Highly Diverse and Skilled Board.”</w:t>
      </w: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4850765" cy="13208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850765" cy="1320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4850765" cy="11722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850765" cy="11722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1536700</wp:posOffset>
            </wp:positionV>
            <wp:extent cx="7161530" cy="2895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1530" cy="289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1100"/>
        <w:spacing w:after="0"/>
        <w:rPr>
          <w:sz w:val="20"/>
          <w:szCs w:val="20"/>
          <w:color w:val="auto"/>
        </w:rPr>
      </w:pPr>
      <w:r>
        <w:rPr>
          <w:rFonts w:ascii="Arial" w:cs="Arial" w:eastAsia="Arial" w:hAnsi="Arial"/>
          <w:sz w:val="13"/>
          <w:szCs w:val="13"/>
          <w:b w:val="1"/>
          <w:bCs w:val="1"/>
          <w:color w:val="auto"/>
        </w:rPr>
        <w:t>11</w:t>
      </w:r>
    </w:p>
    <w:p>
      <w:pPr>
        <w:sectPr>
          <w:pgSz w:w="11900" w:h="16838" w:orient="portrait"/>
          <w:cols w:equalWidth="0" w:num="1">
            <w:col w:w="11280"/>
          </w:cols>
          <w:pgMar w:left="300" w:top="171" w:right="319" w:bottom="1440" w:gutter="0" w:footer="0" w:header="0"/>
        </w:sectPr>
      </w:pPr>
    </w:p>
    <w:bookmarkStart w:id="16" w:name="page17"/>
    <w:bookmarkEnd w:id="16"/>
    <w:p>
      <w:pPr>
        <w:ind w:left="80"/>
        <w:spacing w:after="0"/>
        <w:rPr>
          <w:sz w:val="20"/>
          <w:szCs w:val="20"/>
          <w:color w:val="auto"/>
        </w:rPr>
      </w:pPr>
      <w:r>
        <w:rPr>
          <w:rFonts w:ascii="Arial" w:cs="Arial" w:eastAsia="Arial" w:hAnsi="Arial"/>
          <w:sz w:val="13"/>
          <w:szCs w:val="13"/>
          <w:b w:val="1"/>
          <w:bCs w:val="1"/>
          <w:color w:val="00482F"/>
        </w:rPr>
        <w:drawing>
          <wp:anchor simplePos="0" relativeHeight="251657728" behindDoc="1" locked="0" layoutInCell="0" allowOverlap="1">
            <wp:simplePos x="0" y="0"/>
            <wp:positionH relativeFrom="page">
              <wp:posOffset>193675</wp:posOffset>
            </wp:positionH>
            <wp:positionV relativeFrom="page">
              <wp:posOffset>102235</wp:posOffset>
            </wp:positionV>
            <wp:extent cx="2391410" cy="2495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391410" cy="249555"/>
                    </a:xfrm>
                    <a:prstGeom prst="rect">
                      <a:avLst/>
                    </a:prstGeom>
                    <a:noFill/>
                  </pic:spPr>
                </pic:pic>
              </a:graphicData>
            </a:graphic>
          </wp:anchor>
        </w:drawing>
        <w:t>PROPOSAL NO. 1:</w:t>
      </w:r>
    </w:p>
    <w:p>
      <w:pPr>
        <w:spacing w:after="0" w:line="11"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00482F"/>
        </w:rPr>
        <w:t>ELECTION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Director Background and Qualifications</w:t>
      </w:r>
    </w:p>
    <w:p>
      <w:pPr>
        <w:sectPr>
          <w:pgSz w:w="11900" w:h="16838" w:orient="portrait"/>
          <w:cols w:equalWidth="0" w:num="1">
            <w:col w:w="11000"/>
          </w:cols>
          <w:pgMar w:left="300" w:top="171" w:right="599" w:bottom="1440" w:gutter="0" w:footer="0" w:header="0"/>
        </w:sectPr>
      </w:pP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225425</wp:posOffset>
            </wp:positionV>
            <wp:extent cx="1030605" cy="10306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030605" cy="1030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 xml:space="preserve">DIRECTOR SINCE: </w:t>
      </w:r>
      <w:r>
        <w:rPr>
          <w:rFonts w:ascii="Arial" w:cs="Arial" w:eastAsia="Arial" w:hAnsi="Arial"/>
          <w:sz w:val="12"/>
          <w:szCs w:val="12"/>
          <w:color w:val="auto"/>
        </w:rPr>
        <w:t>2011</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AGE: 42</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COMMITTEES:</w:t>
      </w:r>
    </w:p>
    <w:p>
      <w:pPr>
        <w:ind w:left="20"/>
        <w:spacing w:after="0"/>
        <w:rPr>
          <w:sz w:val="20"/>
          <w:szCs w:val="20"/>
          <w:color w:val="auto"/>
        </w:rPr>
      </w:pPr>
      <w:r>
        <w:rPr>
          <w:rFonts w:ascii="Arial" w:cs="Arial" w:eastAsia="Arial" w:hAnsi="Arial"/>
          <w:sz w:val="13"/>
          <w:szCs w:val="13"/>
          <w:color w:val="auto"/>
        </w:rPr>
        <w:t>None</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108585</wp:posOffset>
            </wp:positionV>
            <wp:extent cx="100965" cy="10096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0965" cy="100965"/>
                    </a:xfrm>
                    <a:prstGeom prst="rect">
                      <a:avLst/>
                    </a:prstGeom>
                    <a:noFill/>
                  </pic:spPr>
                </pic:pic>
              </a:graphicData>
            </a:graphic>
          </wp:anchor>
        </w:drawing>
        <w:drawing>
          <wp:anchor simplePos="0" relativeHeight="251657728" behindDoc="1" locked="0" layoutInCell="0" allowOverlap="1">
            <wp:simplePos x="0" y="0"/>
            <wp:positionH relativeFrom="column">
              <wp:posOffset>198755</wp:posOffset>
            </wp:positionH>
            <wp:positionV relativeFrom="paragraph">
              <wp:posOffset>74930</wp:posOffset>
            </wp:positionV>
            <wp:extent cx="545465" cy="134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45465" cy="1346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Tim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-349250</wp:posOffset>
            </wp:positionV>
            <wp:extent cx="5100320" cy="19945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00320" cy="199453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Chief Executive Officer | Chairman of the Board</w:t>
      </w:r>
    </w:p>
    <w:p>
      <w:pPr>
        <w:spacing w:after="0" w:line="105" w:lineRule="exact"/>
        <w:rPr>
          <w:sz w:val="20"/>
          <w:szCs w:val="20"/>
          <w:color w:val="auto"/>
        </w:rPr>
      </w:pPr>
    </w:p>
    <w:p>
      <w:pPr>
        <w:spacing w:after="0" w:line="254" w:lineRule="auto"/>
        <w:rPr>
          <w:sz w:val="20"/>
          <w:szCs w:val="20"/>
          <w:color w:val="auto"/>
        </w:rPr>
      </w:pPr>
      <w:r>
        <w:rPr>
          <w:rFonts w:ascii="Arial" w:cs="Arial" w:eastAsia="Arial" w:hAnsi="Arial"/>
          <w:sz w:val="13"/>
          <w:szCs w:val="13"/>
          <w:color w:val="auto"/>
        </w:rPr>
        <w:t>Mr. Chen has served as our Chief Executive officer since 2009, as a member of our Board of Directors since December 2011 and as a Chairman of our Board of Directors since September 2021. Prior to founding the Company, Mr. Chen worked at JAT Capital Management, L.P. and Perry Capital as an Investor and at Credit Suisse as an Equity Research Associate. Mr. Chen holds a B.A. in Economics from Stanford University. We believe Mr. Chen is qualified to serve on our Board of Directors due to his perspective and experience from serving as our Co-Founder and Chief Executive Officer, as well as his experience in the finance industry.</w:t>
      </w:r>
    </w:p>
    <w:p>
      <w:pPr>
        <w:spacing w:after="0" w:line="2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OTHER PUBLIC BOARDS</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-987425</wp:posOffset>
            </wp:positionH>
            <wp:positionV relativeFrom="paragraph">
              <wp:posOffset>1906270</wp:posOffset>
            </wp:positionV>
            <wp:extent cx="4749800" cy="6667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749800" cy="666750"/>
                    </a:xfrm>
                    <a:prstGeom prst="rect">
                      <a:avLst/>
                    </a:prstGeom>
                    <a:noFill/>
                  </pic:spPr>
                </pic:pic>
              </a:graphicData>
            </a:graphic>
          </wp:anchor>
        </w:drawing>
        <w:drawing>
          <wp:anchor simplePos="0" relativeHeight="251657728" behindDoc="1" locked="0" layoutInCell="0" allowOverlap="1">
            <wp:simplePos x="0" y="0"/>
            <wp:positionH relativeFrom="column">
              <wp:posOffset>-2193290</wp:posOffset>
            </wp:positionH>
            <wp:positionV relativeFrom="paragraph">
              <wp:posOffset>2929890</wp:posOffset>
            </wp:positionV>
            <wp:extent cx="7161530" cy="2895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289560"/>
                    </a:xfrm>
                    <a:prstGeom prst="rect">
                      <a:avLst/>
                    </a:prstGeom>
                    <a:noFill/>
                  </pic:spPr>
                </pic:pic>
              </a:graphicData>
            </a:graphic>
          </wp:anchor>
        </w:drawing>
      </w:r>
    </w:p>
    <w:p>
      <w:pPr>
        <w:spacing w:after="0" w:line="568" w:lineRule="exact"/>
        <w:rPr>
          <w:sz w:val="20"/>
          <w:szCs w:val="20"/>
          <w:color w:val="auto"/>
        </w:rPr>
      </w:pPr>
    </w:p>
    <w:p>
      <w:pPr>
        <w:sectPr>
          <w:pgSz w:w="11900" w:h="16838" w:orient="portrait"/>
          <w:cols w:equalWidth="0" w:num="2">
            <w:col w:w="2740" w:space="720"/>
            <w:col w:w="7540"/>
          </w:cols>
          <w:pgMar w:left="300" w:top="171" w:right="5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auto"/>
        </w:rPr>
        <w:t xml:space="preserve">12 </w:t>
      </w:r>
      <w:r>
        <w:rPr>
          <w:rFonts w:ascii="Arial" w:cs="Arial" w:eastAsia="Arial" w:hAnsi="Arial"/>
          <w:sz w:val="12"/>
          <w:szCs w:val="12"/>
          <w:color w:val="auto"/>
        </w:rPr>
        <w:t>PROXY STATEMENT 2025</w:t>
      </w:r>
    </w:p>
    <w:p>
      <w:pPr>
        <w:sectPr>
          <w:pgSz w:w="11900" w:h="16838" w:orient="portrait"/>
          <w:cols w:equalWidth="0" w:num="1">
            <w:col w:w="11000"/>
          </w:cols>
          <w:pgMar w:left="300" w:top="171" w:right="599" w:bottom="1440" w:gutter="0" w:footer="0" w:header="0"/>
          <w:type w:val="continuous"/>
        </w:sectPr>
      </w:pPr>
    </w:p>
    <w:bookmarkStart w:id="17" w:name="page18"/>
    <w:bookmarkEnd w:id="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944245</wp:posOffset>
            </wp:positionV>
            <wp:extent cx="1030605" cy="10306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1030605" cy="1030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DIRECTOR SINCE: </w:t>
      </w:r>
      <w:r>
        <w:rPr>
          <w:rFonts w:ascii="Arial" w:cs="Arial" w:eastAsia="Arial" w:hAnsi="Arial"/>
          <w:sz w:val="12"/>
          <w:szCs w:val="12"/>
          <w:color w:val="auto"/>
        </w:rPr>
        <w:t>2020</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AGE: 61</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COMMITTEES:</w:t>
      </w:r>
    </w:p>
    <w:p>
      <w:pPr>
        <w:spacing w:after="0"/>
        <w:rPr>
          <w:sz w:val="20"/>
          <w:szCs w:val="20"/>
          <w:color w:val="auto"/>
        </w:rPr>
      </w:pPr>
      <w:r>
        <w:rPr>
          <w:rFonts w:ascii="Arial" w:cs="Arial" w:eastAsia="Arial" w:hAnsi="Arial"/>
          <w:sz w:val="13"/>
          <w:szCs w:val="13"/>
          <w:color w:val="auto"/>
        </w:rPr>
        <w:t>Audit</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121920</wp:posOffset>
            </wp:positionV>
            <wp:extent cx="100965" cy="10096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00965" cy="100965"/>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74930</wp:posOffset>
            </wp:positionV>
            <wp:extent cx="720725" cy="147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725" cy="1479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330835</wp:posOffset>
            </wp:positionV>
            <wp:extent cx="343535" cy="1212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3535" cy="1212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4880"/>
        <w:spacing w:after="0"/>
        <w:rPr>
          <w:sz w:val="20"/>
          <w:szCs w:val="20"/>
          <w:color w:val="auto"/>
        </w:rPr>
      </w:pPr>
      <w:r>
        <w:rPr>
          <w:rFonts w:ascii="Arial" w:cs="Arial" w:eastAsia="Arial" w:hAnsi="Arial"/>
          <w:sz w:val="13"/>
          <w:szCs w:val="13"/>
          <w:b w:val="1"/>
          <w:bCs w:val="1"/>
          <w:color w:val="00482F"/>
        </w:rPr>
        <w:t>PROPOSAL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3047365</wp:posOffset>
            </wp:positionH>
            <wp:positionV relativeFrom="paragraph">
              <wp:posOffset>-100965</wp:posOffset>
            </wp:positionV>
            <wp:extent cx="1933575" cy="2495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933575" cy="249555"/>
                    </a:xfrm>
                    <a:prstGeom prst="rect">
                      <a:avLst/>
                    </a:prstGeom>
                    <a:noFill/>
                  </pic:spPr>
                </pic:pic>
              </a:graphicData>
            </a:graphic>
          </wp:anchor>
        </w:drawing>
      </w:r>
    </w:p>
    <w:p>
      <w:pPr>
        <w:ind w:left="4880"/>
        <w:spacing w:after="0"/>
        <w:rPr>
          <w:sz w:val="20"/>
          <w:szCs w:val="20"/>
          <w:color w:val="auto"/>
        </w:rPr>
      </w:pPr>
      <w:r>
        <w:rPr>
          <w:rFonts w:ascii="Arial" w:cs="Arial" w:eastAsia="Arial" w:hAnsi="Arial"/>
          <w:sz w:val="13"/>
          <w:szCs w:val="13"/>
          <w:b w:val="1"/>
          <w:bCs w:val="1"/>
          <w:color w:val="00482F"/>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551180</wp:posOffset>
            </wp:positionV>
            <wp:extent cx="5100320" cy="24257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00320" cy="2425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Jennifer E. Ceran</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Independent Director</w:t>
      </w:r>
    </w:p>
    <w:p>
      <w:pPr>
        <w:spacing w:after="0" w:line="105" w:lineRule="exact"/>
        <w:rPr>
          <w:sz w:val="20"/>
          <w:szCs w:val="20"/>
          <w:color w:val="auto"/>
        </w:rPr>
      </w:pPr>
    </w:p>
    <w:p>
      <w:pPr>
        <w:ind w:right="220"/>
        <w:spacing w:after="0" w:line="247" w:lineRule="auto"/>
        <w:rPr>
          <w:sz w:val="20"/>
          <w:szCs w:val="20"/>
          <w:color w:val="auto"/>
        </w:rPr>
      </w:pPr>
      <w:r>
        <w:rPr>
          <w:rFonts w:ascii="Arial" w:cs="Arial" w:eastAsia="Arial" w:hAnsi="Arial"/>
          <w:sz w:val="13"/>
          <w:szCs w:val="13"/>
          <w:color w:val="auto"/>
        </w:rPr>
        <w:t>Ms. Ceran has been a member of our Board of Directors since 2020. Ms. Ceran served as the interim CFO of Klaviyo from November 2021 until May 2022. Ms. Ceran served as Chief Financial Officer of Smartsheet Inc. from September 2016 until January 2021. Prior to joining Smartsheet, Ms. Ceran served as the Chief Financial officer of Quotient Technology, Inc. from September 2015 to September 2016. From 2012 to September 2015, Ms. Ceran served as Vice President of Finance at Box, Inc.. From 2003 to 2012, Ms. Ceran served in various leadership roles at eBay Inc., including as Vice President of Investor Relations, Vice President of Financial Planning and Analysis, and Vice President and Treasurer. Ms. Ceran is a member of the board of directors of Klaviyo, Inc. (NYSE: KVYO) and Riskified Ltd. (NYSE: RSKD), and she serves as the Chair of the Audit Committee of both companies. Ms. Ceran holds a B.A. in Communications and French from Vanderbilt University, and an M.B.A. in Finance and Accounting from the University of Chicago, Booth School of Business. Ms. Ceran brings to our Board of Directors valuable financial and business expertise through her years of experience as a Chief Financial Officer with publicly traded companies. Ms. Ceran provides an important role in leading the Board of Directors’ activities on financial and auditing matters, as well as collaborating with our independent registered public accounting firm and management team.</w:t>
      </w:r>
    </w:p>
    <w:p>
      <w:pPr>
        <w:spacing w:after="0" w:line="2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OTHER PUBLIC BOARDS</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Klaviyo, Inc. and Riskified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-987425</wp:posOffset>
            </wp:positionH>
            <wp:positionV relativeFrom="paragraph">
              <wp:posOffset>1609725</wp:posOffset>
            </wp:positionV>
            <wp:extent cx="4749800" cy="6667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749800" cy="666750"/>
                    </a:xfrm>
                    <a:prstGeom prst="rect">
                      <a:avLst/>
                    </a:prstGeom>
                    <a:noFill/>
                  </pic:spPr>
                </pic:pic>
              </a:graphicData>
            </a:graphic>
          </wp:anchor>
        </w:drawing>
        <w:drawing>
          <wp:anchor simplePos="0" relativeHeight="251657728" behindDoc="1" locked="0" layoutInCell="0" allowOverlap="1">
            <wp:simplePos x="0" y="0"/>
            <wp:positionH relativeFrom="column">
              <wp:posOffset>-2193290</wp:posOffset>
            </wp:positionH>
            <wp:positionV relativeFrom="paragraph">
              <wp:posOffset>2512060</wp:posOffset>
            </wp:positionV>
            <wp:extent cx="7161530" cy="2895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289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20" w:space="720"/>
            <w:col w:w="7780"/>
          </w:cols>
          <w:pgMar w:left="320" w:top="17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11060"/>
        <w:spacing w:after="0"/>
        <w:rPr>
          <w:sz w:val="20"/>
          <w:szCs w:val="20"/>
          <w:color w:val="auto"/>
        </w:rPr>
      </w:pPr>
      <w:r>
        <w:rPr>
          <w:rFonts w:ascii="Arial" w:cs="Arial" w:eastAsia="Arial" w:hAnsi="Arial"/>
          <w:sz w:val="13"/>
          <w:szCs w:val="13"/>
          <w:b w:val="1"/>
          <w:bCs w:val="1"/>
          <w:color w:val="auto"/>
        </w:rPr>
        <w:t>13</w:t>
      </w:r>
    </w:p>
    <w:p>
      <w:pPr>
        <w:sectPr>
          <w:pgSz w:w="11900" w:h="16838" w:orient="portrait"/>
          <w:cols w:equalWidth="0" w:num="1">
            <w:col w:w="11220"/>
          </w:cols>
          <w:pgMar w:left="320" w:top="171" w:right="359" w:bottom="1440" w:gutter="0" w:footer="0" w:header="0"/>
          <w:type w:val="continuous"/>
        </w:sectPr>
      </w:pPr>
    </w:p>
    <w:bookmarkStart w:id="18" w:name="page19"/>
    <w:bookmarkEnd w:id="18"/>
    <w:p>
      <w:pPr>
        <w:ind w:left="60"/>
        <w:spacing w:after="0"/>
        <w:rPr>
          <w:sz w:val="20"/>
          <w:szCs w:val="20"/>
          <w:color w:val="auto"/>
        </w:rPr>
      </w:pPr>
      <w:r>
        <w:rPr>
          <w:rFonts w:ascii="Arial" w:cs="Arial" w:eastAsia="Arial" w:hAnsi="Arial"/>
          <w:sz w:val="13"/>
          <w:szCs w:val="13"/>
          <w:b w:val="1"/>
          <w:bCs w:val="1"/>
          <w:color w:val="00482F"/>
        </w:rPr>
        <w:drawing>
          <wp:anchor simplePos="0" relativeHeight="251657728" behindDoc="1" locked="0" layoutInCell="0" allowOverlap="1">
            <wp:simplePos x="0" y="0"/>
            <wp:positionH relativeFrom="page">
              <wp:posOffset>193675</wp:posOffset>
            </wp:positionH>
            <wp:positionV relativeFrom="page">
              <wp:posOffset>102235</wp:posOffset>
            </wp:positionV>
            <wp:extent cx="2391410" cy="2495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391410" cy="249555"/>
                    </a:xfrm>
                    <a:prstGeom prst="rect">
                      <a:avLst/>
                    </a:prstGeom>
                    <a:noFill/>
                  </pic:spPr>
                </pic:pic>
              </a:graphicData>
            </a:graphic>
          </wp:anchor>
        </w:drawing>
        <w:t>PROPOSAL NO. 1:</w:t>
      </w:r>
    </w:p>
    <w:p>
      <w:pPr>
        <w:spacing w:after="0" w:line="11" w:lineRule="exact"/>
        <w:rPr>
          <w:sz w:val="20"/>
          <w:szCs w:val="20"/>
          <w:color w:val="auto"/>
        </w:rPr>
      </w:pPr>
    </w:p>
    <w:p>
      <w:pPr>
        <w:ind w:left="60"/>
        <w:spacing w:after="0"/>
        <w:rPr>
          <w:sz w:val="20"/>
          <w:szCs w:val="20"/>
          <w:color w:val="auto"/>
        </w:rPr>
      </w:pPr>
      <w:r>
        <w:rPr>
          <w:rFonts w:ascii="Arial" w:cs="Arial" w:eastAsia="Arial" w:hAnsi="Arial"/>
          <w:sz w:val="12"/>
          <w:szCs w:val="12"/>
          <w:b w:val="1"/>
          <w:bCs w:val="1"/>
          <w:color w:val="00482F"/>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645795</wp:posOffset>
            </wp:positionV>
            <wp:extent cx="1030605" cy="10306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30605" cy="1030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DIRECTOR SINCE: </w:t>
      </w:r>
      <w:r>
        <w:rPr>
          <w:rFonts w:ascii="Arial" w:cs="Arial" w:eastAsia="Arial" w:hAnsi="Arial"/>
          <w:sz w:val="13"/>
          <w:szCs w:val="13"/>
          <w:color w:val="auto"/>
        </w:rPr>
        <w:t>2020</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AGE: </w:t>
      </w:r>
      <w:r>
        <w:rPr>
          <w:rFonts w:ascii="Arial" w:cs="Arial" w:eastAsia="Arial" w:hAnsi="Arial"/>
          <w:sz w:val="13"/>
          <w:szCs w:val="13"/>
          <w:color w:val="auto"/>
        </w:rPr>
        <w:t>55</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COMMITTEES:</w:t>
      </w:r>
    </w:p>
    <w:p>
      <w:pPr>
        <w:spacing w:after="0"/>
        <w:rPr>
          <w:sz w:val="20"/>
          <w:szCs w:val="20"/>
          <w:color w:val="auto"/>
        </w:rPr>
      </w:pPr>
      <w:r>
        <w:rPr>
          <w:rFonts w:ascii="Arial" w:cs="Arial" w:eastAsia="Arial" w:hAnsi="Arial"/>
          <w:sz w:val="13"/>
          <w:szCs w:val="13"/>
          <w:color w:val="auto"/>
        </w:rPr>
        <w:t>Compensation</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121920</wp:posOffset>
            </wp:positionV>
            <wp:extent cx="100965" cy="1009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00965" cy="100965"/>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121920</wp:posOffset>
            </wp:positionV>
            <wp:extent cx="100965" cy="1009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00965" cy="100965"/>
                    </a:xfrm>
                    <a:prstGeom prst="rect">
                      <a:avLst/>
                    </a:prstGeom>
                    <a:noFill/>
                  </pic:spPr>
                </pic:pic>
              </a:graphicData>
            </a:graphic>
          </wp:anchor>
        </w:drawing>
        <w:drawing>
          <wp:anchor simplePos="0" relativeHeight="251657728" behindDoc="1" locked="0" layoutInCell="0" allowOverlap="1">
            <wp:simplePos x="0" y="0"/>
            <wp:positionH relativeFrom="column">
              <wp:posOffset>367665</wp:posOffset>
            </wp:positionH>
            <wp:positionV relativeFrom="paragraph">
              <wp:posOffset>74930</wp:posOffset>
            </wp:positionV>
            <wp:extent cx="100965" cy="147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00965" cy="147955"/>
                    </a:xfrm>
                    <a:prstGeom prst="rect">
                      <a:avLst/>
                    </a:prstGeom>
                    <a:noFill/>
                  </pic:spPr>
                </pic:pic>
              </a:graphicData>
            </a:graphic>
          </wp:anchor>
        </w:drawing>
        <w:drawing>
          <wp:anchor simplePos="0" relativeHeight="251657728" behindDoc="1" locked="0" layoutInCell="0" allowOverlap="1">
            <wp:simplePos x="0" y="0"/>
            <wp:positionH relativeFrom="column">
              <wp:posOffset>549275</wp:posOffset>
            </wp:positionH>
            <wp:positionV relativeFrom="paragraph">
              <wp:posOffset>95250</wp:posOffset>
            </wp:positionV>
            <wp:extent cx="532130" cy="1282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32130" cy="1282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Lynne M. Laube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-422910</wp:posOffset>
            </wp:positionV>
            <wp:extent cx="5100320" cy="200787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00320" cy="200787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Independent Director</w:t>
      </w:r>
    </w:p>
    <w:p>
      <w:pPr>
        <w:spacing w:after="0" w:line="105" w:lineRule="exact"/>
        <w:rPr>
          <w:sz w:val="20"/>
          <w:szCs w:val="20"/>
          <w:color w:val="auto"/>
        </w:rPr>
      </w:pPr>
    </w:p>
    <w:p>
      <w:pPr>
        <w:spacing w:after="0" w:line="248" w:lineRule="auto"/>
        <w:rPr>
          <w:sz w:val="20"/>
          <w:szCs w:val="20"/>
          <w:color w:val="auto"/>
        </w:rPr>
      </w:pPr>
      <w:r>
        <w:rPr>
          <w:rFonts w:ascii="Arial" w:cs="Arial" w:eastAsia="Arial" w:hAnsi="Arial"/>
          <w:sz w:val="13"/>
          <w:szCs w:val="13"/>
          <w:color w:val="auto"/>
        </w:rPr>
        <w:t>Ms. Laube has been a member of our Board of Directors since 2020. She served as the Chief Executive Officer of Cardlytics, Inc. from May 2020 until September 2022 and as a director of Cardlytics, Inc. (Nasdaq: CDLX), from 2008 through November 2022. Prior to that Ms. Laube served as the Chief Operating officer of Cardlytics, Inc., a role she held since 2008. From 1994 to 2008, Ms. Laube held various positions at Capital One, including as a Vice President. Ms. Laube started her career at Bank One Corporation, where she specialized in operations analysis. Ms. Laube holds a B.S. in Finance and Marketing from the University of Cincinnati. Ms. Laube’s extensive experience in the financial industry, and in analytics and operations, brings a valuable perspective to our Board, along with her experience as a former Chief Executive Officer.</w:t>
      </w:r>
    </w:p>
    <w:p>
      <w:pPr>
        <w:spacing w:after="0" w:line="2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OTHER PUBLIC BOARDS</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-987425</wp:posOffset>
            </wp:positionH>
            <wp:positionV relativeFrom="paragraph">
              <wp:posOffset>1677035</wp:posOffset>
            </wp:positionV>
            <wp:extent cx="4756785" cy="6667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756785" cy="666750"/>
                    </a:xfrm>
                    <a:prstGeom prst="rect">
                      <a:avLst/>
                    </a:prstGeom>
                    <a:noFill/>
                  </pic:spPr>
                </pic:pic>
              </a:graphicData>
            </a:graphic>
          </wp:anchor>
        </w:drawing>
        <w:drawing>
          <wp:anchor simplePos="0" relativeHeight="251657728" behindDoc="1" locked="0" layoutInCell="0" allowOverlap="1">
            <wp:simplePos x="0" y="0"/>
            <wp:positionH relativeFrom="column">
              <wp:posOffset>-2193290</wp:posOffset>
            </wp:positionH>
            <wp:positionV relativeFrom="paragraph">
              <wp:posOffset>2700655</wp:posOffset>
            </wp:positionV>
            <wp:extent cx="7161530" cy="2895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1530" cy="289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20" w:space="720"/>
            <w:col w:w="7560"/>
          </w:cols>
          <w:pgMar w:left="320" w:top="171"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 xml:space="preserve">14 </w:t>
      </w:r>
      <w:r>
        <w:rPr>
          <w:rFonts w:ascii="Arial" w:cs="Arial" w:eastAsia="Arial" w:hAnsi="Arial"/>
          <w:sz w:val="12"/>
          <w:szCs w:val="12"/>
          <w:color w:val="auto"/>
        </w:rPr>
        <w:t>PROXY STATEMENT 2025</w:t>
      </w:r>
    </w:p>
    <w:p>
      <w:pPr>
        <w:sectPr>
          <w:pgSz w:w="11900" w:h="16838" w:orient="portrait"/>
          <w:cols w:equalWidth="0" w:num="1">
            <w:col w:w="11000"/>
          </w:cols>
          <w:pgMar w:left="320" w:top="171" w:right="579" w:bottom="1440" w:gutter="0" w:footer="0" w:header="0"/>
          <w:type w:val="continuous"/>
        </w:sectPr>
      </w:pPr>
    </w:p>
    <w:bookmarkStart w:id="19" w:name="page20"/>
    <w:bookmarkEnd w:id="1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944245</wp:posOffset>
            </wp:positionV>
            <wp:extent cx="1030605" cy="10306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1030605" cy="1030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DIRECTOR SINCE: </w:t>
      </w:r>
      <w:r>
        <w:rPr>
          <w:rFonts w:ascii="Arial" w:cs="Arial" w:eastAsia="Arial" w:hAnsi="Arial"/>
          <w:sz w:val="12"/>
          <w:szCs w:val="12"/>
          <w:color w:val="auto"/>
        </w:rPr>
        <w:t>2022</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AGE: </w:t>
      </w:r>
      <w:r>
        <w:rPr>
          <w:rFonts w:ascii="Arial" w:cs="Arial" w:eastAsia="Arial" w:hAnsi="Arial"/>
          <w:sz w:val="13"/>
          <w:szCs w:val="13"/>
          <w:color w:val="auto"/>
        </w:rPr>
        <w:t>57</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COMMITTEES:</w:t>
      </w:r>
    </w:p>
    <w:p>
      <w:pPr>
        <w:spacing w:after="0"/>
        <w:rPr>
          <w:sz w:val="20"/>
          <w:szCs w:val="20"/>
          <w:color w:val="auto"/>
        </w:rPr>
      </w:pPr>
      <w:r>
        <w:rPr>
          <w:rFonts w:ascii="Arial" w:cs="Arial" w:eastAsia="Arial" w:hAnsi="Arial"/>
          <w:sz w:val="13"/>
          <w:szCs w:val="13"/>
          <w:color w:val="auto"/>
        </w:rPr>
        <w:t>Audit</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Compensation</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72390</wp:posOffset>
            </wp:positionV>
            <wp:extent cx="100965" cy="1009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00965" cy="100965"/>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72390</wp:posOffset>
            </wp:positionV>
            <wp:extent cx="100965" cy="1009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00965" cy="10096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294640</wp:posOffset>
            </wp:positionV>
            <wp:extent cx="134620" cy="134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34620" cy="134620"/>
                    </a:xfrm>
                    <a:prstGeom prst="rect">
                      <a:avLst/>
                    </a:prstGeom>
                    <a:noFill/>
                  </pic:spPr>
                </pic:pic>
              </a:graphicData>
            </a:graphic>
          </wp:anchor>
        </w:drawing>
        <w:drawing>
          <wp:anchor simplePos="0" relativeHeight="251657728" behindDoc="1" locked="0" layoutInCell="0" allowOverlap="1">
            <wp:simplePos x="0" y="0"/>
            <wp:positionH relativeFrom="column">
              <wp:posOffset>219710</wp:posOffset>
            </wp:positionH>
            <wp:positionV relativeFrom="paragraph">
              <wp:posOffset>281305</wp:posOffset>
            </wp:positionV>
            <wp:extent cx="100965" cy="147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0965" cy="147955"/>
                    </a:xfrm>
                    <a:prstGeom prst="rect">
                      <a:avLst/>
                    </a:prstGeom>
                    <a:noFill/>
                  </pic:spPr>
                </pic:pic>
              </a:graphicData>
            </a:graphic>
          </wp:anchor>
        </w:drawing>
        <w:drawing>
          <wp:anchor simplePos="0" relativeHeight="251657728" behindDoc="1" locked="0" layoutInCell="0" allowOverlap="1">
            <wp:simplePos x="0" y="0"/>
            <wp:positionH relativeFrom="column">
              <wp:posOffset>401320</wp:posOffset>
            </wp:positionH>
            <wp:positionV relativeFrom="paragraph">
              <wp:posOffset>308610</wp:posOffset>
            </wp:positionV>
            <wp:extent cx="532130" cy="1212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32130" cy="12128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537210</wp:posOffset>
            </wp:positionV>
            <wp:extent cx="100965" cy="147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0965" cy="147955"/>
                    </a:xfrm>
                    <a:prstGeom prst="rect">
                      <a:avLst/>
                    </a:prstGeom>
                    <a:noFill/>
                  </pic:spPr>
                </pic:pic>
              </a:graphicData>
            </a:graphic>
          </wp:anchor>
        </w:drawing>
        <w:drawing>
          <wp:anchor simplePos="0" relativeHeight="251657728" behindDoc="1" locked="0" layoutInCell="0" allowOverlap="1">
            <wp:simplePos x="0" y="0"/>
            <wp:positionH relativeFrom="column">
              <wp:posOffset>186055</wp:posOffset>
            </wp:positionH>
            <wp:positionV relativeFrom="paragraph">
              <wp:posOffset>557530</wp:posOffset>
            </wp:positionV>
            <wp:extent cx="323215" cy="1282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23215" cy="1282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4900"/>
        <w:spacing w:after="0"/>
        <w:rPr>
          <w:sz w:val="20"/>
          <w:szCs w:val="20"/>
          <w:color w:val="auto"/>
        </w:rPr>
      </w:pPr>
      <w:r>
        <w:rPr>
          <w:rFonts w:ascii="Arial" w:cs="Arial" w:eastAsia="Arial" w:hAnsi="Arial"/>
          <w:sz w:val="13"/>
          <w:szCs w:val="13"/>
          <w:b w:val="1"/>
          <w:bCs w:val="1"/>
          <w:color w:val="00482F"/>
        </w:rPr>
        <w:t>PROPOSAL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3060065</wp:posOffset>
            </wp:positionH>
            <wp:positionV relativeFrom="paragraph">
              <wp:posOffset>-100965</wp:posOffset>
            </wp:positionV>
            <wp:extent cx="1933575" cy="2495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933575" cy="249555"/>
                    </a:xfrm>
                    <a:prstGeom prst="rect">
                      <a:avLst/>
                    </a:prstGeom>
                    <a:noFill/>
                  </pic:spPr>
                </pic:pic>
              </a:graphicData>
            </a:graphic>
          </wp:anchor>
        </w:drawing>
      </w:r>
    </w:p>
    <w:p>
      <w:pPr>
        <w:ind w:left="4900"/>
        <w:spacing w:after="0"/>
        <w:rPr>
          <w:sz w:val="20"/>
          <w:szCs w:val="20"/>
          <w:color w:val="auto"/>
        </w:rPr>
      </w:pPr>
      <w:r>
        <w:rPr>
          <w:rFonts w:ascii="Arial" w:cs="Arial" w:eastAsia="Arial" w:hAnsi="Arial"/>
          <w:sz w:val="13"/>
          <w:szCs w:val="13"/>
          <w:b w:val="1"/>
          <w:bCs w:val="1"/>
          <w:color w:val="00482F"/>
        </w:rPr>
        <w:t>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wp:posOffset>
            </wp:positionH>
            <wp:positionV relativeFrom="paragraph">
              <wp:posOffset>551180</wp:posOffset>
            </wp:positionV>
            <wp:extent cx="5100320" cy="25736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00320" cy="2573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Kenneth T. McBride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Independent Director</w:t>
      </w:r>
    </w:p>
    <w:p>
      <w:pPr>
        <w:spacing w:after="0" w:line="105" w:lineRule="exact"/>
        <w:rPr>
          <w:sz w:val="20"/>
          <w:szCs w:val="20"/>
          <w:color w:val="auto"/>
        </w:rPr>
      </w:pPr>
    </w:p>
    <w:p>
      <w:pPr>
        <w:ind w:right="180"/>
        <w:spacing w:after="0" w:line="247" w:lineRule="auto"/>
        <w:rPr>
          <w:sz w:val="20"/>
          <w:szCs w:val="20"/>
          <w:color w:val="auto"/>
        </w:rPr>
      </w:pPr>
      <w:r>
        <w:rPr>
          <w:rFonts w:ascii="Arial" w:cs="Arial" w:eastAsia="Arial" w:hAnsi="Arial"/>
          <w:sz w:val="13"/>
          <w:szCs w:val="13"/>
          <w:color w:val="auto"/>
        </w:rPr>
        <w:t>Mr. McBride has been a member of our Board of Directors since April 2022. Mr. McBride was the Chief Executive Officer of Stamps.com, Inc. (formerly Nasdaq: STMP) (“Stamps.com”), an e-commerce and mailing and shipping software company, from 2001 until he decided to step down from the role in November 2021, Chairman of its board of directors from 2012 to October 2021, and Chief Financial Officer from 2000 to 2004. Earlier in his career, Mr. McBride worked as an Equity Research Analyst at Salomon Smith Barney, which was an investment banking firm, from 1997 to 1999. From August 2001 to October 2021, Mr. McBride was on the board of directors of Stamps.com. From October 2021 to February 2023, Mr. McBride was on the board of managers of Auctane Parent, LP (“Auctane”) (f/k/a Stamps Parent LP), the entity that acquired Stamps.com in October 2021. Mr. McBride was previously on the boards of directors of CafePress Inc. (formerly Nasdaq: PRSS), an online retailer of stock and user-customized on-demand products, from 2015 to November 2018 and LegalZoom.com, Inc. (Nasdaq: LZ), an online legal technology company, from 2012 to 2014. Mr. McBride received an M.S.E.E. and a B.S.E.E. in Electrical Engineering from Stanford University and an M.B.A. from the Graduate School of Business at Stanford University. Mr. McBride’s extensive experience as a public company CEO and CFO, his experience with service and technology companies, along with his experience as a board member of public companies, make him a valuable member of the Board.</w:t>
      </w:r>
    </w:p>
    <w:p>
      <w:pPr>
        <w:spacing w:after="0" w:line="2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OTHER PUBLIC BOARDS</w:t>
      </w:r>
    </w:p>
    <w:p>
      <w:pPr>
        <w:spacing w:after="0" w:line="116" w:lineRule="exact"/>
        <w:rPr>
          <w:sz w:val="20"/>
          <w:szCs w:val="20"/>
          <w:color w:val="auto"/>
        </w:rPr>
      </w:pPr>
    </w:p>
    <w:p>
      <w:pPr>
        <w:spacing w:after="0"/>
        <w:rPr>
          <w:sz w:val="20"/>
          <w:szCs w:val="20"/>
          <w:color w:val="auto"/>
        </w:rPr>
      </w:pPr>
      <w:r>
        <w:rPr>
          <w:rFonts w:ascii="Arial" w:cs="Arial" w:eastAsia="Arial" w:hAnsi="Arial"/>
          <w:sz w:val="13"/>
          <w:szCs w:val="13"/>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-974725</wp:posOffset>
            </wp:positionH>
            <wp:positionV relativeFrom="paragraph">
              <wp:posOffset>1663700</wp:posOffset>
            </wp:positionV>
            <wp:extent cx="4756785" cy="6667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756785" cy="666750"/>
                    </a:xfrm>
                    <a:prstGeom prst="rect">
                      <a:avLst/>
                    </a:prstGeom>
                    <a:noFill/>
                  </pic:spPr>
                </pic:pic>
              </a:graphicData>
            </a:graphic>
          </wp:anchor>
        </w:drawing>
        <w:drawing>
          <wp:anchor simplePos="0" relativeHeight="251657728" behindDoc="1" locked="0" layoutInCell="0" allowOverlap="1">
            <wp:simplePos x="0" y="0"/>
            <wp:positionH relativeFrom="column">
              <wp:posOffset>-2180590</wp:posOffset>
            </wp:positionH>
            <wp:positionV relativeFrom="paragraph">
              <wp:posOffset>2566035</wp:posOffset>
            </wp:positionV>
            <wp:extent cx="7161530" cy="2895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1530" cy="289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00" w:space="720"/>
            <w:col w:w="7800"/>
          </w:cols>
          <w:pgMar w:left="320" w:top="17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1060"/>
        <w:spacing w:after="0"/>
        <w:rPr>
          <w:sz w:val="20"/>
          <w:szCs w:val="20"/>
          <w:color w:val="auto"/>
        </w:rPr>
      </w:pPr>
      <w:r>
        <w:rPr>
          <w:rFonts w:ascii="Arial" w:cs="Arial" w:eastAsia="Arial" w:hAnsi="Arial"/>
          <w:sz w:val="13"/>
          <w:szCs w:val="13"/>
          <w:b w:val="1"/>
          <w:bCs w:val="1"/>
          <w:color w:val="auto"/>
        </w:rPr>
        <w:t>15</w:t>
      </w:r>
    </w:p>
    <w:p>
      <w:pPr>
        <w:sectPr>
          <w:pgSz w:w="11900" w:h="16838" w:orient="portrait"/>
          <w:cols w:equalWidth="0" w:num="1">
            <w:col w:w="11220"/>
          </w:cols>
          <w:pgMar w:left="320" w:top="171" w:right="359" w:bottom="1440" w:gutter="0" w:footer="0" w:header="0"/>
          <w:type w:val="continuous"/>
        </w:sectPr>
      </w:pPr>
    </w:p>
    <w:bookmarkStart w:id="20" w:name="page21"/>
    <w:bookmarkEnd w:id="20"/>
    <w:p>
      <w:pPr>
        <w:ind w:left="300"/>
        <w:spacing w:after="0"/>
        <w:rPr>
          <w:sz w:val="20"/>
          <w:szCs w:val="20"/>
          <w:color w:val="auto"/>
        </w:rPr>
      </w:pPr>
      <w:r>
        <w:rPr>
          <w:rFonts w:ascii="Arial" w:cs="Arial" w:eastAsia="Arial" w:hAnsi="Arial"/>
          <w:sz w:val="13"/>
          <w:szCs w:val="13"/>
          <w:b w:val="1"/>
          <w:bCs w:val="1"/>
          <w:color w:val="00482F"/>
        </w:rPr>
        <w:drawing>
          <wp:anchor simplePos="0" relativeHeight="251657728" behindDoc="1" locked="0" layoutInCell="0" allowOverlap="1">
            <wp:simplePos x="0" y="0"/>
            <wp:positionH relativeFrom="page">
              <wp:posOffset>328295</wp:posOffset>
            </wp:positionH>
            <wp:positionV relativeFrom="page">
              <wp:posOffset>102235</wp:posOffset>
            </wp:positionV>
            <wp:extent cx="1933575" cy="147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933575" cy="147955"/>
                    </a:xfrm>
                    <a:prstGeom prst="rect">
                      <a:avLst/>
                    </a:prstGeom>
                    <a:noFill/>
                  </pic:spPr>
                </pic:pic>
              </a:graphicData>
            </a:graphic>
          </wp:anchor>
        </w:drawing>
        <w:t>BOARD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34"/>
          <w:szCs w:val="34"/>
          <w:b w:val="1"/>
          <w:bCs w:val="1"/>
          <w:color w:val="auto"/>
        </w:rPr>
        <w:t>Board Matters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Nominations and Appointments</w:t>
      </w:r>
    </w:p>
    <w:p>
      <w:pPr>
        <w:spacing w:after="0" w:line="192" w:lineRule="exact"/>
        <w:rPr>
          <w:sz w:val="20"/>
          <w:szCs w:val="20"/>
          <w:color w:val="auto"/>
        </w:rPr>
      </w:pPr>
    </w:p>
    <w:p>
      <w:pPr>
        <w:spacing w:after="0" w:line="281" w:lineRule="auto"/>
        <w:rPr>
          <w:sz w:val="20"/>
          <w:szCs w:val="20"/>
          <w:color w:val="auto"/>
        </w:rPr>
      </w:pPr>
      <w:r>
        <w:rPr>
          <w:rFonts w:ascii="Arial" w:cs="Arial" w:eastAsia="Arial" w:hAnsi="Arial"/>
          <w:sz w:val="12"/>
          <w:szCs w:val="12"/>
          <w:color w:val="auto"/>
        </w:rPr>
        <w:t>Our Board seeks members from diverse professional and personal backgrounds who combine a broad spectrum of experience and expertise with a reputation for integrity. In assessing director candidates to fulfill the foregoing, our Board considers those factors it deems appropriate in the context of the needs of the Company and the overall composition of our Board. These factors include the individual’s age, skills, diversity of experience and other background (including gender and race/ethnicity), demonstrated leadership, the ability to exercise sound judgment and, as applicable, independence. Our Board selects nominees for election as directors at each annual meeting of stockholders. Our Board evaluates candidates to fill any vacancies during the year on a similar basis.</w:t>
      </w:r>
    </w:p>
    <w:p>
      <w:pPr>
        <w:spacing w:after="0" w:line="128" w:lineRule="exact"/>
        <w:rPr>
          <w:sz w:val="20"/>
          <w:szCs w:val="20"/>
          <w:color w:val="auto"/>
        </w:rPr>
      </w:pPr>
    </w:p>
    <w:p>
      <w:pPr>
        <w:ind w:right="180"/>
        <w:spacing w:after="0" w:line="283" w:lineRule="auto"/>
        <w:rPr>
          <w:sz w:val="20"/>
          <w:szCs w:val="20"/>
          <w:color w:val="auto"/>
        </w:rPr>
      </w:pPr>
      <w:r>
        <w:rPr>
          <w:rFonts w:ascii="Arial" w:cs="Arial" w:eastAsia="Arial" w:hAnsi="Arial"/>
          <w:sz w:val="13"/>
          <w:szCs w:val="13"/>
          <w:color w:val="auto"/>
        </w:rPr>
        <w:t>Our Board considers candidates from any reasonable source, including recommendations from our existing directors, management, stockholders and any third-party search firms engaged, and does not evaluate candidates differently based on the source of the recommendation.</w:t>
      </w:r>
    </w:p>
    <w:p>
      <w:pPr>
        <w:spacing w:after="0" w:line="125" w:lineRule="exact"/>
        <w:rPr>
          <w:sz w:val="20"/>
          <w:szCs w:val="20"/>
          <w:color w:val="auto"/>
        </w:rPr>
      </w:pPr>
    </w:p>
    <w:p>
      <w:pPr>
        <w:ind w:right="420"/>
        <w:spacing w:after="0" w:line="283" w:lineRule="auto"/>
        <w:rPr>
          <w:sz w:val="20"/>
          <w:szCs w:val="20"/>
          <w:color w:val="auto"/>
        </w:rPr>
      </w:pPr>
      <w:r>
        <w:rPr>
          <w:rFonts w:ascii="Arial" w:cs="Arial" w:eastAsia="Arial" w:hAnsi="Arial"/>
          <w:sz w:val="13"/>
          <w:szCs w:val="13"/>
          <w:color w:val="auto"/>
        </w:rPr>
        <w:t>Stockholders may recommend director candidates for consideration by our Board by giving written notice of the recommendation to the Corporate Secretary, mailed to: 4150 N. Drinkwater Blvd., Suite 200, Scottsdale, Arizona 85251.</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Qualifications—A Balanced, Skilled Board Serving the Long-Term Interests of the Company and Its Stockholders</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color w:val="auto"/>
        </w:rPr>
        <w:t>Our Board believes that all Board members should possess all of the following personal characteristics:</w:t>
      </w:r>
    </w:p>
    <w:p>
      <w:pPr>
        <w:spacing w:after="0" w:line="169" w:lineRule="exact"/>
        <w:rPr>
          <w:sz w:val="20"/>
          <w:szCs w:val="20"/>
          <w:color w:val="auto"/>
        </w:rPr>
      </w:pPr>
    </w:p>
    <w:p>
      <w:pPr>
        <w:ind w:left="260" w:hanging="128"/>
        <w:spacing w:after="0"/>
        <w:tabs>
          <w:tab w:leader="none" w:pos="2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Integrity: Directors should demonstrate high ethical standards and integrity in their personal and professional dealings;</w:t>
      </w:r>
    </w:p>
    <w:p>
      <w:pPr>
        <w:spacing w:after="0" w:line="168" w:lineRule="exact"/>
        <w:rPr>
          <w:rFonts w:ascii="Arial" w:cs="Arial" w:eastAsia="Arial" w:hAnsi="Arial"/>
          <w:sz w:val="13"/>
          <w:szCs w:val="13"/>
          <w:color w:val="auto"/>
        </w:rPr>
      </w:pPr>
    </w:p>
    <w:p>
      <w:pPr>
        <w:ind w:left="260" w:hanging="128"/>
        <w:spacing w:after="0"/>
        <w:tabs>
          <w:tab w:leader="none" w:pos="2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Accountability: Directors should be accountable for their decisions as directors;</w:t>
      </w:r>
    </w:p>
    <w:p>
      <w:pPr>
        <w:spacing w:after="0" w:line="179" w:lineRule="exact"/>
        <w:rPr>
          <w:rFonts w:ascii="Arial" w:cs="Arial" w:eastAsia="Arial" w:hAnsi="Arial"/>
          <w:sz w:val="13"/>
          <w:szCs w:val="13"/>
          <w:color w:val="auto"/>
        </w:rPr>
      </w:pPr>
    </w:p>
    <w:p>
      <w:pPr>
        <w:ind w:left="260" w:hanging="128"/>
        <w:spacing w:after="0"/>
        <w:tabs>
          <w:tab w:leader="none" w:pos="2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Judgment: Directors should possess the ability to provide wise and thoughtful counsel on a broad range of issues;</w:t>
      </w:r>
    </w:p>
    <w:p>
      <w:pPr>
        <w:spacing w:after="0" w:line="168" w:lineRule="exact"/>
        <w:rPr>
          <w:rFonts w:ascii="Arial" w:cs="Arial" w:eastAsia="Arial" w:hAnsi="Arial"/>
          <w:sz w:val="13"/>
          <w:szCs w:val="13"/>
          <w:color w:val="auto"/>
        </w:rPr>
      </w:pPr>
    </w:p>
    <w:p>
      <w:pPr>
        <w:ind w:left="260" w:hanging="128"/>
        <w:spacing w:after="0"/>
        <w:tabs>
          <w:tab w:leader="none" w:pos="2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Responsibility: Directors should interact with each other in a manner which encourages responsible, open, challenging and inspired discussion; and</w:t>
      </w:r>
    </w:p>
    <w:p>
      <w:pPr>
        <w:spacing w:after="0" w:line="168" w:lineRule="exact"/>
        <w:rPr>
          <w:rFonts w:ascii="Arial" w:cs="Arial" w:eastAsia="Arial" w:hAnsi="Arial"/>
          <w:sz w:val="13"/>
          <w:szCs w:val="13"/>
          <w:color w:val="auto"/>
        </w:rPr>
      </w:pPr>
    </w:p>
    <w:p>
      <w:pPr>
        <w:ind w:left="260" w:hanging="128"/>
        <w:spacing w:after="0"/>
        <w:tabs>
          <w:tab w:leader="none" w:pos="260" w:val="left"/>
        </w:tabs>
        <w:numPr>
          <w:ilvl w:val="0"/>
          <w:numId w:val="10"/>
        </w:numPr>
        <w:rPr>
          <w:rFonts w:ascii="Arial" w:cs="Arial" w:eastAsia="Arial" w:hAnsi="Arial"/>
          <w:sz w:val="13"/>
          <w:szCs w:val="13"/>
          <w:color w:val="auto"/>
        </w:rPr>
      </w:pPr>
      <w:r>
        <w:rPr>
          <w:rFonts w:ascii="Arial" w:cs="Arial" w:eastAsia="Arial" w:hAnsi="Arial"/>
          <w:sz w:val="13"/>
          <w:szCs w:val="13"/>
          <w:color w:val="auto"/>
        </w:rPr>
        <w:t>High Performance Standards: Directors should have a history of achievements that reflects high standards for themselves and others.</w:t>
      </w:r>
    </w:p>
    <w:p>
      <w:pPr>
        <w:spacing w:after="0" w:line="179"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The Company believes that each of the directors nominated has a reputation for strong character and integrity and that our directors have worked cohesively and constructively with each other and with management of the Company. Further, the directors have each demonstrated business acumen and an ability to exercise sound judgment.</w:t>
      </w:r>
    </w:p>
    <w:p>
      <w:pPr>
        <w:spacing w:after="0" w:line="146" w:lineRule="exact"/>
        <w:rPr>
          <w:sz w:val="20"/>
          <w:szCs w:val="20"/>
          <w:color w:val="auto"/>
        </w:rPr>
      </w:pPr>
    </w:p>
    <w:p>
      <w:pPr>
        <w:spacing w:after="0"/>
        <w:rPr>
          <w:sz w:val="20"/>
          <w:szCs w:val="20"/>
          <w:color w:val="auto"/>
        </w:rPr>
      </w:pPr>
      <w:r>
        <w:rPr>
          <w:rFonts w:ascii="Arial" w:cs="Arial" w:eastAsia="Arial" w:hAnsi="Arial"/>
          <w:sz w:val="12"/>
          <w:szCs w:val="12"/>
          <w:color w:val="auto"/>
        </w:rPr>
        <w:t>Our Board also reflects a broad array of knowledge, experience, skills, backgrounds and other attributes, including diversity, as described under “Proxy Summary—A Highly Diverse and Skilled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606425</wp:posOffset>
            </wp:positionV>
            <wp:extent cx="7161530" cy="28956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1530" cy="289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 xml:space="preserve">16 </w:t>
      </w:r>
      <w:r>
        <w:rPr>
          <w:rFonts w:ascii="Arial" w:cs="Arial" w:eastAsia="Arial" w:hAnsi="Arial"/>
          <w:sz w:val="13"/>
          <w:szCs w:val="13"/>
          <w:color w:val="auto"/>
        </w:rPr>
        <w:t>PROXY STATEMENT 2025</w:t>
      </w:r>
    </w:p>
    <w:p>
      <w:pPr>
        <w:sectPr>
          <w:pgSz w:w="11900" w:h="16838" w:orient="portrait"/>
          <w:cols w:equalWidth="0" w:num="1">
            <w:col w:w="11280"/>
          </w:cols>
          <w:pgMar w:left="300" w:top="171" w:right="319" w:bottom="1440" w:gutter="0" w:footer="0" w:header="0"/>
        </w:sectPr>
      </w:pPr>
    </w:p>
    <w:bookmarkStart w:id="21" w:name="page22"/>
    <w:bookmarkEnd w:id="21"/>
    <w:p>
      <w:pPr>
        <w:ind w:left="8120"/>
        <w:spacing w:after="0"/>
        <w:rPr>
          <w:sz w:val="20"/>
          <w:szCs w:val="20"/>
          <w:color w:val="auto"/>
        </w:rPr>
      </w:pPr>
      <w:r>
        <w:rPr>
          <w:rFonts w:ascii="Arial" w:cs="Arial" w:eastAsia="Arial" w:hAnsi="Arial"/>
          <w:sz w:val="13"/>
          <w:szCs w:val="13"/>
          <w:b w:val="1"/>
          <w:bCs w:val="1"/>
          <w:color w:val="00482F"/>
        </w:rPr>
        <w:drawing>
          <wp:anchor simplePos="0" relativeHeight="251657728" behindDoc="1" locked="0" layoutInCell="0" allowOverlap="1">
            <wp:simplePos x="0" y="0"/>
            <wp:positionH relativeFrom="page">
              <wp:posOffset>5293995</wp:posOffset>
            </wp:positionH>
            <wp:positionV relativeFrom="page">
              <wp:posOffset>102235</wp:posOffset>
            </wp:positionV>
            <wp:extent cx="1933575" cy="147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933575" cy="147955"/>
                    </a:xfrm>
                    <a:prstGeom prst="rect">
                      <a:avLst/>
                    </a:prstGeom>
                    <a:noFill/>
                  </pic:spPr>
                </pic:pic>
              </a:graphicData>
            </a:graphic>
          </wp:anchor>
        </w:drawing>
        <w:t>BOARD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Director Independence and Impact of Controlled Company Status</w:t>
      </w:r>
    </w:p>
    <w:p>
      <w:pPr>
        <w:spacing w:after="0" w:line="185" w:lineRule="exact"/>
        <w:rPr>
          <w:sz w:val="20"/>
          <w:szCs w:val="20"/>
          <w:color w:val="auto"/>
        </w:rPr>
      </w:pPr>
    </w:p>
    <w:p>
      <w:pPr>
        <w:spacing w:after="0" w:line="250" w:lineRule="auto"/>
        <w:rPr>
          <w:sz w:val="20"/>
          <w:szCs w:val="20"/>
          <w:color w:val="auto"/>
        </w:rPr>
      </w:pPr>
      <w:r>
        <w:rPr>
          <w:rFonts w:ascii="Arial" w:cs="Arial" w:eastAsia="Arial" w:hAnsi="Arial"/>
          <w:sz w:val="13"/>
          <w:szCs w:val="13"/>
          <w:color w:val="auto"/>
        </w:rPr>
        <w:t>Our shares of Class A common stock are listed on the Nasdaq Global Market. We are a “controlled company” under the Nasdaq Listing Rules because Tim Chen, our Chairman and Chief Executive Officer, and his affiliated trusts control a majority of the voting power of our outstanding capital stock. Given our Board’s size, nominating and governance matters are addressed by the full Board instead of by a select committee. However, we have an Audit Committee composed solely of independent directors as required by Nasdaq Listing Rules. Furthermore, our Board has also determined to have a Compensation Committee (although we are not required to have one) also composed of independent directors. If at any time we cease to be a “controlled company” under the Nasdaq Listing Rules, our Board will take all action necessary to comply with the applicable rules of the Nasdaq stock exchange, including establishing certain committees composed entirely of independent directors, subject to a permitted “phase-in” period.</w:t>
      </w:r>
    </w:p>
    <w:p>
      <w:pPr>
        <w:spacing w:after="0" w:line="148" w:lineRule="exact"/>
        <w:rPr>
          <w:sz w:val="20"/>
          <w:szCs w:val="20"/>
          <w:color w:val="auto"/>
        </w:rPr>
      </w:pPr>
    </w:p>
    <w:p>
      <w:pPr>
        <w:ind w:right="120"/>
        <w:spacing w:after="0" w:line="253" w:lineRule="auto"/>
        <w:rPr>
          <w:sz w:val="20"/>
          <w:szCs w:val="20"/>
          <w:color w:val="auto"/>
        </w:rPr>
      </w:pPr>
      <w:r>
        <w:rPr>
          <w:rFonts w:ascii="Arial" w:cs="Arial" w:eastAsia="Arial" w:hAnsi="Arial"/>
          <w:sz w:val="13"/>
          <w:szCs w:val="13"/>
          <w:color w:val="auto"/>
        </w:rPr>
        <w:t>Our Board recently undertook its annual review of director independence in accordance with the applicable Nasdaq Listing Rules. The independence rules include a series of objective tests, including that the director is not employed by us and has not engaged in various types of business dealings with us. In addition, our Board must make a determination as to each independent director that no relationship exists which, in the opinion of our Board, would interfere with the exercise of independent judgment in carrying out the responsibilities of a director. In making these determinations, our Board reviewed and discussed information provided by the directors regarding each director’s business and personal activities as they may relate to us and our management.</w:t>
      </w:r>
    </w:p>
    <w:p>
      <w:pPr>
        <w:spacing w:after="0" w:line="155" w:lineRule="exact"/>
        <w:rPr>
          <w:sz w:val="20"/>
          <w:szCs w:val="20"/>
          <w:color w:val="auto"/>
        </w:rPr>
      </w:pPr>
    </w:p>
    <w:p>
      <w:pPr>
        <w:ind w:right="380"/>
        <w:spacing w:after="0" w:line="268" w:lineRule="auto"/>
        <w:rPr>
          <w:sz w:val="20"/>
          <w:szCs w:val="20"/>
          <w:color w:val="auto"/>
        </w:rPr>
      </w:pPr>
      <w:r>
        <w:rPr>
          <w:rFonts w:ascii="Arial" w:cs="Arial" w:eastAsia="Arial" w:hAnsi="Arial"/>
          <w:sz w:val="12"/>
          <w:szCs w:val="12"/>
          <w:color w:val="auto"/>
        </w:rPr>
        <w:t>Our Board has determined that each of Mses. Ceran and Laube, and Mr. McBride are “independent directors” as such term is defined by the applicable Nasdaq Listing Rules. In addition, after considering all of the relevant facts and circumstances, our Board has determined that each of: (1) Mses. Ceran and Laube, and Mr. McBride for purposes of service on our Audit Committee, and</w:t>
      </w:r>
    </w:p>
    <w:p>
      <w:pPr>
        <w:spacing w:after="0" w:line="1" w:lineRule="exact"/>
        <w:rPr>
          <w:sz w:val="20"/>
          <w:szCs w:val="20"/>
          <w:color w:val="auto"/>
        </w:rPr>
      </w:pPr>
    </w:p>
    <w:p>
      <w:pPr>
        <w:ind w:right="100" w:firstLine="5"/>
        <w:spacing w:after="0" w:line="264" w:lineRule="auto"/>
        <w:tabs>
          <w:tab w:leader="none" w:pos="191" w:val="left"/>
        </w:tabs>
        <w:numPr>
          <w:ilvl w:val="0"/>
          <w:numId w:val="11"/>
        </w:numPr>
        <w:rPr>
          <w:rFonts w:ascii="Arial" w:cs="Arial" w:eastAsia="Arial" w:hAnsi="Arial"/>
          <w:sz w:val="13"/>
          <w:szCs w:val="13"/>
          <w:color w:val="auto"/>
        </w:rPr>
      </w:pPr>
      <w:r>
        <w:rPr>
          <w:rFonts w:ascii="Arial" w:cs="Arial" w:eastAsia="Arial" w:hAnsi="Arial"/>
          <w:sz w:val="13"/>
          <w:szCs w:val="13"/>
          <w:color w:val="auto"/>
        </w:rPr>
        <w:t>Ms. Laube and Mr. McBride, for purposes of service on our Compensation Committee, qualifies as “independent” in accordance with the additional independence rules established by the SEC and Nasdaq for such committees.</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Family Relationships</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color w:val="auto"/>
        </w:rPr>
        <w:t>There are no family relationships among any of our executive officers or directors.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Oversight by Our Board of Directors</w:t>
      </w:r>
    </w:p>
    <w:p>
      <w:pPr>
        <w:spacing w:after="0" w:line="181" w:lineRule="exact"/>
        <w:rPr>
          <w:sz w:val="20"/>
          <w:szCs w:val="20"/>
          <w:color w:val="auto"/>
        </w:rPr>
      </w:pPr>
    </w:p>
    <w:p>
      <w:pPr>
        <w:spacing w:after="0" w:line="251" w:lineRule="auto"/>
        <w:rPr>
          <w:sz w:val="20"/>
          <w:szCs w:val="20"/>
          <w:color w:val="auto"/>
        </w:rPr>
      </w:pPr>
      <w:r>
        <w:rPr>
          <w:rFonts w:ascii="Arial" w:cs="Arial" w:eastAsia="Arial" w:hAnsi="Arial"/>
          <w:sz w:val="13"/>
          <w:szCs w:val="13"/>
          <w:color w:val="auto"/>
        </w:rPr>
        <w:t>Our Board has general oversight responsibility for the business and affairs of the Company. The directors, in exercising their duties, represent and act on behalf of the stockholders. Our Board serves as the ultimate decision-making body of the Company, except for those matters reserved to (or shared with) our stockholders. Our Board is responsible for overseeing management, which is, in turn, responsible for the day-to-day operations of the Company. Although our Board does not have responsibility for our day-to-day management, it stays regularly informed about our business and provides guidance to management through periodic meetings and other informal communications. Our Board’s primary areas of focus include strategy, finance, leadership development, risk management, along with ESG, as well as evaluating management and guiding changes as circumstances warrant. As described below, significant additional responsibilities are delegated to committees, which report to our Board on their activities and actions on a regular basis. The committees include our Audit Committee and Compensation Committee. Our Board and its committees perform an annual self-performance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180975</wp:posOffset>
            </wp:positionV>
            <wp:extent cx="7161530" cy="2895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1530" cy="289560"/>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ind w:left="11080"/>
        <w:spacing w:after="0"/>
        <w:rPr>
          <w:sz w:val="20"/>
          <w:szCs w:val="20"/>
          <w:color w:val="auto"/>
        </w:rPr>
      </w:pPr>
      <w:r>
        <w:rPr>
          <w:rFonts w:ascii="Arial" w:cs="Arial" w:eastAsia="Arial" w:hAnsi="Arial"/>
          <w:sz w:val="13"/>
          <w:szCs w:val="13"/>
          <w:b w:val="1"/>
          <w:bCs w:val="1"/>
          <w:color w:val="auto"/>
        </w:rPr>
        <w:t>17</w:t>
      </w:r>
    </w:p>
    <w:p>
      <w:pPr>
        <w:sectPr>
          <w:pgSz w:w="11900" w:h="16838" w:orient="portrait"/>
          <w:cols w:equalWidth="0" w:num="1">
            <w:col w:w="11280"/>
          </w:cols>
          <w:pgMar w:left="300" w:top="171" w:right="319" w:bottom="1440" w:gutter="0" w:footer="0" w:header="0"/>
        </w:sectPr>
      </w:pPr>
    </w:p>
    <w:bookmarkStart w:id="22" w:name="page23"/>
    <w:bookmarkEnd w:id="22"/>
    <w:p>
      <w:pPr>
        <w:ind w:left="300"/>
        <w:spacing w:after="0"/>
        <w:rPr>
          <w:sz w:val="20"/>
          <w:szCs w:val="20"/>
          <w:color w:val="auto"/>
        </w:rPr>
      </w:pPr>
      <w:r>
        <w:rPr>
          <w:rFonts w:ascii="Arial" w:cs="Arial" w:eastAsia="Arial" w:hAnsi="Arial"/>
          <w:sz w:val="13"/>
          <w:szCs w:val="13"/>
          <w:b w:val="1"/>
          <w:bCs w:val="1"/>
          <w:color w:val="00482F"/>
        </w:rPr>
        <w:drawing>
          <wp:anchor simplePos="0" relativeHeight="251657728" behindDoc="1" locked="0" layoutInCell="0" allowOverlap="1">
            <wp:simplePos x="0" y="0"/>
            <wp:positionH relativeFrom="page">
              <wp:posOffset>328295</wp:posOffset>
            </wp:positionH>
            <wp:positionV relativeFrom="page">
              <wp:posOffset>102235</wp:posOffset>
            </wp:positionV>
            <wp:extent cx="1933575" cy="147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933575" cy="147955"/>
                    </a:xfrm>
                    <a:prstGeom prst="rect">
                      <a:avLst/>
                    </a:prstGeom>
                    <a:noFill/>
                  </pic:spPr>
                </pic:pic>
              </a:graphicData>
            </a:graphic>
          </wp:anchor>
        </w:drawing>
        <w:t>BOARD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700"/>
        <w:spacing w:after="0" w:line="288" w:lineRule="auto"/>
        <w:rPr>
          <w:sz w:val="20"/>
          <w:szCs w:val="20"/>
          <w:color w:val="auto"/>
        </w:rPr>
      </w:pPr>
      <w:r>
        <w:rPr>
          <w:rFonts w:ascii="Arial" w:cs="Arial" w:eastAsia="Arial" w:hAnsi="Arial"/>
          <w:sz w:val="20"/>
          <w:szCs w:val="20"/>
          <w:b w:val="1"/>
          <w:bCs w:val="1"/>
          <w:color w:val="auto"/>
        </w:rPr>
        <w:t>Board Leadership Structure—Balanced Leadership Among Chief Executive Officer and Empowered Independent Directors</w:t>
      </w:r>
    </w:p>
    <w:p>
      <w:pPr>
        <w:spacing w:after="0" w:line="104" w:lineRule="exact"/>
        <w:rPr>
          <w:sz w:val="20"/>
          <w:szCs w:val="20"/>
          <w:color w:val="auto"/>
        </w:rPr>
      </w:pPr>
    </w:p>
    <w:p>
      <w:pPr>
        <w:ind w:right="100"/>
        <w:spacing w:after="0" w:line="249" w:lineRule="auto"/>
        <w:rPr>
          <w:sz w:val="20"/>
          <w:szCs w:val="20"/>
          <w:color w:val="auto"/>
        </w:rPr>
      </w:pPr>
      <w:r>
        <w:rPr>
          <w:rFonts w:ascii="Arial" w:cs="Arial" w:eastAsia="Arial" w:hAnsi="Arial"/>
          <w:sz w:val="13"/>
          <w:szCs w:val="13"/>
          <w:color w:val="auto"/>
        </w:rPr>
        <w:t>Our Board operates under the leadership of our Chairman and Chief Executive Officer, Tim Chen. Our Board believes that combining the roles of Chairman and Chief Executive Officer at this time fosters accountability, effective decision-making and alignment between the Board and our senior management. Our Board believes that Mr. Chen, as a Company executive, co-founder and our controlling stockholder, is best suited to serve as Chairman and guide the strategic priorities of the Company in light of his substantial experience, and his in-depth knowledge of our Company and industry. In addition, our Board believes Mr. Chen is uniquely well-positioned to leverage the in-depth knowledge and perspective gained in his executive capacity to lead the Board and to utilize these powers effectively to best serve the Company and our stockholders.</w:t>
      </w:r>
    </w:p>
    <w:p>
      <w:pPr>
        <w:spacing w:after="0" w:line="158" w:lineRule="exact"/>
        <w:rPr>
          <w:sz w:val="20"/>
          <w:szCs w:val="20"/>
          <w:color w:val="auto"/>
        </w:rPr>
      </w:pPr>
    </w:p>
    <w:p>
      <w:pPr>
        <w:spacing w:after="0" w:line="261" w:lineRule="auto"/>
        <w:rPr>
          <w:sz w:val="20"/>
          <w:szCs w:val="20"/>
          <w:color w:val="auto"/>
        </w:rPr>
      </w:pPr>
      <w:r>
        <w:rPr>
          <w:rFonts w:ascii="Arial" w:cs="Arial" w:eastAsia="Arial" w:hAnsi="Arial"/>
          <w:sz w:val="13"/>
          <w:szCs w:val="13"/>
          <w:color w:val="auto"/>
        </w:rPr>
        <w:t>Our Board has carefully considered its leadership structure and believes that the Company and its stockholders are best served by maintaining the flexibility to have any director serve as Chairman and periodically evaluate whether to have an independent lead director. Our Board recognizes the increasing utilization of non-executive chairpersons and lead directors in many public companies. However, our Board believes its current leadership structure is most appropriate for us as a controlled company and best serves the stockholders of the Company.</w:t>
      </w:r>
    </w:p>
    <w:p>
      <w:pPr>
        <w:spacing w:after="0" w:line="138" w:lineRule="exact"/>
        <w:rPr>
          <w:sz w:val="20"/>
          <w:szCs w:val="20"/>
          <w:color w:val="auto"/>
        </w:rPr>
      </w:pPr>
    </w:p>
    <w:p>
      <w:pPr>
        <w:ind w:right="160"/>
        <w:spacing w:after="0" w:line="253" w:lineRule="auto"/>
        <w:rPr>
          <w:sz w:val="20"/>
          <w:szCs w:val="20"/>
          <w:color w:val="auto"/>
        </w:rPr>
      </w:pPr>
      <w:r>
        <w:rPr>
          <w:rFonts w:ascii="Arial" w:cs="Arial" w:eastAsia="Arial" w:hAnsi="Arial"/>
          <w:sz w:val="13"/>
          <w:szCs w:val="13"/>
          <w:color w:val="auto"/>
        </w:rPr>
        <w:t>There is no “one size fits all” approach to ensuring independent leadership. Our Board believes that its three (3) independent directors are empowered, deeply engaged and provide significant independent leadership and direction given their executive and Board experience. The independent directors are members of our Audit and Compensation Committees, which collectively oversee critical matters of the Company. When our non-management or independent directors meet in executive sessions, our Audit Committee chair generally presides over such sessions. The independent directors further have access to independent advisors as they deem appropriate.</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Meetings of our Board and Committees</w:t>
      </w:r>
    </w:p>
    <w:p>
      <w:pPr>
        <w:spacing w:after="0" w:line="192" w:lineRule="exact"/>
        <w:rPr>
          <w:sz w:val="20"/>
          <w:szCs w:val="20"/>
          <w:color w:val="auto"/>
        </w:rPr>
      </w:pPr>
    </w:p>
    <w:p>
      <w:pPr>
        <w:ind w:right="160"/>
        <w:spacing w:after="0" w:line="261" w:lineRule="auto"/>
        <w:rPr>
          <w:sz w:val="20"/>
          <w:szCs w:val="20"/>
          <w:color w:val="auto"/>
        </w:rPr>
      </w:pPr>
      <w:r>
        <w:rPr>
          <w:rFonts w:ascii="Arial" w:cs="Arial" w:eastAsia="Arial" w:hAnsi="Arial"/>
          <w:sz w:val="13"/>
          <w:szCs w:val="13"/>
          <w:color w:val="auto"/>
        </w:rPr>
        <w:t>Our Board and committees meet throughout the year at regularly scheduled meetings and informational sessions, and also hold special meetings and act by written consent as appropriate. The non-management directors hold executive sessions to meet without management present, generally at regularly scheduled Board meetings as well as other times that such directors deem necessary or appropriate. The independent directors meet in executive session at least once per year.</w:t>
      </w:r>
    </w:p>
    <w:p>
      <w:pPr>
        <w:spacing w:after="0" w:line="138" w:lineRule="exact"/>
        <w:rPr>
          <w:sz w:val="20"/>
          <w:szCs w:val="20"/>
          <w:color w:val="auto"/>
        </w:rPr>
      </w:pPr>
    </w:p>
    <w:p>
      <w:pPr>
        <w:ind w:right="60"/>
        <w:spacing w:after="0" w:line="266" w:lineRule="auto"/>
        <w:rPr>
          <w:sz w:val="20"/>
          <w:szCs w:val="20"/>
          <w:color w:val="auto"/>
        </w:rPr>
      </w:pPr>
      <w:r>
        <w:rPr>
          <w:rFonts w:ascii="Arial" w:cs="Arial" w:eastAsia="Arial" w:hAnsi="Arial"/>
          <w:sz w:val="13"/>
          <w:szCs w:val="13"/>
          <w:color w:val="auto"/>
        </w:rPr>
        <w:t>Directors are expected to attend the annual meeting of stockholders, Board meetings and meetings of committees on which they serve. We permit participation by telephone or videoconference, which is deemed attendance for all meetings.</w:t>
      </w:r>
    </w:p>
    <w:p>
      <w:pPr>
        <w:spacing w:after="0" w:line="146" w:lineRule="exact"/>
        <w:rPr>
          <w:sz w:val="20"/>
          <w:szCs w:val="20"/>
          <w:color w:val="auto"/>
        </w:rPr>
      </w:pPr>
    </w:p>
    <w:p>
      <w:pPr>
        <w:ind w:right="20"/>
        <w:spacing w:after="0" w:line="266" w:lineRule="auto"/>
        <w:rPr>
          <w:sz w:val="20"/>
          <w:szCs w:val="20"/>
          <w:color w:val="auto"/>
        </w:rPr>
      </w:pPr>
      <w:r>
        <w:rPr>
          <w:rFonts w:ascii="Arial" w:cs="Arial" w:eastAsia="Arial" w:hAnsi="Arial"/>
          <w:sz w:val="13"/>
          <w:szCs w:val="13"/>
          <w:color w:val="auto"/>
        </w:rPr>
        <w:t>In 2024, our Board met four (4) times and our committees met an aggregate of eight (8) times. All directors attended 75% or more of the Board’s meetings and the meetings of the committees on which they served held during the period in which they 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584200</wp:posOffset>
            </wp:positionV>
            <wp:extent cx="7161530" cy="2895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1530" cy="289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 xml:space="preserve">18 </w:t>
      </w:r>
      <w:r>
        <w:rPr>
          <w:rFonts w:ascii="Arial" w:cs="Arial" w:eastAsia="Arial" w:hAnsi="Arial"/>
          <w:sz w:val="13"/>
          <w:szCs w:val="13"/>
          <w:color w:val="auto"/>
        </w:rPr>
        <w:t>PROXY STATEMENT 2025</w:t>
      </w:r>
    </w:p>
    <w:p>
      <w:pPr>
        <w:sectPr>
          <w:pgSz w:w="11900" w:h="16838" w:orient="portrait"/>
          <w:cols w:equalWidth="0" w:num="1">
            <w:col w:w="11280"/>
          </w:cols>
          <w:pgMar w:left="300" w:top="171" w:right="319" w:bottom="1440" w:gutter="0" w:footer="0" w:header="0"/>
        </w:sectPr>
      </w:pPr>
    </w:p>
    <w:bookmarkStart w:id="23" w:name="page24"/>
    <w:bookmarkEnd w:id="23"/>
    <w:p>
      <w:pPr>
        <w:ind w:left="8120"/>
        <w:spacing w:after="0"/>
        <w:rPr>
          <w:sz w:val="20"/>
          <w:szCs w:val="20"/>
          <w:color w:val="auto"/>
        </w:rPr>
      </w:pPr>
      <w:r>
        <w:rPr>
          <w:rFonts w:ascii="Arial" w:cs="Arial" w:eastAsia="Arial" w:hAnsi="Arial"/>
          <w:sz w:val="13"/>
          <w:szCs w:val="13"/>
          <w:b w:val="1"/>
          <w:bCs w:val="1"/>
          <w:color w:val="00482F"/>
        </w:rPr>
        <w:drawing>
          <wp:anchor simplePos="0" relativeHeight="251657728" behindDoc="1" locked="0" layoutInCell="0" allowOverlap="1">
            <wp:simplePos x="0" y="0"/>
            <wp:positionH relativeFrom="page">
              <wp:posOffset>5293995</wp:posOffset>
            </wp:positionH>
            <wp:positionV relativeFrom="page">
              <wp:posOffset>102235</wp:posOffset>
            </wp:positionV>
            <wp:extent cx="1933575" cy="147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933575" cy="147955"/>
                    </a:xfrm>
                    <a:prstGeom prst="rect">
                      <a:avLst/>
                    </a:prstGeom>
                    <a:noFill/>
                  </pic:spPr>
                </pic:pic>
              </a:graphicData>
            </a:graphic>
          </wp:anchor>
        </w:drawing>
        <w:t>BOARD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Standing Committees of Our Board with Significant Responsibilities</w:t>
      </w:r>
    </w:p>
    <w:p>
      <w:pPr>
        <w:spacing w:after="0" w:line="185" w:lineRule="exact"/>
        <w:rPr>
          <w:sz w:val="20"/>
          <w:szCs w:val="20"/>
          <w:color w:val="auto"/>
        </w:rPr>
      </w:pPr>
    </w:p>
    <w:p>
      <w:pPr>
        <w:ind w:right="100"/>
        <w:spacing w:after="0" w:line="252" w:lineRule="auto"/>
        <w:rPr>
          <w:sz w:val="20"/>
          <w:szCs w:val="20"/>
          <w:color w:val="auto"/>
        </w:rPr>
      </w:pPr>
      <w:r>
        <w:rPr>
          <w:rFonts w:ascii="Arial" w:cs="Arial" w:eastAsia="Arial" w:hAnsi="Arial"/>
          <w:sz w:val="13"/>
          <w:szCs w:val="13"/>
          <w:color w:val="auto"/>
        </w:rPr>
        <w:t>Our Board has delegated various responsibilities and authority to two Board committees: our Audit Committee and Compensation Committee. Each committee operates under a written charter approved by our Board, which is reviewed periodically by the respective committee and is available on the Governance tab of our investor relations website located at https://investors.nerdwallet.com. The table below sets forth the current membership of our Board committees and the number of meetings held by each committee in 2024.</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4200" w:type="dxa"/>
            <w:vAlign w:val="bottom"/>
            <w:tcBorders>
              <w:top w:val="single" w:sz="8" w:color="008256"/>
              <w:right w:val="single" w:sz="8" w:color="008256"/>
            </w:tcBorders>
          </w:tcPr>
          <w:p>
            <w:pPr>
              <w:ind w:left="80"/>
              <w:spacing w:after="0"/>
              <w:rPr>
                <w:sz w:val="20"/>
                <w:szCs w:val="20"/>
                <w:color w:val="auto"/>
              </w:rPr>
            </w:pPr>
            <w:r>
              <w:rPr>
                <w:rFonts w:ascii="Arial" w:cs="Arial" w:eastAsia="Arial" w:hAnsi="Arial"/>
                <w:sz w:val="13"/>
                <w:szCs w:val="13"/>
                <w:b w:val="1"/>
                <w:bCs w:val="1"/>
                <w:color w:val="auto"/>
              </w:rPr>
              <w:t>DIRECTOR</w:t>
            </w:r>
          </w:p>
        </w:tc>
        <w:tc>
          <w:tcPr>
            <w:tcW w:w="3540" w:type="dxa"/>
            <w:vAlign w:val="bottom"/>
            <w:tcBorders>
              <w:top w:val="single" w:sz="8" w:color="008256"/>
              <w:right w:val="single" w:sz="8" w:color="008256"/>
            </w:tcBorders>
          </w:tcPr>
          <w:p>
            <w:pPr>
              <w:jc w:val="center"/>
              <w:spacing w:after="0"/>
              <w:rPr>
                <w:sz w:val="20"/>
                <w:szCs w:val="20"/>
                <w:color w:val="auto"/>
              </w:rPr>
            </w:pPr>
            <w:r>
              <w:rPr>
                <w:rFonts w:ascii="Arial" w:cs="Arial" w:eastAsia="Arial" w:hAnsi="Arial"/>
                <w:sz w:val="13"/>
                <w:szCs w:val="13"/>
                <w:b w:val="1"/>
                <w:bCs w:val="1"/>
                <w:color w:val="auto"/>
              </w:rPr>
              <w:t>AUDIT</w:t>
            </w:r>
          </w:p>
        </w:tc>
        <w:tc>
          <w:tcPr>
            <w:tcW w:w="3540" w:type="dxa"/>
            <w:vAlign w:val="bottom"/>
            <w:tcBorders>
              <w:top w:val="single" w:sz="8" w:color="008256"/>
            </w:tcBorders>
          </w:tcPr>
          <w:p>
            <w:pPr>
              <w:ind w:left="1260"/>
              <w:spacing w:after="0"/>
              <w:rPr>
                <w:sz w:val="20"/>
                <w:szCs w:val="20"/>
                <w:color w:val="auto"/>
              </w:rPr>
            </w:pPr>
            <w:r>
              <w:rPr>
                <w:rFonts w:ascii="Arial" w:cs="Arial" w:eastAsia="Arial" w:hAnsi="Arial"/>
                <w:sz w:val="13"/>
                <w:szCs w:val="13"/>
                <w:b w:val="1"/>
                <w:bCs w:val="1"/>
                <w:color w:val="auto"/>
              </w:rPr>
              <w:t>COMPENSATION</w:t>
            </w:r>
          </w:p>
        </w:tc>
      </w:tr>
      <w:tr>
        <w:trPr>
          <w:trHeight w:val="71"/>
        </w:trPr>
        <w:tc>
          <w:tcPr>
            <w:tcW w:w="4200" w:type="dxa"/>
            <w:vAlign w:val="bottom"/>
            <w:tcBorders>
              <w:bottom w:val="single" w:sz="8" w:color="008256"/>
              <w:right w:val="single" w:sz="8" w:color="008256"/>
            </w:tcBorders>
          </w:tcPr>
          <w:p>
            <w:pPr>
              <w:spacing w:after="0"/>
              <w:rPr>
                <w:sz w:val="6"/>
                <w:szCs w:val="6"/>
                <w:color w:val="auto"/>
              </w:rPr>
            </w:pPr>
          </w:p>
        </w:tc>
        <w:tc>
          <w:tcPr>
            <w:tcW w:w="3540" w:type="dxa"/>
            <w:vAlign w:val="bottom"/>
            <w:tcBorders>
              <w:bottom w:val="single" w:sz="8" w:color="008256"/>
              <w:right w:val="single" w:sz="8" w:color="008256"/>
            </w:tcBorders>
          </w:tcPr>
          <w:p>
            <w:pPr>
              <w:spacing w:after="0"/>
              <w:rPr>
                <w:sz w:val="6"/>
                <w:szCs w:val="6"/>
                <w:color w:val="auto"/>
              </w:rPr>
            </w:pPr>
          </w:p>
        </w:tc>
        <w:tc>
          <w:tcPr>
            <w:tcW w:w="3540" w:type="dxa"/>
            <w:vAlign w:val="bottom"/>
            <w:tcBorders>
              <w:bottom w:val="single" w:sz="8" w:color="008256"/>
            </w:tcBorders>
          </w:tcPr>
          <w:p>
            <w:pPr>
              <w:spacing w:after="0"/>
              <w:rPr>
                <w:sz w:val="6"/>
                <w:szCs w:val="6"/>
                <w:color w:val="auto"/>
              </w:rPr>
            </w:pPr>
          </w:p>
        </w:tc>
      </w:tr>
      <w:tr>
        <w:trPr>
          <w:trHeight w:val="197"/>
        </w:trPr>
        <w:tc>
          <w:tcPr>
            <w:tcW w:w="4200" w:type="dxa"/>
            <w:vAlign w:val="bottom"/>
            <w:tcBorders>
              <w:right w:val="single" w:sz="8" w:color="008256"/>
            </w:tcBorders>
          </w:tcPr>
          <w:p>
            <w:pPr>
              <w:ind w:left="80"/>
              <w:spacing w:after="0"/>
              <w:rPr>
                <w:sz w:val="20"/>
                <w:szCs w:val="20"/>
                <w:color w:val="auto"/>
              </w:rPr>
            </w:pPr>
            <w:r>
              <w:rPr>
                <w:rFonts w:ascii="Arial" w:cs="Arial" w:eastAsia="Arial" w:hAnsi="Arial"/>
                <w:sz w:val="14"/>
                <w:szCs w:val="14"/>
                <w:b w:val="1"/>
                <w:bCs w:val="1"/>
                <w:color w:val="auto"/>
              </w:rPr>
              <w:t>Tim Chen</w:t>
            </w:r>
          </w:p>
        </w:tc>
        <w:tc>
          <w:tcPr>
            <w:tcW w:w="3540" w:type="dxa"/>
            <w:vAlign w:val="bottom"/>
            <w:tcBorders>
              <w:right w:val="single" w:sz="8" w:color="008256"/>
            </w:tcBorders>
          </w:tcPr>
          <w:p>
            <w:pPr>
              <w:spacing w:after="0"/>
              <w:rPr>
                <w:sz w:val="17"/>
                <w:szCs w:val="17"/>
                <w:color w:val="auto"/>
              </w:rPr>
            </w:pPr>
          </w:p>
        </w:tc>
        <w:tc>
          <w:tcPr>
            <w:tcW w:w="3540" w:type="dxa"/>
            <w:vAlign w:val="bottom"/>
          </w:tcPr>
          <w:p>
            <w:pPr>
              <w:spacing w:after="0"/>
              <w:rPr>
                <w:sz w:val="17"/>
                <w:szCs w:val="17"/>
                <w:color w:val="auto"/>
              </w:rPr>
            </w:pPr>
          </w:p>
        </w:tc>
      </w:tr>
      <w:tr>
        <w:trPr>
          <w:trHeight w:val="218"/>
        </w:trPr>
        <w:tc>
          <w:tcPr>
            <w:tcW w:w="4200" w:type="dxa"/>
            <w:vAlign w:val="bottom"/>
            <w:tcBorders>
              <w:right w:val="single" w:sz="8" w:color="008256"/>
            </w:tcBorders>
            <w:shd w:val="clear" w:color="auto" w:fill="E6F4EF"/>
          </w:tcPr>
          <w:p>
            <w:pPr>
              <w:ind w:left="80"/>
              <w:spacing w:after="0"/>
              <w:rPr>
                <w:sz w:val="20"/>
                <w:szCs w:val="20"/>
                <w:color w:val="auto"/>
              </w:rPr>
            </w:pPr>
            <w:r>
              <w:rPr>
                <w:rFonts w:ascii="Arial" w:cs="Arial" w:eastAsia="Arial" w:hAnsi="Arial"/>
                <w:sz w:val="14"/>
                <w:szCs w:val="14"/>
                <w:b w:val="1"/>
                <w:bCs w:val="1"/>
                <w:color w:val="auto"/>
              </w:rPr>
              <w:t>Jennifer E. Ceran</w:t>
            </w:r>
          </w:p>
        </w:tc>
        <w:tc>
          <w:tcPr>
            <w:tcW w:w="3540" w:type="dxa"/>
            <w:vAlign w:val="bottom"/>
            <w:tcBorders>
              <w:right w:val="single" w:sz="8" w:color="008256"/>
            </w:tcBorders>
            <w:shd w:val="clear" w:color="auto" w:fill="E6F4EF"/>
          </w:tcPr>
          <w:p>
            <w:pPr>
              <w:spacing w:after="0"/>
              <w:rPr>
                <w:sz w:val="18"/>
                <w:szCs w:val="18"/>
                <w:color w:val="auto"/>
              </w:rPr>
            </w:pPr>
          </w:p>
        </w:tc>
        <w:tc>
          <w:tcPr>
            <w:tcW w:w="3540" w:type="dxa"/>
            <w:vAlign w:val="bottom"/>
            <w:shd w:val="clear" w:color="auto" w:fill="E6F4EF"/>
          </w:tcPr>
          <w:p>
            <w:pPr>
              <w:spacing w:after="0"/>
              <w:rPr>
                <w:sz w:val="18"/>
                <w:szCs w:val="18"/>
                <w:color w:val="auto"/>
              </w:rPr>
            </w:pPr>
          </w:p>
        </w:tc>
      </w:tr>
      <w:tr>
        <w:trPr>
          <w:trHeight w:val="206"/>
        </w:trPr>
        <w:tc>
          <w:tcPr>
            <w:tcW w:w="4200" w:type="dxa"/>
            <w:vAlign w:val="bottom"/>
            <w:tcBorders>
              <w:right w:val="single" w:sz="8" w:color="008256"/>
            </w:tcBorders>
          </w:tcPr>
          <w:p>
            <w:pPr>
              <w:ind w:left="80"/>
              <w:spacing w:after="0"/>
              <w:rPr>
                <w:sz w:val="20"/>
                <w:szCs w:val="20"/>
                <w:color w:val="auto"/>
              </w:rPr>
            </w:pPr>
            <w:r>
              <w:rPr>
                <w:rFonts w:ascii="Arial" w:cs="Arial" w:eastAsia="Arial" w:hAnsi="Arial"/>
                <w:sz w:val="14"/>
                <w:szCs w:val="14"/>
                <w:b w:val="1"/>
                <w:bCs w:val="1"/>
                <w:color w:val="auto"/>
              </w:rPr>
              <w:t>Lynne M. Laube</w:t>
            </w:r>
          </w:p>
        </w:tc>
        <w:tc>
          <w:tcPr>
            <w:tcW w:w="3540" w:type="dxa"/>
            <w:vAlign w:val="bottom"/>
            <w:tcBorders>
              <w:right w:val="single" w:sz="8" w:color="008256"/>
            </w:tcBorders>
          </w:tcPr>
          <w:p>
            <w:pPr>
              <w:spacing w:after="0"/>
              <w:rPr>
                <w:sz w:val="17"/>
                <w:szCs w:val="17"/>
                <w:color w:val="auto"/>
              </w:rPr>
            </w:pPr>
          </w:p>
        </w:tc>
        <w:tc>
          <w:tcPr>
            <w:tcW w:w="3540" w:type="dxa"/>
            <w:vAlign w:val="bottom"/>
          </w:tcPr>
          <w:p>
            <w:pPr>
              <w:spacing w:after="0"/>
              <w:rPr>
                <w:sz w:val="17"/>
                <w:szCs w:val="17"/>
                <w:color w:val="auto"/>
              </w:rPr>
            </w:pPr>
          </w:p>
        </w:tc>
      </w:tr>
      <w:tr>
        <w:trPr>
          <w:trHeight w:val="219"/>
        </w:trPr>
        <w:tc>
          <w:tcPr>
            <w:tcW w:w="4200" w:type="dxa"/>
            <w:vAlign w:val="bottom"/>
            <w:tcBorders>
              <w:bottom w:val="single" w:sz="8" w:color="E6F4EF"/>
              <w:right w:val="single" w:sz="8" w:color="008256"/>
            </w:tcBorders>
            <w:shd w:val="clear" w:color="auto" w:fill="E6F4EF"/>
          </w:tcPr>
          <w:p>
            <w:pPr>
              <w:ind w:left="80"/>
              <w:spacing w:after="0"/>
              <w:rPr>
                <w:sz w:val="20"/>
                <w:szCs w:val="20"/>
                <w:color w:val="auto"/>
              </w:rPr>
            </w:pPr>
            <w:r>
              <w:rPr>
                <w:rFonts w:ascii="Arial" w:cs="Arial" w:eastAsia="Arial" w:hAnsi="Arial"/>
                <w:sz w:val="14"/>
                <w:szCs w:val="14"/>
                <w:b w:val="1"/>
                <w:bCs w:val="1"/>
                <w:color w:val="auto"/>
              </w:rPr>
              <w:t>Kenneth T. McBride</w:t>
            </w:r>
          </w:p>
        </w:tc>
        <w:tc>
          <w:tcPr>
            <w:tcW w:w="3540" w:type="dxa"/>
            <w:vAlign w:val="bottom"/>
            <w:tcBorders>
              <w:bottom w:val="single" w:sz="8" w:color="E6F4EF"/>
              <w:right w:val="single" w:sz="8" w:color="008256"/>
            </w:tcBorders>
            <w:shd w:val="clear" w:color="auto" w:fill="E6F4EF"/>
          </w:tcPr>
          <w:p>
            <w:pPr>
              <w:spacing w:after="0"/>
              <w:rPr>
                <w:sz w:val="19"/>
                <w:szCs w:val="19"/>
                <w:color w:val="auto"/>
              </w:rPr>
            </w:pPr>
          </w:p>
        </w:tc>
        <w:tc>
          <w:tcPr>
            <w:tcW w:w="3540" w:type="dxa"/>
            <w:vAlign w:val="bottom"/>
            <w:tcBorders>
              <w:bottom w:val="single" w:sz="8" w:color="E6F4EF"/>
            </w:tcBorders>
            <w:shd w:val="clear" w:color="auto" w:fill="E6F4EF"/>
          </w:tcPr>
          <w:p>
            <w:pPr>
              <w:spacing w:after="0"/>
              <w:rPr>
                <w:sz w:val="19"/>
                <w:szCs w:val="19"/>
                <w:color w:val="auto"/>
              </w:rPr>
            </w:pPr>
          </w:p>
        </w:tc>
      </w:tr>
      <w:tr>
        <w:trPr>
          <w:trHeight w:val="201"/>
        </w:trPr>
        <w:tc>
          <w:tcPr>
            <w:tcW w:w="4200" w:type="dxa"/>
            <w:vAlign w:val="bottom"/>
            <w:tcBorders>
              <w:right w:val="single" w:sz="8" w:color="008256"/>
            </w:tcBorders>
          </w:tcPr>
          <w:p>
            <w:pPr>
              <w:ind w:left="80"/>
              <w:spacing w:after="0"/>
              <w:rPr>
                <w:sz w:val="20"/>
                <w:szCs w:val="20"/>
                <w:color w:val="auto"/>
              </w:rPr>
            </w:pPr>
            <w:r>
              <w:rPr>
                <w:rFonts w:ascii="Arial" w:cs="Arial" w:eastAsia="Arial" w:hAnsi="Arial"/>
                <w:sz w:val="14"/>
                <w:szCs w:val="14"/>
                <w:b w:val="1"/>
                <w:bCs w:val="1"/>
                <w:color w:val="auto"/>
              </w:rPr>
              <w:t>Maurice Taylor</w:t>
            </w:r>
          </w:p>
        </w:tc>
        <w:tc>
          <w:tcPr>
            <w:tcW w:w="3540" w:type="dxa"/>
            <w:vAlign w:val="bottom"/>
            <w:tcBorders>
              <w:right w:val="single" w:sz="8" w:color="008256"/>
            </w:tcBorders>
          </w:tcPr>
          <w:p>
            <w:pPr>
              <w:spacing w:after="0"/>
              <w:rPr>
                <w:sz w:val="17"/>
                <w:szCs w:val="17"/>
                <w:color w:val="auto"/>
              </w:rPr>
            </w:pPr>
          </w:p>
        </w:tc>
        <w:tc>
          <w:tcPr>
            <w:tcW w:w="3540" w:type="dxa"/>
            <w:vAlign w:val="bottom"/>
          </w:tcPr>
          <w:p>
            <w:pPr>
              <w:spacing w:after="0"/>
              <w:rPr>
                <w:sz w:val="17"/>
                <w:szCs w:val="17"/>
                <w:color w:val="auto"/>
              </w:rPr>
            </w:pPr>
          </w:p>
        </w:tc>
      </w:tr>
      <w:tr>
        <w:trPr>
          <w:trHeight w:val="270"/>
        </w:trPr>
        <w:tc>
          <w:tcPr>
            <w:tcW w:w="4200" w:type="dxa"/>
            <w:vAlign w:val="bottom"/>
            <w:tcBorders>
              <w:right w:val="single" w:sz="8" w:color="008256"/>
            </w:tcBorders>
          </w:tcPr>
          <w:p>
            <w:pPr>
              <w:ind w:left="1600"/>
              <w:spacing w:after="0"/>
              <w:rPr>
                <w:sz w:val="20"/>
                <w:szCs w:val="20"/>
                <w:color w:val="auto"/>
              </w:rPr>
            </w:pPr>
            <w:r>
              <w:rPr>
                <w:rFonts w:ascii="Arial" w:cs="Arial" w:eastAsia="Arial" w:hAnsi="Arial"/>
                <w:sz w:val="13"/>
                <w:szCs w:val="13"/>
                <w:b w:val="1"/>
                <w:bCs w:val="1"/>
                <w:color w:val="auto"/>
              </w:rPr>
              <w:t>2024 MEETINGS</w:t>
            </w:r>
          </w:p>
        </w:tc>
        <w:tc>
          <w:tcPr>
            <w:tcW w:w="3540" w:type="dxa"/>
            <w:vAlign w:val="bottom"/>
            <w:tcBorders>
              <w:right w:val="single" w:sz="8" w:color="008256"/>
            </w:tcBorders>
          </w:tcPr>
          <w:p>
            <w:pPr>
              <w:jc w:val="center"/>
              <w:spacing w:after="0"/>
              <w:rPr>
                <w:sz w:val="20"/>
                <w:szCs w:val="20"/>
                <w:color w:val="auto"/>
              </w:rPr>
            </w:pPr>
            <w:r>
              <w:rPr>
                <w:rFonts w:ascii="Arial" w:cs="Arial" w:eastAsia="Arial" w:hAnsi="Arial"/>
                <w:sz w:val="13"/>
                <w:szCs w:val="13"/>
                <w:b w:val="1"/>
                <w:bCs w:val="1"/>
                <w:color w:val="auto"/>
                <w:w w:val="99"/>
              </w:rPr>
              <w:t>Audit: 4</w:t>
            </w:r>
          </w:p>
        </w:tc>
        <w:tc>
          <w:tcPr>
            <w:tcW w:w="3540" w:type="dxa"/>
            <w:vAlign w:val="bottom"/>
          </w:tcPr>
          <w:p>
            <w:pPr>
              <w:ind w:left="1260"/>
              <w:spacing w:after="0"/>
              <w:rPr>
                <w:sz w:val="20"/>
                <w:szCs w:val="20"/>
                <w:color w:val="auto"/>
              </w:rPr>
            </w:pPr>
            <w:r>
              <w:rPr>
                <w:rFonts w:ascii="Arial" w:cs="Arial" w:eastAsia="Arial" w:hAnsi="Arial"/>
                <w:sz w:val="13"/>
                <w:szCs w:val="13"/>
                <w:b w:val="1"/>
                <w:bCs w:val="1"/>
                <w:color w:val="auto"/>
              </w:rPr>
              <w:t>Compensation: 4</w:t>
            </w:r>
          </w:p>
        </w:tc>
      </w:tr>
      <w:tr>
        <w:trPr>
          <w:trHeight w:val="71"/>
        </w:trPr>
        <w:tc>
          <w:tcPr>
            <w:tcW w:w="4200" w:type="dxa"/>
            <w:vAlign w:val="bottom"/>
            <w:tcBorders>
              <w:bottom w:val="single" w:sz="8" w:color="008256"/>
              <w:right w:val="single" w:sz="8" w:color="008256"/>
            </w:tcBorders>
          </w:tcPr>
          <w:p>
            <w:pPr>
              <w:spacing w:after="0"/>
              <w:rPr>
                <w:sz w:val="6"/>
                <w:szCs w:val="6"/>
                <w:color w:val="auto"/>
              </w:rPr>
            </w:pPr>
          </w:p>
        </w:tc>
        <w:tc>
          <w:tcPr>
            <w:tcW w:w="3540" w:type="dxa"/>
            <w:vAlign w:val="bottom"/>
            <w:tcBorders>
              <w:bottom w:val="single" w:sz="8" w:color="008256"/>
              <w:right w:val="single" w:sz="8" w:color="008256"/>
            </w:tcBorders>
          </w:tcPr>
          <w:p>
            <w:pPr>
              <w:spacing w:after="0"/>
              <w:rPr>
                <w:sz w:val="6"/>
                <w:szCs w:val="6"/>
                <w:color w:val="auto"/>
              </w:rPr>
            </w:pPr>
          </w:p>
        </w:tc>
        <w:tc>
          <w:tcPr>
            <w:tcW w:w="3540" w:type="dxa"/>
            <w:vAlign w:val="bottom"/>
            <w:tcBorders>
              <w:bottom w:val="single" w:sz="8" w:color="008256"/>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3742055</wp:posOffset>
            </wp:positionH>
            <wp:positionV relativeFrom="paragraph">
              <wp:posOffset>-767080</wp:posOffset>
            </wp:positionV>
            <wp:extent cx="80645" cy="806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0645" cy="806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-626110</wp:posOffset>
            </wp:positionV>
            <wp:extent cx="74295" cy="742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4295" cy="74295"/>
                    </a:xfrm>
                    <a:prstGeom prst="rect">
                      <a:avLst/>
                    </a:prstGeom>
                    <a:noFill/>
                  </pic:spPr>
                </pic:pic>
              </a:graphicData>
            </a:graphic>
          </wp:anchor>
        </w:drawing>
        <w:drawing>
          <wp:anchor simplePos="0" relativeHeight="251657728" behindDoc="1" locked="0" layoutInCell="0" allowOverlap="1">
            <wp:simplePos x="0" y="0"/>
            <wp:positionH relativeFrom="column">
              <wp:posOffset>3728720</wp:posOffset>
            </wp:positionH>
            <wp:positionV relativeFrom="paragraph">
              <wp:posOffset>-497840</wp:posOffset>
            </wp:positionV>
            <wp:extent cx="107950" cy="1009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07950" cy="100965"/>
                    </a:xfrm>
                    <a:prstGeom prst="rect">
                      <a:avLst/>
                    </a:prstGeom>
                    <a:noFill/>
                  </pic:spPr>
                </pic:pic>
              </a:graphicData>
            </a:graphic>
          </wp:anchor>
        </w:drawing>
        <w:drawing>
          <wp:anchor simplePos="0" relativeHeight="251657728" behindDoc="1" locked="0" layoutInCell="0" allowOverlap="1">
            <wp:simplePos x="0" y="0"/>
            <wp:positionH relativeFrom="column">
              <wp:posOffset>5985510</wp:posOffset>
            </wp:positionH>
            <wp:positionV relativeFrom="paragraph">
              <wp:posOffset>-497840</wp:posOffset>
            </wp:positionV>
            <wp:extent cx="107950" cy="1009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07950" cy="100965"/>
                    </a:xfrm>
                    <a:prstGeom prst="rect">
                      <a:avLst/>
                    </a:prstGeom>
                    <a:noFill/>
                  </pic:spPr>
                </pic:pic>
              </a:graphicData>
            </a:graphic>
          </wp:anchor>
        </w:drawing>
        <w:drawing>
          <wp:anchor simplePos="0" relativeHeight="251657728" behindDoc="1" locked="0" layoutInCell="0" allowOverlap="1">
            <wp:simplePos x="0" y="0"/>
            <wp:positionH relativeFrom="column">
              <wp:posOffset>3735705</wp:posOffset>
            </wp:positionH>
            <wp:positionV relativeFrom="paragraph">
              <wp:posOffset>-349885</wp:posOffset>
            </wp:positionV>
            <wp:extent cx="100965" cy="806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00965" cy="806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94615</wp:posOffset>
            </wp:positionV>
            <wp:extent cx="80645" cy="806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0645" cy="80645"/>
                    </a:xfrm>
                    <a:prstGeom prst="rect">
                      <a:avLst/>
                    </a:prstGeom>
                    <a:noFill/>
                  </pic:spPr>
                </pic:pic>
              </a:graphicData>
            </a:graphic>
          </wp:anchor>
        </w:drawing>
      </w:r>
    </w:p>
    <w:p>
      <w:pPr>
        <w:spacing w:after="0" w:line="171" w:lineRule="exact"/>
        <w:rPr>
          <w:sz w:val="20"/>
          <w:szCs w:val="20"/>
          <w:color w:val="auto"/>
        </w:rPr>
      </w:pPr>
    </w:p>
    <w:p>
      <w:pPr>
        <w:ind w:left="280"/>
        <w:spacing w:after="0"/>
        <w:rPr>
          <w:sz w:val="20"/>
          <w:szCs w:val="20"/>
          <w:color w:val="auto"/>
        </w:rPr>
      </w:pPr>
      <w:r>
        <w:rPr>
          <w:rFonts w:ascii="Arial" w:cs="Arial" w:eastAsia="Arial" w:hAnsi="Arial"/>
          <w:sz w:val="13"/>
          <w:szCs w:val="13"/>
          <w:color w:val="auto"/>
        </w:rPr>
        <w:t>=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100965" cy="806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00965" cy="80645"/>
                    </a:xfrm>
                    <a:prstGeom prst="rect">
                      <a:avLst/>
                    </a:prstGeom>
                    <a:noFill/>
                  </pic:spPr>
                </pic:pic>
              </a:graphicData>
            </a:graphic>
          </wp:anchor>
        </w:drawing>
      </w:r>
    </w:p>
    <w:p>
      <w:pPr>
        <w:spacing w:after="0" w:line="32" w:lineRule="exact"/>
        <w:rPr>
          <w:sz w:val="20"/>
          <w:szCs w:val="20"/>
          <w:color w:val="auto"/>
        </w:rPr>
      </w:pPr>
    </w:p>
    <w:p>
      <w:pPr>
        <w:ind w:left="300"/>
        <w:spacing w:after="0"/>
        <w:rPr>
          <w:sz w:val="20"/>
          <w:szCs w:val="20"/>
          <w:color w:val="auto"/>
        </w:rPr>
      </w:pPr>
      <w:r>
        <w:rPr>
          <w:rFonts w:ascii="Arial" w:cs="Arial" w:eastAsia="Arial" w:hAnsi="Arial"/>
          <w:sz w:val="13"/>
          <w:szCs w:val="13"/>
          <w:color w:val="auto"/>
        </w:rPr>
        <w:t>= Member</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 Committee</w:t>
      </w:r>
    </w:p>
    <w:p>
      <w:pPr>
        <w:spacing w:after="0" w:line="174" w:lineRule="exact"/>
        <w:rPr>
          <w:sz w:val="20"/>
          <w:szCs w:val="20"/>
          <w:color w:val="auto"/>
        </w:rPr>
      </w:pPr>
    </w:p>
    <w:p>
      <w:pPr>
        <w:jc w:val="both"/>
        <w:ind w:right="20"/>
        <w:spacing w:after="0" w:line="283" w:lineRule="auto"/>
        <w:rPr>
          <w:sz w:val="20"/>
          <w:szCs w:val="20"/>
          <w:color w:val="auto"/>
        </w:rPr>
      </w:pPr>
      <w:r>
        <w:rPr>
          <w:rFonts w:ascii="Arial" w:cs="Arial" w:eastAsia="Arial" w:hAnsi="Arial"/>
          <w:sz w:val="13"/>
          <w:szCs w:val="13"/>
          <w:color w:val="auto"/>
        </w:rPr>
        <w:t>In 2024, our Audit Committee consisted of Ms. Ceran, and Messrs. McBride and Taylor. Following the Annual Meeting and subject to her election by our stockholders, Ms. Laube will become a member of the Audit Committee.</w:t>
      </w:r>
    </w:p>
    <w:p>
      <w:pPr>
        <w:spacing w:after="0" w:line="146" w:lineRule="exact"/>
        <w:rPr>
          <w:sz w:val="20"/>
          <w:szCs w:val="20"/>
          <w:color w:val="auto"/>
        </w:rPr>
      </w:pPr>
    </w:p>
    <w:p>
      <w:pPr>
        <w:ind w:right="320"/>
        <w:spacing w:after="0" w:line="253" w:lineRule="auto"/>
        <w:rPr>
          <w:sz w:val="20"/>
          <w:szCs w:val="20"/>
          <w:color w:val="auto"/>
        </w:rPr>
      </w:pPr>
      <w:r>
        <w:rPr>
          <w:rFonts w:ascii="Arial" w:cs="Arial" w:eastAsia="Arial" w:hAnsi="Arial"/>
          <w:sz w:val="13"/>
          <w:szCs w:val="13"/>
          <w:color w:val="auto"/>
        </w:rPr>
        <w:t>Our Board has determined that Mses. Ceran and Laube, and Messrs. McBride and Taylor satisfy the independence requirements under the Nasdaq Listing Rules and Rule 10A-3(b)(1) under the Securities Exchange Act of 1934 (the “Exchange Act”). The chair of our Audit Committee is Ms. Ceran. Our Board has determined that each of Ms. Ceran and Mr. McBride is an “audit committee financial expert” within the meaning of SEC rules. Each member of our Audit Committee can read and understand fundamental financial statements in accordance with applicable requirements. In arriving at these determinations, our Board has examined each Audit Committee member’s scope of experience and the nature of their employment.</w:t>
      </w:r>
    </w:p>
    <w:p>
      <w:pPr>
        <w:spacing w:after="0" w:line="144" w:lineRule="exact"/>
        <w:rPr>
          <w:sz w:val="20"/>
          <w:szCs w:val="20"/>
          <w:color w:val="auto"/>
        </w:rPr>
      </w:pPr>
    </w:p>
    <w:p>
      <w:pPr>
        <w:ind w:right="100"/>
        <w:spacing w:after="0" w:line="283" w:lineRule="auto"/>
        <w:rPr>
          <w:sz w:val="20"/>
          <w:szCs w:val="20"/>
          <w:color w:val="auto"/>
        </w:rPr>
      </w:pPr>
      <w:r>
        <w:rPr>
          <w:rFonts w:ascii="Arial" w:cs="Arial" w:eastAsia="Arial" w:hAnsi="Arial"/>
          <w:sz w:val="13"/>
          <w:szCs w:val="13"/>
          <w:color w:val="auto"/>
        </w:rPr>
        <w:t>The primary purpose of the Audit Committee is to discharge the responsibilities of our Board with respect to our corporate accounting and financial reporting processes, systems of internal control and financial statement audits, and to oversee our independent registered public accounting firm. Specific responsibilities of our Audit Committee include:</w:t>
      </w:r>
    </w:p>
    <w:p>
      <w:pPr>
        <w:spacing w:after="0" w:line="125" w:lineRule="exact"/>
        <w:rPr>
          <w:sz w:val="20"/>
          <w:szCs w:val="20"/>
          <w:color w:val="auto"/>
        </w:rPr>
      </w:pPr>
    </w:p>
    <w:p>
      <w:pPr>
        <w:ind w:left="260" w:hanging="128"/>
        <w:spacing w:after="0"/>
        <w:tabs>
          <w:tab w:leader="none" w:pos="2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helping our Board oversee our corporate accounting and financial reporting processes;</w:t>
      </w:r>
    </w:p>
    <w:p>
      <w:pPr>
        <w:spacing w:after="0" w:line="179" w:lineRule="exact"/>
        <w:rPr>
          <w:rFonts w:ascii="Arial" w:cs="Arial" w:eastAsia="Arial" w:hAnsi="Arial"/>
          <w:sz w:val="13"/>
          <w:szCs w:val="13"/>
          <w:color w:val="auto"/>
        </w:rPr>
      </w:pPr>
    </w:p>
    <w:p>
      <w:pPr>
        <w:ind w:left="260" w:right="620" w:hanging="128"/>
        <w:spacing w:after="0" w:line="266" w:lineRule="auto"/>
        <w:tabs>
          <w:tab w:leader="none" w:pos="251" w:val="left"/>
        </w:tabs>
        <w:numPr>
          <w:ilvl w:val="0"/>
          <w:numId w:val="12"/>
        </w:numPr>
        <w:rPr>
          <w:rFonts w:ascii="Arial" w:cs="Arial" w:eastAsia="Arial" w:hAnsi="Arial"/>
          <w:sz w:val="13"/>
          <w:szCs w:val="13"/>
          <w:color w:val="auto"/>
        </w:rPr>
      </w:pPr>
      <w:r>
        <w:rPr>
          <w:rFonts w:ascii="Arial" w:cs="Arial" w:eastAsia="Arial" w:hAnsi="Arial"/>
          <w:sz w:val="13"/>
          <w:szCs w:val="13"/>
          <w:color w:val="auto"/>
        </w:rPr>
        <w:t>managing the selection, engagement, qualifications, independence and performance of a qualified firm to serve as the independent registered public accounting firm to audit our financial statements;</w:t>
      </w:r>
    </w:p>
    <w:p>
      <w:pPr>
        <w:spacing w:after="0" w:line="135" w:lineRule="exact"/>
        <w:rPr>
          <w:rFonts w:ascii="Arial" w:cs="Arial" w:eastAsia="Arial" w:hAnsi="Arial"/>
          <w:sz w:val="13"/>
          <w:szCs w:val="13"/>
          <w:color w:val="auto"/>
        </w:rPr>
      </w:pPr>
    </w:p>
    <w:p>
      <w:pPr>
        <w:ind w:left="260" w:right="20" w:hanging="128"/>
        <w:spacing w:after="0" w:line="283" w:lineRule="auto"/>
        <w:tabs>
          <w:tab w:leader="none" w:pos="251" w:val="left"/>
        </w:tabs>
        <w:numPr>
          <w:ilvl w:val="0"/>
          <w:numId w:val="12"/>
        </w:numPr>
        <w:rPr>
          <w:rFonts w:ascii="Arial" w:cs="Arial" w:eastAsia="Arial" w:hAnsi="Arial"/>
          <w:sz w:val="13"/>
          <w:szCs w:val="13"/>
          <w:color w:val="auto"/>
        </w:rPr>
      </w:pPr>
      <w:r>
        <w:rPr>
          <w:rFonts w:ascii="Arial" w:cs="Arial" w:eastAsia="Arial" w:hAnsi="Arial"/>
          <w:sz w:val="13"/>
          <w:szCs w:val="13"/>
          <w:color w:val="auto"/>
        </w:rPr>
        <w:t>discussing the scope and results of the audit with the independent registered public accounting firm, and reviewing, with management and the independent accountants, our quarterly and year-end operating results;</w:t>
      </w:r>
    </w:p>
    <w:p>
      <w:pPr>
        <w:spacing w:after="0" w:line="124" w:lineRule="exact"/>
        <w:rPr>
          <w:rFonts w:ascii="Arial" w:cs="Arial" w:eastAsia="Arial" w:hAnsi="Arial"/>
          <w:sz w:val="13"/>
          <w:szCs w:val="13"/>
          <w:color w:val="auto"/>
        </w:rPr>
      </w:pPr>
    </w:p>
    <w:p>
      <w:pPr>
        <w:ind w:left="260" w:right="360" w:hanging="128"/>
        <w:spacing w:after="0" w:line="256" w:lineRule="auto"/>
        <w:tabs>
          <w:tab w:leader="none" w:pos="251" w:val="left"/>
        </w:tabs>
        <w:numPr>
          <w:ilvl w:val="0"/>
          <w:numId w:val="12"/>
        </w:numPr>
        <w:rPr>
          <w:rFonts w:ascii="Arial" w:cs="Arial" w:eastAsia="Arial" w:hAnsi="Arial"/>
          <w:sz w:val="13"/>
          <w:szCs w:val="13"/>
          <w:color w:val="auto"/>
        </w:rPr>
      </w:pPr>
      <w:r>
        <w:rPr>
          <w:rFonts w:ascii="Arial" w:cs="Arial" w:eastAsia="Arial" w:hAnsi="Arial"/>
          <w:sz w:val="13"/>
          <w:szCs w:val="13"/>
          <w:color w:val="auto"/>
        </w:rPr>
        <w:t>overseeing procedures for receiving and investigating submissions by employees concerning questionable accounting or audit matters and complaints received regarding accounting, internal accounting controls or auditing matters;</w:t>
      </w:r>
    </w:p>
    <w:p>
      <w:pPr>
        <w:ind w:left="260" w:hanging="128"/>
        <w:spacing w:after="0"/>
        <w:tabs>
          <w:tab w:leader="none" w:pos="2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reviewing related person transactions;</w:t>
      </w:r>
    </w:p>
    <w:p>
      <w:pPr>
        <w:ind w:left="260" w:hanging="128"/>
        <w:spacing w:after="0"/>
        <w:tabs>
          <w:tab w:leader="none" w:pos="260" w:val="left"/>
        </w:tabs>
        <w:numPr>
          <w:ilvl w:val="0"/>
          <w:numId w:val="12"/>
        </w:numPr>
        <w:rPr>
          <w:rFonts w:ascii="Arial" w:cs="Arial" w:eastAsia="Arial" w:hAnsi="Arial"/>
          <w:sz w:val="13"/>
          <w:szCs w:val="13"/>
          <w:color w:val="auto"/>
        </w:rPr>
      </w:pPr>
      <w:r>
        <w:rPr>
          <w:rFonts w:ascii="Arial" w:cs="Arial" w:eastAsia="Arial" w:hAnsi="Arial"/>
          <w:sz w:val="13"/>
          <w:szCs w:val="13"/>
          <w:color w:val="auto"/>
        </w:rPr>
        <w:t>overseeing cybersecurity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193675</wp:posOffset>
            </wp:positionV>
            <wp:extent cx="7161530" cy="2895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1530" cy="289560"/>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ind w:left="11080"/>
        <w:spacing w:after="0"/>
        <w:rPr>
          <w:sz w:val="20"/>
          <w:szCs w:val="20"/>
          <w:color w:val="auto"/>
        </w:rPr>
      </w:pPr>
      <w:r>
        <w:rPr>
          <w:rFonts w:ascii="Arial" w:cs="Arial" w:eastAsia="Arial" w:hAnsi="Arial"/>
          <w:sz w:val="13"/>
          <w:szCs w:val="13"/>
          <w:b w:val="1"/>
          <w:bCs w:val="1"/>
          <w:color w:val="auto"/>
        </w:rPr>
        <w:t>19</w:t>
      </w:r>
    </w:p>
    <w:p>
      <w:pPr>
        <w:sectPr>
          <w:pgSz w:w="11900" w:h="16838" w:orient="portrait"/>
          <w:cols w:equalWidth="0" w:num="1">
            <w:col w:w="11280"/>
          </w:cols>
          <w:pgMar w:left="300" w:top="171" w:right="319" w:bottom="1440" w:gutter="0" w:footer="0" w:header="0"/>
        </w:sectPr>
      </w:pPr>
    </w:p>
    <w:bookmarkStart w:id="24" w:name="page25"/>
    <w:bookmarkEnd w:id="24"/>
    <w:p>
      <w:pPr>
        <w:ind w:left="300"/>
        <w:spacing w:after="0"/>
        <w:rPr>
          <w:sz w:val="20"/>
          <w:szCs w:val="20"/>
          <w:color w:val="auto"/>
        </w:rPr>
      </w:pPr>
      <w:r>
        <w:rPr>
          <w:rFonts w:ascii="Arial" w:cs="Arial" w:eastAsia="Arial" w:hAnsi="Arial"/>
          <w:sz w:val="13"/>
          <w:szCs w:val="13"/>
          <w:b w:val="1"/>
          <w:bCs w:val="1"/>
          <w:color w:val="00482F"/>
        </w:rPr>
        <w:drawing>
          <wp:anchor simplePos="0" relativeHeight="251657728" behindDoc="1" locked="0" layoutInCell="0" allowOverlap="1">
            <wp:simplePos x="0" y="0"/>
            <wp:positionH relativeFrom="page">
              <wp:posOffset>328295</wp:posOffset>
            </wp:positionH>
            <wp:positionV relativeFrom="page">
              <wp:posOffset>102235</wp:posOffset>
            </wp:positionV>
            <wp:extent cx="1933575" cy="147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933575" cy="147955"/>
                    </a:xfrm>
                    <a:prstGeom prst="rect">
                      <a:avLst/>
                    </a:prstGeom>
                    <a:noFill/>
                  </pic:spPr>
                </pic:pic>
              </a:graphicData>
            </a:graphic>
          </wp:anchor>
        </w:drawing>
        <w:t>BOARD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60" w:right="500" w:hanging="128"/>
        <w:spacing w:after="0" w:line="266" w:lineRule="auto"/>
        <w:tabs>
          <w:tab w:leader="none" w:pos="251" w:val="left"/>
        </w:tabs>
        <w:numPr>
          <w:ilvl w:val="0"/>
          <w:numId w:val="13"/>
        </w:numPr>
        <w:rPr>
          <w:rFonts w:ascii="Arial" w:cs="Arial" w:eastAsia="Arial" w:hAnsi="Arial"/>
          <w:sz w:val="13"/>
          <w:szCs w:val="13"/>
          <w:color w:val="auto"/>
        </w:rPr>
      </w:pPr>
      <w:r>
        <w:rPr>
          <w:rFonts w:ascii="Arial" w:cs="Arial" w:eastAsia="Arial" w:hAnsi="Arial"/>
          <w:sz w:val="13"/>
          <w:szCs w:val="13"/>
          <w:color w:val="auto"/>
        </w:rPr>
        <w:t>obtaining and reviewing a report by the independent registered public accounting firm at least annually that describes our internal quality control procedures, any material issues with such procedures and any steps taken to deal with such issues when required by applicable law; and</w:t>
      </w:r>
    </w:p>
    <w:p>
      <w:pPr>
        <w:spacing w:after="0" w:line="146" w:lineRule="exact"/>
        <w:rPr>
          <w:rFonts w:ascii="Arial" w:cs="Arial" w:eastAsia="Arial" w:hAnsi="Arial"/>
          <w:sz w:val="13"/>
          <w:szCs w:val="13"/>
          <w:color w:val="auto"/>
        </w:rPr>
      </w:pPr>
    </w:p>
    <w:p>
      <w:pPr>
        <w:ind w:left="260" w:hanging="128"/>
        <w:spacing w:after="0"/>
        <w:tabs>
          <w:tab w:leader="none" w:pos="2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approving or, as permitted, pre-approving, audit and permissible non-audit services to be performed by the independent registered public accounting firm.</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Committee</w:t>
      </w:r>
    </w:p>
    <w:p>
      <w:pPr>
        <w:spacing w:after="0" w:line="185" w:lineRule="exact"/>
        <w:rPr>
          <w:sz w:val="20"/>
          <w:szCs w:val="20"/>
          <w:color w:val="auto"/>
        </w:rPr>
      </w:pPr>
    </w:p>
    <w:p>
      <w:pPr>
        <w:jc w:val="both"/>
        <w:spacing w:after="0" w:line="281" w:lineRule="auto"/>
        <w:rPr>
          <w:sz w:val="20"/>
          <w:szCs w:val="20"/>
          <w:color w:val="auto"/>
        </w:rPr>
      </w:pPr>
      <w:r>
        <w:rPr>
          <w:rFonts w:ascii="Arial" w:cs="Arial" w:eastAsia="Arial" w:hAnsi="Arial"/>
          <w:sz w:val="12"/>
          <w:szCs w:val="12"/>
          <w:color w:val="auto"/>
        </w:rPr>
        <w:t>Our Compensation Committee consists of Ms. Laube and Mr. McBride. The chair of our Compensation Committee is Ms. Laube. Our Board has determined that each of Ms. Laube and Mr. McBride is independent under the Nasdaq Listing Rules, and a “non-employee director” as defined in Rule 16b-3 promulgated under the Exchange Act. Although we are a “controlled company” under the Nasdaq corporate governance rules and not required to have a compensation committee consisting solely of independent directors, our Compensation Committee is composed solely of independent directors. Our Compensation Committee was previously advised by Compensia and is now advised by Frederic W. Cook &amp; Co., Inc., our independent executive compensation consultant.</w:t>
      </w:r>
    </w:p>
    <w:p>
      <w:pPr>
        <w:spacing w:after="0" w:line="128" w:lineRule="exact"/>
        <w:rPr>
          <w:sz w:val="20"/>
          <w:szCs w:val="20"/>
          <w:color w:val="auto"/>
        </w:rPr>
      </w:pPr>
    </w:p>
    <w:p>
      <w:pPr>
        <w:ind w:right="140"/>
        <w:spacing w:after="0" w:line="283" w:lineRule="auto"/>
        <w:rPr>
          <w:sz w:val="20"/>
          <w:szCs w:val="20"/>
          <w:color w:val="auto"/>
        </w:rPr>
      </w:pPr>
      <w:r>
        <w:rPr>
          <w:rFonts w:ascii="Arial" w:cs="Arial" w:eastAsia="Arial" w:hAnsi="Arial"/>
          <w:sz w:val="13"/>
          <w:szCs w:val="13"/>
          <w:color w:val="auto"/>
        </w:rPr>
        <w:t>The primary purpose of our Compensation Committee is to discharge the responsibilities of our Board in overseeing our compensation policies, plans and programs and to review and determine the compensation to be paid to our executive officers, directors and other senior management, as appropriate. Specific responsibilities of our Compensation Committee include:</w:t>
      </w:r>
    </w:p>
    <w:p>
      <w:pPr>
        <w:spacing w:after="0" w:line="125" w:lineRule="exact"/>
        <w:rPr>
          <w:sz w:val="20"/>
          <w:szCs w:val="20"/>
          <w:color w:val="auto"/>
        </w:rPr>
      </w:pPr>
    </w:p>
    <w:p>
      <w:pPr>
        <w:ind w:left="260" w:hanging="128"/>
        <w:spacing w:after="0"/>
        <w:tabs>
          <w:tab w:leader="none" w:pos="2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reviewing and recommending to our Board the compensation of our chief executive officer and reviewing and approving the compensation of other executive officers;</w:t>
      </w:r>
    </w:p>
    <w:p>
      <w:pPr>
        <w:spacing w:after="0" w:line="179" w:lineRule="exact"/>
        <w:rPr>
          <w:rFonts w:ascii="Arial" w:cs="Arial" w:eastAsia="Arial" w:hAnsi="Arial"/>
          <w:sz w:val="13"/>
          <w:szCs w:val="13"/>
          <w:color w:val="auto"/>
        </w:rPr>
      </w:pPr>
    </w:p>
    <w:p>
      <w:pPr>
        <w:ind w:left="260" w:hanging="128"/>
        <w:spacing w:after="0"/>
        <w:tabs>
          <w:tab w:leader="none" w:pos="2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reviewing and recommending to our Board the compensation of our directors;</w:t>
      </w:r>
    </w:p>
    <w:p>
      <w:pPr>
        <w:spacing w:after="0" w:line="168" w:lineRule="exact"/>
        <w:rPr>
          <w:rFonts w:ascii="Arial" w:cs="Arial" w:eastAsia="Arial" w:hAnsi="Arial"/>
          <w:sz w:val="13"/>
          <w:szCs w:val="13"/>
          <w:color w:val="auto"/>
        </w:rPr>
      </w:pPr>
    </w:p>
    <w:p>
      <w:pPr>
        <w:ind w:left="260" w:hanging="128"/>
        <w:spacing w:after="0"/>
        <w:tabs>
          <w:tab w:leader="none" w:pos="2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administering our equity incentive plans and other benefit programs;</w:t>
      </w:r>
    </w:p>
    <w:p>
      <w:pPr>
        <w:spacing w:after="0" w:line="168" w:lineRule="exact"/>
        <w:rPr>
          <w:rFonts w:ascii="Arial" w:cs="Arial" w:eastAsia="Arial" w:hAnsi="Arial"/>
          <w:sz w:val="13"/>
          <w:szCs w:val="13"/>
          <w:color w:val="auto"/>
        </w:rPr>
      </w:pPr>
    </w:p>
    <w:p>
      <w:pPr>
        <w:ind w:left="260" w:right="200" w:hanging="128"/>
        <w:spacing w:after="0" w:line="283" w:lineRule="auto"/>
        <w:tabs>
          <w:tab w:leader="none" w:pos="251" w:val="left"/>
        </w:tabs>
        <w:numPr>
          <w:ilvl w:val="0"/>
          <w:numId w:val="14"/>
        </w:numPr>
        <w:rPr>
          <w:rFonts w:ascii="Arial" w:cs="Arial" w:eastAsia="Arial" w:hAnsi="Arial"/>
          <w:sz w:val="13"/>
          <w:szCs w:val="13"/>
          <w:color w:val="auto"/>
        </w:rPr>
      </w:pPr>
      <w:r>
        <w:rPr>
          <w:rFonts w:ascii="Arial" w:cs="Arial" w:eastAsia="Arial" w:hAnsi="Arial"/>
          <w:sz w:val="13"/>
          <w:szCs w:val="13"/>
          <w:color w:val="auto"/>
        </w:rPr>
        <w:t>reviewing, adopting, amending and terminating incentive compensation and equity plans, severance agreements, profit sharing plans, bonus plans, change-of-control protections and any other compensatory arrangements for our executive officers and other senior management; and</w:t>
      </w:r>
    </w:p>
    <w:p>
      <w:pPr>
        <w:spacing w:after="0" w:line="124" w:lineRule="exact"/>
        <w:rPr>
          <w:rFonts w:ascii="Arial" w:cs="Arial" w:eastAsia="Arial" w:hAnsi="Arial"/>
          <w:sz w:val="13"/>
          <w:szCs w:val="13"/>
          <w:color w:val="auto"/>
        </w:rPr>
      </w:pPr>
    </w:p>
    <w:p>
      <w:pPr>
        <w:ind w:left="260" w:hanging="128"/>
        <w:spacing w:after="0"/>
        <w:tabs>
          <w:tab w:leader="none" w:pos="2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reviewing and establishing general policies relating to compensation and benefits of our employees, including our overall compensation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322580</wp:posOffset>
            </wp:positionV>
            <wp:extent cx="7161530" cy="28956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1530" cy="289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 xml:space="preserve">20 </w:t>
      </w:r>
      <w:r>
        <w:rPr>
          <w:rFonts w:ascii="Arial" w:cs="Arial" w:eastAsia="Arial" w:hAnsi="Arial"/>
          <w:sz w:val="13"/>
          <w:szCs w:val="13"/>
          <w:color w:val="auto"/>
        </w:rPr>
        <w:t>PROXY STATEMENT 2025</w:t>
      </w:r>
    </w:p>
    <w:p>
      <w:pPr>
        <w:sectPr>
          <w:pgSz w:w="11900" w:h="16838" w:orient="portrait"/>
          <w:cols w:equalWidth="0" w:num="1">
            <w:col w:w="11220"/>
          </w:cols>
          <w:pgMar w:left="300" w:top="171" w:right="379" w:bottom="1440" w:gutter="0" w:footer="0" w:header="0"/>
        </w:sectPr>
      </w:pPr>
    </w:p>
    <w:bookmarkStart w:id="25" w:name="page26"/>
    <w:bookmarkEnd w:id="25"/>
    <w:p>
      <w:pPr>
        <w:ind w:left="8120"/>
        <w:spacing w:after="0"/>
        <w:rPr>
          <w:sz w:val="20"/>
          <w:szCs w:val="20"/>
          <w:color w:val="auto"/>
        </w:rPr>
      </w:pPr>
      <w:r>
        <w:rPr>
          <w:rFonts w:ascii="Arial" w:cs="Arial" w:eastAsia="Arial" w:hAnsi="Arial"/>
          <w:sz w:val="13"/>
          <w:szCs w:val="13"/>
          <w:b w:val="1"/>
          <w:bCs w:val="1"/>
          <w:color w:val="00482F"/>
        </w:rPr>
        <w:drawing>
          <wp:anchor simplePos="0" relativeHeight="251657728" behindDoc="1" locked="0" layoutInCell="0" allowOverlap="1">
            <wp:simplePos x="0" y="0"/>
            <wp:positionH relativeFrom="page">
              <wp:posOffset>5293995</wp:posOffset>
            </wp:positionH>
            <wp:positionV relativeFrom="page">
              <wp:posOffset>102235</wp:posOffset>
            </wp:positionV>
            <wp:extent cx="1933575" cy="147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933575" cy="147955"/>
                    </a:xfrm>
                    <a:prstGeom prst="rect">
                      <a:avLst/>
                    </a:prstGeom>
                    <a:noFill/>
                  </pic:spPr>
                </pic:pic>
              </a:graphicData>
            </a:graphic>
          </wp:anchor>
        </w:drawing>
        <w:t>BOARD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and Committee Responsibilities for Risk Oversight</w:t>
      </w:r>
    </w:p>
    <w:p>
      <w:pPr>
        <w:spacing w:after="0" w:line="181" w:lineRule="exact"/>
        <w:rPr>
          <w:sz w:val="20"/>
          <w:szCs w:val="20"/>
          <w:color w:val="auto"/>
        </w:rPr>
      </w:pPr>
    </w:p>
    <w:p>
      <w:pPr>
        <w:jc w:val="both"/>
        <w:ind w:right="140"/>
        <w:spacing w:after="0" w:line="261" w:lineRule="auto"/>
        <w:rPr>
          <w:sz w:val="20"/>
          <w:szCs w:val="20"/>
          <w:color w:val="auto"/>
        </w:rPr>
      </w:pPr>
      <w:r>
        <w:rPr>
          <w:rFonts w:ascii="Arial" w:cs="Arial" w:eastAsia="Arial" w:hAnsi="Arial"/>
          <w:sz w:val="13"/>
          <w:szCs w:val="13"/>
          <w:color w:val="auto"/>
        </w:rPr>
        <w:t>Our Board has an oversight role, as a whole and also at the committee level, in overseeing management of the Company’s risks. While each committee is responsible for evaluating certain risks and overseeing the management of such risks, our entire Board is regularly informed through committee reports about such risks. Our Board oversees our risk management primarily through the matters noted below.</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Full Board</w:t>
      </w:r>
    </w:p>
    <w:p>
      <w:pPr>
        <w:spacing w:after="0" w:line="174" w:lineRule="exact"/>
        <w:rPr>
          <w:sz w:val="20"/>
          <w:szCs w:val="20"/>
          <w:color w:val="auto"/>
        </w:rPr>
      </w:pPr>
    </w:p>
    <w:p>
      <w:pPr>
        <w:ind w:left="260" w:hanging="128"/>
        <w:spacing w:after="0"/>
        <w:tabs>
          <w:tab w:leader="none" w:pos="2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Reviewing management’s business plan, budget, strategic plans and business developments.</w:t>
      </w:r>
    </w:p>
    <w:p>
      <w:pPr>
        <w:spacing w:after="0" w:line="179" w:lineRule="exact"/>
        <w:rPr>
          <w:rFonts w:ascii="Arial" w:cs="Arial" w:eastAsia="Arial" w:hAnsi="Arial"/>
          <w:sz w:val="13"/>
          <w:szCs w:val="13"/>
          <w:color w:val="auto"/>
        </w:rPr>
      </w:pPr>
    </w:p>
    <w:p>
      <w:pPr>
        <w:ind w:left="260" w:hanging="128"/>
        <w:spacing w:after="0"/>
        <w:tabs>
          <w:tab w:leader="none" w:pos="2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Addressing emerging issues and innovation.</w:t>
      </w:r>
    </w:p>
    <w:p>
      <w:pPr>
        <w:spacing w:after="0" w:line="168" w:lineRule="exact"/>
        <w:rPr>
          <w:rFonts w:ascii="Arial" w:cs="Arial" w:eastAsia="Arial" w:hAnsi="Arial"/>
          <w:sz w:val="13"/>
          <w:szCs w:val="13"/>
          <w:color w:val="auto"/>
        </w:rPr>
      </w:pPr>
    </w:p>
    <w:p>
      <w:pPr>
        <w:ind w:left="260" w:hanging="128"/>
        <w:spacing w:after="0"/>
        <w:tabs>
          <w:tab w:leader="none" w:pos="2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Overseeing key strategic acquisitions, mergers and divestitures.</w:t>
      </w:r>
    </w:p>
    <w:p>
      <w:pPr>
        <w:spacing w:after="0" w:line="168" w:lineRule="exact"/>
        <w:rPr>
          <w:rFonts w:ascii="Arial" w:cs="Arial" w:eastAsia="Arial" w:hAnsi="Arial"/>
          <w:sz w:val="13"/>
          <w:szCs w:val="13"/>
          <w:color w:val="auto"/>
        </w:rPr>
      </w:pPr>
    </w:p>
    <w:p>
      <w:pPr>
        <w:ind w:left="260" w:hanging="128"/>
        <w:spacing w:after="0"/>
        <w:tabs>
          <w:tab w:leader="none" w:pos="2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Overseeing management’s response to crises and related reputational risks.</w:t>
      </w:r>
    </w:p>
    <w:p>
      <w:pPr>
        <w:spacing w:after="0" w:line="179" w:lineRule="exact"/>
        <w:rPr>
          <w:rFonts w:ascii="Arial" w:cs="Arial" w:eastAsia="Arial" w:hAnsi="Arial"/>
          <w:sz w:val="13"/>
          <w:szCs w:val="13"/>
          <w:color w:val="auto"/>
        </w:rPr>
      </w:pPr>
    </w:p>
    <w:p>
      <w:pPr>
        <w:ind w:left="260" w:hanging="128"/>
        <w:spacing w:after="0"/>
        <w:tabs>
          <w:tab w:leader="none" w:pos="2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Overseeing ESG matters, including human capital management, corporate culture and sustainability matters.</w:t>
      </w:r>
    </w:p>
    <w:p>
      <w:pPr>
        <w:spacing w:after="0" w:line="168" w:lineRule="exact"/>
        <w:rPr>
          <w:rFonts w:ascii="Arial" w:cs="Arial" w:eastAsia="Arial" w:hAnsi="Arial"/>
          <w:sz w:val="13"/>
          <w:szCs w:val="13"/>
          <w:color w:val="auto"/>
        </w:rPr>
      </w:pPr>
    </w:p>
    <w:p>
      <w:pPr>
        <w:ind w:left="260" w:hanging="128"/>
        <w:spacing w:after="0"/>
        <w:tabs>
          <w:tab w:leader="none" w:pos="2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Generally overseeing stockholder engagement.</w:t>
      </w:r>
    </w:p>
    <w:p>
      <w:pPr>
        <w:spacing w:after="0" w:line="179" w:lineRule="exact"/>
        <w:rPr>
          <w:rFonts w:ascii="Arial" w:cs="Arial" w:eastAsia="Arial" w:hAnsi="Arial"/>
          <w:sz w:val="13"/>
          <w:szCs w:val="13"/>
          <w:color w:val="auto"/>
        </w:rPr>
      </w:pPr>
    </w:p>
    <w:p>
      <w:pPr>
        <w:ind w:left="260" w:hanging="128"/>
        <w:spacing w:after="0"/>
        <w:tabs>
          <w:tab w:leader="none" w:pos="2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Succession planning for the Chief Executive Officer and other executive officers, as well as Board leadership.</w:t>
      </w:r>
    </w:p>
    <w:p>
      <w:pPr>
        <w:spacing w:after="0" w:line="168" w:lineRule="exact"/>
        <w:rPr>
          <w:rFonts w:ascii="Arial" w:cs="Arial" w:eastAsia="Arial" w:hAnsi="Arial"/>
          <w:sz w:val="13"/>
          <w:szCs w:val="13"/>
          <w:color w:val="auto"/>
        </w:rPr>
      </w:pPr>
    </w:p>
    <w:p>
      <w:pPr>
        <w:ind w:left="260" w:hanging="128"/>
        <w:spacing w:after="0"/>
        <w:tabs>
          <w:tab w:leader="none" w:pos="2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Reviewing qualifications, expertise, experience and characteristics of Board members and overseeing director nominations and appointments.</w:t>
      </w:r>
    </w:p>
    <w:p>
      <w:pPr>
        <w:spacing w:after="0" w:line="168" w:lineRule="exact"/>
        <w:rPr>
          <w:rFonts w:ascii="Arial" w:cs="Arial" w:eastAsia="Arial" w:hAnsi="Arial"/>
          <w:sz w:val="13"/>
          <w:szCs w:val="13"/>
          <w:color w:val="auto"/>
        </w:rPr>
      </w:pPr>
    </w:p>
    <w:p>
      <w:pPr>
        <w:ind w:left="260" w:hanging="128"/>
        <w:spacing w:after="0"/>
        <w:tabs>
          <w:tab w:leader="none" w:pos="2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Overseeing Board structure and composition, and reviewing director succession planning.</w:t>
      </w:r>
    </w:p>
    <w:p>
      <w:pPr>
        <w:spacing w:after="0" w:line="179" w:lineRule="exact"/>
        <w:rPr>
          <w:rFonts w:ascii="Arial" w:cs="Arial" w:eastAsia="Arial" w:hAnsi="Arial"/>
          <w:sz w:val="13"/>
          <w:szCs w:val="13"/>
          <w:color w:val="auto"/>
        </w:rPr>
      </w:pPr>
    </w:p>
    <w:p>
      <w:pPr>
        <w:ind w:left="260" w:hanging="128"/>
        <w:spacing w:after="0"/>
        <w:tabs>
          <w:tab w:leader="none" w:pos="2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Reviewing and approving Corporate Governance Guidelines and other key governance policies, and monitoring compliance.</w:t>
      </w:r>
    </w:p>
    <w:p>
      <w:pPr>
        <w:spacing w:after="0" w:line="168" w:lineRule="exact"/>
        <w:rPr>
          <w:rFonts w:ascii="Arial" w:cs="Arial" w:eastAsia="Arial" w:hAnsi="Arial"/>
          <w:sz w:val="13"/>
          <w:szCs w:val="13"/>
          <w:color w:val="auto"/>
        </w:rPr>
      </w:pPr>
    </w:p>
    <w:p>
      <w:pPr>
        <w:ind w:left="260" w:hanging="128"/>
        <w:spacing w:after="0"/>
        <w:tabs>
          <w:tab w:leader="none" w:pos="2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Managing the evaluation process for our Board and committees, and overseeing related activities resulting from such review.</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 Committee</w:t>
      </w:r>
    </w:p>
    <w:p>
      <w:pPr>
        <w:spacing w:after="0" w:line="185" w:lineRule="exact"/>
        <w:rPr>
          <w:sz w:val="20"/>
          <w:szCs w:val="20"/>
          <w:color w:val="auto"/>
        </w:rPr>
      </w:pPr>
    </w:p>
    <w:p>
      <w:pPr>
        <w:ind w:left="260" w:hanging="128"/>
        <w:spacing w:after="0"/>
        <w:tabs>
          <w:tab w:leader="none" w:pos="2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Overseeing our major financial risk exposures (including liquidity, capital spending, credit and financings) and management’s risk assessment and risk management policies.</w:t>
      </w:r>
    </w:p>
    <w:p>
      <w:pPr>
        <w:spacing w:after="0" w:line="168" w:lineRule="exact"/>
        <w:rPr>
          <w:rFonts w:ascii="Arial" w:cs="Arial" w:eastAsia="Arial" w:hAnsi="Arial"/>
          <w:sz w:val="13"/>
          <w:szCs w:val="13"/>
          <w:color w:val="auto"/>
        </w:rPr>
      </w:pPr>
    </w:p>
    <w:p>
      <w:pPr>
        <w:ind w:left="260" w:right="160" w:hanging="128"/>
        <w:spacing w:after="0" w:line="283" w:lineRule="auto"/>
        <w:tabs>
          <w:tab w:leader="none" w:pos="251" w:val="left"/>
        </w:tabs>
        <w:numPr>
          <w:ilvl w:val="0"/>
          <w:numId w:val="16"/>
        </w:numPr>
        <w:rPr>
          <w:rFonts w:ascii="Arial" w:cs="Arial" w:eastAsia="Arial" w:hAnsi="Arial"/>
          <w:sz w:val="13"/>
          <w:szCs w:val="13"/>
          <w:color w:val="auto"/>
        </w:rPr>
      </w:pPr>
      <w:r>
        <w:rPr>
          <w:rFonts w:ascii="Arial" w:cs="Arial" w:eastAsia="Arial" w:hAnsi="Arial"/>
          <w:sz w:val="13"/>
          <w:szCs w:val="13"/>
          <w:color w:val="auto"/>
        </w:rPr>
        <w:t>Reviewing financial statements and SEC reports, including the adequacy of our internal control over financial reporting, disclosure processes and any mitigating activities adopted in response to material control deficiencies.</w:t>
      </w:r>
    </w:p>
    <w:p>
      <w:pPr>
        <w:spacing w:after="0" w:line="124" w:lineRule="exact"/>
        <w:rPr>
          <w:rFonts w:ascii="Arial" w:cs="Arial" w:eastAsia="Arial" w:hAnsi="Arial"/>
          <w:sz w:val="13"/>
          <w:szCs w:val="13"/>
          <w:color w:val="auto"/>
        </w:rPr>
      </w:pPr>
    </w:p>
    <w:p>
      <w:pPr>
        <w:ind w:left="260" w:hanging="128"/>
        <w:spacing w:after="0"/>
        <w:tabs>
          <w:tab w:leader="none" w:pos="2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Monitoring legal and regulatory compliance including compliance with the Company’s Code of Business Conduct.</w:t>
      </w:r>
    </w:p>
    <w:p>
      <w:pPr>
        <w:spacing w:after="0" w:line="179" w:lineRule="exact"/>
        <w:rPr>
          <w:rFonts w:ascii="Arial" w:cs="Arial" w:eastAsia="Arial" w:hAnsi="Arial"/>
          <w:sz w:val="13"/>
          <w:szCs w:val="13"/>
          <w:color w:val="auto"/>
        </w:rPr>
      </w:pPr>
    </w:p>
    <w:p>
      <w:pPr>
        <w:ind w:left="260" w:hanging="128"/>
        <w:spacing w:after="0"/>
        <w:tabs>
          <w:tab w:leader="none" w:pos="2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Regular oversight and consultations with the independent registered public accounting firm.</w:t>
      </w:r>
    </w:p>
    <w:p>
      <w:pPr>
        <w:spacing w:after="0" w:line="168" w:lineRule="exact"/>
        <w:rPr>
          <w:rFonts w:ascii="Arial" w:cs="Arial" w:eastAsia="Arial" w:hAnsi="Arial"/>
          <w:sz w:val="13"/>
          <w:szCs w:val="13"/>
          <w:color w:val="auto"/>
        </w:rPr>
      </w:pPr>
    </w:p>
    <w:p>
      <w:pPr>
        <w:ind w:left="260" w:hanging="128"/>
        <w:spacing w:after="0"/>
        <w:tabs>
          <w:tab w:leader="none" w:pos="2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Direct oversight of the internal audit group.</w:t>
      </w:r>
    </w:p>
    <w:p>
      <w:pPr>
        <w:spacing w:after="0" w:line="168" w:lineRule="exact"/>
        <w:rPr>
          <w:rFonts w:ascii="Arial" w:cs="Arial" w:eastAsia="Arial" w:hAnsi="Arial"/>
          <w:sz w:val="13"/>
          <w:szCs w:val="13"/>
          <w:color w:val="auto"/>
        </w:rPr>
      </w:pPr>
    </w:p>
    <w:p>
      <w:pPr>
        <w:ind w:left="260" w:hanging="128"/>
        <w:spacing w:after="0"/>
        <w:tabs>
          <w:tab w:leader="none" w:pos="2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Overseeing the whistleblower hotline processes for accounting and auditing matters.</w:t>
      </w:r>
    </w:p>
    <w:p>
      <w:pPr>
        <w:spacing w:after="0" w:line="179" w:lineRule="exact"/>
        <w:rPr>
          <w:rFonts w:ascii="Arial" w:cs="Arial" w:eastAsia="Arial" w:hAnsi="Arial"/>
          <w:sz w:val="13"/>
          <w:szCs w:val="13"/>
          <w:color w:val="auto"/>
        </w:rPr>
      </w:pPr>
    </w:p>
    <w:p>
      <w:pPr>
        <w:ind w:left="260" w:hanging="128"/>
        <w:spacing w:after="0"/>
        <w:tabs>
          <w:tab w:leader="none" w:pos="2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Reviewing and approving related person transactions in accordance with our Related Person Transaction policy.</w:t>
      </w:r>
    </w:p>
    <w:p>
      <w:pPr>
        <w:spacing w:after="0" w:line="168" w:lineRule="exact"/>
        <w:rPr>
          <w:rFonts w:ascii="Arial" w:cs="Arial" w:eastAsia="Arial" w:hAnsi="Arial"/>
          <w:sz w:val="13"/>
          <w:szCs w:val="13"/>
          <w:color w:val="auto"/>
        </w:rPr>
      </w:pPr>
    </w:p>
    <w:p>
      <w:pPr>
        <w:ind w:left="260" w:hanging="128"/>
        <w:spacing w:after="0"/>
        <w:tabs>
          <w:tab w:leader="none" w:pos="2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Oversight of cybersecurity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161530" cy="2895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1530" cy="28956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21</w:t>
      </w:r>
    </w:p>
    <w:p>
      <w:pPr>
        <w:sectPr>
          <w:pgSz w:w="11900" w:h="16838" w:orient="portrait"/>
          <w:cols w:equalWidth="0" w:num="1">
            <w:col w:w="11240"/>
          </w:cols>
          <w:pgMar w:left="300" w:top="171" w:right="359" w:bottom="1440" w:gutter="0" w:footer="0" w:header="0"/>
        </w:sectPr>
      </w:pPr>
    </w:p>
    <w:bookmarkStart w:id="26" w:name="page27"/>
    <w:bookmarkEnd w:id="26"/>
    <w:p>
      <w:pPr>
        <w:ind w:left="300"/>
        <w:spacing w:after="0"/>
        <w:rPr>
          <w:sz w:val="20"/>
          <w:szCs w:val="20"/>
          <w:color w:val="auto"/>
        </w:rPr>
      </w:pPr>
      <w:r>
        <w:rPr>
          <w:rFonts w:ascii="Arial" w:cs="Arial" w:eastAsia="Arial" w:hAnsi="Arial"/>
          <w:sz w:val="13"/>
          <w:szCs w:val="13"/>
          <w:b w:val="1"/>
          <w:bCs w:val="1"/>
          <w:color w:val="00482F"/>
        </w:rPr>
        <w:drawing>
          <wp:anchor simplePos="0" relativeHeight="251657728" behindDoc="1" locked="0" layoutInCell="0" allowOverlap="1">
            <wp:simplePos x="0" y="0"/>
            <wp:positionH relativeFrom="page">
              <wp:posOffset>328295</wp:posOffset>
            </wp:positionH>
            <wp:positionV relativeFrom="page">
              <wp:posOffset>102235</wp:posOffset>
            </wp:positionV>
            <wp:extent cx="1933575" cy="147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933575" cy="147955"/>
                    </a:xfrm>
                    <a:prstGeom prst="rect">
                      <a:avLst/>
                    </a:prstGeom>
                    <a:noFill/>
                  </pic:spPr>
                </pic:pic>
              </a:graphicData>
            </a:graphic>
          </wp:anchor>
        </w:drawing>
        <w:t>BOARD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Committee</w:t>
      </w:r>
    </w:p>
    <w:p>
      <w:pPr>
        <w:spacing w:after="0" w:line="185" w:lineRule="exact"/>
        <w:rPr>
          <w:sz w:val="20"/>
          <w:szCs w:val="20"/>
          <w:color w:val="auto"/>
        </w:rPr>
      </w:pPr>
    </w:p>
    <w:p>
      <w:pPr>
        <w:ind w:left="260" w:hanging="128"/>
        <w:spacing w:after="0"/>
        <w:tabs>
          <w:tab w:leader="none" w:pos="2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Reviewing and approving compensation and severance/termination policies and agreements with executive officers.</w:t>
      </w:r>
    </w:p>
    <w:p>
      <w:pPr>
        <w:spacing w:after="0" w:line="168" w:lineRule="exact"/>
        <w:rPr>
          <w:rFonts w:ascii="Arial" w:cs="Arial" w:eastAsia="Arial" w:hAnsi="Arial"/>
          <w:sz w:val="13"/>
          <w:szCs w:val="13"/>
          <w:color w:val="auto"/>
        </w:rPr>
      </w:pPr>
    </w:p>
    <w:p>
      <w:pPr>
        <w:ind w:left="260" w:hanging="128"/>
        <w:spacing w:after="0"/>
        <w:tabs>
          <w:tab w:leader="none" w:pos="2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Evaluating director and executive officer compensation programs.</w:t>
      </w:r>
    </w:p>
    <w:p>
      <w:pPr>
        <w:spacing w:after="0" w:line="168" w:lineRule="exact"/>
        <w:rPr>
          <w:rFonts w:ascii="Arial" w:cs="Arial" w:eastAsia="Arial" w:hAnsi="Arial"/>
          <w:sz w:val="13"/>
          <w:szCs w:val="13"/>
          <w:color w:val="auto"/>
        </w:rPr>
      </w:pPr>
    </w:p>
    <w:p>
      <w:pPr>
        <w:ind w:left="260" w:hanging="128"/>
        <w:spacing w:after="0"/>
        <w:tabs>
          <w:tab w:leader="none" w:pos="2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Considering whether and how our executive compensation philosophy, policies and programs support our overall business strategy.</w:t>
      </w:r>
    </w:p>
    <w:p>
      <w:pPr>
        <w:spacing w:after="0" w:line="179" w:lineRule="exact"/>
        <w:rPr>
          <w:rFonts w:ascii="Arial" w:cs="Arial" w:eastAsia="Arial" w:hAnsi="Arial"/>
          <w:sz w:val="13"/>
          <w:szCs w:val="13"/>
          <w:color w:val="auto"/>
        </w:rPr>
      </w:pPr>
    </w:p>
    <w:p>
      <w:pPr>
        <w:ind w:left="260" w:hanging="128"/>
        <w:spacing w:after="0"/>
        <w:tabs>
          <w:tab w:leader="none" w:pos="2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Reviewing the material risks associated with our compensation structure, policies and programs for all employees to determine whether they encourage excessive risk-taking.</w:t>
      </w:r>
    </w:p>
    <w:p>
      <w:pPr>
        <w:spacing w:after="0" w:line="168" w:lineRule="exact"/>
        <w:rPr>
          <w:rFonts w:ascii="Arial" w:cs="Arial" w:eastAsia="Arial" w:hAnsi="Arial"/>
          <w:sz w:val="13"/>
          <w:szCs w:val="13"/>
          <w:color w:val="auto"/>
        </w:rPr>
      </w:pPr>
    </w:p>
    <w:p>
      <w:pPr>
        <w:ind w:left="260" w:hanging="128"/>
        <w:spacing w:after="0"/>
        <w:tabs>
          <w:tab w:leader="none" w:pos="2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Evaluating compensation policies and practices to mitigate risk.</w:t>
      </w:r>
    </w:p>
    <w:p>
      <w:pPr>
        <w:spacing w:after="0" w:line="179" w:lineRule="exact"/>
        <w:rPr>
          <w:rFonts w:ascii="Arial" w:cs="Arial" w:eastAsia="Arial" w:hAnsi="Arial"/>
          <w:sz w:val="13"/>
          <w:szCs w:val="13"/>
          <w:color w:val="auto"/>
        </w:rPr>
      </w:pPr>
    </w:p>
    <w:p>
      <w:pPr>
        <w:ind w:left="260" w:hanging="128"/>
        <w:spacing w:after="0"/>
        <w:tabs>
          <w:tab w:leader="none" w:pos="2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Directly overseeing stockholder engagement related to compensation matters.</w:t>
      </w:r>
    </w:p>
    <w:p>
      <w:pPr>
        <w:spacing w:after="0" w:line="169"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Our Board and its committees have been, and continue to be, prepared to commit the necessary resources and time to oversee the management of critical matters of the Company, including in times of an actual or potential crisis.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Tailored Corporate Governance Policies to Ensure Integrity and Ethical Conduct</w:t>
      </w:r>
    </w:p>
    <w:p>
      <w:pPr>
        <w:spacing w:after="0" w:line="181" w:lineRule="exact"/>
        <w:rPr>
          <w:sz w:val="20"/>
          <w:szCs w:val="20"/>
          <w:color w:val="auto"/>
        </w:rPr>
      </w:pPr>
    </w:p>
    <w:p>
      <w:pPr>
        <w:ind w:right="360"/>
        <w:spacing w:after="0" w:line="283" w:lineRule="auto"/>
        <w:rPr>
          <w:sz w:val="20"/>
          <w:szCs w:val="20"/>
          <w:color w:val="auto"/>
        </w:rPr>
      </w:pPr>
      <w:r>
        <w:rPr>
          <w:rFonts w:ascii="Arial" w:cs="Arial" w:eastAsia="Arial" w:hAnsi="Arial"/>
          <w:sz w:val="13"/>
          <w:szCs w:val="13"/>
          <w:color w:val="auto"/>
        </w:rPr>
        <w:t>Our Board has adopted tailored governance practices appropriate for our public company status. Our policies align our corporate governance structure and our business strategy and culture, and enable our Board to effectively oversee our culture of compliance and rigorous risk management.</w:t>
      </w:r>
    </w:p>
    <w:p>
      <w:pPr>
        <w:spacing w:after="0" w:line="125" w:lineRule="exact"/>
        <w:rPr>
          <w:sz w:val="20"/>
          <w:szCs w:val="20"/>
          <w:color w:val="auto"/>
        </w:rPr>
      </w:pPr>
    </w:p>
    <w:p>
      <w:pPr>
        <w:spacing w:after="0"/>
        <w:rPr>
          <w:sz w:val="20"/>
          <w:szCs w:val="20"/>
          <w:color w:val="auto"/>
        </w:rPr>
      </w:pPr>
      <w:r>
        <w:rPr>
          <w:rFonts w:ascii="Arial" w:cs="Arial" w:eastAsia="Arial" w:hAnsi="Arial"/>
          <w:sz w:val="13"/>
          <w:szCs w:val="13"/>
          <w:color w:val="auto"/>
        </w:rPr>
        <w:t>Copies of our Corporate Governance Guidelines and our Code of Business Conduct are available under the Governance tab of our website at https://investors.nerdwallet.com.</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Code of Business Conduct—Establishing A Culture of Compliance</w:t>
      </w:r>
    </w:p>
    <w:p>
      <w:pPr>
        <w:spacing w:after="0" w:line="185" w:lineRule="exact"/>
        <w:rPr>
          <w:sz w:val="20"/>
          <w:szCs w:val="20"/>
          <w:color w:val="auto"/>
        </w:rPr>
      </w:pPr>
    </w:p>
    <w:p>
      <w:pPr>
        <w:ind w:right="140"/>
        <w:spacing w:after="0" w:line="249" w:lineRule="auto"/>
        <w:rPr>
          <w:sz w:val="20"/>
          <w:szCs w:val="20"/>
          <w:color w:val="auto"/>
        </w:rPr>
      </w:pPr>
      <w:r>
        <w:rPr>
          <w:rFonts w:ascii="Arial" w:cs="Arial" w:eastAsia="Arial" w:hAnsi="Arial"/>
          <w:sz w:val="13"/>
          <w:szCs w:val="13"/>
          <w:color w:val="auto"/>
        </w:rPr>
        <w:t>In September 2021, our Board adopted a Code of Business Conduct. Our Code of Business Conduct applies to all of our directors, officers and employees and is intended to comply with the relevant listing requirements for a code of conduct as well as qualify as a “code of ethics” as defined by the rules of the SEC. The Code of Business Conduct contains general guidelines for conducting our business consistent with the highest standards of business ethics. We intend to disclose future amendments to certain provisions of our Code of Business Conduct, or waivers of such provisions applicable to any principal executive officer, principal financial officer, principal accounting officer and controller, or persons performing similar functions, and our directors, on our website at https://investors.nerdwallet.com or via a Current Report on Form 8-K.</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Governance Guidelines—Establishing Core Principles of Governance</w:t>
      </w:r>
    </w:p>
    <w:p>
      <w:pPr>
        <w:spacing w:after="0" w:line="174" w:lineRule="exact"/>
        <w:rPr>
          <w:sz w:val="20"/>
          <w:szCs w:val="20"/>
          <w:color w:val="auto"/>
        </w:rPr>
      </w:pPr>
    </w:p>
    <w:p>
      <w:pPr>
        <w:ind w:right="60"/>
        <w:spacing w:after="0" w:line="259" w:lineRule="auto"/>
        <w:rPr>
          <w:sz w:val="20"/>
          <w:szCs w:val="20"/>
          <w:color w:val="auto"/>
        </w:rPr>
      </w:pPr>
      <w:r>
        <w:rPr>
          <w:rFonts w:ascii="Arial" w:cs="Arial" w:eastAsia="Arial" w:hAnsi="Arial"/>
          <w:sz w:val="13"/>
          <w:szCs w:val="13"/>
          <w:color w:val="auto"/>
        </w:rPr>
        <w:t>We believe that good corporate governance promotes the effective functioning of our Board and its committees and helps to ensure that the Company is managed for the long-term benefits of our stockholders. We regularly review and consider our corporate governance policies and practices, the SEC’s corporate governance rules and regulations, and the Nasdaq Listing Rules. In September 2021, our Board adopted our Corporate Governance Guidelines to provide a framework for the governance of the Company as a whole and describe the principles and practices that our Board follows in carrying out its responsibilities.</w:t>
      </w:r>
    </w:p>
    <w:p>
      <w:pPr>
        <w:spacing w:after="0" w:line="140" w:lineRule="exact"/>
        <w:rPr>
          <w:sz w:val="20"/>
          <w:szCs w:val="20"/>
          <w:color w:val="auto"/>
        </w:rPr>
      </w:pPr>
    </w:p>
    <w:p>
      <w:pPr>
        <w:ind w:right="120"/>
        <w:spacing w:after="0" w:line="253" w:lineRule="auto"/>
        <w:rPr>
          <w:sz w:val="20"/>
          <w:szCs w:val="20"/>
          <w:color w:val="auto"/>
        </w:rPr>
      </w:pPr>
      <w:r>
        <w:rPr>
          <w:rFonts w:ascii="Arial" w:cs="Arial" w:eastAsia="Arial" w:hAnsi="Arial"/>
          <w:sz w:val="13"/>
          <w:szCs w:val="13"/>
          <w:color w:val="auto"/>
        </w:rPr>
        <w:t>Such Corporate Governance Guidelines will be regularly reviewed by our Board to ensure that they effectively promote the best interests of both the Company and our stockholders and that they comply with all applicable laws, regulations and Nasdaq Listing Rules. The Corporate Governance Guidelines address, among other things, the size, composition, structure, leadership and policies of our Board and its committees, the responsibilities and authority of our Chairman and lead director (if any), director qualification standards, expectations and responsibilities of directors, management succession planning and the evaluation of Board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307340</wp:posOffset>
            </wp:positionV>
            <wp:extent cx="7161530" cy="2895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1530" cy="289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 xml:space="preserve">22 </w:t>
      </w:r>
      <w:r>
        <w:rPr>
          <w:rFonts w:ascii="Arial" w:cs="Arial" w:eastAsia="Arial" w:hAnsi="Arial"/>
          <w:sz w:val="13"/>
          <w:szCs w:val="13"/>
          <w:color w:val="auto"/>
        </w:rPr>
        <w:t>PROXY STATEMENT 2025</w:t>
      </w:r>
    </w:p>
    <w:p>
      <w:pPr>
        <w:sectPr>
          <w:pgSz w:w="11900" w:h="16838" w:orient="portrait"/>
          <w:cols w:equalWidth="0" w:num="1">
            <w:col w:w="11280"/>
          </w:cols>
          <w:pgMar w:left="300" w:top="171" w:right="319" w:bottom="1440" w:gutter="0" w:footer="0" w:header="0"/>
        </w:sectPr>
      </w:pPr>
    </w:p>
    <w:bookmarkStart w:id="27" w:name="page28"/>
    <w:bookmarkEnd w:id="27"/>
    <w:p>
      <w:pPr>
        <w:ind w:left="8120"/>
        <w:spacing w:after="0"/>
        <w:rPr>
          <w:sz w:val="20"/>
          <w:szCs w:val="20"/>
          <w:color w:val="auto"/>
        </w:rPr>
      </w:pPr>
      <w:r>
        <w:rPr>
          <w:rFonts w:ascii="Arial" w:cs="Arial" w:eastAsia="Arial" w:hAnsi="Arial"/>
          <w:sz w:val="13"/>
          <w:szCs w:val="13"/>
          <w:b w:val="1"/>
          <w:bCs w:val="1"/>
          <w:color w:val="00482F"/>
        </w:rPr>
        <w:drawing>
          <wp:anchor simplePos="0" relativeHeight="251657728" behindDoc="1" locked="0" layoutInCell="0" allowOverlap="1">
            <wp:simplePos x="0" y="0"/>
            <wp:positionH relativeFrom="page">
              <wp:posOffset>5293995</wp:posOffset>
            </wp:positionH>
            <wp:positionV relativeFrom="page">
              <wp:posOffset>102235</wp:posOffset>
            </wp:positionV>
            <wp:extent cx="1933575" cy="147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933575" cy="147955"/>
                    </a:xfrm>
                    <a:prstGeom prst="rect">
                      <a:avLst/>
                    </a:prstGeom>
                    <a:noFill/>
                  </pic:spPr>
                </pic:pic>
              </a:graphicData>
            </a:graphic>
          </wp:anchor>
        </w:drawing>
        <w:t>BOARD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Insider Trading Policy—Addressing Pledging and Hedging Guidance</w:t>
      </w:r>
    </w:p>
    <w:p>
      <w:pPr>
        <w:spacing w:after="0" w:line="185" w:lineRule="exact"/>
        <w:rPr>
          <w:sz w:val="20"/>
          <w:szCs w:val="20"/>
          <w:color w:val="auto"/>
        </w:rPr>
      </w:pPr>
    </w:p>
    <w:p>
      <w:pPr>
        <w:spacing w:after="0" w:line="249" w:lineRule="auto"/>
        <w:rPr>
          <w:sz w:val="20"/>
          <w:szCs w:val="20"/>
          <w:color w:val="auto"/>
        </w:rPr>
      </w:pPr>
      <w:r>
        <w:rPr>
          <w:rFonts w:ascii="Arial" w:cs="Arial" w:eastAsia="Arial" w:hAnsi="Arial"/>
          <w:sz w:val="13"/>
          <w:szCs w:val="13"/>
          <w:color w:val="auto"/>
        </w:rPr>
        <w:t>We believe it is improper and inappropriate for any person to engage in short-term or speculative transactions involving our securities and have adopted an insider trading policy and procedures that govern the purchase, sale, and other dispositions of our securities by officers and directors that are reasonably designed to promote compliance with insider trading laws, rules and regulations, and applicable listing standards. This policy and procedures are set forth in our Insider Trading Policy, which is filed as Exhibit 19.1 to the Annual Report. We comply with insider trading laws, rules and regulations, and applicable listing standards in any transactions involving our own securities. In addition, we prohibit our officers, directors and employees from engaging in any of the following activities with respect to our securities:</w:t>
      </w:r>
    </w:p>
    <w:p>
      <w:pPr>
        <w:spacing w:after="0" w:line="158" w:lineRule="exact"/>
        <w:rPr>
          <w:sz w:val="20"/>
          <w:szCs w:val="20"/>
          <w:color w:val="auto"/>
        </w:rPr>
      </w:pPr>
    </w:p>
    <w:p>
      <w:pPr>
        <w:ind w:left="260" w:hanging="128"/>
        <w:spacing w:after="0"/>
        <w:tabs>
          <w:tab w:leader="none" w:pos="2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Pledging/purchases of securities on margin. Our officers, directors and employees are prohibited from pledging our securities as security for margin accounts.</w:t>
      </w:r>
    </w:p>
    <w:p>
      <w:pPr>
        <w:spacing w:after="0" w:line="168" w:lineRule="exact"/>
        <w:rPr>
          <w:rFonts w:ascii="Arial" w:cs="Arial" w:eastAsia="Arial" w:hAnsi="Arial"/>
          <w:sz w:val="13"/>
          <w:szCs w:val="13"/>
          <w:color w:val="auto"/>
        </w:rPr>
      </w:pPr>
    </w:p>
    <w:p>
      <w:pPr>
        <w:ind w:left="260" w:hanging="128"/>
        <w:spacing w:after="0"/>
        <w:tabs>
          <w:tab w:leader="none" w:pos="2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Short sales. Our Insider Trading Policy prohibits all officers, directors and employees from selling Company securities they do not own and borrowing the shares to make delivery.</w:t>
      </w:r>
    </w:p>
    <w:p>
      <w:pPr>
        <w:spacing w:after="0" w:line="168" w:lineRule="exact"/>
        <w:rPr>
          <w:rFonts w:ascii="Arial" w:cs="Arial" w:eastAsia="Arial" w:hAnsi="Arial"/>
          <w:sz w:val="13"/>
          <w:szCs w:val="13"/>
          <w:color w:val="auto"/>
        </w:rPr>
      </w:pPr>
    </w:p>
    <w:p>
      <w:pPr>
        <w:ind w:left="260" w:right="300" w:hanging="128"/>
        <w:spacing w:after="0" w:line="283" w:lineRule="auto"/>
        <w:tabs>
          <w:tab w:leader="none" w:pos="251" w:val="left"/>
        </w:tabs>
        <w:numPr>
          <w:ilvl w:val="0"/>
          <w:numId w:val="18"/>
        </w:numPr>
        <w:rPr>
          <w:rFonts w:ascii="Arial" w:cs="Arial" w:eastAsia="Arial" w:hAnsi="Arial"/>
          <w:sz w:val="13"/>
          <w:szCs w:val="13"/>
          <w:color w:val="auto"/>
        </w:rPr>
      </w:pPr>
      <w:r>
        <w:rPr>
          <w:rFonts w:ascii="Arial" w:cs="Arial" w:eastAsia="Arial" w:hAnsi="Arial"/>
          <w:sz w:val="13"/>
          <w:szCs w:val="13"/>
          <w:color w:val="auto"/>
        </w:rPr>
        <w:t>Buying or selling puts, calls, options or other derivatives in respect of our securities is prohibited. This prohibition extends to any instrument whose value is derived from the value of any of our securities.</w:t>
      </w:r>
    </w:p>
    <w:p>
      <w:pPr>
        <w:spacing w:after="0" w:line="124" w:lineRule="exact"/>
        <w:rPr>
          <w:rFonts w:ascii="Arial" w:cs="Arial" w:eastAsia="Arial" w:hAnsi="Arial"/>
          <w:sz w:val="13"/>
          <w:szCs w:val="13"/>
          <w:color w:val="auto"/>
        </w:rPr>
      </w:pPr>
    </w:p>
    <w:p>
      <w:pPr>
        <w:ind w:left="260" w:hanging="128"/>
        <w:spacing w:after="0"/>
        <w:tabs>
          <w:tab w:leader="none" w:pos="2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Hedging transactions. Our officers, directors and employees are prohibited from entering into hedging transactions.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Evaluation Process</w:t>
      </w:r>
    </w:p>
    <w:p>
      <w:pPr>
        <w:spacing w:after="0" w:line="181" w:lineRule="exact"/>
        <w:rPr>
          <w:sz w:val="20"/>
          <w:szCs w:val="20"/>
          <w:color w:val="auto"/>
        </w:rPr>
      </w:pPr>
    </w:p>
    <w:p>
      <w:pPr>
        <w:ind w:right="80"/>
        <w:spacing w:after="0" w:line="261" w:lineRule="auto"/>
        <w:rPr>
          <w:sz w:val="20"/>
          <w:szCs w:val="20"/>
          <w:color w:val="auto"/>
        </w:rPr>
      </w:pPr>
      <w:r>
        <w:rPr>
          <w:rFonts w:ascii="Arial" w:cs="Arial" w:eastAsia="Arial" w:hAnsi="Arial"/>
          <w:sz w:val="13"/>
          <w:szCs w:val="13"/>
          <w:color w:val="auto"/>
        </w:rPr>
        <w:t>Our Board believes it is important to assess its overall performance and the performance of our Board committees in order to serve the best interests of our stockholders and position the Company for future success. Beginning in 2022, our Board and each committee have conducted such annual evaluations to determine whether it and its committees are functioning effectively. Our Board will oversee the determination and implementation of an appropriate process and recommended activities in response to such findings.</w:t>
      </w:r>
    </w:p>
    <w:p>
      <w:pPr>
        <w:spacing w:after="0" w:line="215" w:lineRule="exact"/>
        <w:rPr>
          <w:sz w:val="20"/>
          <w:szCs w:val="20"/>
          <w:color w:val="auto"/>
        </w:rPr>
      </w:pPr>
    </w:p>
    <w:p>
      <w:pPr>
        <w:ind w:right="540"/>
        <w:spacing w:after="0" w:line="288" w:lineRule="auto"/>
        <w:rPr>
          <w:sz w:val="20"/>
          <w:szCs w:val="20"/>
          <w:color w:val="auto"/>
        </w:rPr>
      </w:pPr>
      <w:r>
        <w:rPr>
          <w:rFonts w:ascii="Arial" w:cs="Arial" w:eastAsia="Arial" w:hAnsi="Arial"/>
          <w:sz w:val="20"/>
          <w:szCs w:val="20"/>
          <w:b w:val="1"/>
          <w:bCs w:val="1"/>
          <w:color w:val="auto"/>
        </w:rPr>
        <w:t>Director Onboarding and Continuing Education—Connecting New Directors to the Company’s Unique Culture and Business, and Maintaining Key Expertise in an Evolving Regulatory and Business Landscape</w:t>
      </w:r>
    </w:p>
    <w:p>
      <w:pPr>
        <w:spacing w:after="0" w:line="104" w:lineRule="exact"/>
        <w:rPr>
          <w:sz w:val="20"/>
          <w:szCs w:val="20"/>
          <w:color w:val="auto"/>
        </w:rPr>
      </w:pPr>
    </w:p>
    <w:p>
      <w:pPr>
        <w:ind w:right="80"/>
        <w:spacing w:after="0" w:line="309" w:lineRule="auto"/>
        <w:rPr>
          <w:sz w:val="20"/>
          <w:szCs w:val="20"/>
          <w:color w:val="auto"/>
        </w:rPr>
      </w:pPr>
      <w:r>
        <w:rPr>
          <w:rFonts w:ascii="Arial" w:cs="Arial" w:eastAsia="Arial" w:hAnsi="Arial"/>
          <w:sz w:val="12"/>
          <w:szCs w:val="12"/>
          <w:color w:val="auto"/>
        </w:rPr>
        <w:t>Our Board oversees the Company’s orientation programs for new directors and continuing education programs for existing directors. Each new director, upon joining our Board, is provided with an orientation session regarding our Board and the Company’s operations. As part of this orientation, each new director has an opportunity to meet with members of senior management of the Company.</w:t>
      </w:r>
    </w:p>
    <w:p>
      <w:pPr>
        <w:spacing w:after="0" w:line="122" w:lineRule="exact"/>
        <w:rPr>
          <w:sz w:val="20"/>
          <w:szCs w:val="20"/>
          <w:color w:val="auto"/>
        </w:rPr>
      </w:pPr>
    </w:p>
    <w:p>
      <w:pPr>
        <w:ind w:right="440"/>
        <w:spacing w:after="0" w:line="266" w:lineRule="auto"/>
        <w:rPr>
          <w:sz w:val="20"/>
          <w:szCs w:val="20"/>
          <w:color w:val="auto"/>
        </w:rPr>
      </w:pPr>
      <w:r>
        <w:rPr>
          <w:rFonts w:ascii="Arial" w:cs="Arial" w:eastAsia="Arial" w:hAnsi="Arial"/>
          <w:sz w:val="13"/>
          <w:szCs w:val="13"/>
          <w:color w:val="auto"/>
        </w:rPr>
        <w:t>Directors are encouraged to participate in continuing education on various subjects that will assist them in discharging their duties. This may include seminars, conferences and other continuing education programs designed for directors of public companies.</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Communications With Our Board</w:t>
      </w:r>
    </w:p>
    <w:p>
      <w:pPr>
        <w:spacing w:after="0" w:line="192" w:lineRule="exact"/>
        <w:rPr>
          <w:sz w:val="20"/>
          <w:szCs w:val="20"/>
          <w:color w:val="auto"/>
        </w:rPr>
      </w:pPr>
    </w:p>
    <w:p>
      <w:pPr>
        <w:ind w:right="80"/>
        <w:spacing w:after="0" w:line="261" w:lineRule="auto"/>
        <w:rPr>
          <w:sz w:val="20"/>
          <w:szCs w:val="20"/>
          <w:color w:val="auto"/>
        </w:rPr>
      </w:pPr>
      <w:r>
        <w:rPr>
          <w:rFonts w:ascii="Arial" w:cs="Arial" w:eastAsia="Arial" w:hAnsi="Arial"/>
          <w:sz w:val="13"/>
          <w:szCs w:val="13"/>
          <w:color w:val="auto"/>
        </w:rPr>
        <w:t>If you want to communicate with the non-management members of our Board, you should send a letter to any such director at 4150 N. Drinkwater Blvd., Suite 200, Scottsdale, Arizona 85251 or to the email address boardofdirectors@nerdwallet.com. The Corporate Secretary may sort or summarize the communications as appropriate. Communications that are commercial solicitations, customer complaints, incoherent or inappropriate will not be communicated to the non-management members of our Board.</w:t>
      </w:r>
    </w:p>
    <w:p>
      <w:pPr>
        <w:spacing w:after="0" w:line="138" w:lineRule="exact"/>
        <w:rPr>
          <w:sz w:val="20"/>
          <w:szCs w:val="20"/>
          <w:color w:val="auto"/>
        </w:rPr>
      </w:pPr>
    </w:p>
    <w:p>
      <w:pPr>
        <w:spacing w:after="0"/>
        <w:rPr>
          <w:sz w:val="20"/>
          <w:szCs w:val="20"/>
          <w:color w:val="auto"/>
        </w:rPr>
      </w:pPr>
      <w:r>
        <w:rPr>
          <w:rFonts w:ascii="Arial" w:cs="Arial" w:eastAsia="Arial" w:hAnsi="Arial"/>
          <w:sz w:val="12"/>
          <w:szCs w:val="12"/>
          <w:color w:val="auto"/>
        </w:rPr>
        <w:t xml:space="preserve">To submit concerns regarding accounting, internal accounting controls or auditing matters, you may email the chair of our Audit Committee at </w:t>
      </w:r>
      <w:r>
        <w:rPr>
          <w:rFonts w:ascii="Arial" w:cs="Arial" w:eastAsia="Arial" w:hAnsi="Arial"/>
          <w:sz w:val="12"/>
          <w:szCs w:val="12"/>
          <w:u w:val="single" w:color="auto"/>
          <w:color w:val="auto"/>
        </w:rPr>
        <w:t>auditchair@nerdwallet.com</w:t>
      </w:r>
      <w:r>
        <w:rPr>
          <w:rFonts w:ascii="Arial" w:cs="Arial" w:eastAsia="Arial" w:hAnsi="Arial"/>
          <w:sz w:val="12"/>
          <w:szCs w:val="12"/>
          <w:color w:val="auto"/>
        </w:rPr>
        <w:t xml:space="preserve"> or call our reporting hotline at</w:t>
      </w:r>
    </w:p>
    <w:p>
      <w:pPr>
        <w:spacing w:after="0" w:line="23" w:lineRule="exact"/>
        <w:rPr>
          <w:sz w:val="20"/>
          <w:szCs w:val="20"/>
          <w:color w:val="auto"/>
        </w:rPr>
      </w:pPr>
    </w:p>
    <w:p>
      <w:pPr>
        <w:ind w:right="560" w:firstLine="5"/>
        <w:spacing w:after="0" w:line="264" w:lineRule="auto"/>
        <w:tabs>
          <w:tab w:leader="none" w:pos="333" w:val="left"/>
        </w:tabs>
        <w:numPr>
          <w:ilvl w:val="0"/>
          <w:numId w:val="19"/>
        </w:numPr>
        <w:rPr>
          <w:rFonts w:ascii="Arial" w:cs="Arial" w:eastAsia="Arial" w:hAnsi="Arial"/>
          <w:sz w:val="13"/>
          <w:szCs w:val="13"/>
          <w:color w:val="auto"/>
        </w:rPr>
      </w:pPr>
      <w:r>
        <w:rPr>
          <w:rFonts w:ascii="Arial" w:cs="Arial" w:eastAsia="Arial" w:hAnsi="Arial"/>
          <w:sz w:val="13"/>
          <w:szCs w:val="13"/>
          <w:color w:val="auto"/>
        </w:rPr>
        <w:t>836-6742. NerdWallet employees may submit such concerns on a confidential or anonymous basis. Communications made through the confidential hotline will be reviewed by our Audit Committee in accordance with its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173990</wp:posOffset>
            </wp:positionV>
            <wp:extent cx="7161530" cy="2895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1530" cy="28956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11080"/>
        <w:spacing w:after="0"/>
        <w:rPr>
          <w:sz w:val="20"/>
          <w:szCs w:val="20"/>
          <w:color w:val="auto"/>
        </w:rPr>
      </w:pPr>
      <w:r>
        <w:rPr>
          <w:rFonts w:ascii="Arial" w:cs="Arial" w:eastAsia="Arial" w:hAnsi="Arial"/>
          <w:sz w:val="13"/>
          <w:szCs w:val="13"/>
          <w:b w:val="1"/>
          <w:bCs w:val="1"/>
          <w:color w:val="auto"/>
        </w:rPr>
        <w:t>23</w:t>
      </w:r>
    </w:p>
    <w:p>
      <w:pPr>
        <w:sectPr>
          <w:pgSz w:w="11900" w:h="16838" w:orient="portrait"/>
          <w:cols w:equalWidth="0" w:num="1">
            <w:col w:w="11260"/>
          </w:cols>
          <w:pgMar w:left="300" w:top="171" w:right="339" w:bottom="1440" w:gutter="0" w:footer="0" w:header="0"/>
        </w:sectPr>
      </w:pPr>
    </w:p>
    <w:bookmarkStart w:id="28" w:name="page29"/>
    <w:bookmarkEnd w:id="28"/>
    <w:p>
      <w:pPr>
        <w:ind w:left="300"/>
        <w:spacing w:after="0"/>
        <w:rPr>
          <w:sz w:val="20"/>
          <w:szCs w:val="20"/>
          <w:color w:val="auto"/>
        </w:rPr>
      </w:pPr>
      <w:r>
        <w:rPr>
          <w:rFonts w:ascii="Arial" w:cs="Arial" w:eastAsia="Arial" w:hAnsi="Arial"/>
          <w:sz w:val="13"/>
          <w:szCs w:val="13"/>
          <w:b w:val="1"/>
          <w:bCs w:val="1"/>
          <w:color w:val="00482F"/>
        </w:rPr>
        <w:drawing>
          <wp:anchor simplePos="0" relativeHeight="251657728" behindDoc="1" locked="0" layoutInCell="0" allowOverlap="1">
            <wp:simplePos x="0" y="0"/>
            <wp:positionH relativeFrom="page">
              <wp:posOffset>328295</wp:posOffset>
            </wp:positionH>
            <wp:positionV relativeFrom="page">
              <wp:posOffset>102235</wp:posOffset>
            </wp:positionV>
            <wp:extent cx="1933575" cy="147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933575" cy="147955"/>
                    </a:xfrm>
                    <a:prstGeom prst="rect">
                      <a:avLst/>
                    </a:prstGeom>
                    <a:noFill/>
                  </pic:spPr>
                </pic:pic>
              </a:graphicData>
            </a:graphic>
          </wp:anchor>
        </w:drawing>
        <w:t>BOARD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of Non-Employee Directors for 2024</w:t>
      </w:r>
    </w:p>
    <w:p>
      <w:pPr>
        <w:spacing w:after="0" w:line="192" w:lineRule="exact"/>
        <w:rPr>
          <w:sz w:val="20"/>
          <w:szCs w:val="20"/>
          <w:color w:val="auto"/>
        </w:rPr>
      </w:pPr>
    </w:p>
    <w:p>
      <w:pPr>
        <w:ind w:right="60"/>
        <w:spacing w:after="0" w:line="242" w:lineRule="auto"/>
        <w:rPr>
          <w:sz w:val="20"/>
          <w:szCs w:val="20"/>
          <w:color w:val="auto"/>
        </w:rPr>
      </w:pPr>
      <w:r>
        <w:rPr>
          <w:rFonts w:ascii="Arial" w:cs="Arial" w:eastAsia="Arial" w:hAnsi="Arial"/>
          <w:sz w:val="13"/>
          <w:szCs w:val="13"/>
          <w:color w:val="auto"/>
        </w:rPr>
        <w:t>Our director compensation program is designed to attract and retain qualified directors, fairly compensate directors for the time they spend in fulfilling their duties and align their compensation with the interests of stockholders. The Compensation Committee periodically reviews director compensation and will recommend any appropriate changes to the Board. In 2021, we implemented a policy pursuant to which each non-employee director will receive the following cash compensation for service on our Board, paid quarterly, in arrears on the last day of each fiscal quarter in which the service occurred: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200" w:type="dxa"/>
            <w:vAlign w:val="bottom"/>
            <w:tcBorders>
              <w:top w:val="single" w:sz="8" w:color="008256"/>
            </w:tcBorders>
            <w:shd w:val="clear" w:color="auto" w:fill="E6F4EF"/>
          </w:tcPr>
          <w:p>
            <w:pPr>
              <w:ind w:left="80"/>
              <w:spacing w:after="0"/>
              <w:rPr>
                <w:sz w:val="20"/>
                <w:szCs w:val="20"/>
                <w:color w:val="auto"/>
              </w:rPr>
            </w:pPr>
            <w:r>
              <w:rPr>
                <w:rFonts w:ascii="Arial" w:cs="Arial" w:eastAsia="Arial" w:hAnsi="Arial"/>
                <w:sz w:val="13"/>
                <w:szCs w:val="13"/>
                <w:b w:val="1"/>
                <w:bCs w:val="1"/>
                <w:color w:val="auto"/>
              </w:rPr>
              <w:t>Annual Compensation of Non-</w:t>
            </w:r>
          </w:p>
        </w:tc>
        <w:tc>
          <w:tcPr>
            <w:tcW w:w="9080" w:type="dxa"/>
            <w:vAlign w:val="bottom"/>
            <w:tcBorders>
              <w:top w:val="single" w:sz="8" w:color="008256"/>
            </w:tcBorders>
            <w:vMerge w:val="restart"/>
          </w:tcPr>
          <w:p>
            <w:pPr>
              <w:ind w:left="140"/>
              <w:spacing w:after="0"/>
              <w:rPr>
                <w:sz w:val="20"/>
                <w:szCs w:val="20"/>
                <w:color w:val="auto"/>
              </w:rPr>
            </w:pPr>
            <w:r>
              <w:rPr>
                <w:rFonts w:ascii="Arial" w:cs="Arial" w:eastAsia="Arial" w:hAnsi="Arial"/>
                <w:sz w:val="13"/>
                <w:szCs w:val="13"/>
                <w:color w:val="60BAFF"/>
              </w:rPr>
              <w:t xml:space="preserve">• </w:t>
            </w:r>
            <w:r>
              <w:rPr>
                <w:rFonts w:ascii="Arial" w:cs="Arial" w:eastAsia="Arial" w:hAnsi="Arial"/>
                <w:sz w:val="13"/>
                <w:szCs w:val="13"/>
                <w:color w:val="000000"/>
              </w:rPr>
              <w:t>Board Member — $50,000</w:t>
            </w:r>
          </w:p>
        </w:tc>
        <w:tc>
          <w:tcPr>
            <w:tcW w:w="0" w:type="dxa"/>
            <w:vAlign w:val="bottom"/>
          </w:tcPr>
          <w:p>
            <w:pPr>
              <w:spacing w:after="0"/>
              <w:rPr>
                <w:sz w:val="1"/>
                <w:szCs w:val="1"/>
                <w:color w:val="auto"/>
              </w:rPr>
            </w:pPr>
          </w:p>
        </w:tc>
      </w:tr>
      <w:tr>
        <w:trPr>
          <w:trHeight w:val="173"/>
        </w:trPr>
        <w:tc>
          <w:tcPr>
            <w:tcW w:w="2200" w:type="dxa"/>
            <w:vAlign w:val="bottom"/>
            <w:shd w:val="clear" w:color="auto" w:fill="E6F4EF"/>
          </w:tcPr>
          <w:p>
            <w:pPr>
              <w:ind w:left="80"/>
              <w:spacing w:after="0"/>
              <w:rPr>
                <w:sz w:val="20"/>
                <w:szCs w:val="20"/>
                <w:color w:val="auto"/>
              </w:rPr>
            </w:pPr>
            <w:r>
              <w:rPr>
                <w:rFonts w:ascii="Arial" w:cs="Arial" w:eastAsia="Arial" w:hAnsi="Arial"/>
                <w:sz w:val="13"/>
                <w:szCs w:val="13"/>
                <w:b w:val="1"/>
                <w:bCs w:val="1"/>
                <w:color w:val="auto"/>
              </w:rPr>
              <w:t>Employee Directors</w:t>
            </w:r>
          </w:p>
        </w:tc>
        <w:tc>
          <w:tcPr>
            <w:tcW w:w="9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9"/>
        </w:trPr>
        <w:tc>
          <w:tcPr>
            <w:tcW w:w="2200" w:type="dxa"/>
            <w:vAlign w:val="bottom"/>
            <w:shd w:val="clear" w:color="auto" w:fill="E6F4EF"/>
          </w:tcPr>
          <w:p>
            <w:pPr>
              <w:spacing w:after="0"/>
              <w:rPr>
                <w:sz w:val="22"/>
                <w:szCs w:val="22"/>
                <w:color w:val="auto"/>
              </w:rPr>
            </w:pPr>
          </w:p>
        </w:tc>
        <w:tc>
          <w:tcPr>
            <w:tcW w:w="9080" w:type="dxa"/>
            <w:vAlign w:val="bottom"/>
          </w:tcPr>
          <w:p>
            <w:pPr>
              <w:ind w:left="140"/>
              <w:spacing w:after="0"/>
              <w:rPr>
                <w:sz w:val="20"/>
                <w:szCs w:val="20"/>
                <w:color w:val="auto"/>
              </w:rPr>
            </w:pPr>
            <w:r>
              <w:rPr>
                <w:rFonts w:ascii="Arial" w:cs="Arial" w:eastAsia="Arial" w:hAnsi="Arial"/>
                <w:sz w:val="13"/>
                <w:szCs w:val="13"/>
                <w:color w:val="60BAFF"/>
              </w:rPr>
              <w:t xml:space="preserve">• </w:t>
            </w:r>
            <w:r>
              <w:rPr>
                <w:rFonts w:ascii="Arial" w:cs="Arial" w:eastAsia="Arial" w:hAnsi="Arial"/>
                <w:sz w:val="13"/>
                <w:szCs w:val="13"/>
                <w:color w:val="000000"/>
              </w:rPr>
              <w:t>Audit Committee Chair — $20,000</w:t>
            </w:r>
          </w:p>
        </w:tc>
        <w:tc>
          <w:tcPr>
            <w:tcW w:w="0" w:type="dxa"/>
            <w:vAlign w:val="bottom"/>
          </w:tcPr>
          <w:p>
            <w:pPr>
              <w:spacing w:after="0"/>
              <w:rPr>
                <w:sz w:val="1"/>
                <w:szCs w:val="1"/>
                <w:color w:val="auto"/>
              </w:rPr>
            </w:pPr>
          </w:p>
        </w:tc>
      </w:tr>
      <w:tr>
        <w:trPr>
          <w:trHeight w:val="265"/>
        </w:trPr>
        <w:tc>
          <w:tcPr>
            <w:tcW w:w="2200" w:type="dxa"/>
            <w:vAlign w:val="bottom"/>
            <w:shd w:val="clear" w:color="auto" w:fill="E6F4EF"/>
          </w:tcPr>
          <w:p>
            <w:pPr>
              <w:spacing w:after="0"/>
              <w:rPr>
                <w:sz w:val="23"/>
                <w:szCs w:val="23"/>
                <w:color w:val="auto"/>
              </w:rPr>
            </w:pPr>
          </w:p>
        </w:tc>
        <w:tc>
          <w:tcPr>
            <w:tcW w:w="9080" w:type="dxa"/>
            <w:vAlign w:val="bottom"/>
          </w:tcPr>
          <w:p>
            <w:pPr>
              <w:ind w:left="140"/>
              <w:spacing w:after="0"/>
              <w:rPr>
                <w:sz w:val="20"/>
                <w:szCs w:val="20"/>
                <w:color w:val="auto"/>
              </w:rPr>
            </w:pPr>
            <w:r>
              <w:rPr>
                <w:rFonts w:ascii="Arial" w:cs="Arial" w:eastAsia="Arial" w:hAnsi="Arial"/>
                <w:sz w:val="13"/>
                <w:szCs w:val="13"/>
                <w:color w:val="60BAFF"/>
              </w:rPr>
              <w:t xml:space="preserve">• </w:t>
            </w:r>
            <w:r>
              <w:rPr>
                <w:rFonts w:ascii="Arial" w:cs="Arial" w:eastAsia="Arial" w:hAnsi="Arial"/>
                <w:sz w:val="13"/>
                <w:szCs w:val="13"/>
                <w:color w:val="000000"/>
              </w:rPr>
              <w:t>Compensation Committee Chair — $12,000</w:t>
            </w:r>
          </w:p>
        </w:tc>
        <w:tc>
          <w:tcPr>
            <w:tcW w:w="0" w:type="dxa"/>
            <w:vAlign w:val="bottom"/>
          </w:tcPr>
          <w:p>
            <w:pPr>
              <w:spacing w:after="0"/>
              <w:rPr>
                <w:sz w:val="1"/>
                <w:szCs w:val="1"/>
                <w:color w:val="auto"/>
              </w:rPr>
            </w:pPr>
          </w:p>
        </w:tc>
      </w:tr>
      <w:tr>
        <w:trPr>
          <w:trHeight w:val="265"/>
        </w:trPr>
        <w:tc>
          <w:tcPr>
            <w:tcW w:w="2200" w:type="dxa"/>
            <w:vAlign w:val="bottom"/>
            <w:shd w:val="clear" w:color="auto" w:fill="E6F4EF"/>
          </w:tcPr>
          <w:p>
            <w:pPr>
              <w:spacing w:after="0"/>
              <w:rPr>
                <w:sz w:val="23"/>
                <w:szCs w:val="23"/>
                <w:color w:val="auto"/>
              </w:rPr>
            </w:pPr>
          </w:p>
        </w:tc>
        <w:tc>
          <w:tcPr>
            <w:tcW w:w="9080" w:type="dxa"/>
            <w:vAlign w:val="bottom"/>
          </w:tcPr>
          <w:p>
            <w:pPr>
              <w:ind w:left="140"/>
              <w:spacing w:after="0"/>
              <w:rPr>
                <w:sz w:val="20"/>
                <w:szCs w:val="20"/>
                <w:color w:val="auto"/>
              </w:rPr>
            </w:pPr>
            <w:r>
              <w:rPr>
                <w:rFonts w:ascii="Arial" w:cs="Arial" w:eastAsia="Arial" w:hAnsi="Arial"/>
                <w:sz w:val="13"/>
                <w:szCs w:val="13"/>
                <w:color w:val="60BAFF"/>
              </w:rPr>
              <w:t xml:space="preserve">• </w:t>
            </w:r>
            <w:r>
              <w:rPr>
                <w:rFonts w:ascii="Arial" w:cs="Arial" w:eastAsia="Arial" w:hAnsi="Arial"/>
                <w:sz w:val="13"/>
                <w:szCs w:val="13"/>
                <w:color w:val="000000"/>
              </w:rPr>
              <w:t>Audit Committee Member — $10,000</w:t>
            </w:r>
          </w:p>
        </w:tc>
        <w:tc>
          <w:tcPr>
            <w:tcW w:w="0" w:type="dxa"/>
            <w:vAlign w:val="bottom"/>
          </w:tcPr>
          <w:p>
            <w:pPr>
              <w:spacing w:after="0"/>
              <w:rPr>
                <w:sz w:val="1"/>
                <w:szCs w:val="1"/>
                <w:color w:val="auto"/>
              </w:rPr>
            </w:pPr>
          </w:p>
        </w:tc>
      </w:tr>
      <w:tr>
        <w:trPr>
          <w:trHeight w:val="265"/>
        </w:trPr>
        <w:tc>
          <w:tcPr>
            <w:tcW w:w="2200" w:type="dxa"/>
            <w:vAlign w:val="bottom"/>
            <w:shd w:val="clear" w:color="auto" w:fill="E6F4EF"/>
          </w:tcPr>
          <w:p>
            <w:pPr>
              <w:spacing w:after="0"/>
              <w:rPr>
                <w:sz w:val="23"/>
                <w:szCs w:val="23"/>
                <w:color w:val="auto"/>
              </w:rPr>
            </w:pPr>
          </w:p>
        </w:tc>
        <w:tc>
          <w:tcPr>
            <w:tcW w:w="9080" w:type="dxa"/>
            <w:vAlign w:val="bottom"/>
          </w:tcPr>
          <w:p>
            <w:pPr>
              <w:ind w:left="140"/>
              <w:spacing w:after="0"/>
              <w:rPr>
                <w:sz w:val="20"/>
                <w:szCs w:val="20"/>
                <w:color w:val="auto"/>
              </w:rPr>
            </w:pPr>
            <w:r>
              <w:rPr>
                <w:rFonts w:ascii="Arial" w:cs="Arial" w:eastAsia="Arial" w:hAnsi="Arial"/>
                <w:sz w:val="13"/>
                <w:szCs w:val="13"/>
                <w:color w:val="60BAFF"/>
              </w:rPr>
              <w:t xml:space="preserve">• </w:t>
            </w:r>
            <w:r>
              <w:rPr>
                <w:rFonts w:ascii="Arial" w:cs="Arial" w:eastAsia="Arial" w:hAnsi="Arial"/>
                <w:sz w:val="13"/>
                <w:szCs w:val="13"/>
                <w:color w:val="000000"/>
              </w:rPr>
              <w:t>Compensation Committee Member — $6,000</w:t>
            </w:r>
          </w:p>
        </w:tc>
        <w:tc>
          <w:tcPr>
            <w:tcW w:w="0" w:type="dxa"/>
            <w:vAlign w:val="bottom"/>
          </w:tcPr>
          <w:p>
            <w:pPr>
              <w:spacing w:after="0"/>
              <w:rPr>
                <w:sz w:val="1"/>
                <w:szCs w:val="1"/>
                <w:color w:val="auto"/>
              </w:rPr>
            </w:pPr>
          </w:p>
        </w:tc>
      </w:tr>
      <w:tr>
        <w:trPr>
          <w:trHeight w:val="77"/>
        </w:trPr>
        <w:tc>
          <w:tcPr>
            <w:tcW w:w="2200" w:type="dxa"/>
            <w:vAlign w:val="bottom"/>
            <w:tcBorders>
              <w:bottom w:val="single" w:sz="8" w:color="008256"/>
            </w:tcBorders>
            <w:shd w:val="clear" w:color="auto" w:fill="E6F4EF"/>
          </w:tcPr>
          <w:p>
            <w:pPr>
              <w:spacing w:after="0"/>
              <w:rPr>
                <w:sz w:val="6"/>
                <w:szCs w:val="6"/>
                <w:color w:val="auto"/>
              </w:rPr>
            </w:pPr>
          </w:p>
        </w:tc>
        <w:tc>
          <w:tcPr>
            <w:tcW w:w="9080" w:type="dxa"/>
            <w:vAlign w:val="bottom"/>
            <w:tcBorders>
              <w:bottom w:val="single" w:sz="8" w:color="008256"/>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right="140"/>
        <w:spacing w:after="0" w:line="253" w:lineRule="auto"/>
        <w:rPr>
          <w:sz w:val="20"/>
          <w:szCs w:val="20"/>
          <w:color w:val="auto"/>
        </w:rPr>
      </w:pPr>
      <w:r>
        <w:rPr>
          <w:rFonts w:ascii="Arial" w:cs="Arial" w:eastAsia="Arial" w:hAnsi="Arial"/>
          <w:sz w:val="13"/>
          <w:szCs w:val="13"/>
          <w:color w:val="auto"/>
        </w:rPr>
        <w:t>In addition, each non-employee director who is elected or appointed to our Board would automatically be granted, upon the date of such election or appointment, an initial, one-time grant of restricted stock units ("Initial One-Time RSU Grant") with an aggregate grant date value of $300,000, vesting in three equal annual installments following such election or appointment date, subject to the non-employee director’s remaining in our continuous service through each vesting date. Such grant would vest in full upon a change in control of the Company, subject to the non-employee director remaining in our continuous service through such change in control date.</w:t>
      </w:r>
    </w:p>
    <w:p>
      <w:pPr>
        <w:spacing w:after="0" w:line="144" w:lineRule="exact"/>
        <w:rPr>
          <w:sz w:val="20"/>
          <w:szCs w:val="20"/>
          <w:color w:val="auto"/>
        </w:rPr>
      </w:pPr>
    </w:p>
    <w:p>
      <w:pPr>
        <w:ind w:right="80"/>
        <w:spacing w:after="0" w:line="259" w:lineRule="auto"/>
        <w:rPr>
          <w:sz w:val="20"/>
          <w:szCs w:val="20"/>
          <w:color w:val="auto"/>
        </w:rPr>
      </w:pPr>
      <w:r>
        <w:rPr>
          <w:rFonts w:ascii="Arial" w:cs="Arial" w:eastAsia="Arial" w:hAnsi="Arial"/>
          <w:sz w:val="13"/>
          <w:szCs w:val="13"/>
          <w:color w:val="auto"/>
        </w:rPr>
        <w:t>Further, on the date of each annual meeting each non-employee director who has completed at least three months of continuous service as a non-employee director as of the date of such annual meeting and who will continue to serve as a non-employee member of our Board following such annual meeting will automatically be granted restricted stock units ("Annual Equity Award of RSUs"), with an aggregate target value as of the grant date of $150,000, provided that an eligible non-employee director who received an initial grant at least three, but less than six, months prior to the annual meeting date will be granted restricted stock units with an aggregate grant date fair value of $75,000.</w:t>
      </w:r>
    </w:p>
    <w:p>
      <w:pPr>
        <w:spacing w:after="0" w:line="140" w:lineRule="exact"/>
        <w:rPr>
          <w:sz w:val="20"/>
          <w:szCs w:val="20"/>
          <w:color w:val="auto"/>
        </w:rPr>
      </w:pPr>
    </w:p>
    <w:p>
      <w:pPr>
        <w:ind w:right="200"/>
        <w:spacing w:after="0" w:line="261" w:lineRule="auto"/>
        <w:rPr>
          <w:sz w:val="20"/>
          <w:szCs w:val="20"/>
          <w:color w:val="auto"/>
        </w:rPr>
      </w:pPr>
      <w:r>
        <w:rPr>
          <w:rFonts w:ascii="Arial" w:cs="Arial" w:eastAsia="Arial" w:hAnsi="Arial"/>
          <w:sz w:val="13"/>
          <w:szCs w:val="13"/>
          <w:color w:val="auto"/>
        </w:rPr>
        <w:t>The Annual Equity Award of RSUs will vest on the earlier to occur of the one-year anniversary of the grant date and the day prior to the date of our next annual meeting, subject to the non-employee director remaining in our continuous service through the vesting date. Such grant also vests in full upon a change in control of the Company, subject to the non-employee director remaining in our continuous service through such change in control date.</w:t>
      </w:r>
    </w:p>
    <w:p>
      <w:pPr>
        <w:spacing w:after="0" w:line="138" w:lineRule="exact"/>
        <w:rPr>
          <w:sz w:val="20"/>
          <w:szCs w:val="20"/>
          <w:color w:val="auto"/>
        </w:rPr>
      </w:pPr>
    </w:p>
    <w:p>
      <w:pPr>
        <w:ind w:right="140"/>
        <w:spacing w:after="0" w:line="266" w:lineRule="auto"/>
        <w:rPr>
          <w:sz w:val="20"/>
          <w:szCs w:val="20"/>
          <w:color w:val="auto"/>
        </w:rPr>
      </w:pPr>
      <w:r>
        <w:rPr>
          <w:rFonts w:ascii="Arial" w:cs="Arial" w:eastAsia="Arial" w:hAnsi="Arial"/>
          <w:sz w:val="13"/>
          <w:szCs w:val="13"/>
          <w:color w:val="auto"/>
        </w:rPr>
        <w:t>Each non-employee director is reimbursed for ordinary, necessary and reasonable out-of-pocket travel expenses to cover in-person attendance at and participation in Board and committee meetings, subject to compliance with our applicable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544195</wp:posOffset>
            </wp:positionV>
            <wp:extent cx="7161530" cy="2895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1530" cy="289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 xml:space="preserve">24 </w:t>
      </w:r>
      <w:r>
        <w:rPr>
          <w:rFonts w:ascii="Arial" w:cs="Arial" w:eastAsia="Arial" w:hAnsi="Arial"/>
          <w:sz w:val="13"/>
          <w:szCs w:val="13"/>
          <w:color w:val="auto"/>
        </w:rPr>
        <w:t>PROXY STATEMENT 2025</w:t>
      </w:r>
    </w:p>
    <w:p>
      <w:pPr>
        <w:sectPr>
          <w:pgSz w:w="11900" w:h="16838" w:orient="portrait"/>
          <w:cols w:equalWidth="0" w:num="1">
            <w:col w:w="11280"/>
          </w:cols>
          <w:pgMar w:left="300" w:top="171" w:right="319" w:bottom="1440" w:gutter="0" w:footer="0" w:header="0"/>
        </w:sectPr>
      </w:pPr>
    </w:p>
    <w:bookmarkStart w:id="29" w:name="page30"/>
    <w:bookmarkEnd w:id="29"/>
    <w:p>
      <w:pPr>
        <w:ind w:left="8120"/>
        <w:spacing w:after="0"/>
        <w:rPr>
          <w:sz w:val="20"/>
          <w:szCs w:val="20"/>
          <w:color w:val="auto"/>
        </w:rPr>
      </w:pPr>
      <w:r>
        <w:rPr>
          <w:rFonts w:ascii="Arial" w:cs="Arial" w:eastAsia="Arial" w:hAnsi="Arial"/>
          <w:sz w:val="13"/>
          <w:szCs w:val="13"/>
          <w:b w:val="1"/>
          <w:bCs w:val="1"/>
          <w:color w:val="00482F"/>
        </w:rPr>
        <w:drawing>
          <wp:anchor simplePos="0" relativeHeight="251657728" behindDoc="1" locked="0" layoutInCell="0" allowOverlap="1">
            <wp:simplePos x="0" y="0"/>
            <wp:positionH relativeFrom="page">
              <wp:posOffset>5293995</wp:posOffset>
            </wp:positionH>
            <wp:positionV relativeFrom="page">
              <wp:posOffset>102235</wp:posOffset>
            </wp:positionV>
            <wp:extent cx="1933575" cy="147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933575" cy="147955"/>
                    </a:xfrm>
                    <a:prstGeom prst="rect">
                      <a:avLst/>
                    </a:prstGeom>
                    <a:noFill/>
                  </pic:spPr>
                </pic:pic>
              </a:graphicData>
            </a:graphic>
          </wp:anchor>
        </w:drawing>
        <w:t>BOARD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2024 Director Compensation Table</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color w:val="auto"/>
        </w:rPr>
        <w:t>The table below sets forth the compensation of our directors in 2024, excluding Tim Chen whose compensation is covered in the Summary Compensation Table.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5140" w:type="dxa"/>
            <w:vAlign w:val="bottom"/>
            <w:tcBorders>
              <w:top w:val="single" w:sz="8" w:color="008256"/>
              <w:right w:val="single" w:sz="8" w:color="008256"/>
            </w:tcBorders>
          </w:tcPr>
          <w:p>
            <w:pPr>
              <w:spacing w:after="0"/>
              <w:rPr>
                <w:sz w:val="14"/>
                <w:szCs w:val="14"/>
                <w:color w:val="auto"/>
              </w:rPr>
            </w:pPr>
          </w:p>
        </w:tc>
        <w:tc>
          <w:tcPr>
            <w:tcW w:w="1800" w:type="dxa"/>
            <w:vAlign w:val="bottom"/>
            <w:tcBorders>
              <w:top w:val="single" w:sz="8" w:color="008256"/>
              <w:right w:val="single" w:sz="8" w:color="008256"/>
            </w:tcBorders>
          </w:tcPr>
          <w:p>
            <w:pPr>
              <w:jc w:val="center"/>
              <w:spacing w:after="0"/>
              <w:rPr>
                <w:sz w:val="20"/>
                <w:szCs w:val="20"/>
                <w:color w:val="auto"/>
              </w:rPr>
            </w:pPr>
            <w:r>
              <w:rPr>
                <w:rFonts w:ascii="Arial" w:cs="Arial" w:eastAsia="Arial" w:hAnsi="Arial"/>
                <w:sz w:val="11"/>
                <w:szCs w:val="11"/>
                <w:b w:val="1"/>
                <w:bCs w:val="1"/>
                <w:color w:val="auto"/>
              </w:rPr>
              <w:t>Fees Earned Or</w:t>
            </w:r>
          </w:p>
        </w:tc>
        <w:tc>
          <w:tcPr>
            <w:tcW w:w="1440" w:type="dxa"/>
            <w:vAlign w:val="bottom"/>
            <w:tcBorders>
              <w:top w:val="single" w:sz="8" w:color="008256"/>
              <w:right w:val="single" w:sz="8" w:color="008256"/>
            </w:tcBorders>
            <w:vMerge w:val="restart"/>
          </w:tcPr>
          <w:p>
            <w:pPr>
              <w:jc w:val="right"/>
              <w:ind w:right="299"/>
              <w:spacing w:after="0"/>
              <w:rPr>
                <w:sz w:val="20"/>
                <w:szCs w:val="20"/>
                <w:color w:val="auto"/>
              </w:rPr>
            </w:pPr>
            <w:r>
              <w:rPr>
                <w:rFonts w:ascii="Arial" w:cs="Arial" w:eastAsia="Arial" w:hAnsi="Arial"/>
                <w:sz w:val="11"/>
                <w:szCs w:val="11"/>
                <w:b w:val="1"/>
                <w:bCs w:val="1"/>
                <w:color w:val="auto"/>
              </w:rPr>
              <w:t>Stock Awards</w:t>
            </w:r>
          </w:p>
        </w:tc>
        <w:tc>
          <w:tcPr>
            <w:tcW w:w="1180" w:type="dxa"/>
            <w:vAlign w:val="bottom"/>
            <w:tcBorders>
              <w:top w:val="single" w:sz="8" w:color="008256"/>
            </w:tcBorders>
          </w:tcPr>
          <w:p>
            <w:pPr>
              <w:jc w:val="center"/>
              <w:ind w:left="203"/>
              <w:spacing w:after="0"/>
              <w:rPr>
                <w:sz w:val="20"/>
                <w:szCs w:val="20"/>
                <w:color w:val="auto"/>
              </w:rPr>
            </w:pPr>
            <w:r>
              <w:rPr>
                <w:rFonts w:ascii="Arial" w:cs="Arial" w:eastAsia="Arial" w:hAnsi="Arial"/>
                <w:sz w:val="11"/>
                <w:szCs w:val="11"/>
                <w:b w:val="1"/>
                <w:bCs w:val="1"/>
                <w:color w:val="auto"/>
              </w:rPr>
              <w:t>All Other</w:t>
            </w:r>
          </w:p>
        </w:tc>
        <w:tc>
          <w:tcPr>
            <w:tcW w:w="280" w:type="dxa"/>
            <w:vAlign w:val="bottom"/>
            <w:tcBorders>
              <w:top w:val="single" w:sz="8" w:color="008256"/>
              <w:right w:val="single" w:sz="8" w:color="008256"/>
            </w:tcBorders>
          </w:tcPr>
          <w:p>
            <w:pPr>
              <w:spacing w:after="0"/>
              <w:rPr>
                <w:sz w:val="14"/>
                <w:szCs w:val="14"/>
                <w:color w:val="auto"/>
              </w:rPr>
            </w:pPr>
          </w:p>
        </w:tc>
        <w:tc>
          <w:tcPr>
            <w:tcW w:w="1440" w:type="dxa"/>
            <w:vAlign w:val="bottom"/>
            <w:tcBorders>
              <w:top w:val="single" w:sz="8" w:color="008256"/>
            </w:tcBorders>
            <w:vMerge w:val="restart"/>
          </w:tcPr>
          <w:p>
            <w:pPr>
              <w:jc w:val="right"/>
              <w:ind w:right="539"/>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25"/>
        </w:trPr>
        <w:tc>
          <w:tcPr>
            <w:tcW w:w="5140" w:type="dxa"/>
            <w:vAlign w:val="bottom"/>
            <w:tcBorders>
              <w:right w:val="single" w:sz="8" w:color="008256"/>
            </w:tcBorders>
          </w:tcPr>
          <w:p>
            <w:pPr>
              <w:spacing w:after="0"/>
              <w:rPr>
                <w:sz w:val="10"/>
                <w:szCs w:val="10"/>
                <w:color w:val="auto"/>
              </w:rPr>
            </w:pPr>
          </w:p>
        </w:tc>
        <w:tc>
          <w:tcPr>
            <w:tcW w:w="1800" w:type="dxa"/>
            <w:vAlign w:val="bottom"/>
            <w:tcBorders>
              <w:right w:val="single" w:sz="8" w:color="008256"/>
            </w:tcBorders>
          </w:tcPr>
          <w:p>
            <w:pPr>
              <w:jc w:val="center"/>
              <w:spacing w:after="0" w:line="125" w:lineRule="exact"/>
              <w:rPr>
                <w:sz w:val="20"/>
                <w:szCs w:val="20"/>
                <w:color w:val="auto"/>
              </w:rPr>
            </w:pPr>
            <w:r>
              <w:rPr>
                <w:rFonts w:ascii="Arial" w:cs="Arial" w:eastAsia="Arial" w:hAnsi="Arial"/>
                <w:sz w:val="11"/>
                <w:szCs w:val="11"/>
                <w:b w:val="1"/>
                <w:bCs w:val="1"/>
                <w:color w:val="auto"/>
                <w:w w:val="99"/>
              </w:rPr>
              <w:t>Paid In Cash</w:t>
            </w:r>
          </w:p>
        </w:tc>
        <w:tc>
          <w:tcPr>
            <w:tcW w:w="1440" w:type="dxa"/>
            <w:vAlign w:val="bottom"/>
            <w:tcBorders>
              <w:right w:val="single" w:sz="8" w:color="008256"/>
            </w:tcBorders>
            <w:vMerge w:val="continue"/>
          </w:tcPr>
          <w:p>
            <w:pPr>
              <w:spacing w:after="0"/>
              <w:rPr>
                <w:sz w:val="10"/>
                <w:szCs w:val="10"/>
                <w:color w:val="auto"/>
              </w:rPr>
            </w:pPr>
          </w:p>
        </w:tc>
        <w:tc>
          <w:tcPr>
            <w:tcW w:w="1180" w:type="dxa"/>
            <w:vAlign w:val="bottom"/>
          </w:tcPr>
          <w:p>
            <w:pPr>
              <w:jc w:val="center"/>
              <w:ind w:left="203"/>
              <w:spacing w:after="0" w:line="125" w:lineRule="exact"/>
              <w:rPr>
                <w:sz w:val="20"/>
                <w:szCs w:val="20"/>
                <w:color w:val="auto"/>
              </w:rPr>
            </w:pPr>
            <w:r>
              <w:rPr>
                <w:rFonts w:ascii="Arial" w:cs="Arial" w:eastAsia="Arial" w:hAnsi="Arial"/>
                <w:sz w:val="11"/>
                <w:szCs w:val="11"/>
                <w:b w:val="1"/>
                <w:bCs w:val="1"/>
                <w:color w:val="auto"/>
              </w:rPr>
              <w:t>Compensation</w:t>
            </w:r>
          </w:p>
        </w:tc>
        <w:tc>
          <w:tcPr>
            <w:tcW w:w="280" w:type="dxa"/>
            <w:vAlign w:val="bottom"/>
            <w:tcBorders>
              <w:right w:val="single" w:sz="8" w:color="008256"/>
            </w:tcBorders>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5140" w:type="dxa"/>
            <w:vAlign w:val="bottom"/>
            <w:tcBorders>
              <w:right w:val="single" w:sz="8" w:color="008256"/>
            </w:tcBorders>
          </w:tcPr>
          <w:p>
            <w:pPr>
              <w:ind w:left="80"/>
              <w:spacing w:after="0"/>
              <w:rPr>
                <w:sz w:val="20"/>
                <w:szCs w:val="20"/>
                <w:color w:val="auto"/>
              </w:rPr>
            </w:pPr>
            <w:r>
              <w:rPr>
                <w:rFonts w:ascii="Arial" w:cs="Arial" w:eastAsia="Arial" w:hAnsi="Arial"/>
                <w:sz w:val="11"/>
                <w:szCs w:val="11"/>
                <w:b w:val="1"/>
                <w:bCs w:val="1"/>
                <w:color w:val="auto"/>
              </w:rPr>
              <w:t>Name</w:t>
            </w:r>
          </w:p>
        </w:tc>
        <w:tc>
          <w:tcPr>
            <w:tcW w:w="1800" w:type="dxa"/>
            <w:vAlign w:val="bottom"/>
            <w:tcBorders>
              <w:right w:val="single" w:sz="8" w:color="008256"/>
            </w:tcBorders>
          </w:tcPr>
          <w:p>
            <w:pPr>
              <w:jc w:val="center"/>
              <w:spacing w:after="0"/>
              <w:rPr>
                <w:sz w:val="20"/>
                <w:szCs w:val="20"/>
                <w:color w:val="auto"/>
              </w:rPr>
            </w:pPr>
            <w:r>
              <w:rPr>
                <w:rFonts w:ascii="Arial" w:cs="Arial" w:eastAsia="Arial" w:hAnsi="Arial"/>
                <w:sz w:val="11"/>
                <w:szCs w:val="11"/>
                <w:b w:val="1"/>
                <w:bCs w:val="1"/>
                <w:color w:val="auto"/>
              </w:rPr>
              <w:t>($)</w:t>
            </w:r>
          </w:p>
        </w:tc>
        <w:tc>
          <w:tcPr>
            <w:tcW w:w="1440" w:type="dxa"/>
            <w:vAlign w:val="bottom"/>
            <w:tcBorders>
              <w:right w:val="single" w:sz="8" w:color="008256"/>
            </w:tcBorders>
          </w:tcPr>
          <w:p>
            <w:pPr>
              <w:jc w:val="right"/>
              <w:ind w:right="559"/>
              <w:spacing w:after="0"/>
              <w:rPr>
                <w:sz w:val="20"/>
                <w:szCs w:val="20"/>
                <w:color w:val="auto"/>
              </w:rPr>
            </w:pPr>
            <w:r>
              <w:rPr>
                <w:rFonts w:ascii="Arial" w:cs="Arial" w:eastAsia="Arial" w:hAnsi="Arial"/>
                <w:sz w:val="11"/>
                <w:szCs w:val="11"/>
                <w:b w:val="1"/>
                <w:bCs w:val="1"/>
                <w:color w:val="auto"/>
              </w:rPr>
              <w:t>($)</w:t>
            </w:r>
            <w:r>
              <w:rPr>
                <w:rFonts w:ascii="Arial" w:cs="Arial" w:eastAsia="Arial" w:hAnsi="Arial"/>
                <w:sz w:val="14"/>
                <w:szCs w:val="14"/>
                <w:b w:val="1"/>
                <w:bCs w:val="1"/>
                <w:color w:val="auto"/>
                <w:vertAlign w:val="superscript"/>
              </w:rPr>
              <w:t>(1)</w:t>
            </w:r>
          </w:p>
        </w:tc>
        <w:tc>
          <w:tcPr>
            <w:tcW w:w="1180" w:type="dxa"/>
            <w:vAlign w:val="bottom"/>
          </w:tcPr>
          <w:p>
            <w:pPr>
              <w:jc w:val="center"/>
              <w:ind w:left="183"/>
              <w:spacing w:after="0"/>
              <w:rPr>
                <w:sz w:val="20"/>
                <w:szCs w:val="20"/>
                <w:color w:val="auto"/>
              </w:rPr>
            </w:pPr>
            <w:r>
              <w:rPr>
                <w:rFonts w:ascii="Arial" w:cs="Arial" w:eastAsia="Arial" w:hAnsi="Arial"/>
                <w:sz w:val="11"/>
                <w:szCs w:val="11"/>
                <w:b w:val="1"/>
                <w:bCs w:val="1"/>
                <w:color w:val="auto"/>
              </w:rPr>
              <w:t>($)</w:t>
            </w:r>
          </w:p>
        </w:tc>
        <w:tc>
          <w:tcPr>
            <w:tcW w:w="280" w:type="dxa"/>
            <w:vAlign w:val="bottom"/>
            <w:tcBorders>
              <w:right w:val="single" w:sz="8" w:color="008256"/>
            </w:tcBorders>
          </w:tcPr>
          <w:p>
            <w:pPr>
              <w:spacing w:after="0"/>
              <w:rPr>
                <w:sz w:val="17"/>
                <w:szCs w:val="17"/>
                <w:color w:val="auto"/>
              </w:rPr>
            </w:pPr>
          </w:p>
        </w:tc>
        <w:tc>
          <w:tcPr>
            <w:tcW w:w="1440" w:type="dxa"/>
            <w:vAlign w:val="bottom"/>
          </w:tcPr>
          <w:p>
            <w:pPr>
              <w:jc w:val="right"/>
              <w:ind w:right="599"/>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61"/>
        </w:trPr>
        <w:tc>
          <w:tcPr>
            <w:tcW w:w="5140" w:type="dxa"/>
            <w:vAlign w:val="bottom"/>
            <w:tcBorders>
              <w:bottom w:val="single" w:sz="8" w:color="008256"/>
              <w:right w:val="single" w:sz="8" w:color="008256"/>
            </w:tcBorders>
          </w:tcPr>
          <w:p>
            <w:pPr>
              <w:spacing w:after="0"/>
              <w:rPr>
                <w:sz w:val="13"/>
                <w:szCs w:val="13"/>
                <w:color w:val="auto"/>
              </w:rPr>
            </w:pPr>
          </w:p>
        </w:tc>
        <w:tc>
          <w:tcPr>
            <w:tcW w:w="1800" w:type="dxa"/>
            <w:vAlign w:val="bottom"/>
            <w:tcBorders>
              <w:bottom w:val="single" w:sz="8" w:color="008256"/>
              <w:right w:val="single" w:sz="8" w:color="008256"/>
            </w:tcBorders>
          </w:tcPr>
          <w:p>
            <w:pPr>
              <w:spacing w:after="0"/>
              <w:rPr>
                <w:sz w:val="13"/>
                <w:szCs w:val="13"/>
                <w:color w:val="auto"/>
              </w:rPr>
            </w:pPr>
          </w:p>
        </w:tc>
        <w:tc>
          <w:tcPr>
            <w:tcW w:w="1440" w:type="dxa"/>
            <w:vAlign w:val="bottom"/>
            <w:tcBorders>
              <w:bottom w:val="single" w:sz="8" w:color="008256"/>
              <w:right w:val="single" w:sz="8" w:color="008256"/>
            </w:tcBorders>
          </w:tcPr>
          <w:p>
            <w:pPr>
              <w:spacing w:after="0"/>
              <w:rPr>
                <w:sz w:val="13"/>
                <w:szCs w:val="13"/>
                <w:color w:val="auto"/>
              </w:rPr>
            </w:pPr>
          </w:p>
        </w:tc>
        <w:tc>
          <w:tcPr>
            <w:tcW w:w="1180" w:type="dxa"/>
            <w:vAlign w:val="bottom"/>
            <w:tcBorders>
              <w:bottom w:val="single" w:sz="8" w:color="008256"/>
            </w:tcBorders>
          </w:tcPr>
          <w:p>
            <w:pPr>
              <w:spacing w:after="0"/>
              <w:rPr>
                <w:sz w:val="13"/>
                <w:szCs w:val="13"/>
                <w:color w:val="auto"/>
              </w:rPr>
            </w:pPr>
          </w:p>
        </w:tc>
        <w:tc>
          <w:tcPr>
            <w:tcW w:w="280" w:type="dxa"/>
            <w:vAlign w:val="bottom"/>
            <w:tcBorders>
              <w:bottom w:val="single" w:sz="8" w:color="008256"/>
              <w:right w:val="single" w:sz="8" w:color="008256"/>
            </w:tcBorders>
          </w:tcPr>
          <w:p>
            <w:pPr>
              <w:spacing w:after="0"/>
              <w:rPr>
                <w:sz w:val="13"/>
                <w:szCs w:val="13"/>
                <w:color w:val="auto"/>
              </w:rPr>
            </w:pPr>
          </w:p>
        </w:tc>
        <w:tc>
          <w:tcPr>
            <w:tcW w:w="1440" w:type="dxa"/>
            <w:vAlign w:val="bottom"/>
            <w:tcBorders>
              <w:bottom w:val="single" w:sz="8" w:color="008256"/>
            </w:tcBorders>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5140" w:type="dxa"/>
            <w:vAlign w:val="bottom"/>
            <w:tcBorders>
              <w:right w:val="single" w:sz="8" w:color="008256"/>
            </w:tcBorders>
            <w:shd w:val="clear" w:color="auto" w:fill="E6F4EF"/>
          </w:tcPr>
          <w:p>
            <w:pPr>
              <w:ind w:left="80"/>
              <w:spacing w:after="0"/>
              <w:rPr>
                <w:sz w:val="20"/>
                <w:szCs w:val="20"/>
                <w:color w:val="auto"/>
              </w:rPr>
            </w:pPr>
            <w:r>
              <w:rPr>
                <w:rFonts w:ascii="Arial" w:cs="Arial" w:eastAsia="Arial" w:hAnsi="Arial"/>
                <w:sz w:val="13"/>
                <w:szCs w:val="13"/>
                <w:b w:val="1"/>
                <w:bCs w:val="1"/>
                <w:color w:val="auto"/>
              </w:rPr>
              <w:t>Jennifer E. Ceran</w:t>
            </w:r>
          </w:p>
        </w:tc>
        <w:tc>
          <w:tcPr>
            <w:tcW w:w="1800" w:type="dxa"/>
            <w:vAlign w:val="bottom"/>
            <w:tcBorders>
              <w:right w:val="single" w:sz="8" w:color="008256"/>
            </w:tcBorders>
            <w:shd w:val="clear" w:color="auto" w:fill="E6F4EF"/>
          </w:tcPr>
          <w:p>
            <w:pPr>
              <w:jc w:val="right"/>
              <w:ind w:right="379"/>
              <w:spacing w:after="0"/>
              <w:rPr>
                <w:sz w:val="20"/>
                <w:szCs w:val="20"/>
                <w:color w:val="auto"/>
              </w:rPr>
            </w:pPr>
            <w:r>
              <w:rPr>
                <w:rFonts w:ascii="Arial" w:cs="Arial" w:eastAsia="Arial" w:hAnsi="Arial"/>
                <w:sz w:val="13"/>
                <w:szCs w:val="13"/>
                <w:color w:val="auto"/>
              </w:rPr>
              <w:t>70,000</w:t>
            </w:r>
          </w:p>
        </w:tc>
        <w:tc>
          <w:tcPr>
            <w:tcW w:w="1440" w:type="dxa"/>
            <w:vAlign w:val="bottom"/>
            <w:tcBorders>
              <w:right w:val="single" w:sz="8" w:color="008256"/>
            </w:tcBorders>
            <w:shd w:val="clear" w:color="auto" w:fill="E6F4EF"/>
          </w:tcPr>
          <w:p>
            <w:pPr>
              <w:jc w:val="right"/>
              <w:ind w:right="19"/>
              <w:spacing w:after="0"/>
              <w:rPr>
                <w:sz w:val="20"/>
                <w:szCs w:val="20"/>
                <w:color w:val="auto"/>
              </w:rPr>
            </w:pPr>
            <w:r>
              <w:rPr>
                <w:rFonts w:ascii="Arial" w:cs="Arial" w:eastAsia="Arial" w:hAnsi="Arial"/>
                <w:sz w:val="13"/>
                <w:szCs w:val="13"/>
                <w:color w:val="auto"/>
              </w:rPr>
              <w:t>149,987</w:t>
            </w:r>
          </w:p>
        </w:tc>
        <w:tc>
          <w:tcPr>
            <w:tcW w:w="1180" w:type="dxa"/>
            <w:vAlign w:val="bottom"/>
            <w:shd w:val="clear" w:color="auto" w:fill="E6F4EF"/>
          </w:tcPr>
          <w:p>
            <w:pPr>
              <w:spacing w:after="0"/>
              <w:rPr>
                <w:sz w:val="15"/>
                <w:szCs w:val="15"/>
                <w:color w:val="auto"/>
              </w:rPr>
            </w:pPr>
          </w:p>
        </w:tc>
        <w:tc>
          <w:tcPr>
            <w:tcW w:w="280" w:type="dxa"/>
            <w:vAlign w:val="bottom"/>
            <w:tcBorders>
              <w:right w:val="single" w:sz="8" w:color="008256"/>
            </w:tcBorders>
            <w:shd w:val="clear" w:color="auto" w:fill="E6F4EF"/>
          </w:tcPr>
          <w:p>
            <w:pPr>
              <w:ind w:left="80"/>
              <w:spacing w:after="0"/>
              <w:rPr>
                <w:sz w:val="20"/>
                <w:szCs w:val="20"/>
                <w:color w:val="auto"/>
              </w:rPr>
            </w:pPr>
            <w:r>
              <w:rPr>
                <w:rFonts w:ascii="Arial" w:cs="Arial" w:eastAsia="Arial" w:hAnsi="Arial"/>
                <w:sz w:val="13"/>
                <w:szCs w:val="13"/>
                <w:color w:val="auto"/>
              </w:rPr>
              <w:t>—</w:t>
            </w:r>
          </w:p>
        </w:tc>
        <w:tc>
          <w:tcPr>
            <w:tcW w:w="1440" w:type="dxa"/>
            <w:vAlign w:val="bottom"/>
            <w:shd w:val="clear" w:color="auto" w:fill="E6F4EF"/>
          </w:tcPr>
          <w:p>
            <w:pPr>
              <w:jc w:val="right"/>
              <w:spacing w:after="0"/>
              <w:rPr>
                <w:sz w:val="20"/>
                <w:szCs w:val="20"/>
                <w:color w:val="auto"/>
              </w:rPr>
            </w:pPr>
            <w:r>
              <w:rPr>
                <w:rFonts w:ascii="Arial" w:cs="Arial" w:eastAsia="Arial" w:hAnsi="Arial"/>
                <w:sz w:val="13"/>
                <w:szCs w:val="13"/>
                <w:color w:val="auto"/>
              </w:rPr>
              <w:t>219,987</w:t>
            </w:r>
          </w:p>
        </w:tc>
        <w:tc>
          <w:tcPr>
            <w:tcW w:w="0" w:type="dxa"/>
            <w:vAlign w:val="bottom"/>
          </w:tcPr>
          <w:p>
            <w:pPr>
              <w:spacing w:after="0"/>
              <w:rPr>
                <w:sz w:val="1"/>
                <w:szCs w:val="1"/>
                <w:color w:val="auto"/>
              </w:rPr>
            </w:pPr>
          </w:p>
        </w:tc>
      </w:tr>
      <w:tr>
        <w:trPr>
          <w:trHeight w:val="187"/>
        </w:trPr>
        <w:tc>
          <w:tcPr>
            <w:tcW w:w="5140" w:type="dxa"/>
            <w:vAlign w:val="bottom"/>
            <w:tcBorders>
              <w:right w:val="single" w:sz="8" w:color="008256"/>
            </w:tcBorders>
          </w:tcPr>
          <w:p>
            <w:pPr>
              <w:ind w:left="80"/>
              <w:spacing w:after="0"/>
              <w:rPr>
                <w:sz w:val="20"/>
                <w:szCs w:val="20"/>
                <w:color w:val="auto"/>
              </w:rPr>
            </w:pPr>
            <w:r>
              <w:rPr>
                <w:rFonts w:ascii="Arial" w:cs="Arial" w:eastAsia="Arial" w:hAnsi="Arial"/>
                <w:sz w:val="13"/>
                <w:szCs w:val="13"/>
                <w:b w:val="1"/>
                <w:bCs w:val="1"/>
                <w:color w:val="auto"/>
              </w:rPr>
              <w:t>Lynne M. Laube</w:t>
            </w:r>
          </w:p>
        </w:tc>
        <w:tc>
          <w:tcPr>
            <w:tcW w:w="1800" w:type="dxa"/>
            <w:vAlign w:val="bottom"/>
            <w:tcBorders>
              <w:right w:val="single" w:sz="8" w:color="008256"/>
            </w:tcBorders>
          </w:tcPr>
          <w:p>
            <w:pPr>
              <w:jc w:val="right"/>
              <w:ind w:right="379"/>
              <w:spacing w:after="0"/>
              <w:rPr>
                <w:sz w:val="20"/>
                <w:szCs w:val="20"/>
                <w:color w:val="auto"/>
              </w:rPr>
            </w:pPr>
            <w:r>
              <w:rPr>
                <w:rFonts w:ascii="Arial" w:cs="Arial" w:eastAsia="Arial" w:hAnsi="Arial"/>
                <w:sz w:val="13"/>
                <w:szCs w:val="13"/>
                <w:color w:val="auto"/>
              </w:rPr>
              <w:t>62,000</w:t>
            </w:r>
          </w:p>
        </w:tc>
        <w:tc>
          <w:tcPr>
            <w:tcW w:w="1440" w:type="dxa"/>
            <w:vAlign w:val="bottom"/>
            <w:tcBorders>
              <w:right w:val="single" w:sz="8" w:color="008256"/>
            </w:tcBorders>
          </w:tcPr>
          <w:p>
            <w:pPr>
              <w:jc w:val="right"/>
              <w:ind w:right="19"/>
              <w:spacing w:after="0"/>
              <w:rPr>
                <w:sz w:val="20"/>
                <w:szCs w:val="20"/>
                <w:color w:val="auto"/>
              </w:rPr>
            </w:pPr>
            <w:r>
              <w:rPr>
                <w:rFonts w:ascii="Arial" w:cs="Arial" w:eastAsia="Arial" w:hAnsi="Arial"/>
                <w:sz w:val="13"/>
                <w:szCs w:val="13"/>
                <w:color w:val="auto"/>
              </w:rPr>
              <w:t>149,987</w:t>
            </w:r>
          </w:p>
        </w:tc>
        <w:tc>
          <w:tcPr>
            <w:tcW w:w="1180" w:type="dxa"/>
            <w:vAlign w:val="bottom"/>
          </w:tcPr>
          <w:p>
            <w:pPr>
              <w:spacing w:after="0"/>
              <w:rPr>
                <w:sz w:val="16"/>
                <w:szCs w:val="16"/>
                <w:color w:val="auto"/>
              </w:rPr>
            </w:pPr>
          </w:p>
        </w:tc>
        <w:tc>
          <w:tcPr>
            <w:tcW w:w="280" w:type="dxa"/>
            <w:vAlign w:val="bottom"/>
            <w:tcBorders>
              <w:right w:val="single" w:sz="8" w:color="008256"/>
            </w:tcBorders>
          </w:tcPr>
          <w:p>
            <w:pPr>
              <w:ind w:left="80"/>
              <w:spacing w:after="0"/>
              <w:rPr>
                <w:sz w:val="20"/>
                <w:szCs w:val="20"/>
                <w:color w:val="auto"/>
              </w:rPr>
            </w:pPr>
            <w:r>
              <w:rPr>
                <w:rFonts w:ascii="Arial" w:cs="Arial" w:eastAsia="Arial" w:hAnsi="Arial"/>
                <w:sz w:val="13"/>
                <w:szCs w:val="13"/>
                <w:color w:val="auto"/>
              </w:rPr>
              <w:t>—</w:t>
            </w:r>
          </w:p>
        </w:tc>
        <w:tc>
          <w:tcPr>
            <w:tcW w:w="1440" w:type="dxa"/>
            <w:vAlign w:val="bottom"/>
          </w:tcPr>
          <w:p>
            <w:pPr>
              <w:jc w:val="right"/>
              <w:spacing w:after="0"/>
              <w:rPr>
                <w:sz w:val="20"/>
                <w:szCs w:val="20"/>
                <w:color w:val="auto"/>
              </w:rPr>
            </w:pPr>
            <w:r>
              <w:rPr>
                <w:rFonts w:ascii="Arial" w:cs="Arial" w:eastAsia="Arial" w:hAnsi="Arial"/>
                <w:sz w:val="13"/>
                <w:szCs w:val="13"/>
                <w:color w:val="auto"/>
              </w:rPr>
              <w:t>211,987</w:t>
            </w:r>
          </w:p>
        </w:tc>
        <w:tc>
          <w:tcPr>
            <w:tcW w:w="0" w:type="dxa"/>
            <w:vAlign w:val="bottom"/>
          </w:tcPr>
          <w:p>
            <w:pPr>
              <w:spacing w:after="0"/>
              <w:rPr>
                <w:sz w:val="1"/>
                <w:szCs w:val="1"/>
                <w:color w:val="auto"/>
              </w:rPr>
            </w:pPr>
          </w:p>
        </w:tc>
      </w:tr>
      <w:tr>
        <w:trPr>
          <w:trHeight w:val="195"/>
        </w:trPr>
        <w:tc>
          <w:tcPr>
            <w:tcW w:w="5140" w:type="dxa"/>
            <w:vAlign w:val="bottom"/>
            <w:tcBorders>
              <w:right w:val="single" w:sz="8" w:color="008256"/>
            </w:tcBorders>
            <w:shd w:val="clear" w:color="auto" w:fill="E6F4EF"/>
          </w:tcPr>
          <w:p>
            <w:pPr>
              <w:ind w:left="80"/>
              <w:spacing w:after="0"/>
              <w:rPr>
                <w:sz w:val="20"/>
                <w:szCs w:val="20"/>
                <w:color w:val="auto"/>
              </w:rPr>
            </w:pPr>
            <w:r>
              <w:rPr>
                <w:rFonts w:ascii="Arial" w:cs="Arial" w:eastAsia="Arial" w:hAnsi="Arial"/>
                <w:sz w:val="13"/>
                <w:szCs w:val="13"/>
                <w:b w:val="1"/>
                <w:bCs w:val="1"/>
                <w:color w:val="auto"/>
              </w:rPr>
              <w:t>Kenneth T. McBride</w:t>
            </w:r>
          </w:p>
        </w:tc>
        <w:tc>
          <w:tcPr>
            <w:tcW w:w="1800" w:type="dxa"/>
            <w:vAlign w:val="bottom"/>
            <w:tcBorders>
              <w:right w:val="single" w:sz="8" w:color="008256"/>
            </w:tcBorders>
            <w:shd w:val="clear" w:color="auto" w:fill="E6F4EF"/>
          </w:tcPr>
          <w:p>
            <w:pPr>
              <w:jc w:val="right"/>
              <w:ind w:right="379"/>
              <w:spacing w:after="0"/>
              <w:rPr>
                <w:sz w:val="20"/>
                <w:szCs w:val="20"/>
                <w:color w:val="auto"/>
              </w:rPr>
            </w:pPr>
            <w:r>
              <w:rPr>
                <w:rFonts w:ascii="Arial" w:cs="Arial" w:eastAsia="Arial" w:hAnsi="Arial"/>
                <w:sz w:val="13"/>
                <w:szCs w:val="13"/>
                <w:color w:val="auto"/>
              </w:rPr>
              <w:t>66,000</w:t>
            </w:r>
          </w:p>
        </w:tc>
        <w:tc>
          <w:tcPr>
            <w:tcW w:w="1440" w:type="dxa"/>
            <w:vAlign w:val="bottom"/>
            <w:tcBorders>
              <w:right w:val="single" w:sz="8" w:color="008256"/>
            </w:tcBorders>
            <w:shd w:val="clear" w:color="auto" w:fill="E6F4EF"/>
          </w:tcPr>
          <w:p>
            <w:pPr>
              <w:jc w:val="right"/>
              <w:ind w:right="19"/>
              <w:spacing w:after="0"/>
              <w:rPr>
                <w:sz w:val="20"/>
                <w:szCs w:val="20"/>
                <w:color w:val="auto"/>
              </w:rPr>
            </w:pPr>
            <w:r>
              <w:rPr>
                <w:rFonts w:ascii="Arial" w:cs="Arial" w:eastAsia="Arial" w:hAnsi="Arial"/>
                <w:sz w:val="13"/>
                <w:szCs w:val="13"/>
                <w:color w:val="auto"/>
              </w:rPr>
              <w:t>149,987</w:t>
            </w:r>
          </w:p>
        </w:tc>
        <w:tc>
          <w:tcPr>
            <w:tcW w:w="1180" w:type="dxa"/>
            <w:vAlign w:val="bottom"/>
            <w:shd w:val="clear" w:color="auto" w:fill="E6F4EF"/>
          </w:tcPr>
          <w:p>
            <w:pPr>
              <w:spacing w:after="0"/>
              <w:rPr>
                <w:sz w:val="16"/>
                <w:szCs w:val="16"/>
                <w:color w:val="auto"/>
              </w:rPr>
            </w:pPr>
          </w:p>
        </w:tc>
        <w:tc>
          <w:tcPr>
            <w:tcW w:w="280" w:type="dxa"/>
            <w:vAlign w:val="bottom"/>
            <w:tcBorders>
              <w:right w:val="single" w:sz="8" w:color="008256"/>
            </w:tcBorders>
            <w:shd w:val="clear" w:color="auto" w:fill="E6F4EF"/>
          </w:tcPr>
          <w:p>
            <w:pPr>
              <w:ind w:left="80"/>
              <w:spacing w:after="0"/>
              <w:rPr>
                <w:sz w:val="20"/>
                <w:szCs w:val="20"/>
                <w:color w:val="auto"/>
              </w:rPr>
            </w:pPr>
            <w:r>
              <w:rPr>
                <w:rFonts w:ascii="Arial" w:cs="Arial" w:eastAsia="Arial" w:hAnsi="Arial"/>
                <w:sz w:val="13"/>
                <w:szCs w:val="13"/>
                <w:color w:val="auto"/>
              </w:rPr>
              <w:t>—</w:t>
            </w:r>
          </w:p>
        </w:tc>
        <w:tc>
          <w:tcPr>
            <w:tcW w:w="1440" w:type="dxa"/>
            <w:vAlign w:val="bottom"/>
            <w:shd w:val="clear" w:color="auto" w:fill="E6F4EF"/>
          </w:tcPr>
          <w:p>
            <w:pPr>
              <w:jc w:val="right"/>
              <w:spacing w:after="0"/>
              <w:rPr>
                <w:sz w:val="20"/>
                <w:szCs w:val="20"/>
                <w:color w:val="auto"/>
              </w:rPr>
            </w:pPr>
            <w:r>
              <w:rPr>
                <w:rFonts w:ascii="Arial" w:cs="Arial" w:eastAsia="Arial" w:hAnsi="Arial"/>
                <w:sz w:val="13"/>
                <w:szCs w:val="13"/>
                <w:color w:val="auto"/>
              </w:rPr>
              <w:t>215,987</w:t>
            </w:r>
          </w:p>
        </w:tc>
        <w:tc>
          <w:tcPr>
            <w:tcW w:w="0" w:type="dxa"/>
            <w:vAlign w:val="bottom"/>
          </w:tcPr>
          <w:p>
            <w:pPr>
              <w:spacing w:after="0"/>
              <w:rPr>
                <w:sz w:val="1"/>
                <w:szCs w:val="1"/>
                <w:color w:val="auto"/>
              </w:rPr>
            </w:pPr>
          </w:p>
        </w:tc>
      </w:tr>
      <w:tr>
        <w:trPr>
          <w:trHeight w:val="187"/>
        </w:trPr>
        <w:tc>
          <w:tcPr>
            <w:tcW w:w="5140" w:type="dxa"/>
            <w:vAlign w:val="bottom"/>
            <w:tcBorders>
              <w:bottom w:val="single" w:sz="8" w:color="008256"/>
              <w:right w:val="single" w:sz="8" w:color="008055"/>
            </w:tcBorders>
          </w:tcPr>
          <w:p>
            <w:pPr>
              <w:ind w:left="80"/>
              <w:spacing w:after="0"/>
              <w:rPr>
                <w:sz w:val="20"/>
                <w:szCs w:val="20"/>
                <w:color w:val="auto"/>
              </w:rPr>
            </w:pPr>
            <w:r>
              <w:rPr>
                <w:rFonts w:ascii="Arial" w:cs="Arial" w:eastAsia="Arial" w:hAnsi="Arial"/>
                <w:sz w:val="13"/>
                <w:szCs w:val="13"/>
                <w:b w:val="1"/>
                <w:bCs w:val="1"/>
                <w:color w:val="auto"/>
              </w:rPr>
              <w:t>Maurice Taylor</w:t>
            </w:r>
          </w:p>
        </w:tc>
        <w:tc>
          <w:tcPr>
            <w:tcW w:w="1800" w:type="dxa"/>
            <w:vAlign w:val="bottom"/>
            <w:tcBorders>
              <w:bottom w:val="single" w:sz="8" w:color="008055"/>
              <w:right w:val="single" w:sz="8" w:color="008055"/>
            </w:tcBorders>
          </w:tcPr>
          <w:p>
            <w:pPr>
              <w:jc w:val="right"/>
              <w:ind w:right="379"/>
              <w:spacing w:after="0"/>
              <w:rPr>
                <w:sz w:val="20"/>
                <w:szCs w:val="20"/>
                <w:color w:val="auto"/>
              </w:rPr>
            </w:pPr>
            <w:r>
              <w:rPr>
                <w:rFonts w:ascii="Arial" w:cs="Arial" w:eastAsia="Arial" w:hAnsi="Arial"/>
                <w:sz w:val="13"/>
                <w:szCs w:val="13"/>
                <w:color w:val="auto"/>
              </w:rPr>
              <w:t>60,000</w:t>
            </w:r>
          </w:p>
        </w:tc>
        <w:tc>
          <w:tcPr>
            <w:tcW w:w="1440" w:type="dxa"/>
            <w:vAlign w:val="bottom"/>
            <w:tcBorders>
              <w:bottom w:val="single" w:sz="8" w:color="008256"/>
              <w:right w:val="single" w:sz="8" w:color="008256"/>
            </w:tcBorders>
          </w:tcPr>
          <w:p>
            <w:pPr>
              <w:jc w:val="right"/>
              <w:ind w:right="19"/>
              <w:spacing w:after="0"/>
              <w:rPr>
                <w:sz w:val="20"/>
                <w:szCs w:val="20"/>
                <w:color w:val="auto"/>
              </w:rPr>
            </w:pPr>
            <w:r>
              <w:rPr>
                <w:rFonts w:ascii="Arial" w:cs="Arial" w:eastAsia="Arial" w:hAnsi="Arial"/>
                <w:sz w:val="13"/>
                <w:szCs w:val="13"/>
                <w:color w:val="auto"/>
              </w:rPr>
              <w:t>149,987</w:t>
            </w:r>
          </w:p>
        </w:tc>
        <w:tc>
          <w:tcPr>
            <w:tcW w:w="1180" w:type="dxa"/>
            <w:vAlign w:val="bottom"/>
            <w:tcBorders>
              <w:bottom w:val="single" w:sz="8" w:color="008256"/>
            </w:tcBorders>
          </w:tcPr>
          <w:p>
            <w:pPr>
              <w:spacing w:after="0"/>
              <w:rPr>
                <w:sz w:val="16"/>
                <w:szCs w:val="16"/>
                <w:color w:val="auto"/>
              </w:rPr>
            </w:pPr>
          </w:p>
        </w:tc>
        <w:tc>
          <w:tcPr>
            <w:tcW w:w="280" w:type="dxa"/>
            <w:vAlign w:val="bottom"/>
            <w:tcBorders>
              <w:bottom w:val="single" w:sz="8" w:color="008256"/>
              <w:right w:val="single" w:sz="8" w:color="008256"/>
            </w:tcBorders>
          </w:tcPr>
          <w:p>
            <w:pPr>
              <w:ind w:left="80"/>
              <w:spacing w:after="0"/>
              <w:rPr>
                <w:sz w:val="20"/>
                <w:szCs w:val="20"/>
                <w:color w:val="auto"/>
              </w:rPr>
            </w:pPr>
            <w:r>
              <w:rPr>
                <w:rFonts w:ascii="Arial" w:cs="Arial" w:eastAsia="Arial" w:hAnsi="Arial"/>
                <w:sz w:val="13"/>
                <w:szCs w:val="13"/>
                <w:color w:val="auto"/>
              </w:rPr>
              <w:t>—</w:t>
            </w:r>
          </w:p>
        </w:tc>
        <w:tc>
          <w:tcPr>
            <w:tcW w:w="1440" w:type="dxa"/>
            <w:vAlign w:val="bottom"/>
            <w:tcBorders>
              <w:bottom w:val="single" w:sz="8" w:color="008256"/>
            </w:tcBorders>
          </w:tcPr>
          <w:p>
            <w:pPr>
              <w:jc w:val="right"/>
              <w:spacing w:after="0"/>
              <w:rPr>
                <w:sz w:val="20"/>
                <w:szCs w:val="20"/>
                <w:color w:val="auto"/>
              </w:rPr>
            </w:pPr>
            <w:r>
              <w:rPr>
                <w:rFonts w:ascii="Arial" w:cs="Arial" w:eastAsia="Arial" w:hAnsi="Arial"/>
                <w:sz w:val="13"/>
                <w:szCs w:val="13"/>
                <w:color w:val="auto"/>
              </w:rPr>
              <w:t>209,987</w:t>
            </w:r>
          </w:p>
        </w:tc>
        <w:tc>
          <w:tcPr>
            <w:tcW w:w="0" w:type="dxa"/>
            <w:vAlign w:val="bottom"/>
          </w:tcPr>
          <w:p>
            <w:pPr>
              <w:spacing w:after="0"/>
              <w:rPr>
                <w:sz w:val="1"/>
                <w:szCs w:val="1"/>
                <w:color w:val="auto"/>
              </w:rPr>
            </w:pPr>
          </w:p>
        </w:tc>
      </w:tr>
    </w:tbl>
    <w:p>
      <w:pPr>
        <w:spacing w:after="0" w:line="68" w:lineRule="exact"/>
        <w:rPr>
          <w:sz w:val="20"/>
          <w:szCs w:val="20"/>
          <w:color w:val="auto"/>
        </w:rPr>
      </w:pPr>
    </w:p>
    <w:p>
      <w:pPr>
        <w:ind w:left="200" w:right="280" w:hanging="195"/>
        <w:spacing w:after="0" w:line="272" w:lineRule="auto"/>
        <w:tabs>
          <w:tab w:leader="none" w:pos="190" w:val="left"/>
        </w:tabs>
        <w:numPr>
          <w:ilvl w:val="0"/>
          <w:numId w:val="20"/>
        </w:numPr>
        <w:rPr>
          <w:rFonts w:ascii="Arial" w:cs="Arial" w:eastAsia="Arial" w:hAnsi="Arial"/>
          <w:sz w:val="11"/>
          <w:szCs w:val="11"/>
          <w:i w:val="1"/>
          <w:iCs w:val="1"/>
          <w:color w:val="auto"/>
        </w:rPr>
      </w:pPr>
      <w:r>
        <w:rPr>
          <w:rFonts w:ascii="Arial" w:cs="Arial" w:eastAsia="Arial" w:hAnsi="Arial"/>
          <w:sz w:val="11"/>
          <w:szCs w:val="11"/>
          <w:i w:val="1"/>
          <w:iCs w:val="1"/>
          <w:color w:val="auto"/>
        </w:rPr>
        <w:t>The amounts reported in this column represent the aggregate grant date fair value of restricted stock unit awards granted during 2024, in each case computed in accordance with Financial Accounting Standards Board Accounting Standards Codification, Topic 718, or ASC Topic 718. The assumptions used in calculating the grant date fair value of restricted stock units are set forth in Note 10–Stockholders’ Equity of the consolidated financial statements included in the Company’s Annual Report on Form 10-K for the year ended December 31, 2024.</w:t>
      </w:r>
    </w:p>
    <w:p>
      <w:pPr>
        <w:spacing w:after="0" w:line="164" w:lineRule="exact"/>
        <w:rPr>
          <w:rFonts w:ascii="Arial" w:cs="Arial" w:eastAsia="Arial" w:hAnsi="Arial"/>
          <w:sz w:val="11"/>
          <w:szCs w:val="11"/>
          <w:i w:val="1"/>
          <w:iCs w:val="1"/>
          <w:color w:val="auto"/>
        </w:rPr>
      </w:pPr>
    </w:p>
    <w:p>
      <w:pPr>
        <w:ind w:left="200"/>
        <w:spacing w:after="0"/>
        <w:rPr>
          <w:rFonts w:ascii="Arial" w:cs="Arial" w:eastAsia="Arial" w:hAnsi="Arial"/>
          <w:sz w:val="11"/>
          <w:szCs w:val="11"/>
          <w:i w:val="1"/>
          <w:iCs w:val="1"/>
          <w:color w:val="auto"/>
        </w:rPr>
      </w:pPr>
      <w:r>
        <w:rPr>
          <w:rFonts w:ascii="Arial" w:cs="Arial" w:eastAsia="Arial" w:hAnsi="Arial"/>
          <w:sz w:val="11"/>
          <w:szCs w:val="11"/>
          <w:i w:val="1"/>
          <w:iCs w:val="1"/>
          <w:color w:val="auto"/>
        </w:rPr>
        <w:t>The table below shows the aggregate numbers of shares subject to outstanding and unexercised option awards and outstanding stock awards held by each non-employee director as of December 31, 2024.</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80"/>
        </w:trPr>
        <w:tc>
          <w:tcPr>
            <w:tcW w:w="8100" w:type="dxa"/>
            <w:vAlign w:val="bottom"/>
            <w:tcBorders>
              <w:top w:val="single" w:sz="8" w:color="008256"/>
              <w:right w:val="single" w:sz="8" w:color="008256"/>
            </w:tcBorders>
          </w:tcPr>
          <w:p>
            <w:pPr>
              <w:ind w:left="80"/>
              <w:spacing w:after="0"/>
              <w:rPr>
                <w:sz w:val="20"/>
                <w:szCs w:val="20"/>
                <w:color w:val="auto"/>
              </w:rPr>
            </w:pPr>
            <w:r>
              <w:rPr>
                <w:rFonts w:ascii="Arial" w:cs="Arial" w:eastAsia="Arial" w:hAnsi="Arial"/>
                <w:sz w:val="11"/>
                <w:szCs w:val="11"/>
                <w:b w:val="1"/>
                <w:bCs w:val="1"/>
                <w:color w:val="auto"/>
              </w:rPr>
              <w:t>Name</w:t>
            </w:r>
          </w:p>
        </w:tc>
        <w:tc>
          <w:tcPr>
            <w:tcW w:w="1460" w:type="dxa"/>
            <w:vAlign w:val="bottom"/>
            <w:tcBorders>
              <w:top w:val="single" w:sz="8" w:color="008256"/>
              <w:right w:val="single" w:sz="8" w:color="008256"/>
            </w:tcBorders>
          </w:tcPr>
          <w:p>
            <w:pPr>
              <w:jc w:val="right"/>
              <w:ind w:right="278"/>
              <w:spacing w:after="0"/>
              <w:rPr>
                <w:sz w:val="20"/>
                <w:szCs w:val="20"/>
                <w:color w:val="auto"/>
              </w:rPr>
            </w:pPr>
            <w:r>
              <w:rPr>
                <w:rFonts w:ascii="Arial" w:cs="Arial" w:eastAsia="Arial" w:hAnsi="Arial"/>
                <w:sz w:val="11"/>
                <w:szCs w:val="11"/>
                <w:b w:val="1"/>
                <w:bCs w:val="1"/>
                <w:color w:val="auto"/>
              </w:rPr>
              <w:t>Option Awards</w:t>
            </w:r>
          </w:p>
        </w:tc>
        <w:tc>
          <w:tcPr>
            <w:tcW w:w="1420" w:type="dxa"/>
            <w:vAlign w:val="bottom"/>
            <w:tcBorders>
              <w:top w:val="single" w:sz="8" w:color="008256"/>
            </w:tcBorders>
          </w:tcPr>
          <w:p>
            <w:pPr>
              <w:jc w:val="right"/>
              <w:ind w:right="498"/>
              <w:spacing w:after="0"/>
              <w:rPr>
                <w:sz w:val="20"/>
                <w:szCs w:val="20"/>
                <w:color w:val="auto"/>
              </w:rPr>
            </w:pPr>
            <w:r>
              <w:rPr>
                <w:rFonts w:ascii="Arial" w:cs="Arial" w:eastAsia="Arial" w:hAnsi="Arial"/>
                <w:sz w:val="11"/>
                <w:szCs w:val="11"/>
                <w:b w:val="1"/>
                <w:bCs w:val="1"/>
                <w:color w:val="auto"/>
              </w:rPr>
              <w:t>RSUs</w:t>
            </w:r>
          </w:p>
        </w:tc>
      </w:tr>
      <w:tr>
        <w:trPr>
          <w:trHeight w:val="75"/>
        </w:trPr>
        <w:tc>
          <w:tcPr>
            <w:tcW w:w="8100" w:type="dxa"/>
            <w:vAlign w:val="bottom"/>
            <w:tcBorders>
              <w:bottom w:val="single" w:sz="8" w:color="008256"/>
              <w:right w:val="single" w:sz="8" w:color="008256"/>
            </w:tcBorders>
          </w:tcPr>
          <w:p>
            <w:pPr>
              <w:spacing w:after="0"/>
              <w:rPr>
                <w:sz w:val="6"/>
                <w:szCs w:val="6"/>
                <w:color w:val="auto"/>
              </w:rPr>
            </w:pPr>
          </w:p>
        </w:tc>
        <w:tc>
          <w:tcPr>
            <w:tcW w:w="1460" w:type="dxa"/>
            <w:vAlign w:val="bottom"/>
            <w:tcBorders>
              <w:bottom w:val="single" w:sz="8" w:color="008256"/>
              <w:right w:val="single" w:sz="8" w:color="008256"/>
            </w:tcBorders>
          </w:tcPr>
          <w:p>
            <w:pPr>
              <w:spacing w:after="0"/>
              <w:rPr>
                <w:sz w:val="6"/>
                <w:szCs w:val="6"/>
                <w:color w:val="auto"/>
              </w:rPr>
            </w:pPr>
          </w:p>
        </w:tc>
        <w:tc>
          <w:tcPr>
            <w:tcW w:w="1420" w:type="dxa"/>
            <w:vAlign w:val="bottom"/>
            <w:tcBorders>
              <w:bottom w:val="single" w:sz="8" w:color="008256"/>
            </w:tcBorders>
          </w:tcPr>
          <w:p>
            <w:pPr>
              <w:spacing w:after="0"/>
              <w:rPr>
                <w:sz w:val="6"/>
                <w:szCs w:val="6"/>
                <w:color w:val="auto"/>
              </w:rPr>
            </w:pPr>
          </w:p>
        </w:tc>
      </w:tr>
      <w:tr>
        <w:trPr>
          <w:trHeight w:val="182"/>
        </w:trPr>
        <w:tc>
          <w:tcPr>
            <w:tcW w:w="8100" w:type="dxa"/>
            <w:vAlign w:val="bottom"/>
            <w:tcBorders>
              <w:right w:val="single" w:sz="8" w:color="008256"/>
            </w:tcBorders>
            <w:shd w:val="clear" w:color="auto" w:fill="E6F4EF"/>
          </w:tcPr>
          <w:p>
            <w:pPr>
              <w:ind w:left="80"/>
              <w:spacing w:after="0"/>
              <w:rPr>
                <w:sz w:val="20"/>
                <w:szCs w:val="20"/>
                <w:color w:val="auto"/>
              </w:rPr>
            </w:pPr>
            <w:r>
              <w:rPr>
                <w:rFonts w:ascii="Arial" w:cs="Arial" w:eastAsia="Arial" w:hAnsi="Arial"/>
                <w:sz w:val="13"/>
                <w:szCs w:val="13"/>
                <w:b w:val="1"/>
                <w:bCs w:val="1"/>
                <w:color w:val="auto"/>
              </w:rPr>
              <w:t>Jennifer E. Ceran</w:t>
            </w:r>
          </w:p>
        </w:tc>
        <w:tc>
          <w:tcPr>
            <w:tcW w:w="1460" w:type="dxa"/>
            <w:vAlign w:val="bottom"/>
            <w:tcBorders>
              <w:right w:val="single" w:sz="8" w:color="008256"/>
            </w:tcBorders>
            <w:shd w:val="clear" w:color="auto" w:fill="E6F4EF"/>
          </w:tcPr>
          <w:p>
            <w:pPr>
              <w:jc w:val="right"/>
              <w:ind w:right="18"/>
              <w:spacing w:after="0"/>
              <w:rPr>
                <w:sz w:val="20"/>
                <w:szCs w:val="20"/>
                <w:color w:val="auto"/>
              </w:rPr>
            </w:pPr>
            <w:r>
              <w:rPr>
                <w:rFonts w:ascii="Arial" w:cs="Arial" w:eastAsia="Arial" w:hAnsi="Arial"/>
                <w:sz w:val="13"/>
                <w:szCs w:val="13"/>
                <w:color w:val="auto"/>
              </w:rPr>
              <w:t>120,000</w:t>
            </w:r>
          </w:p>
        </w:tc>
        <w:tc>
          <w:tcPr>
            <w:tcW w:w="1420" w:type="dxa"/>
            <w:vAlign w:val="bottom"/>
            <w:shd w:val="clear" w:color="auto" w:fill="E6F4EF"/>
          </w:tcPr>
          <w:p>
            <w:pPr>
              <w:jc w:val="right"/>
              <w:spacing w:after="0"/>
              <w:rPr>
                <w:sz w:val="20"/>
                <w:szCs w:val="20"/>
                <w:color w:val="auto"/>
              </w:rPr>
            </w:pPr>
            <w:r>
              <w:rPr>
                <w:rFonts w:ascii="Arial" w:cs="Arial" w:eastAsia="Arial" w:hAnsi="Arial"/>
                <w:sz w:val="13"/>
                <w:szCs w:val="13"/>
                <w:color w:val="auto"/>
              </w:rPr>
              <w:t>11,061</w:t>
            </w:r>
          </w:p>
        </w:tc>
      </w:tr>
      <w:tr>
        <w:trPr>
          <w:trHeight w:val="187"/>
        </w:trPr>
        <w:tc>
          <w:tcPr>
            <w:tcW w:w="8100" w:type="dxa"/>
            <w:vAlign w:val="bottom"/>
            <w:tcBorders>
              <w:right w:val="single" w:sz="8" w:color="008256"/>
            </w:tcBorders>
          </w:tcPr>
          <w:p>
            <w:pPr>
              <w:ind w:left="80"/>
              <w:spacing w:after="0"/>
              <w:rPr>
                <w:sz w:val="20"/>
                <w:szCs w:val="20"/>
                <w:color w:val="auto"/>
              </w:rPr>
            </w:pPr>
            <w:r>
              <w:rPr>
                <w:rFonts w:ascii="Arial" w:cs="Arial" w:eastAsia="Arial" w:hAnsi="Arial"/>
                <w:sz w:val="13"/>
                <w:szCs w:val="13"/>
                <w:b w:val="1"/>
                <w:bCs w:val="1"/>
                <w:color w:val="auto"/>
              </w:rPr>
              <w:t>Lynne M. Laube</w:t>
            </w:r>
          </w:p>
        </w:tc>
        <w:tc>
          <w:tcPr>
            <w:tcW w:w="1460" w:type="dxa"/>
            <w:vAlign w:val="bottom"/>
            <w:tcBorders>
              <w:right w:val="single" w:sz="8" w:color="008256"/>
            </w:tcBorders>
          </w:tcPr>
          <w:p>
            <w:pPr>
              <w:jc w:val="right"/>
              <w:ind w:right="18"/>
              <w:spacing w:after="0"/>
              <w:rPr>
                <w:sz w:val="20"/>
                <w:szCs w:val="20"/>
                <w:color w:val="auto"/>
              </w:rPr>
            </w:pPr>
            <w:r>
              <w:rPr>
                <w:rFonts w:ascii="Arial" w:cs="Arial" w:eastAsia="Arial" w:hAnsi="Arial"/>
                <w:sz w:val="13"/>
                <w:szCs w:val="13"/>
                <w:color w:val="auto"/>
              </w:rPr>
              <w:t>120,000</w:t>
            </w:r>
          </w:p>
        </w:tc>
        <w:tc>
          <w:tcPr>
            <w:tcW w:w="1420" w:type="dxa"/>
            <w:vAlign w:val="bottom"/>
          </w:tcPr>
          <w:p>
            <w:pPr>
              <w:jc w:val="right"/>
              <w:spacing w:after="0"/>
              <w:rPr>
                <w:sz w:val="20"/>
                <w:szCs w:val="20"/>
                <w:color w:val="auto"/>
              </w:rPr>
            </w:pPr>
            <w:r>
              <w:rPr>
                <w:rFonts w:ascii="Arial" w:cs="Arial" w:eastAsia="Arial" w:hAnsi="Arial"/>
                <w:sz w:val="13"/>
                <w:szCs w:val="13"/>
                <w:color w:val="auto"/>
              </w:rPr>
              <w:t>11,061</w:t>
            </w:r>
          </w:p>
        </w:tc>
      </w:tr>
      <w:tr>
        <w:trPr>
          <w:trHeight w:val="195"/>
        </w:trPr>
        <w:tc>
          <w:tcPr>
            <w:tcW w:w="8100" w:type="dxa"/>
            <w:vAlign w:val="bottom"/>
            <w:tcBorders>
              <w:right w:val="single" w:sz="8" w:color="008256"/>
            </w:tcBorders>
            <w:shd w:val="clear" w:color="auto" w:fill="E6F4EF"/>
          </w:tcPr>
          <w:p>
            <w:pPr>
              <w:ind w:left="80"/>
              <w:spacing w:after="0"/>
              <w:rPr>
                <w:sz w:val="20"/>
                <w:szCs w:val="20"/>
                <w:color w:val="auto"/>
              </w:rPr>
            </w:pPr>
            <w:r>
              <w:rPr>
                <w:rFonts w:ascii="Arial" w:cs="Arial" w:eastAsia="Arial" w:hAnsi="Arial"/>
                <w:sz w:val="13"/>
                <w:szCs w:val="13"/>
                <w:b w:val="1"/>
                <w:bCs w:val="1"/>
                <w:color w:val="auto"/>
              </w:rPr>
              <w:t>Kenneth T. McBride</w:t>
            </w:r>
          </w:p>
        </w:tc>
        <w:tc>
          <w:tcPr>
            <w:tcW w:w="1460" w:type="dxa"/>
            <w:vAlign w:val="bottom"/>
            <w:tcBorders>
              <w:right w:val="single" w:sz="8" w:color="008256"/>
            </w:tcBorders>
            <w:shd w:val="clear" w:color="auto" w:fill="E6F4EF"/>
          </w:tcPr>
          <w:p>
            <w:pPr>
              <w:jc w:val="right"/>
              <w:ind w:right="18"/>
              <w:spacing w:after="0"/>
              <w:rPr>
                <w:sz w:val="20"/>
                <w:szCs w:val="20"/>
                <w:color w:val="auto"/>
              </w:rPr>
            </w:pPr>
            <w:r>
              <w:rPr>
                <w:rFonts w:ascii="Arial" w:cs="Arial" w:eastAsia="Arial" w:hAnsi="Arial"/>
                <w:sz w:val="13"/>
                <w:szCs w:val="13"/>
                <w:color w:val="auto"/>
              </w:rPr>
              <w:t>—</w:t>
            </w:r>
          </w:p>
        </w:tc>
        <w:tc>
          <w:tcPr>
            <w:tcW w:w="1420" w:type="dxa"/>
            <w:vAlign w:val="bottom"/>
            <w:shd w:val="clear" w:color="auto" w:fill="E6F4EF"/>
          </w:tcPr>
          <w:p>
            <w:pPr>
              <w:jc w:val="right"/>
              <w:spacing w:after="0"/>
              <w:rPr>
                <w:sz w:val="20"/>
                <w:szCs w:val="20"/>
                <w:color w:val="auto"/>
              </w:rPr>
            </w:pPr>
            <w:r>
              <w:rPr>
                <w:rFonts w:ascii="Arial" w:cs="Arial" w:eastAsia="Arial" w:hAnsi="Arial"/>
                <w:sz w:val="13"/>
                <w:szCs w:val="13"/>
                <w:color w:val="auto"/>
              </w:rPr>
              <w:t>19,966</w:t>
            </w:r>
          </w:p>
        </w:tc>
      </w:tr>
      <w:tr>
        <w:trPr>
          <w:trHeight w:val="187"/>
        </w:trPr>
        <w:tc>
          <w:tcPr>
            <w:tcW w:w="8100" w:type="dxa"/>
            <w:vAlign w:val="bottom"/>
            <w:tcBorders>
              <w:bottom w:val="single" w:sz="8" w:color="008256"/>
              <w:right w:val="single" w:sz="8" w:color="008256"/>
            </w:tcBorders>
          </w:tcPr>
          <w:p>
            <w:pPr>
              <w:ind w:left="80"/>
              <w:spacing w:after="0"/>
              <w:rPr>
                <w:sz w:val="20"/>
                <w:szCs w:val="20"/>
                <w:color w:val="auto"/>
              </w:rPr>
            </w:pPr>
            <w:r>
              <w:rPr>
                <w:rFonts w:ascii="Arial" w:cs="Arial" w:eastAsia="Arial" w:hAnsi="Arial"/>
                <w:sz w:val="13"/>
                <w:szCs w:val="13"/>
                <w:b w:val="1"/>
                <w:bCs w:val="1"/>
                <w:color w:val="auto"/>
              </w:rPr>
              <w:t>Maurice Taylor</w:t>
            </w:r>
          </w:p>
        </w:tc>
        <w:tc>
          <w:tcPr>
            <w:tcW w:w="1460" w:type="dxa"/>
            <w:vAlign w:val="bottom"/>
            <w:tcBorders>
              <w:bottom w:val="single" w:sz="8" w:color="008256"/>
              <w:right w:val="single" w:sz="8" w:color="008256"/>
            </w:tcBorders>
          </w:tcPr>
          <w:p>
            <w:pPr>
              <w:jc w:val="right"/>
              <w:ind w:right="18"/>
              <w:spacing w:after="0"/>
              <w:rPr>
                <w:sz w:val="20"/>
                <w:szCs w:val="20"/>
                <w:color w:val="auto"/>
              </w:rPr>
            </w:pPr>
            <w:r>
              <w:rPr>
                <w:rFonts w:ascii="Arial" w:cs="Arial" w:eastAsia="Arial" w:hAnsi="Arial"/>
                <w:sz w:val="13"/>
                <w:szCs w:val="13"/>
                <w:color w:val="auto"/>
              </w:rPr>
              <w:t>—</w:t>
            </w:r>
          </w:p>
        </w:tc>
        <w:tc>
          <w:tcPr>
            <w:tcW w:w="1420" w:type="dxa"/>
            <w:vAlign w:val="bottom"/>
            <w:tcBorders>
              <w:bottom w:val="single" w:sz="8" w:color="008256"/>
            </w:tcBorders>
          </w:tcPr>
          <w:p>
            <w:pPr>
              <w:jc w:val="right"/>
              <w:spacing w:after="0"/>
              <w:rPr>
                <w:sz w:val="20"/>
                <w:szCs w:val="20"/>
                <w:color w:val="auto"/>
              </w:rPr>
            </w:pPr>
            <w:r>
              <w:rPr>
                <w:rFonts w:ascii="Arial" w:cs="Arial" w:eastAsia="Arial" w:hAnsi="Arial"/>
                <w:sz w:val="13"/>
                <w:szCs w:val="13"/>
                <w:color w:val="auto"/>
              </w:rPr>
              <w:t>20,630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464820</wp:posOffset>
            </wp:positionV>
            <wp:extent cx="7161530" cy="2895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1530" cy="289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ind w:right="40"/>
        <w:spacing w:after="0"/>
        <w:rPr>
          <w:sz w:val="20"/>
          <w:szCs w:val="20"/>
          <w:color w:val="auto"/>
        </w:rPr>
      </w:pPr>
      <w:r>
        <w:rPr>
          <w:rFonts w:ascii="Arial" w:cs="Arial" w:eastAsia="Arial" w:hAnsi="Arial"/>
          <w:sz w:val="13"/>
          <w:szCs w:val="13"/>
          <w:b w:val="1"/>
          <w:bCs w:val="1"/>
          <w:color w:val="auto"/>
        </w:rPr>
        <w:t>25</w:t>
      </w:r>
    </w:p>
    <w:p>
      <w:pPr>
        <w:sectPr>
          <w:pgSz w:w="11900" w:h="16838" w:orient="portrait"/>
          <w:cols w:equalWidth="0" w:num="1">
            <w:col w:w="11280"/>
          </w:cols>
          <w:pgMar w:left="300" w:top="171" w:right="319" w:bottom="1440" w:gutter="0" w:footer="0" w:header="0"/>
        </w:sectPr>
      </w:pPr>
    </w:p>
    <w:bookmarkStart w:id="30" w:name="page31"/>
    <w:bookmarkEnd w:id="30"/>
    <w:p>
      <w:pPr>
        <w:ind w:left="300"/>
        <w:spacing w:after="0"/>
        <w:rPr>
          <w:sz w:val="20"/>
          <w:szCs w:val="20"/>
          <w:color w:val="auto"/>
        </w:rPr>
      </w:pPr>
      <w:r>
        <w:rPr>
          <w:rFonts w:ascii="Arial" w:cs="Arial" w:eastAsia="Arial" w:hAnsi="Arial"/>
          <w:sz w:val="13"/>
          <w:szCs w:val="13"/>
          <w:b w:val="1"/>
          <w:bCs w:val="1"/>
          <w:color w:val="00482F"/>
        </w:rPr>
        <w:drawing>
          <wp:anchor simplePos="0" relativeHeight="251657728" behindDoc="1" locked="0" layoutInCell="0" allowOverlap="1">
            <wp:simplePos x="0" y="0"/>
            <wp:positionH relativeFrom="page">
              <wp:posOffset>328295</wp:posOffset>
            </wp:positionH>
            <wp:positionV relativeFrom="page">
              <wp:posOffset>102235</wp:posOffset>
            </wp:positionV>
            <wp:extent cx="2876550" cy="147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876550" cy="147955"/>
                    </a:xfrm>
                    <a:prstGeom prst="rect">
                      <a:avLst/>
                    </a:prstGeom>
                    <a:noFill/>
                  </pic:spPr>
                </pic:pic>
              </a:graphicData>
            </a:graphic>
          </wp:anchor>
        </w:drawing>
        <w:t>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34"/>
          <w:szCs w:val="34"/>
          <w:b w:val="1"/>
          <w:bCs w:val="1"/>
          <w:color w:val="auto"/>
        </w:rPr>
        <w:t>Executive Officers</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uto"/>
        </w:rPr>
        <w:t>Set forth below are descriptions of the backgrounds of each executive officer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161530" cy="16706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1530" cy="1670685"/>
                    </a:xfrm>
                    <a:prstGeom prst="rect">
                      <a:avLst/>
                    </a:prstGeom>
                    <a:noFill/>
                  </pic:spPr>
                </pic:pic>
              </a:graphicData>
            </a:graphic>
          </wp:anchor>
        </w:drawing>
      </w:r>
    </w:p>
    <w:p>
      <w:pPr>
        <w:spacing w:after="0" w:line="280" w:lineRule="exact"/>
        <w:rPr>
          <w:sz w:val="20"/>
          <w:szCs w:val="20"/>
          <w:color w:val="auto"/>
        </w:rPr>
      </w:pPr>
    </w:p>
    <w:p>
      <w:pPr>
        <w:ind w:left="80"/>
        <w:spacing w:after="0"/>
        <w:rPr>
          <w:sz w:val="20"/>
          <w:szCs w:val="20"/>
          <w:color w:val="auto"/>
        </w:rPr>
      </w:pPr>
      <w:r>
        <w:rPr>
          <w:rFonts w:ascii="Arial" w:cs="Arial" w:eastAsia="Arial" w:hAnsi="Arial"/>
          <w:sz w:val="11"/>
          <w:szCs w:val="11"/>
          <w:b w:val="1"/>
          <w:bCs w:val="1"/>
          <w:color w:val="0C6936"/>
        </w:rPr>
        <w:t>Tim Chen</w:t>
      </w:r>
    </w:p>
    <w:p>
      <w:pPr>
        <w:spacing w:after="0" w:line="124" w:lineRule="exact"/>
        <w:rPr>
          <w:sz w:val="20"/>
          <w:szCs w:val="20"/>
          <w:color w:val="auto"/>
        </w:rPr>
      </w:pPr>
    </w:p>
    <w:p>
      <w:pPr>
        <w:ind w:left="3340" w:right="260"/>
        <w:spacing w:after="0" w:line="266" w:lineRule="auto"/>
        <w:rPr>
          <w:sz w:val="20"/>
          <w:szCs w:val="20"/>
          <w:color w:val="auto"/>
        </w:rPr>
      </w:pPr>
      <w:r>
        <w:rPr>
          <w:rFonts w:ascii="Arial" w:cs="Arial" w:eastAsia="Arial" w:hAnsi="Arial"/>
          <w:sz w:val="13"/>
          <w:szCs w:val="13"/>
          <w:color w:val="auto"/>
        </w:rPr>
        <w:t>See “</w:t>
      </w:r>
      <w:r>
        <w:rPr>
          <w:rFonts w:ascii="Arial" w:cs="Arial" w:eastAsia="Arial" w:hAnsi="Arial"/>
          <w:sz w:val="13"/>
          <w:szCs w:val="13"/>
          <w:i w:val="1"/>
          <w:iCs w:val="1"/>
          <w:color w:val="auto"/>
        </w:rPr>
        <w:t>Proposal No.1–Election of Directors</w:t>
      </w:r>
      <w:r>
        <w:rPr>
          <w:rFonts w:ascii="Arial" w:cs="Arial" w:eastAsia="Arial" w:hAnsi="Arial"/>
          <w:sz w:val="13"/>
          <w:szCs w:val="13"/>
          <w:color w:val="auto"/>
        </w:rPr>
        <w:t>—</w:t>
      </w:r>
      <w:r>
        <w:rPr>
          <w:rFonts w:ascii="Arial" w:cs="Arial" w:eastAsia="Arial" w:hAnsi="Arial"/>
          <w:sz w:val="13"/>
          <w:szCs w:val="13"/>
          <w:i w:val="1"/>
          <w:iCs w:val="1"/>
          <w:color w:val="auto"/>
        </w:rPr>
        <w:t>Director Background and Qualifications”</w:t>
      </w:r>
      <w:r>
        <w:rPr>
          <w:rFonts w:ascii="Arial" w:cs="Arial" w:eastAsia="Arial" w:hAnsi="Arial"/>
          <w:sz w:val="13"/>
          <w:szCs w:val="13"/>
          <w:color w:val="auto"/>
        </w:rPr>
        <w:t xml:space="preserve"> for biographical and other information regarding Tim Chen.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Chief Executive Officer and</w:t>
      </w:r>
    </w:p>
    <w:p>
      <w:pPr>
        <w:spacing w:after="0" w:line="21"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Chairman of our Board</w:t>
      </w:r>
    </w:p>
    <w:p>
      <w:pPr>
        <w:ind w:left="80"/>
        <w:spacing w:after="0"/>
        <w:rPr>
          <w:sz w:val="20"/>
          <w:szCs w:val="20"/>
          <w:color w:val="auto"/>
        </w:rPr>
      </w:pPr>
      <w:r>
        <w:rPr>
          <w:rFonts w:ascii="Arial" w:cs="Arial" w:eastAsia="Arial" w:hAnsi="Arial"/>
          <w:sz w:val="13"/>
          <w:szCs w:val="13"/>
          <w:b w:val="1"/>
          <w:bCs w:val="1"/>
          <w:color w:val="auto"/>
        </w:rPr>
        <w:t>Age: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180340</wp:posOffset>
            </wp:positionV>
            <wp:extent cx="7161530" cy="15697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1530" cy="1569720"/>
                    </a:xfrm>
                    <a:prstGeom prst="rect">
                      <a:avLst/>
                    </a:prstGeom>
                    <a:noFill/>
                  </pic:spPr>
                </pic:pic>
              </a:graphicData>
            </a:graphic>
          </wp:anchor>
        </w:drawing>
      </w:r>
    </w:p>
    <w:p>
      <w:pPr>
        <w:spacing w:after="0" w:line="353" w:lineRule="exact"/>
        <w:rPr>
          <w:sz w:val="20"/>
          <w:szCs w:val="20"/>
          <w:color w:val="auto"/>
        </w:rPr>
      </w:pPr>
    </w:p>
    <w:p>
      <w:pPr>
        <w:ind w:left="80"/>
        <w:spacing w:after="0"/>
        <w:rPr>
          <w:sz w:val="20"/>
          <w:szCs w:val="20"/>
          <w:color w:val="auto"/>
        </w:rPr>
      </w:pPr>
      <w:r>
        <w:rPr>
          <w:rFonts w:ascii="Arial" w:cs="Arial" w:eastAsia="Arial" w:hAnsi="Arial"/>
          <w:sz w:val="11"/>
          <w:szCs w:val="11"/>
          <w:b w:val="1"/>
          <w:bCs w:val="1"/>
          <w:color w:val="0C6936"/>
        </w:rPr>
        <w:t>John Lee</w:t>
      </w:r>
    </w:p>
    <w:p>
      <w:pPr>
        <w:spacing w:after="0" w:line="124" w:lineRule="exact"/>
        <w:rPr>
          <w:sz w:val="20"/>
          <w:szCs w:val="20"/>
          <w:color w:val="auto"/>
        </w:rPr>
      </w:pPr>
    </w:p>
    <w:p>
      <w:pPr>
        <w:ind w:left="3340"/>
        <w:spacing w:after="0"/>
        <w:rPr>
          <w:sz w:val="20"/>
          <w:szCs w:val="20"/>
          <w:color w:val="auto"/>
        </w:rPr>
      </w:pPr>
      <w:r>
        <w:rPr>
          <w:rFonts w:ascii="Arial" w:cs="Arial" w:eastAsia="Arial" w:hAnsi="Arial"/>
          <w:sz w:val="13"/>
          <w:szCs w:val="13"/>
          <w:b w:val="1"/>
          <w:bCs w:val="1"/>
          <w:color w:val="auto"/>
        </w:rPr>
        <w:t xml:space="preserve">Jun Hyung Lee (aka John Lee). </w:t>
      </w:r>
      <w:r>
        <w:rPr>
          <w:rFonts w:ascii="Arial" w:cs="Arial" w:eastAsia="Arial" w:hAnsi="Arial"/>
          <w:sz w:val="13"/>
          <w:szCs w:val="13"/>
          <w:color w:val="auto"/>
        </w:rPr>
        <w:t>Mr. Lee has served as our Chief Financial Officer since March 17, 2025. Prior to joining NerdWallet,</w:t>
      </w:r>
    </w:p>
    <w:p>
      <w:pPr>
        <w:spacing w:after="0" w:line="22" w:lineRule="exact"/>
        <w:rPr>
          <w:sz w:val="20"/>
          <w:szCs w:val="20"/>
          <w:color w:val="auto"/>
        </w:rPr>
      </w:pPr>
    </w:p>
    <w:p>
      <w:pPr>
        <w:ind w:left="3340"/>
        <w:spacing w:after="0" w:line="247" w:lineRule="auto"/>
        <w:rPr>
          <w:sz w:val="20"/>
          <w:szCs w:val="20"/>
          <w:color w:val="auto"/>
        </w:rPr>
      </w:pPr>
      <w:r>
        <w:rPr>
          <w:rFonts w:ascii="Arial" w:cs="Arial" w:eastAsia="Arial" w:hAnsi="Arial"/>
          <w:sz w:val="13"/>
          <w:szCs w:val="13"/>
          <w:color w:val="auto"/>
        </w:rPr>
        <w:t>Mr. Lee served as Chief Financial Officer and Chief Operating Officer of Divvy Homes from January 2022 to March 2025. Prior to this, from July 2014 to December 2021, Mr. Lee worked at Blackstone, where he last served as Managing Director in the Private Equity Group. Mr. Lee holds Bachelor of Science and Bachelor of Arts degrees in Mathematical Computational Science and Economics from Stanford University, and a Master of Business Administration degree from Harvard Business School.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Chief Financial Officer</w:t>
      </w:r>
    </w:p>
    <w:p>
      <w:pPr>
        <w:spacing w:after="0" w:line="11"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Age: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180340</wp:posOffset>
            </wp:positionV>
            <wp:extent cx="7161530" cy="15767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1530" cy="1576705"/>
                    </a:xfrm>
                    <a:prstGeom prst="rect">
                      <a:avLst/>
                    </a:prstGeom>
                    <a:noFill/>
                  </pic:spPr>
                </pic:pic>
              </a:graphicData>
            </a:graphic>
          </wp:anchor>
        </w:drawing>
      </w:r>
    </w:p>
    <w:p>
      <w:pPr>
        <w:spacing w:after="0" w:line="353" w:lineRule="exact"/>
        <w:rPr>
          <w:sz w:val="20"/>
          <w:szCs w:val="20"/>
          <w:color w:val="auto"/>
        </w:rPr>
      </w:pPr>
    </w:p>
    <w:p>
      <w:pPr>
        <w:ind w:left="80"/>
        <w:spacing w:after="0"/>
        <w:rPr>
          <w:sz w:val="20"/>
          <w:szCs w:val="20"/>
          <w:color w:val="auto"/>
        </w:rPr>
      </w:pPr>
      <w:r>
        <w:rPr>
          <w:rFonts w:ascii="Arial" w:cs="Arial" w:eastAsia="Arial" w:hAnsi="Arial"/>
          <w:sz w:val="11"/>
          <w:szCs w:val="11"/>
          <w:b w:val="1"/>
          <w:bCs w:val="1"/>
          <w:color w:val="0C6936"/>
        </w:rPr>
        <w:t>Sam Yount</w:t>
      </w:r>
    </w:p>
    <w:p>
      <w:pPr>
        <w:spacing w:after="0" w:line="124" w:lineRule="exact"/>
        <w:rPr>
          <w:sz w:val="20"/>
          <w:szCs w:val="20"/>
          <w:color w:val="auto"/>
        </w:rPr>
      </w:pPr>
    </w:p>
    <w:p>
      <w:pPr>
        <w:ind w:left="3340" w:right="80"/>
        <w:spacing w:after="0" w:line="274" w:lineRule="auto"/>
        <w:rPr>
          <w:sz w:val="20"/>
          <w:szCs w:val="20"/>
          <w:color w:val="auto"/>
        </w:rPr>
      </w:pPr>
      <w:r>
        <w:rPr>
          <w:rFonts w:ascii="Arial" w:cs="Arial" w:eastAsia="Arial" w:hAnsi="Arial"/>
          <w:sz w:val="12"/>
          <w:szCs w:val="12"/>
          <w:b w:val="1"/>
          <w:bCs w:val="1"/>
          <w:color w:val="auto"/>
        </w:rPr>
        <w:t xml:space="preserve">Sam Yount. </w:t>
      </w:r>
      <w:r>
        <w:rPr>
          <w:rFonts w:ascii="Arial" w:cs="Arial" w:eastAsia="Arial" w:hAnsi="Arial"/>
          <w:sz w:val="12"/>
          <w:szCs w:val="12"/>
          <w:color w:val="auto"/>
        </w:rPr>
        <w:t>Mr. Yount served as our General Manager, Consumer Credit from July 11, 2022 until September 2024, when he was appointed</w:t>
      </w:r>
      <w:r>
        <w:rPr>
          <w:rFonts w:ascii="Arial" w:cs="Arial" w:eastAsia="Arial" w:hAnsi="Arial"/>
          <w:sz w:val="12"/>
          <w:szCs w:val="12"/>
          <w:b w:val="1"/>
          <w:bCs w:val="1"/>
          <w:color w:val="auto"/>
        </w:rPr>
        <w:t xml:space="preserve"> </w:t>
      </w:r>
      <w:r>
        <w:rPr>
          <w:rFonts w:ascii="Arial" w:cs="Arial" w:eastAsia="Arial" w:hAnsi="Arial"/>
          <w:sz w:val="12"/>
          <w:szCs w:val="12"/>
          <w:color w:val="auto"/>
        </w:rPr>
        <w:t>Chief Business Officer in October 2024. Prior to joining NerdWallet, Mr. Yount served as the Chief Executive Officer of On the Barrelhead,</w:t>
      </w:r>
    </w:p>
    <w:p>
      <w:pPr>
        <w:spacing w:after="0" w:line="1" w:lineRule="exact"/>
        <w:rPr>
          <w:sz w:val="20"/>
          <w:szCs w:val="20"/>
          <w:color w:val="auto"/>
        </w:rPr>
      </w:pPr>
    </w:p>
    <w:p>
      <w:pPr>
        <w:ind w:left="3340" w:right="120"/>
        <w:spacing w:after="0" w:line="253" w:lineRule="auto"/>
        <w:rPr>
          <w:sz w:val="20"/>
          <w:szCs w:val="20"/>
          <w:color w:val="auto"/>
        </w:rPr>
      </w:pPr>
      <w:r>
        <w:rPr>
          <w:rFonts w:ascii="Arial" w:cs="Arial" w:eastAsia="Arial" w:hAnsi="Arial"/>
          <w:sz w:val="13"/>
          <w:szCs w:val="13"/>
          <w:color w:val="auto"/>
        </w:rPr>
        <w:t>Inc. (acquired by NerdWallet in 2022) from April 2017 to July 2022. Prior to founding On the Barrelhead, Mr. Yount was the Chief Marketing Officer at LendingTree from January 2016 to April 2017. Mr. Yount has a B.A. in Sociology from the University of Chicago.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Chief Business Officer</w:t>
      </w:r>
    </w:p>
    <w:p>
      <w:pPr>
        <w:spacing w:after="0" w:line="11"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Age: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375920</wp:posOffset>
            </wp:positionV>
            <wp:extent cx="7161530" cy="28956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1530" cy="289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 xml:space="preserve">26 </w:t>
      </w:r>
      <w:r>
        <w:rPr>
          <w:rFonts w:ascii="Arial" w:cs="Arial" w:eastAsia="Arial" w:hAnsi="Arial"/>
          <w:sz w:val="13"/>
          <w:szCs w:val="13"/>
          <w:color w:val="auto"/>
        </w:rPr>
        <w:t>PROXY STATEMENT 2025</w:t>
      </w:r>
    </w:p>
    <w:p>
      <w:pPr>
        <w:sectPr>
          <w:pgSz w:w="11900" w:h="16838" w:orient="portrait"/>
          <w:cols w:equalWidth="0" w:num="1">
            <w:col w:w="11260"/>
          </w:cols>
          <w:pgMar w:left="300" w:top="171" w:right="339" w:bottom="1440" w:gutter="0" w:footer="0" w:header="0"/>
        </w:sectPr>
      </w:pPr>
    </w:p>
    <w:bookmarkStart w:id="31" w:name="page32"/>
    <w:bookmarkEnd w:id="31"/>
    <w:p>
      <w:pPr>
        <w:ind w:left="6620"/>
        <w:spacing w:after="0"/>
        <w:rPr>
          <w:sz w:val="20"/>
          <w:szCs w:val="20"/>
          <w:color w:val="auto"/>
        </w:rPr>
      </w:pPr>
      <w:r>
        <w:rPr>
          <w:rFonts w:ascii="Arial" w:cs="Arial" w:eastAsia="Arial" w:hAnsi="Arial"/>
          <w:sz w:val="13"/>
          <w:szCs w:val="13"/>
          <w:b w:val="1"/>
          <w:bCs w:val="1"/>
          <w:color w:val="00482F"/>
        </w:rPr>
        <w:drawing>
          <wp:anchor simplePos="0" relativeHeight="251657728" behindDoc="1" locked="0" layoutInCell="0" allowOverlap="1">
            <wp:simplePos x="0" y="0"/>
            <wp:positionH relativeFrom="page">
              <wp:posOffset>4350385</wp:posOffset>
            </wp:positionH>
            <wp:positionV relativeFrom="page">
              <wp:posOffset>102235</wp:posOffset>
            </wp:positionV>
            <wp:extent cx="2876550" cy="147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2876550" cy="147955"/>
                    </a:xfrm>
                    <a:prstGeom prst="rect">
                      <a:avLst/>
                    </a:prstGeom>
                    <a:noFill/>
                  </pic:spPr>
                </pic:pic>
              </a:graphicData>
            </a:graphic>
          </wp:anchor>
        </w:drawing>
        <w:t>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Senior Management</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color w:val="auto"/>
        </w:rPr>
        <w:t>Set forth below are descriptions of the backgrounds of other members of senior management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133985</wp:posOffset>
            </wp:positionV>
            <wp:extent cx="7161530" cy="15697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1530" cy="1569720"/>
                    </a:xfrm>
                    <a:prstGeom prst="rect">
                      <a:avLst/>
                    </a:prstGeom>
                    <a:noFill/>
                  </pic:spPr>
                </pic:pic>
              </a:graphicData>
            </a:graphic>
          </wp:anchor>
        </w:drawing>
      </w:r>
    </w:p>
    <w:p>
      <w:pPr>
        <w:spacing w:after="0" w:line="280" w:lineRule="exact"/>
        <w:rPr>
          <w:sz w:val="20"/>
          <w:szCs w:val="20"/>
          <w:color w:val="auto"/>
        </w:rPr>
      </w:pPr>
    </w:p>
    <w:p>
      <w:pPr>
        <w:ind w:left="80"/>
        <w:spacing w:after="0"/>
        <w:rPr>
          <w:sz w:val="20"/>
          <w:szCs w:val="20"/>
          <w:color w:val="auto"/>
        </w:rPr>
      </w:pPr>
      <w:r>
        <w:rPr>
          <w:rFonts w:ascii="Arial" w:cs="Arial" w:eastAsia="Arial" w:hAnsi="Arial"/>
          <w:sz w:val="11"/>
          <w:szCs w:val="11"/>
          <w:b w:val="1"/>
          <w:bCs w:val="1"/>
          <w:color w:val="0C6936"/>
        </w:rPr>
        <w:t>Lynee Luque</w:t>
      </w:r>
    </w:p>
    <w:p>
      <w:pPr>
        <w:spacing w:after="0" w:line="124" w:lineRule="exact"/>
        <w:rPr>
          <w:sz w:val="20"/>
          <w:szCs w:val="20"/>
          <w:color w:val="auto"/>
        </w:rPr>
      </w:pPr>
    </w:p>
    <w:p>
      <w:pPr>
        <w:ind w:left="3340"/>
        <w:spacing w:after="0" w:line="249" w:lineRule="auto"/>
        <w:rPr>
          <w:sz w:val="20"/>
          <w:szCs w:val="20"/>
          <w:color w:val="auto"/>
        </w:rPr>
      </w:pPr>
      <w:r>
        <w:rPr>
          <w:rFonts w:ascii="Arial" w:cs="Arial" w:eastAsia="Arial" w:hAnsi="Arial"/>
          <w:sz w:val="13"/>
          <w:szCs w:val="13"/>
          <w:b w:val="1"/>
          <w:bCs w:val="1"/>
          <w:color w:val="auto"/>
        </w:rPr>
        <w:t xml:space="preserve">Lynee Luque. </w:t>
      </w:r>
      <w:r>
        <w:rPr>
          <w:rFonts w:ascii="Arial" w:cs="Arial" w:eastAsia="Arial" w:hAnsi="Arial"/>
          <w:sz w:val="13"/>
          <w:szCs w:val="13"/>
          <w:color w:val="auto"/>
        </w:rPr>
        <w:t>Ms. Luque has served as our Chief People Officer since April 1, 2022. Prior to that, Ms. Luque served as our Vice President</w:t>
      </w:r>
      <w:r>
        <w:rPr>
          <w:rFonts w:ascii="Arial" w:cs="Arial" w:eastAsia="Arial" w:hAnsi="Arial"/>
          <w:sz w:val="13"/>
          <w:szCs w:val="13"/>
          <w:b w:val="1"/>
          <w:bCs w:val="1"/>
          <w:color w:val="auto"/>
        </w:rPr>
        <w:t xml:space="preserve"> </w:t>
      </w:r>
      <w:r>
        <w:rPr>
          <w:rFonts w:ascii="Arial" w:cs="Arial" w:eastAsia="Arial" w:hAnsi="Arial"/>
          <w:sz w:val="13"/>
          <w:szCs w:val="13"/>
          <w:color w:val="auto"/>
        </w:rPr>
        <w:t>of People Operations since joining NerdWallet in September of 2020. Prior to joining NerdWallet, Ms. Luque served as VP and Head of People at Envoy, a position she held beginning in September 2018. Before her role at Envoy, Ms. Luque served as Global Human Resources Director for Twitter. Ms. Luque has a B.S. degree from the University of California, Berkeley and an M.B.A. from the University of Michigan, Ann Arbor.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Chief People Officer</w:t>
      </w:r>
    </w:p>
    <w:p>
      <w:pPr>
        <w:spacing w:after="0" w:line="22"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Age: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173355</wp:posOffset>
            </wp:positionV>
            <wp:extent cx="7161530" cy="15697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1530" cy="1569720"/>
                    </a:xfrm>
                    <a:prstGeom prst="rect">
                      <a:avLst/>
                    </a:prstGeom>
                    <a:noFill/>
                  </pic:spPr>
                </pic:pic>
              </a:graphicData>
            </a:graphic>
          </wp:anchor>
        </w:drawing>
      </w:r>
    </w:p>
    <w:p>
      <w:pPr>
        <w:spacing w:after="0" w:line="343" w:lineRule="exact"/>
        <w:rPr>
          <w:sz w:val="20"/>
          <w:szCs w:val="20"/>
          <w:color w:val="auto"/>
        </w:rPr>
      </w:pPr>
    </w:p>
    <w:p>
      <w:pPr>
        <w:ind w:left="80"/>
        <w:spacing w:after="0"/>
        <w:rPr>
          <w:sz w:val="20"/>
          <w:szCs w:val="20"/>
          <w:color w:val="auto"/>
        </w:rPr>
      </w:pPr>
      <w:r>
        <w:rPr>
          <w:rFonts w:ascii="Arial" w:cs="Arial" w:eastAsia="Arial" w:hAnsi="Arial"/>
          <w:sz w:val="11"/>
          <w:szCs w:val="11"/>
          <w:b w:val="1"/>
          <w:bCs w:val="1"/>
          <w:color w:val="0C6936"/>
        </w:rPr>
        <w:t>Ekumene “E” Lysonge</w:t>
      </w:r>
    </w:p>
    <w:p>
      <w:pPr>
        <w:spacing w:after="0" w:line="124" w:lineRule="exact"/>
        <w:rPr>
          <w:sz w:val="20"/>
          <w:szCs w:val="20"/>
          <w:color w:val="auto"/>
        </w:rPr>
      </w:pPr>
    </w:p>
    <w:p>
      <w:pPr>
        <w:ind w:left="3340" w:right="60"/>
        <w:spacing w:after="0" w:line="250" w:lineRule="auto"/>
        <w:rPr>
          <w:sz w:val="20"/>
          <w:szCs w:val="20"/>
          <w:color w:val="auto"/>
        </w:rPr>
      </w:pPr>
      <w:r>
        <w:rPr>
          <w:rFonts w:ascii="Arial" w:cs="Arial" w:eastAsia="Arial" w:hAnsi="Arial"/>
          <w:sz w:val="13"/>
          <w:szCs w:val="13"/>
          <w:b w:val="1"/>
          <w:bCs w:val="1"/>
          <w:color w:val="auto"/>
        </w:rPr>
        <w:t xml:space="preserve">Ekumene “E” Lysonge. </w:t>
      </w:r>
      <w:r>
        <w:rPr>
          <w:rFonts w:ascii="Arial" w:cs="Arial" w:eastAsia="Arial" w:hAnsi="Arial"/>
          <w:sz w:val="13"/>
          <w:szCs w:val="13"/>
          <w:color w:val="auto"/>
        </w:rPr>
        <w:t>Mr. Lysonge has served as our Chief Legal Officer since April 1, 2023. Prior to that, Mr. Lysonge served as our</w:t>
      </w:r>
      <w:r>
        <w:rPr>
          <w:rFonts w:ascii="Arial" w:cs="Arial" w:eastAsia="Arial" w:hAnsi="Arial"/>
          <w:sz w:val="13"/>
          <w:szCs w:val="13"/>
          <w:b w:val="1"/>
          <w:bCs w:val="1"/>
          <w:color w:val="auto"/>
        </w:rPr>
        <w:t xml:space="preserve"> </w:t>
      </w:r>
      <w:r>
        <w:rPr>
          <w:rFonts w:ascii="Arial" w:cs="Arial" w:eastAsia="Arial" w:hAnsi="Arial"/>
          <w:sz w:val="13"/>
          <w:szCs w:val="13"/>
          <w:color w:val="auto"/>
        </w:rPr>
        <w:t>General Counsel since joining NerdWallet in April 2021. Prior to joining NerdWallet, Mr. Lysonge served as Global Deputy General Counsel and Assistant Corporate Secretary at Jones Lang LaSalle, a position he held beginning in January 2020. Mr. Lysonge served as Vice President and General Counsel of Snapfish from March 2019 through January 2020. Prior to his role at Snapfish, Mr. Lysonge served as Vice President, General Counsel, and Corporate Secretary at CafePress, Inc. Mr. Lysonge holds a B.A. from Fisk University and a J.D. from the Vanderbilt University Law School.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Chief Legal Officer</w:t>
      </w:r>
    </w:p>
    <w:p>
      <w:pPr>
        <w:spacing w:after="0" w:line="11" w:lineRule="exact"/>
        <w:rPr>
          <w:sz w:val="20"/>
          <w:szCs w:val="20"/>
          <w:color w:val="auto"/>
        </w:rPr>
      </w:pPr>
    </w:p>
    <w:p>
      <w:pPr>
        <w:ind w:left="80"/>
        <w:spacing w:after="0"/>
        <w:rPr>
          <w:sz w:val="20"/>
          <w:szCs w:val="20"/>
          <w:color w:val="auto"/>
        </w:rPr>
      </w:pPr>
      <w:r>
        <w:rPr>
          <w:rFonts w:ascii="Arial" w:cs="Arial" w:eastAsia="Arial" w:hAnsi="Arial"/>
          <w:sz w:val="13"/>
          <w:szCs w:val="13"/>
          <w:b w:val="1"/>
          <w:bCs w:val="1"/>
          <w:color w:val="auto"/>
        </w:rPr>
        <w:t>Age: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247650</wp:posOffset>
            </wp:positionV>
            <wp:extent cx="7161530" cy="2895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1530" cy="289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1080"/>
        <w:spacing w:after="0"/>
        <w:rPr>
          <w:sz w:val="20"/>
          <w:szCs w:val="20"/>
          <w:color w:val="auto"/>
        </w:rPr>
      </w:pPr>
      <w:r>
        <w:rPr>
          <w:rFonts w:ascii="Arial" w:cs="Arial" w:eastAsia="Arial" w:hAnsi="Arial"/>
          <w:sz w:val="13"/>
          <w:szCs w:val="13"/>
          <w:b w:val="1"/>
          <w:bCs w:val="1"/>
          <w:color w:val="auto"/>
        </w:rPr>
        <w:t>27</w:t>
      </w:r>
    </w:p>
    <w:p>
      <w:pPr>
        <w:sectPr>
          <w:pgSz w:w="11900" w:h="16838" w:orient="portrait"/>
          <w:cols w:equalWidth="0" w:num="1">
            <w:col w:w="11260"/>
          </w:cols>
          <w:pgMar w:left="300" w:top="171" w:right="339" w:bottom="1440" w:gutter="0" w:footer="0" w:header="0"/>
        </w:sectPr>
      </w:pPr>
    </w:p>
    <w:bookmarkStart w:id="32" w:name="page33"/>
    <w:bookmarkEnd w:id="32"/>
    <w:p>
      <w:pPr>
        <w:ind w:left="240"/>
        <w:spacing w:after="0"/>
        <w:rPr>
          <w:sz w:val="20"/>
          <w:szCs w:val="20"/>
          <w:color w:val="auto"/>
        </w:rPr>
      </w:pPr>
      <w:r>
        <w:rPr>
          <w:rFonts w:ascii="Arial" w:cs="Arial" w:eastAsia="Arial" w:hAnsi="Arial"/>
          <w:sz w:val="13"/>
          <w:szCs w:val="13"/>
          <w:b w:val="1"/>
          <w:bCs w:val="1"/>
          <w:color w:val="00482F"/>
        </w:rPr>
        <w:drawing>
          <wp:anchor simplePos="0" relativeHeight="251657728" behindDoc="1" locked="0" layoutInCell="0" allowOverlap="1">
            <wp:simplePos x="0" y="0"/>
            <wp:positionH relativeFrom="page">
              <wp:posOffset>328295</wp:posOffset>
            </wp:positionH>
            <wp:positionV relativeFrom="page">
              <wp:posOffset>102235</wp:posOffset>
            </wp:positionV>
            <wp:extent cx="2876550" cy="147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876550" cy="147955"/>
                    </a:xfrm>
                    <a:prstGeom prst="rect">
                      <a:avLst/>
                    </a:prstGeom>
                    <a:noFill/>
                  </pic:spPr>
                </pic:pic>
              </a:graphicData>
            </a:graphic>
          </wp:anchor>
        </w:drawing>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652780</wp:posOffset>
            </wp:positionV>
            <wp:extent cx="7161530" cy="15697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1530" cy="1569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0C6936"/>
        </w:rPr>
        <w:t>Jason Rodriguez</w:t>
      </w:r>
    </w:p>
    <w:p>
      <w:pPr>
        <w:spacing w:after="0" w:line="124" w:lineRule="exact"/>
        <w:rPr>
          <w:sz w:val="20"/>
          <w:szCs w:val="20"/>
          <w:color w:val="auto"/>
        </w:rPr>
      </w:pPr>
    </w:p>
    <w:p>
      <w:pPr>
        <w:ind w:left="3280" w:right="120"/>
        <w:spacing w:after="0" w:line="274" w:lineRule="auto"/>
        <w:rPr>
          <w:sz w:val="20"/>
          <w:szCs w:val="20"/>
          <w:color w:val="auto"/>
        </w:rPr>
      </w:pPr>
      <w:r>
        <w:rPr>
          <w:rFonts w:ascii="Arial" w:cs="Arial" w:eastAsia="Arial" w:hAnsi="Arial"/>
          <w:sz w:val="12"/>
          <w:szCs w:val="12"/>
          <w:b w:val="1"/>
          <w:bCs w:val="1"/>
          <w:color w:val="auto"/>
        </w:rPr>
        <w:t xml:space="preserve">Jason Rodriguez. </w:t>
      </w:r>
      <w:r>
        <w:rPr>
          <w:rFonts w:ascii="Arial" w:cs="Arial" w:eastAsia="Arial" w:hAnsi="Arial"/>
          <w:sz w:val="12"/>
          <w:szCs w:val="12"/>
          <w:color w:val="auto"/>
        </w:rPr>
        <w:t>Mr. Rodriguez has served as our Chief Product Officer since January 2023. Prior to that Mr. Rodriguez served as VP of</w:t>
      </w:r>
      <w:r>
        <w:rPr>
          <w:rFonts w:ascii="Arial" w:cs="Arial" w:eastAsia="Arial" w:hAnsi="Arial"/>
          <w:sz w:val="12"/>
          <w:szCs w:val="12"/>
          <w:b w:val="1"/>
          <w:bCs w:val="1"/>
          <w:color w:val="auto"/>
        </w:rPr>
        <w:t xml:space="preserve"> </w:t>
      </w:r>
      <w:r>
        <w:rPr>
          <w:rFonts w:ascii="Arial" w:cs="Arial" w:eastAsia="Arial" w:hAnsi="Arial"/>
          <w:sz w:val="12"/>
          <w:szCs w:val="12"/>
          <w:color w:val="auto"/>
        </w:rPr>
        <w:t>Technology, NEXT for NerdWallet beginning in October 2020. Prior to joining NerdWallet, Mr. Rodriguez served as the Chief Technology</w:t>
      </w:r>
    </w:p>
    <w:p>
      <w:pPr>
        <w:spacing w:after="0" w:line="1" w:lineRule="exact"/>
        <w:rPr>
          <w:sz w:val="20"/>
          <w:szCs w:val="20"/>
          <w:color w:val="auto"/>
        </w:rPr>
      </w:pPr>
    </w:p>
    <w:p>
      <w:pPr>
        <w:ind w:left="3280"/>
        <w:spacing w:after="0"/>
        <w:rPr>
          <w:sz w:val="20"/>
          <w:szCs w:val="20"/>
          <w:color w:val="auto"/>
        </w:rPr>
      </w:pPr>
      <w:r>
        <w:rPr>
          <w:rFonts w:ascii="Arial" w:cs="Arial" w:eastAsia="Arial" w:hAnsi="Arial"/>
          <w:sz w:val="12"/>
          <w:szCs w:val="12"/>
          <w:color w:val="auto"/>
        </w:rPr>
        <w:t>Officer at Fundera (acquired by NerdWallet in 2020) from October 2019 to October 2020. Prior to joining Fundera, Mr. Rodriguez served as</w:t>
      </w:r>
    </w:p>
    <w:p>
      <w:pPr>
        <w:spacing w:after="0" w:line="14" w:lineRule="exact"/>
        <w:rPr>
          <w:sz w:val="20"/>
          <w:szCs w:val="20"/>
          <w:color w:val="auto"/>
        </w:rPr>
      </w:pPr>
    </w:p>
    <w:p>
      <w:pPr>
        <w:ind w:left="3280"/>
        <w:spacing w:after="0"/>
        <w:rPr>
          <w:sz w:val="20"/>
          <w:szCs w:val="20"/>
          <w:color w:val="auto"/>
        </w:rPr>
      </w:pPr>
      <w:r>
        <w:rPr>
          <w:rFonts w:ascii="Arial" w:cs="Arial" w:eastAsia="Arial" w:hAnsi="Arial"/>
          <w:sz w:val="12"/>
          <w:szCs w:val="12"/>
          <w:color w:val="auto"/>
        </w:rPr>
        <w:t>VP of Product and Engineering for SoulCycle from August 2016 to October 2019. Mr. Rodriguez has a B.S. in Computer Science from NYU</w:t>
      </w:r>
    </w:p>
    <w:p>
      <w:pPr>
        <w:spacing w:after="0" w:line="17" w:lineRule="exact"/>
        <w:rPr>
          <w:sz w:val="20"/>
          <w:szCs w:val="20"/>
          <w:color w:val="auto"/>
        </w:rPr>
      </w:pPr>
    </w:p>
    <w:p>
      <w:pPr>
        <w:ind w:left="3280"/>
        <w:spacing w:after="0"/>
        <w:rPr>
          <w:sz w:val="20"/>
          <w:szCs w:val="20"/>
          <w:color w:val="auto"/>
        </w:rPr>
      </w:pPr>
      <w:r>
        <w:rPr>
          <w:rFonts w:ascii="Arial" w:cs="Arial" w:eastAsia="Arial" w:hAnsi="Arial"/>
          <w:sz w:val="13"/>
          <w:szCs w:val="13"/>
          <w:color w:val="auto"/>
        </w:rPr>
        <w:t>School of Engineering.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Chief Product Officer</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Age: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146685</wp:posOffset>
            </wp:positionV>
            <wp:extent cx="7161530" cy="16643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1530" cy="1664335"/>
                    </a:xfrm>
                    <a:prstGeom prst="rect">
                      <a:avLst/>
                    </a:prstGeom>
                    <a:noFill/>
                  </pic:spPr>
                </pic:pic>
              </a:graphicData>
            </a:graphic>
          </wp:anchor>
        </w:drawing>
      </w:r>
    </w:p>
    <w:p>
      <w:pPr>
        <w:spacing w:after="0" w:line="300" w:lineRule="exact"/>
        <w:rPr>
          <w:sz w:val="20"/>
          <w:szCs w:val="20"/>
          <w:color w:val="auto"/>
        </w:rPr>
      </w:pPr>
    </w:p>
    <w:p>
      <w:pPr>
        <w:ind w:left="20"/>
        <w:spacing w:after="0"/>
        <w:rPr>
          <w:sz w:val="20"/>
          <w:szCs w:val="20"/>
          <w:color w:val="auto"/>
        </w:rPr>
      </w:pPr>
      <w:r>
        <w:rPr>
          <w:rFonts w:ascii="Arial" w:cs="Arial" w:eastAsia="Arial" w:hAnsi="Arial"/>
          <w:sz w:val="11"/>
          <w:szCs w:val="11"/>
          <w:b w:val="1"/>
          <w:bCs w:val="1"/>
          <w:color w:val="0C6936"/>
        </w:rPr>
        <w:t>Nicholas Tatum</w:t>
      </w:r>
    </w:p>
    <w:p>
      <w:pPr>
        <w:spacing w:after="0" w:line="124" w:lineRule="exact"/>
        <w:rPr>
          <w:sz w:val="20"/>
          <w:szCs w:val="20"/>
          <w:color w:val="auto"/>
        </w:rPr>
      </w:pPr>
    </w:p>
    <w:p>
      <w:pPr>
        <w:ind w:left="3280"/>
        <w:spacing w:after="0" w:line="254" w:lineRule="auto"/>
        <w:rPr>
          <w:sz w:val="20"/>
          <w:szCs w:val="20"/>
          <w:color w:val="auto"/>
        </w:rPr>
      </w:pPr>
      <w:r>
        <w:rPr>
          <w:rFonts w:ascii="Arial" w:cs="Arial" w:eastAsia="Arial" w:hAnsi="Arial"/>
          <w:sz w:val="13"/>
          <w:szCs w:val="13"/>
          <w:b w:val="1"/>
          <w:bCs w:val="1"/>
          <w:color w:val="auto"/>
        </w:rPr>
        <w:t xml:space="preserve">Nicholas "Nik" Tatum. </w:t>
      </w:r>
      <w:r>
        <w:rPr>
          <w:rFonts w:ascii="Arial" w:cs="Arial" w:eastAsia="Arial" w:hAnsi="Arial"/>
          <w:sz w:val="13"/>
          <w:szCs w:val="13"/>
          <w:color w:val="auto"/>
        </w:rPr>
        <w:t>Mr. Tatum, a Certified Public Accountant, has served as NerdWallet's Corporate Controller since joining NerdWallet</w:t>
      </w:r>
      <w:r>
        <w:rPr>
          <w:rFonts w:ascii="Arial" w:cs="Arial" w:eastAsia="Arial" w:hAnsi="Arial"/>
          <w:sz w:val="13"/>
          <w:szCs w:val="13"/>
          <w:b w:val="1"/>
          <w:bCs w:val="1"/>
          <w:color w:val="auto"/>
        </w:rPr>
        <w:t xml:space="preserve"> </w:t>
      </w:r>
      <w:r>
        <w:rPr>
          <w:rFonts w:ascii="Arial" w:cs="Arial" w:eastAsia="Arial" w:hAnsi="Arial"/>
          <w:sz w:val="13"/>
          <w:szCs w:val="13"/>
          <w:color w:val="auto"/>
        </w:rPr>
        <w:t>in August 2022, and was appointed Chief Accounting Officer effective March 2025. From January 2015 to August 2022, Mr. Tatum served in various roles at Under Armour, Inc., including most recently as the Senior Director, Corporate and Global Accounting. From September 2013 to January 2015, Mr. Tatum served as Director, Financial Reporting at Millennial Media. Prior to that, Mr. Tatum held various roles with PricewaterhouseCoopers. Mr. Tatum holds a Bachelor of Science degree from the University of Maryland.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Chief Accounting Officer</w:t>
      </w:r>
    </w:p>
    <w:p>
      <w:pPr>
        <w:spacing w:after="0" w:line="11"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Age: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463550</wp:posOffset>
            </wp:positionV>
            <wp:extent cx="7161530" cy="2895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1530" cy="289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 xml:space="preserve">28 </w:t>
      </w:r>
      <w:r>
        <w:rPr>
          <w:rFonts w:ascii="Arial" w:cs="Arial" w:eastAsia="Arial" w:hAnsi="Arial"/>
          <w:sz w:val="13"/>
          <w:szCs w:val="13"/>
          <w:color w:val="auto"/>
        </w:rPr>
        <w:t>PROXY STATEMENT 2025</w:t>
      </w:r>
    </w:p>
    <w:p>
      <w:pPr>
        <w:sectPr>
          <w:pgSz w:w="11900" w:h="16838" w:orient="portrait"/>
          <w:cols w:equalWidth="0" w:num="1">
            <w:col w:w="11180"/>
          </w:cols>
          <w:pgMar w:left="360" w:top="171" w:right="359" w:bottom="1440" w:gutter="0" w:footer="0" w:header="0"/>
        </w:sectPr>
      </w:pPr>
    </w:p>
    <w:bookmarkStart w:id="33" w:name="page34"/>
    <w:bookmarkEnd w:id="33"/>
    <w:p>
      <w:pPr>
        <w:ind w:left="7100"/>
        <w:spacing w:after="0"/>
        <w:rPr>
          <w:sz w:val="20"/>
          <w:szCs w:val="20"/>
          <w:color w:val="auto"/>
        </w:rPr>
      </w:pPr>
      <w:r>
        <w:rPr>
          <w:rFonts w:ascii="Arial" w:cs="Arial" w:eastAsia="Arial" w:hAnsi="Arial"/>
          <w:sz w:val="13"/>
          <w:szCs w:val="13"/>
          <w:b w:val="1"/>
          <w:bCs w:val="1"/>
          <w:color w:val="00482F"/>
        </w:rPr>
        <w:drawing>
          <wp:anchor simplePos="0" relativeHeight="251657728" behindDoc="1" locked="0" layoutInCell="0" allowOverlap="1">
            <wp:simplePos x="0" y="0"/>
            <wp:positionH relativeFrom="page">
              <wp:posOffset>4653915</wp:posOffset>
            </wp:positionH>
            <wp:positionV relativeFrom="page">
              <wp:posOffset>102235</wp:posOffset>
            </wp:positionV>
            <wp:extent cx="2715260" cy="2495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715260" cy="249555"/>
                    </a:xfrm>
                    <a:prstGeom prst="rect">
                      <a:avLst/>
                    </a:prstGeom>
                    <a:noFill/>
                  </pic:spPr>
                </pic:pic>
              </a:graphicData>
            </a:graphic>
          </wp:anchor>
        </w:drawing>
        <w:t>NAMED EXECUTIVE OFFICER</w:t>
      </w:r>
    </w:p>
    <w:p>
      <w:pPr>
        <w:spacing w:after="0" w:line="11" w:lineRule="exact"/>
        <w:rPr>
          <w:sz w:val="20"/>
          <w:szCs w:val="20"/>
          <w:color w:val="auto"/>
        </w:rPr>
      </w:pPr>
    </w:p>
    <w:p>
      <w:pPr>
        <w:ind w:left="7100"/>
        <w:spacing w:after="0"/>
        <w:rPr>
          <w:sz w:val="20"/>
          <w:szCs w:val="20"/>
          <w:color w:val="auto"/>
        </w:rPr>
      </w:pPr>
      <w:r>
        <w:rPr>
          <w:rFonts w:ascii="Arial" w:cs="Arial" w:eastAsia="Arial" w:hAnsi="Arial"/>
          <w:sz w:val="13"/>
          <w:szCs w:val="13"/>
          <w:b w:val="1"/>
          <w:bCs w:val="1"/>
          <w:color w:val="00482F"/>
        </w:rPr>
        <w:t>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34"/>
          <w:szCs w:val="34"/>
          <w:b w:val="1"/>
          <w:bCs w:val="1"/>
          <w:color w:val="auto"/>
        </w:rPr>
        <w:t>Named Executive Officer Compensation Tables</w:t>
      </w:r>
    </w:p>
    <w:p>
      <w:pPr>
        <w:spacing w:after="0" w:line="194" w:lineRule="exact"/>
        <w:rPr>
          <w:sz w:val="20"/>
          <w:szCs w:val="20"/>
          <w:color w:val="auto"/>
        </w:rPr>
      </w:pPr>
    </w:p>
    <w:p>
      <w:pPr>
        <w:spacing w:after="0"/>
        <w:rPr>
          <w:sz w:val="20"/>
          <w:szCs w:val="20"/>
          <w:color w:val="auto"/>
        </w:rPr>
      </w:pPr>
      <w:r>
        <w:rPr>
          <w:rFonts w:ascii="Arial" w:cs="Arial" w:eastAsia="Arial" w:hAnsi="Arial"/>
          <w:sz w:val="13"/>
          <w:szCs w:val="13"/>
          <w:color w:val="auto"/>
        </w:rPr>
        <w:t>Our Named Executive Officers for the year ended December 31, 2024 were:</w:t>
      </w:r>
    </w:p>
    <w:p>
      <w:pPr>
        <w:spacing w:after="0" w:line="179" w:lineRule="exact"/>
        <w:rPr>
          <w:sz w:val="20"/>
          <w:szCs w:val="20"/>
          <w:color w:val="auto"/>
        </w:rPr>
      </w:pPr>
    </w:p>
    <w:p>
      <w:pPr>
        <w:ind w:left="120" w:hanging="115"/>
        <w:spacing w:after="0"/>
        <w:tabs>
          <w:tab w:leader="none" w:pos="1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Tim Chen, our Chief Executive Officer and Chairman of our Board;</w:t>
      </w:r>
    </w:p>
    <w:p>
      <w:pPr>
        <w:spacing w:after="0" w:line="168" w:lineRule="exact"/>
        <w:rPr>
          <w:rFonts w:ascii="Arial" w:cs="Arial" w:eastAsia="Arial" w:hAnsi="Arial"/>
          <w:sz w:val="13"/>
          <w:szCs w:val="13"/>
          <w:color w:val="auto"/>
        </w:rPr>
      </w:pPr>
    </w:p>
    <w:p>
      <w:pPr>
        <w:ind w:left="120" w:hanging="115"/>
        <w:spacing w:after="0"/>
        <w:tabs>
          <w:tab w:leader="none" w:pos="1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Lauren StClair, our former Chief Financial Officer; and</w:t>
      </w:r>
    </w:p>
    <w:p>
      <w:pPr>
        <w:spacing w:after="0" w:line="179" w:lineRule="exact"/>
        <w:rPr>
          <w:rFonts w:ascii="Arial" w:cs="Arial" w:eastAsia="Arial" w:hAnsi="Arial"/>
          <w:sz w:val="13"/>
          <w:szCs w:val="13"/>
          <w:color w:val="auto"/>
        </w:rPr>
      </w:pPr>
    </w:p>
    <w:p>
      <w:pPr>
        <w:ind w:left="120" w:hanging="115"/>
        <w:spacing w:after="0"/>
        <w:tabs>
          <w:tab w:leader="none" w:pos="120" w:val="left"/>
        </w:tabs>
        <w:numPr>
          <w:ilvl w:val="0"/>
          <w:numId w:val="21"/>
        </w:numPr>
        <w:rPr>
          <w:rFonts w:ascii="Arial" w:cs="Arial" w:eastAsia="Arial" w:hAnsi="Arial"/>
          <w:sz w:val="13"/>
          <w:szCs w:val="13"/>
          <w:color w:val="auto"/>
        </w:rPr>
      </w:pPr>
      <w:r>
        <w:rPr>
          <w:rFonts w:ascii="Arial" w:cs="Arial" w:eastAsia="Arial" w:hAnsi="Arial"/>
          <w:sz w:val="13"/>
          <w:szCs w:val="13"/>
          <w:color w:val="auto"/>
        </w:rPr>
        <w:t>Sam Yount, our Chief Business Officer.</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2024 Summary Compensation Table</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shows the compensation awarded to, earned by or paid to our Named Executive Officers for the years ended December 31, 2024 and 2023.</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74"/>
        </w:trPr>
        <w:tc>
          <w:tcPr>
            <w:tcW w:w="2840" w:type="dxa"/>
            <w:vAlign w:val="bottom"/>
            <w:tcBorders>
              <w:top w:val="single" w:sz="8" w:color="008256"/>
              <w:right w:val="single" w:sz="8" w:color="008256"/>
            </w:tcBorders>
          </w:tcPr>
          <w:p>
            <w:pPr>
              <w:spacing w:after="0"/>
              <w:rPr>
                <w:sz w:val="6"/>
                <w:szCs w:val="6"/>
                <w:color w:val="auto"/>
              </w:rPr>
            </w:pPr>
          </w:p>
        </w:tc>
        <w:tc>
          <w:tcPr>
            <w:tcW w:w="700" w:type="dxa"/>
            <w:vAlign w:val="bottom"/>
            <w:tcBorders>
              <w:top w:val="single" w:sz="8" w:color="008256"/>
              <w:right w:val="single" w:sz="8" w:color="008256"/>
            </w:tcBorders>
          </w:tcPr>
          <w:p>
            <w:pPr>
              <w:spacing w:after="0"/>
              <w:rPr>
                <w:sz w:val="6"/>
                <w:szCs w:val="6"/>
                <w:color w:val="auto"/>
              </w:rPr>
            </w:pPr>
          </w:p>
        </w:tc>
        <w:tc>
          <w:tcPr>
            <w:tcW w:w="980" w:type="dxa"/>
            <w:vAlign w:val="bottom"/>
            <w:tcBorders>
              <w:top w:val="single" w:sz="8" w:color="008256"/>
              <w:right w:val="single" w:sz="8" w:color="008256"/>
            </w:tcBorders>
          </w:tcPr>
          <w:p>
            <w:pPr>
              <w:spacing w:after="0"/>
              <w:rPr>
                <w:sz w:val="6"/>
                <w:szCs w:val="6"/>
                <w:color w:val="auto"/>
              </w:rPr>
            </w:pPr>
          </w:p>
        </w:tc>
        <w:tc>
          <w:tcPr>
            <w:tcW w:w="860" w:type="dxa"/>
            <w:vAlign w:val="bottom"/>
            <w:tcBorders>
              <w:top w:val="single" w:sz="8" w:color="008256"/>
            </w:tcBorders>
          </w:tcPr>
          <w:p>
            <w:pPr>
              <w:spacing w:after="0"/>
              <w:rPr>
                <w:sz w:val="6"/>
                <w:szCs w:val="6"/>
                <w:color w:val="auto"/>
              </w:rPr>
            </w:pPr>
          </w:p>
        </w:tc>
        <w:tc>
          <w:tcPr>
            <w:tcW w:w="320" w:type="dxa"/>
            <w:vAlign w:val="bottom"/>
            <w:tcBorders>
              <w:top w:val="single" w:sz="8" w:color="008256"/>
              <w:right w:val="single" w:sz="8" w:color="008256"/>
            </w:tcBorders>
          </w:tcPr>
          <w:p>
            <w:pPr>
              <w:spacing w:after="0"/>
              <w:rPr>
                <w:sz w:val="6"/>
                <w:szCs w:val="6"/>
                <w:color w:val="auto"/>
              </w:rPr>
            </w:pPr>
          </w:p>
        </w:tc>
        <w:tc>
          <w:tcPr>
            <w:tcW w:w="980" w:type="dxa"/>
            <w:vAlign w:val="bottom"/>
            <w:tcBorders>
              <w:top w:val="single" w:sz="8" w:color="008256"/>
              <w:right w:val="single" w:sz="8" w:color="008256"/>
            </w:tcBorders>
          </w:tcPr>
          <w:p>
            <w:pPr>
              <w:spacing w:after="0"/>
              <w:rPr>
                <w:sz w:val="6"/>
                <w:szCs w:val="6"/>
                <w:color w:val="auto"/>
              </w:rPr>
            </w:pPr>
          </w:p>
        </w:tc>
        <w:tc>
          <w:tcPr>
            <w:tcW w:w="1000" w:type="dxa"/>
            <w:vAlign w:val="bottom"/>
            <w:tcBorders>
              <w:top w:val="single" w:sz="8" w:color="008256"/>
              <w:right w:val="single" w:sz="8" w:color="008256"/>
            </w:tcBorders>
          </w:tcPr>
          <w:p>
            <w:pPr>
              <w:spacing w:after="0"/>
              <w:rPr>
                <w:sz w:val="6"/>
                <w:szCs w:val="6"/>
                <w:color w:val="auto"/>
              </w:rPr>
            </w:pPr>
          </w:p>
        </w:tc>
        <w:tc>
          <w:tcPr>
            <w:tcW w:w="1120" w:type="dxa"/>
            <w:vAlign w:val="bottom"/>
            <w:tcBorders>
              <w:top w:val="single" w:sz="8" w:color="008256"/>
            </w:tcBorders>
            <w:vMerge w:val="restart"/>
          </w:tcPr>
          <w:p>
            <w:pPr>
              <w:jc w:val="center"/>
              <w:ind w:left="127"/>
              <w:spacing w:after="0"/>
              <w:rPr>
                <w:sz w:val="20"/>
                <w:szCs w:val="20"/>
                <w:color w:val="auto"/>
              </w:rPr>
            </w:pPr>
            <w:r>
              <w:rPr>
                <w:rFonts w:ascii="Arial" w:cs="Arial" w:eastAsia="Arial" w:hAnsi="Arial"/>
                <w:sz w:val="10"/>
                <w:szCs w:val="10"/>
                <w:b w:val="1"/>
                <w:bCs w:val="1"/>
                <w:color w:val="auto"/>
                <w:w w:val="98"/>
              </w:rPr>
              <w:t>NON-EQUITY</w:t>
            </w:r>
          </w:p>
        </w:tc>
        <w:tc>
          <w:tcPr>
            <w:tcW w:w="200" w:type="dxa"/>
            <w:vAlign w:val="bottom"/>
            <w:tcBorders>
              <w:top w:val="single" w:sz="8" w:color="008256"/>
              <w:right w:val="single" w:sz="8" w:color="008256"/>
            </w:tcBorders>
          </w:tcPr>
          <w:p>
            <w:pPr>
              <w:spacing w:after="0"/>
              <w:rPr>
                <w:sz w:val="6"/>
                <w:szCs w:val="6"/>
                <w:color w:val="auto"/>
              </w:rPr>
            </w:pPr>
          </w:p>
        </w:tc>
        <w:tc>
          <w:tcPr>
            <w:tcW w:w="1320" w:type="dxa"/>
            <w:vAlign w:val="bottom"/>
            <w:tcBorders>
              <w:top w:val="single" w:sz="8" w:color="008256"/>
            </w:tcBorders>
          </w:tcPr>
          <w:p>
            <w:pPr>
              <w:spacing w:after="0"/>
              <w:rPr>
                <w:sz w:val="6"/>
                <w:szCs w:val="6"/>
                <w:color w:val="auto"/>
              </w:rPr>
            </w:pPr>
          </w:p>
        </w:tc>
        <w:tc>
          <w:tcPr>
            <w:tcW w:w="960" w:type="dxa"/>
            <w:vAlign w:val="bottom"/>
            <w:tcBorders>
              <w:top w:val="single" w:sz="8" w:color="008256"/>
            </w:tcBorders>
          </w:tcPr>
          <w:p>
            <w:pPr>
              <w:spacing w:after="0"/>
              <w:rPr>
                <w:sz w:val="6"/>
                <w:szCs w:val="6"/>
                <w:color w:val="auto"/>
              </w:rPr>
            </w:pPr>
          </w:p>
        </w:tc>
        <w:tc>
          <w:tcPr>
            <w:tcW w:w="0" w:type="dxa"/>
            <w:vAlign w:val="bottom"/>
          </w:tcPr>
          <w:p>
            <w:pPr>
              <w:spacing w:after="0"/>
              <w:rPr>
                <w:sz w:val="1"/>
                <w:szCs w:val="1"/>
                <w:color w:val="auto"/>
              </w:rPr>
            </w:pPr>
          </w:p>
        </w:tc>
      </w:tr>
      <w:tr>
        <w:trPr>
          <w:trHeight w:val="123"/>
        </w:trPr>
        <w:tc>
          <w:tcPr>
            <w:tcW w:w="2840" w:type="dxa"/>
            <w:vAlign w:val="bottom"/>
            <w:tcBorders>
              <w:right w:val="single" w:sz="8" w:color="008256"/>
            </w:tcBorders>
          </w:tcPr>
          <w:p>
            <w:pPr>
              <w:spacing w:after="0"/>
              <w:rPr>
                <w:sz w:val="10"/>
                <w:szCs w:val="10"/>
                <w:color w:val="auto"/>
              </w:rPr>
            </w:pPr>
          </w:p>
        </w:tc>
        <w:tc>
          <w:tcPr>
            <w:tcW w:w="700" w:type="dxa"/>
            <w:vAlign w:val="bottom"/>
            <w:tcBorders>
              <w:right w:val="single" w:sz="8" w:color="008256"/>
            </w:tcBorders>
          </w:tcPr>
          <w:p>
            <w:pPr>
              <w:spacing w:after="0"/>
              <w:rPr>
                <w:sz w:val="10"/>
                <w:szCs w:val="10"/>
                <w:color w:val="auto"/>
              </w:rPr>
            </w:pPr>
          </w:p>
        </w:tc>
        <w:tc>
          <w:tcPr>
            <w:tcW w:w="980" w:type="dxa"/>
            <w:vAlign w:val="bottom"/>
            <w:tcBorders>
              <w:right w:val="single" w:sz="8" w:color="008256"/>
            </w:tcBorders>
          </w:tcPr>
          <w:p>
            <w:pPr>
              <w:spacing w:after="0"/>
              <w:rPr>
                <w:sz w:val="10"/>
                <w:szCs w:val="10"/>
                <w:color w:val="auto"/>
              </w:rPr>
            </w:pPr>
          </w:p>
        </w:tc>
        <w:tc>
          <w:tcPr>
            <w:tcW w:w="860" w:type="dxa"/>
            <w:vAlign w:val="bottom"/>
          </w:tcPr>
          <w:p>
            <w:pPr>
              <w:spacing w:after="0"/>
              <w:rPr>
                <w:sz w:val="10"/>
                <w:szCs w:val="10"/>
                <w:color w:val="auto"/>
              </w:rPr>
            </w:pPr>
          </w:p>
        </w:tc>
        <w:tc>
          <w:tcPr>
            <w:tcW w:w="320" w:type="dxa"/>
            <w:vAlign w:val="bottom"/>
            <w:tcBorders>
              <w:right w:val="single" w:sz="8" w:color="008256"/>
            </w:tcBorders>
          </w:tcPr>
          <w:p>
            <w:pPr>
              <w:spacing w:after="0"/>
              <w:rPr>
                <w:sz w:val="10"/>
                <w:szCs w:val="10"/>
                <w:color w:val="auto"/>
              </w:rPr>
            </w:pPr>
          </w:p>
        </w:tc>
        <w:tc>
          <w:tcPr>
            <w:tcW w:w="980" w:type="dxa"/>
            <w:vAlign w:val="bottom"/>
            <w:tcBorders>
              <w:right w:val="single" w:sz="8" w:color="008256"/>
            </w:tcBorders>
          </w:tcPr>
          <w:p>
            <w:pPr>
              <w:spacing w:after="0"/>
              <w:rPr>
                <w:sz w:val="10"/>
                <w:szCs w:val="10"/>
                <w:color w:val="auto"/>
              </w:rPr>
            </w:pPr>
          </w:p>
        </w:tc>
        <w:tc>
          <w:tcPr>
            <w:tcW w:w="1000" w:type="dxa"/>
            <w:vAlign w:val="bottom"/>
            <w:tcBorders>
              <w:right w:val="single" w:sz="8" w:color="008256"/>
            </w:tcBorders>
          </w:tcPr>
          <w:p>
            <w:pPr>
              <w:spacing w:after="0"/>
              <w:rPr>
                <w:sz w:val="10"/>
                <w:szCs w:val="10"/>
                <w:color w:val="auto"/>
              </w:rPr>
            </w:pPr>
          </w:p>
        </w:tc>
        <w:tc>
          <w:tcPr>
            <w:tcW w:w="1120" w:type="dxa"/>
            <w:vAlign w:val="bottom"/>
            <w:vMerge w:val="continue"/>
          </w:tcPr>
          <w:p>
            <w:pPr>
              <w:spacing w:after="0"/>
              <w:rPr>
                <w:sz w:val="10"/>
                <w:szCs w:val="10"/>
                <w:color w:val="auto"/>
              </w:rPr>
            </w:pPr>
          </w:p>
        </w:tc>
        <w:tc>
          <w:tcPr>
            <w:tcW w:w="200" w:type="dxa"/>
            <w:vAlign w:val="bottom"/>
            <w:tcBorders>
              <w:right w:val="single" w:sz="8" w:color="008256"/>
            </w:tcBorders>
          </w:tcPr>
          <w:p>
            <w:pPr>
              <w:spacing w:after="0"/>
              <w:rPr>
                <w:sz w:val="10"/>
                <w:szCs w:val="10"/>
                <w:color w:val="auto"/>
              </w:rPr>
            </w:pPr>
          </w:p>
        </w:tc>
        <w:tc>
          <w:tcPr>
            <w:tcW w:w="1320" w:type="dxa"/>
            <w:vAlign w:val="bottom"/>
            <w:tcBorders>
              <w:right w:val="single" w:sz="8" w:color="008256"/>
            </w:tcBorders>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840" w:type="dxa"/>
            <w:vAlign w:val="bottom"/>
            <w:tcBorders>
              <w:right w:val="single" w:sz="8" w:color="008256"/>
            </w:tcBorders>
          </w:tcPr>
          <w:p>
            <w:pPr>
              <w:spacing w:after="0"/>
              <w:rPr>
                <w:sz w:val="10"/>
                <w:szCs w:val="10"/>
                <w:color w:val="auto"/>
              </w:rPr>
            </w:pPr>
          </w:p>
        </w:tc>
        <w:tc>
          <w:tcPr>
            <w:tcW w:w="700" w:type="dxa"/>
            <w:vAlign w:val="bottom"/>
            <w:tcBorders>
              <w:right w:val="single" w:sz="8" w:color="008256"/>
            </w:tcBorders>
          </w:tcPr>
          <w:p>
            <w:pPr>
              <w:spacing w:after="0"/>
              <w:rPr>
                <w:sz w:val="10"/>
                <w:szCs w:val="10"/>
                <w:color w:val="auto"/>
              </w:rPr>
            </w:pPr>
          </w:p>
        </w:tc>
        <w:tc>
          <w:tcPr>
            <w:tcW w:w="980" w:type="dxa"/>
            <w:vAlign w:val="bottom"/>
            <w:tcBorders>
              <w:right w:val="single" w:sz="8" w:color="008256"/>
            </w:tcBorders>
          </w:tcPr>
          <w:p>
            <w:pPr>
              <w:spacing w:after="0"/>
              <w:rPr>
                <w:sz w:val="10"/>
                <w:szCs w:val="10"/>
                <w:color w:val="auto"/>
              </w:rPr>
            </w:pPr>
          </w:p>
        </w:tc>
        <w:tc>
          <w:tcPr>
            <w:tcW w:w="860" w:type="dxa"/>
            <w:vAlign w:val="bottom"/>
          </w:tcPr>
          <w:p>
            <w:pPr>
              <w:spacing w:after="0"/>
              <w:rPr>
                <w:sz w:val="10"/>
                <w:szCs w:val="10"/>
                <w:color w:val="auto"/>
              </w:rPr>
            </w:pPr>
          </w:p>
        </w:tc>
        <w:tc>
          <w:tcPr>
            <w:tcW w:w="320" w:type="dxa"/>
            <w:vAlign w:val="bottom"/>
            <w:tcBorders>
              <w:right w:val="single" w:sz="8" w:color="008256"/>
            </w:tcBorders>
          </w:tcPr>
          <w:p>
            <w:pPr>
              <w:spacing w:after="0"/>
              <w:rPr>
                <w:sz w:val="10"/>
                <w:szCs w:val="10"/>
                <w:color w:val="auto"/>
              </w:rPr>
            </w:pPr>
          </w:p>
        </w:tc>
        <w:tc>
          <w:tcPr>
            <w:tcW w:w="980" w:type="dxa"/>
            <w:vAlign w:val="bottom"/>
            <w:tcBorders>
              <w:right w:val="single" w:sz="8" w:color="008256"/>
            </w:tcBorders>
          </w:tcPr>
          <w:p>
            <w:pPr>
              <w:spacing w:after="0"/>
              <w:rPr>
                <w:sz w:val="10"/>
                <w:szCs w:val="10"/>
                <w:color w:val="auto"/>
              </w:rPr>
            </w:pPr>
          </w:p>
        </w:tc>
        <w:tc>
          <w:tcPr>
            <w:tcW w:w="1000" w:type="dxa"/>
            <w:vAlign w:val="bottom"/>
            <w:tcBorders>
              <w:right w:val="single" w:sz="8" w:color="008256"/>
            </w:tcBorders>
          </w:tcPr>
          <w:p>
            <w:pPr>
              <w:spacing w:after="0"/>
              <w:rPr>
                <w:sz w:val="10"/>
                <w:szCs w:val="10"/>
                <w:color w:val="auto"/>
              </w:rPr>
            </w:pPr>
          </w:p>
        </w:tc>
        <w:tc>
          <w:tcPr>
            <w:tcW w:w="1120" w:type="dxa"/>
            <w:vAlign w:val="bottom"/>
          </w:tcPr>
          <w:p>
            <w:pPr>
              <w:jc w:val="center"/>
              <w:ind w:left="107"/>
              <w:spacing w:after="0"/>
              <w:rPr>
                <w:sz w:val="20"/>
                <w:szCs w:val="20"/>
                <w:color w:val="auto"/>
              </w:rPr>
            </w:pPr>
            <w:r>
              <w:rPr>
                <w:rFonts w:ascii="Arial" w:cs="Arial" w:eastAsia="Arial" w:hAnsi="Arial"/>
                <w:sz w:val="10"/>
                <w:szCs w:val="10"/>
                <w:b w:val="1"/>
                <w:bCs w:val="1"/>
                <w:color w:val="auto"/>
                <w:w w:val="97"/>
              </w:rPr>
              <w:t>INCENTIVE</w:t>
            </w:r>
          </w:p>
        </w:tc>
        <w:tc>
          <w:tcPr>
            <w:tcW w:w="200" w:type="dxa"/>
            <w:vAlign w:val="bottom"/>
            <w:tcBorders>
              <w:right w:val="single" w:sz="8" w:color="008256"/>
            </w:tcBorders>
          </w:tcPr>
          <w:p>
            <w:pPr>
              <w:spacing w:after="0"/>
              <w:rPr>
                <w:sz w:val="10"/>
                <w:szCs w:val="10"/>
                <w:color w:val="auto"/>
              </w:rPr>
            </w:pPr>
          </w:p>
        </w:tc>
        <w:tc>
          <w:tcPr>
            <w:tcW w:w="1320" w:type="dxa"/>
            <w:vAlign w:val="bottom"/>
            <w:tcBorders>
              <w:right w:val="single" w:sz="8" w:color="008256"/>
            </w:tcBorders>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840" w:type="dxa"/>
            <w:vAlign w:val="bottom"/>
            <w:tcBorders>
              <w:right w:val="single" w:sz="8" w:color="008256"/>
            </w:tcBorders>
          </w:tcPr>
          <w:p>
            <w:pPr>
              <w:spacing w:after="0"/>
              <w:rPr>
                <w:sz w:val="10"/>
                <w:szCs w:val="10"/>
                <w:color w:val="auto"/>
              </w:rPr>
            </w:pPr>
          </w:p>
        </w:tc>
        <w:tc>
          <w:tcPr>
            <w:tcW w:w="700" w:type="dxa"/>
            <w:vAlign w:val="bottom"/>
            <w:tcBorders>
              <w:right w:val="single" w:sz="8" w:color="008256"/>
            </w:tcBorders>
          </w:tcPr>
          <w:p>
            <w:pPr>
              <w:spacing w:after="0"/>
              <w:rPr>
                <w:sz w:val="10"/>
                <w:szCs w:val="10"/>
                <w:color w:val="auto"/>
              </w:rPr>
            </w:pPr>
          </w:p>
        </w:tc>
        <w:tc>
          <w:tcPr>
            <w:tcW w:w="980" w:type="dxa"/>
            <w:vAlign w:val="bottom"/>
            <w:tcBorders>
              <w:right w:val="single" w:sz="8" w:color="008256"/>
            </w:tcBorders>
          </w:tcPr>
          <w:p>
            <w:pPr>
              <w:spacing w:after="0"/>
              <w:rPr>
                <w:sz w:val="10"/>
                <w:szCs w:val="10"/>
                <w:color w:val="auto"/>
              </w:rPr>
            </w:pPr>
          </w:p>
        </w:tc>
        <w:tc>
          <w:tcPr>
            <w:tcW w:w="860" w:type="dxa"/>
            <w:vAlign w:val="bottom"/>
          </w:tcPr>
          <w:p>
            <w:pPr>
              <w:spacing w:after="0"/>
              <w:rPr>
                <w:sz w:val="10"/>
                <w:szCs w:val="10"/>
                <w:color w:val="auto"/>
              </w:rPr>
            </w:pPr>
          </w:p>
        </w:tc>
        <w:tc>
          <w:tcPr>
            <w:tcW w:w="320" w:type="dxa"/>
            <w:vAlign w:val="bottom"/>
            <w:tcBorders>
              <w:right w:val="single" w:sz="8" w:color="008256"/>
            </w:tcBorders>
          </w:tcPr>
          <w:p>
            <w:pPr>
              <w:spacing w:after="0"/>
              <w:rPr>
                <w:sz w:val="10"/>
                <w:szCs w:val="10"/>
                <w:color w:val="auto"/>
              </w:rPr>
            </w:pPr>
          </w:p>
        </w:tc>
        <w:tc>
          <w:tcPr>
            <w:tcW w:w="980" w:type="dxa"/>
            <w:vAlign w:val="bottom"/>
            <w:tcBorders>
              <w:right w:val="single" w:sz="8" w:color="008256"/>
            </w:tcBorders>
          </w:tcPr>
          <w:p>
            <w:pPr>
              <w:jc w:val="center"/>
              <w:spacing w:after="0"/>
              <w:rPr>
                <w:sz w:val="20"/>
                <w:szCs w:val="20"/>
                <w:color w:val="auto"/>
              </w:rPr>
            </w:pPr>
            <w:r>
              <w:rPr>
                <w:rFonts w:ascii="Arial" w:cs="Arial" w:eastAsia="Arial" w:hAnsi="Arial"/>
                <w:sz w:val="10"/>
                <w:szCs w:val="10"/>
                <w:b w:val="1"/>
                <w:bCs w:val="1"/>
                <w:color w:val="auto"/>
              </w:rPr>
              <w:t>STOCK</w:t>
            </w:r>
          </w:p>
        </w:tc>
        <w:tc>
          <w:tcPr>
            <w:tcW w:w="1000" w:type="dxa"/>
            <w:vAlign w:val="bottom"/>
            <w:tcBorders>
              <w:right w:val="single" w:sz="8" w:color="008256"/>
            </w:tcBorders>
          </w:tcPr>
          <w:p>
            <w:pPr>
              <w:jc w:val="center"/>
              <w:spacing w:after="0"/>
              <w:rPr>
                <w:sz w:val="20"/>
                <w:szCs w:val="20"/>
                <w:color w:val="auto"/>
              </w:rPr>
            </w:pPr>
            <w:r>
              <w:rPr>
                <w:rFonts w:ascii="Arial" w:cs="Arial" w:eastAsia="Arial" w:hAnsi="Arial"/>
                <w:sz w:val="10"/>
                <w:szCs w:val="10"/>
                <w:b w:val="1"/>
                <w:bCs w:val="1"/>
                <w:color w:val="auto"/>
                <w:w w:val="98"/>
              </w:rPr>
              <w:t>OPTION</w:t>
            </w:r>
          </w:p>
        </w:tc>
        <w:tc>
          <w:tcPr>
            <w:tcW w:w="1120" w:type="dxa"/>
            <w:vAlign w:val="bottom"/>
          </w:tcPr>
          <w:p>
            <w:pPr>
              <w:jc w:val="center"/>
              <w:ind w:left="107"/>
              <w:spacing w:after="0"/>
              <w:rPr>
                <w:sz w:val="20"/>
                <w:szCs w:val="20"/>
                <w:color w:val="auto"/>
              </w:rPr>
            </w:pPr>
            <w:r>
              <w:rPr>
                <w:rFonts w:ascii="Arial" w:cs="Arial" w:eastAsia="Arial" w:hAnsi="Arial"/>
                <w:sz w:val="10"/>
                <w:szCs w:val="10"/>
                <w:b w:val="1"/>
                <w:bCs w:val="1"/>
                <w:color w:val="auto"/>
              </w:rPr>
              <w:t>PLAN</w:t>
            </w:r>
          </w:p>
        </w:tc>
        <w:tc>
          <w:tcPr>
            <w:tcW w:w="200" w:type="dxa"/>
            <w:vAlign w:val="bottom"/>
            <w:tcBorders>
              <w:right w:val="single" w:sz="8" w:color="008256"/>
            </w:tcBorders>
          </w:tcPr>
          <w:p>
            <w:pPr>
              <w:spacing w:after="0"/>
              <w:rPr>
                <w:sz w:val="10"/>
                <w:szCs w:val="10"/>
                <w:color w:val="auto"/>
              </w:rPr>
            </w:pPr>
          </w:p>
        </w:tc>
        <w:tc>
          <w:tcPr>
            <w:tcW w:w="1320" w:type="dxa"/>
            <w:vAlign w:val="bottom"/>
            <w:tcBorders>
              <w:right w:val="single" w:sz="8" w:color="008256"/>
            </w:tcBorders>
          </w:tcPr>
          <w:p>
            <w:pPr>
              <w:jc w:val="center"/>
              <w:spacing w:after="0"/>
              <w:rPr>
                <w:sz w:val="20"/>
                <w:szCs w:val="20"/>
                <w:color w:val="auto"/>
              </w:rPr>
            </w:pPr>
            <w:r>
              <w:rPr>
                <w:rFonts w:ascii="Arial" w:cs="Arial" w:eastAsia="Arial" w:hAnsi="Arial"/>
                <w:sz w:val="10"/>
                <w:szCs w:val="10"/>
                <w:b w:val="1"/>
                <w:bCs w:val="1"/>
                <w:color w:val="auto"/>
                <w:w w:val="97"/>
              </w:rPr>
              <w:t>ALL OTHER</w:t>
            </w: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840" w:type="dxa"/>
            <w:vAlign w:val="bottom"/>
            <w:tcBorders>
              <w:right w:val="single" w:sz="8" w:color="008256"/>
            </w:tcBorders>
          </w:tcPr>
          <w:p>
            <w:pPr>
              <w:spacing w:after="0"/>
              <w:rPr>
                <w:sz w:val="10"/>
                <w:szCs w:val="10"/>
                <w:color w:val="auto"/>
              </w:rPr>
            </w:pPr>
          </w:p>
        </w:tc>
        <w:tc>
          <w:tcPr>
            <w:tcW w:w="700" w:type="dxa"/>
            <w:vAlign w:val="bottom"/>
            <w:tcBorders>
              <w:right w:val="single" w:sz="8" w:color="008256"/>
            </w:tcBorders>
          </w:tcPr>
          <w:p>
            <w:pPr>
              <w:spacing w:after="0"/>
              <w:rPr>
                <w:sz w:val="10"/>
                <w:szCs w:val="10"/>
                <w:color w:val="auto"/>
              </w:rPr>
            </w:pPr>
          </w:p>
        </w:tc>
        <w:tc>
          <w:tcPr>
            <w:tcW w:w="980" w:type="dxa"/>
            <w:vAlign w:val="bottom"/>
            <w:tcBorders>
              <w:right w:val="single" w:sz="8" w:color="008256"/>
            </w:tcBorders>
          </w:tcPr>
          <w:p>
            <w:pPr>
              <w:jc w:val="right"/>
              <w:ind w:right="245"/>
              <w:spacing w:after="0"/>
              <w:rPr>
                <w:sz w:val="20"/>
                <w:szCs w:val="20"/>
                <w:color w:val="auto"/>
              </w:rPr>
            </w:pPr>
            <w:r>
              <w:rPr>
                <w:rFonts w:ascii="Arial" w:cs="Arial" w:eastAsia="Arial" w:hAnsi="Arial"/>
                <w:sz w:val="10"/>
                <w:szCs w:val="10"/>
                <w:b w:val="1"/>
                <w:bCs w:val="1"/>
                <w:color w:val="auto"/>
              </w:rPr>
              <w:t>SALARY</w:t>
            </w:r>
          </w:p>
        </w:tc>
        <w:tc>
          <w:tcPr>
            <w:tcW w:w="860" w:type="dxa"/>
            <w:vAlign w:val="bottom"/>
          </w:tcPr>
          <w:p>
            <w:pPr>
              <w:jc w:val="right"/>
              <w:ind w:right="45"/>
              <w:spacing w:after="0"/>
              <w:rPr>
                <w:sz w:val="20"/>
                <w:szCs w:val="20"/>
                <w:color w:val="auto"/>
              </w:rPr>
            </w:pPr>
            <w:r>
              <w:rPr>
                <w:rFonts w:ascii="Arial" w:cs="Arial" w:eastAsia="Arial" w:hAnsi="Arial"/>
                <w:sz w:val="10"/>
                <w:szCs w:val="10"/>
                <w:b w:val="1"/>
                <w:bCs w:val="1"/>
                <w:color w:val="auto"/>
              </w:rPr>
              <w:t>BONUS</w:t>
            </w:r>
          </w:p>
        </w:tc>
        <w:tc>
          <w:tcPr>
            <w:tcW w:w="320" w:type="dxa"/>
            <w:vAlign w:val="bottom"/>
            <w:tcBorders>
              <w:right w:val="single" w:sz="8" w:color="008256"/>
            </w:tcBorders>
          </w:tcPr>
          <w:p>
            <w:pPr>
              <w:spacing w:after="0"/>
              <w:rPr>
                <w:sz w:val="10"/>
                <w:szCs w:val="10"/>
                <w:color w:val="auto"/>
              </w:rPr>
            </w:pPr>
          </w:p>
        </w:tc>
        <w:tc>
          <w:tcPr>
            <w:tcW w:w="980" w:type="dxa"/>
            <w:vAlign w:val="bottom"/>
            <w:tcBorders>
              <w:right w:val="single" w:sz="8" w:color="008256"/>
            </w:tcBorders>
          </w:tcPr>
          <w:p>
            <w:pPr>
              <w:jc w:val="center"/>
              <w:spacing w:after="0"/>
              <w:rPr>
                <w:sz w:val="20"/>
                <w:szCs w:val="20"/>
                <w:color w:val="auto"/>
              </w:rPr>
            </w:pPr>
            <w:r>
              <w:rPr>
                <w:rFonts w:ascii="Arial" w:cs="Arial" w:eastAsia="Arial" w:hAnsi="Arial"/>
                <w:sz w:val="10"/>
                <w:szCs w:val="10"/>
                <w:b w:val="1"/>
                <w:bCs w:val="1"/>
                <w:color w:val="auto"/>
                <w:w w:val="97"/>
              </w:rPr>
              <w:t>AWARDS</w:t>
            </w:r>
          </w:p>
        </w:tc>
        <w:tc>
          <w:tcPr>
            <w:tcW w:w="1000" w:type="dxa"/>
            <w:vAlign w:val="bottom"/>
            <w:tcBorders>
              <w:right w:val="single" w:sz="8" w:color="008256"/>
            </w:tcBorders>
          </w:tcPr>
          <w:p>
            <w:pPr>
              <w:jc w:val="center"/>
              <w:spacing w:after="0"/>
              <w:rPr>
                <w:sz w:val="20"/>
                <w:szCs w:val="20"/>
                <w:color w:val="auto"/>
              </w:rPr>
            </w:pPr>
            <w:r>
              <w:rPr>
                <w:rFonts w:ascii="Arial" w:cs="Arial" w:eastAsia="Arial" w:hAnsi="Arial"/>
                <w:sz w:val="10"/>
                <w:szCs w:val="10"/>
                <w:b w:val="1"/>
                <w:bCs w:val="1"/>
                <w:color w:val="auto"/>
                <w:w w:val="97"/>
              </w:rPr>
              <w:t>AWARDS</w:t>
            </w:r>
          </w:p>
        </w:tc>
        <w:tc>
          <w:tcPr>
            <w:tcW w:w="1120" w:type="dxa"/>
            <w:vAlign w:val="bottom"/>
          </w:tcPr>
          <w:p>
            <w:pPr>
              <w:jc w:val="center"/>
              <w:ind w:left="107"/>
              <w:spacing w:after="0"/>
              <w:rPr>
                <w:sz w:val="20"/>
                <w:szCs w:val="20"/>
                <w:color w:val="auto"/>
              </w:rPr>
            </w:pPr>
            <w:r>
              <w:rPr>
                <w:rFonts w:ascii="Arial" w:cs="Arial" w:eastAsia="Arial" w:hAnsi="Arial"/>
                <w:sz w:val="10"/>
                <w:szCs w:val="10"/>
                <w:b w:val="1"/>
                <w:bCs w:val="1"/>
                <w:color w:val="auto"/>
                <w:w w:val="97"/>
              </w:rPr>
              <w:t>COMPENSATION</w:t>
            </w:r>
          </w:p>
        </w:tc>
        <w:tc>
          <w:tcPr>
            <w:tcW w:w="200" w:type="dxa"/>
            <w:vAlign w:val="bottom"/>
            <w:tcBorders>
              <w:right w:val="single" w:sz="8" w:color="008256"/>
            </w:tcBorders>
          </w:tcPr>
          <w:p>
            <w:pPr>
              <w:spacing w:after="0"/>
              <w:rPr>
                <w:sz w:val="10"/>
                <w:szCs w:val="10"/>
                <w:color w:val="auto"/>
              </w:rPr>
            </w:pPr>
          </w:p>
        </w:tc>
        <w:tc>
          <w:tcPr>
            <w:tcW w:w="1320" w:type="dxa"/>
            <w:vAlign w:val="bottom"/>
            <w:tcBorders>
              <w:right w:val="single" w:sz="8" w:color="008256"/>
            </w:tcBorders>
          </w:tcPr>
          <w:p>
            <w:pPr>
              <w:jc w:val="center"/>
              <w:spacing w:after="0"/>
              <w:rPr>
                <w:sz w:val="20"/>
                <w:szCs w:val="20"/>
                <w:color w:val="auto"/>
              </w:rPr>
            </w:pPr>
            <w:r>
              <w:rPr>
                <w:rFonts w:ascii="Arial" w:cs="Arial" w:eastAsia="Arial" w:hAnsi="Arial"/>
                <w:sz w:val="10"/>
                <w:szCs w:val="10"/>
                <w:b w:val="1"/>
                <w:bCs w:val="1"/>
                <w:color w:val="auto"/>
                <w:w w:val="97"/>
              </w:rPr>
              <w:t>COMPENSATION</w:t>
            </w:r>
          </w:p>
        </w:tc>
        <w:tc>
          <w:tcPr>
            <w:tcW w:w="960" w:type="dxa"/>
            <w:vAlign w:val="bottom"/>
          </w:tcPr>
          <w:p>
            <w:pPr>
              <w:ind w:left="320"/>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79"/>
        </w:trPr>
        <w:tc>
          <w:tcPr>
            <w:tcW w:w="2840" w:type="dxa"/>
            <w:vAlign w:val="bottom"/>
            <w:tcBorders>
              <w:right w:val="single" w:sz="8" w:color="008256"/>
            </w:tcBorders>
          </w:tcPr>
          <w:p>
            <w:pPr>
              <w:ind w:left="80"/>
              <w:spacing w:after="0"/>
              <w:rPr>
                <w:sz w:val="20"/>
                <w:szCs w:val="20"/>
                <w:color w:val="auto"/>
              </w:rPr>
            </w:pPr>
            <w:r>
              <w:rPr>
                <w:rFonts w:ascii="Arial" w:cs="Arial" w:eastAsia="Arial" w:hAnsi="Arial"/>
                <w:sz w:val="10"/>
                <w:szCs w:val="10"/>
                <w:b w:val="1"/>
                <w:bCs w:val="1"/>
                <w:color w:val="auto"/>
              </w:rPr>
              <w:t>NAME AND PRINCIPAL POSITION</w:t>
            </w:r>
          </w:p>
        </w:tc>
        <w:tc>
          <w:tcPr>
            <w:tcW w:w="700" w:type="dxa"/>
            <w:vAlign w:val="bottom"/>
            <w:tcBorders>
              <w:right w:val="single" w:sz="8" w:color="008256"/>
            </w:tcBorders>
          </w:tcPr>
          <w:p>
            <w:pPr>
              <w:ind w:left="200"/>
              <w:spacing w:after="0"/>
              <w:rPr>
                <w:sz w:val="20"/>
                <w:szCs w:val="20"/>
                <w:color w:val="auto"/>
              </w:rPr>
            </w:pPr>
            <w:r>
              <w:rPr>
                <w:rFonts w:ascii="Arial" w:cs="Arial" w:eastAsia="Arial" w:hAnsi="Arial"/>
                <w:sz w:val="10"/>
                <w:szCs w:val="10"/>
                <w:b w:val="1"/>
                <w:bCs w:val="1"/>
                <w:color w:val="auto"/>
              </w:rPr>
              <w:t>YEAR</w:t>
            </w:r>
          </w:p>
        </w:tc>
        <w:tc>
          <w:tcPr>
            <w:tcW w:w="980" w:type="dxa"/>
            <w:vAlign w:val="bottom"/>
            <w:tcBorders>
              <w:right w:val="single" w:sz="8" w:color="008256"/>
            </w:tcBorders>
          </w:tcPr>
          <w:p>
            <w:pPr>
              <w:jc w:val="right"/>
              <w:ind w:right="385"/>
              <w:spacing w:after="0"/>
              <w:rPr>
                <w:sz w:val="20"/>
                <w:szCs w:val="20"/>
                <w:color w:val="auto"/>
              </w:rPr>
            </w:pPr>
            <w:r>
              <w:rPr>
                <w:rFonts w:ascii="Arial" w:cs="Arial" w:eastAsia="Arial" w:hAnsi="Arial"/>
                <w:sz w:val="10"/>
                <w:szCs w:val="10"/>
                <w:b w:val="1"/>
                <w:bCs w:val="1"/>
                <w:color w:val="auto"/>
              </w:rPr>
              <w:t>($)</w:t>
            </w:r>
          </w:p>
        </w:tc>
        <w:tc>
          <w:tcPr>
            <w:tcW w:w="860" w:type="dxa"/>
            <w:vAlign w:val="bottom"/>
          </w:tcPr>
          <w:p>
            <w:pPr>
              <w:jc w:val="right"/>
              <w:ind w:right="165"/>
              <w:spacing w:after="0"/>
              <w:rPr>
                <w:sz w:val="20"/>
                <w:szCs w:val="20"/>
                <w:color w:val="auto"/>
              </w:rPr>
            </w:pPr>
            <w:r>
              <w:rPr>
                <w:rFonts w:ascii="Arial" w:cs="Arial" w:eastAsia="Arial" w:hAnsi="Arial"/>
                <w:sz w:val="10"/>
                <w:szCs w:val="10"/>
                <w:b w:val="1"/>
                <w:bCs w:val="1"/>
                <w:color w:val="auto"/>
              </w:rPr>
              <w:t>($)</w:t>
            </w:r>
          </w:p>
        </w:tc>
        <w:tc>
          <w:tcPr>
            <w:tcW w:w="320" w:type="dxa"/>
            <w:vAlign w:val="bottom"/>
            <w:tcBorders>
              <w:right w:val="single" w:sz="8" w:color="008256"/>
            </w:tcBorders>
          </w:tcPr>
          <w:p>
            <w:pPr>
              <w:spacing w:after="0"/>
              <w:rPr>
                <w:sz w:val="15"/>
                <w:szCs w:val="15"/>
                <w:color w:val="auto"/>
              </w:rPr>
            </w:pPr>
          </w:p>
        </w:tc>
        <w:tc>
          <w:tcPr>
            <w:tcW w:w="980" w:type="dxa"/>
            <w:vAlign w:val="bottom"/>
            <w:tcBorders>
              <w:right w:val="single" w:sz="8" w:color="008256"/>
            </w:tcBorders>
          </w:tcPr>
          <w:p>
            <w:pPr>
              <w:jc w:val="center"/>
              <w:spacing w:after="0"/>
              <w:rPr>
                <w:sz w:val="20"/>
                <w:szCs w:val="20"/>
                <w:color w:val="auto"/>
              </w:rPr>
            </w:pPr>
            <w:r>
              <w:rPr>
                <w:rFonts w:ascii="Arial" w:cs="Arial" w:eastAsia="Arial" w:hAnsi="Arial"/>
                <w:sz w:val="10"/>
                <w:szCs w:val="10"/>
                <w:b w:val="1"/>
                <w:bCs w:val="1"/>
                <w:color w:val="auto"/>
                <w:w w:val="90"/>
              </w:rPr>
              <w:t>($)</w:t>
            </w:r>
            <w:r>
              <w:rPr>
                <w:rFonts w:ascii="Arial" w:cs="Arial" w:eastAsia="Arial" w:hAnsi="Arial"/>
                <w:sz w:val="12"/>
                <w:szCs w:val="12"/>
                <w:b w:val="1"/>
                <w:bCs w:val="1"/>
                <w:color w:val="auto"/>
                <w:w w:val="90"/>
                <w:vertAlign w:val="superscript"/>
              </w:rPr>
              <w:t>(1)</w:t>
            </w:r>
          </w:p>
        </w:tc>
        <w:tc>
          <w:tcPr>
            <w:tcW w:w="1000" w:type="dxa"/>
            <w:vAlign w:val="bottom"/>
            <w:tcBorders>
              <w:right w:val="single" w:sz="8" w:color="008256"/>
            </w:tcBorders>
          </w:tcPr>
          <w:p>
            <w:pPr>
              <w:jc w:val="center"/>
              <w:spacing w:after="0"/>
              <w:rPr>
                <w:sz w:val="20"/>
                <w:szCs w:val="20"/>
                <w:color w:val="auto"/>
              </w:rPr>
            </w:pPr>
            <w:r>
              <w:rPr>
                <w:rFonts w:ascii="Arial" w:cs="Arial" w:eastAsia="Arial" w:hAnsi="Arial"/>
                <w:sz w:val="10"/>
                <w:szCs w:val="10"/>
                <w:b w:val="1"/>
                <w:bCs w:val="1"/>
                <w:color w:val="auto"/>
                <w:w w:val="90"/>
              </w:rPr>
              <w:t>($)</w:t>
            </w:r>
            <w:r>
              <w:rPr>
                <w:rFonts w:ascii="Arial" w:cs="Arial" w:eastAsia="Arial" w:hAnsi="Arial"/>
                <w:sz w:val="12"/>
                <w:szCs w:val="12"/>
                <w:b w:val="1"/>
                <w:bCs w:val="1"/>
                <w:color w:val="auto"/>
                <w:w w:val="90"/>
                <w:vertAlign w:val="superscript"/>
              </w:rPr>
              <w:t>(1)</w:t>
            </w:r>
          </w:p>
        </w:tc>
        <w:tc>
          <w:tcPr>
            <w:tcW w:w="1120" w:type="dxa"/>
            <w:vAlign w:val="bottom"/>
          </w:tcPr>
          <w:p>
            <w:pPr>
              <w:jc w:val="center"/>
              <w:ind w:left="107"/>
              <w:spacing w:after="0"/>
              <w:rPr>
                <w:sz w:val="20"/>
                <w:szCs w:val="20"/>
                <w:color w:val="auto"/>
              </w:rPr>
            </w:pPr>
            <w:r>
              <w:rPr>
                <w:rFonts w:ascii="Arial" w:cs="Arial" w:eastAsia="Arial" w:hAnsi="Arial"/>
                <w:sz w:val="10"/>
                <w:szCs w:val="10"/>
                <w:b w:val="1"/>
                <w:bCs w:val="1"/>
                <w:color w:val="auto"/>
                <w:w w:val="97"/>
              </w:rPr>
              <w:t>($)</w:t>
            </w:r>
          </w:p>
        </w:tc>
        <w:tc>
          <w:tcPr>
            <w:tcW w:w="200" w:type="dxa"/>
            <w:vAlign w:val="bottom"/>
            <w:tcBorders>
              <w:right w:val="single" w:sz="8" w:color="008256"/>
            </w:tcBorders>
          </w:tcPr>
          <w:p>
            <w:pPr>
              <w:spacing w:after="0"/>
              <w:rPr>
                <w:sz w:val="15"/>
                <w:szCs w:val="15"/>
                <w:color w:val="auto"/>
              </w:rPr>
            </w:pPr>
          </w:p>
        </w:tc>
        <w:tc>
          <w:tcPr>
            <w:tcW w:w="1320" w:type="dxa"/>
            <w:vAlign w:val="bottom"/>
            <w:tcBorders>
              <w:right w:val="single" w:sz="8" w:color="008256"/>
            </w:tcBorders>
          </w:tcPr>
          <w:p>
            <w:pPr>
              <w:jc w:val="center"/>
              <w:spacing w:after="0"/>
              <w:rPr>
                <w:sz w:val="20"/>
                <w:szCs w:val="20"/>
                <w:color w:val="auto"/>
              </w:rPr>
            </w:pPr>
            <w:r>
              <w:rPr>
                <w:rFonts w:ascii="Arial" w:cs="Arial" w:eastAsia="Arial" w:hAnsi="Arial"/>
                <w:sz w:val="10"/>
                <w:szCs w:val="10"/>
                <w:b w:val="1"/>
                <w:bCs w:val="1"/>
                <w:color w:val="auto"/>
                <w:w w:val="90"/>
              </w:rPr>
              <w:t>($)</w:t>
            </w:r>
            <w:r>
              <w:rPr>
                <w:rFonts w:ascii="Arial" w:cs="Arial" w:eastAsia="Arial" w:hAnsi="Arial"/>
                <w:sz w:val="12"/>
                <w:szCs w:val="12"/>
                <w:b w:val="1"/>
                <w:bCs w:val="1"/>
                <w:color w:val="auto"/>
                <w:w w:val="90"/>
                <w:vertAlign w:val="superscript"/>
              </w:rPr>
              <w:t>(2)</w:t>
            </w:r>
          </w:p>
        </w:tc>
        <w:tc>
          <w:tcPr>
            <w:tcW w:w="960" w:type="dxa"/>
            <w:vAlign w:val="bottom"/>
          </w:tcPr>
          <w:p>
            <w:pPr>
              <w:ind w:left="420"/>
              <w:spacing w:after="0"/>
              <w:rPr>
                <w:sz w:val="20"/>
                <w:szCs w:val="20"/>
                <w:color w:val="auto"/>
              </w:rPr>
            </w:pPr>
            <w:r>
              <w:rPr>
                <w:rFonts w:ascii="Arial" w:cs="Arial" w:eastAsia="Arial" w:hAnsi="Arial"/>
                <w:sz w:val="10"/>
                <w:szCs w:val="10"/>
                <w:b w:val="1"/>
                <w:bCs w:val="1"/>
                <w:color w:val="auto"/>
              </w:rPr>
              <w:t>($)</w:t>
            </w:r>
          </w:p>
        </w:tc>
        <w:tc>
          <w:tcPr>
            <w:tcW w:w="0" w:type="dxa"/>
            <w:vAlign w:val="bottom"/>
          </w:tcPr>
          <w:p>
            <w:pPr>
              <w:spacing w:after="0"/>
              <w:rPr>
                <w:sz w:val="1"/>
                <w:szCs w:val="1"/>
                <w:color w:val="auto"/>
              </w:rPr>
            </w:pPr>
          </w:p>
        </w:tc>
      </w:tr>
      <w:tr>
        <w:trPr>
          <w:trHeight w:val="48"/>
        </w:trPr>
        <w:tc>
          <w:tcPr>
            <w:tcW w:w="2840" w:type="dxa"/>
            <w:vAlign w:val="bottom"/>
            <w:tcBorders>
              <w:bottom w:val="single" w:sz="8" w:color="008256"/>
              <w:right w:val="single" w:sz="8" w:color="008256"/>
            </w:tcBorders>
          </w:tcPr>
          <w:p>
            <w:pPr>
              <w:spacing w:after="0"/>
              <w:rPr>
                <w:sz w:val="4"/>
                <w:szCs w:val="4"/>
                <w:color w:val="auto"/>
              </w:rPr>
            </w:pPr>
          </w:p>
        </w:tc>
        <w:tc>
          <w:tcPr>
            <w:tcW w:w="700" w:type="dxa"/>
            <w:vAlign w:val="bottom"/>
            <w:tcBorders>
              <w:bottom w:val="single" w:sz="8" w:color="008256"/>
              <w:right w:val="single" w:sz="8" w:color="008256"/>
            </w:tcBorders>
          </w:tcPr>
          <w:p>
            <w:pPr>
              <w:spacing w:after="0"/>
              <w:rPr>
                <w:sz w:val="4"/>
                <w:szCs w:val="4"/>
                <w:color w:val="auto"/>
              </w:rPr>
            </w:pPr>
          </w:p>
        </w:tc>
        <w:tc>
          <w:tcPr>
            <w:tcW w:w="980" w:type="dxa"/>
            <w:vAlign w:val="bottom"/>
            <w:tcBorders>
              <w:bottom w:val="single" w:sz="8" w:color="008256"/>
              <w:right w:val="single" w:sz="8" w:color="008256"/>
            </w:tcBorders>
          </w:tcPr>
          <w:p>
            <w:pPr>
              <w:spacing w:after="0"/>
              <w:rPr>
                <w:sz w:val="4"/>
                <w:szCs w:val="4"/>
                <w:color w:val="auto"/>
              </w:rPr>
            </w:pPr>
          </w:p>
        </w:tc>
        <w:tc>
          <w:tcPr>
            <w:tcW w:w="860" w:type="dxa"/>
            <w:vAlign w:val="bottom"/>
            <w:tcBorders>
              <w:bottom w:val="single" w:sz="8" w:color="008055"/>
            </w:tcBorders>
          </w:tcPr>
          <w:p>
            <w:pPr>
              <w:spacing w:after="0"/>
              <w:rPr>
                <w:sz w:val="4"/>
                <w:szCs w:val="4"/>
                <w:color w:val="auto"/>
              </w:rPr>
            </w:pPr>
          </w:p>
        </w:tc>
        <w:tc>
          <w:tcPr>
            <w:tcW w:w="320" w:type="dxa"/>
            <w:vAlign w:val="bottom"/>
            <w:tcBorders>
              <w:bottom w:val="single" w:sz="8" w:color="008055"/>
              <w:right w:val="single" w:sz="8" w:color="008256"/>
            </w:tcBorders>
          </w:tcPr>
          <w:p>
            <w:pPr>
              <w:spacing w:after="0"/>
              <w:rPr>
                <w:sz w:val="4"/>
                <w:szCs w:val="4"/>
                <w:color w:val="auto"/>
              </w:rPr>
            </w:pPr>
          </w:p>
        </w:tc>
        <w:tc>
          <w:tcPr>
            <w:tcW w:w="980" w:type="dxa"/>
            <w:vAlign w:val="bottom"/>
            <w:tcBorders>
              <w:bottom w:val="single" w:sz="8" w:color="008256"/>
              <w:right w:val="single" w:sz="8" w:color="008256"/>
            </w:tcBorders>
          </w:tcPr>
          <w:p>
            <w:pPr>
              <w:spacing w:after="0"/>
              <w:rPr>
                <w:sz w:val="4"/>
                <w:szCs w:val="4"/>
                <w:color w:val="auto"/>
              </w:rPr>
            </w:pPr>
          </w:p>
        </w:tc>
        <w:tc>
          <w:tcPr>
            <w:tcW w:w="1000" w:type="dxa"/>
            <w:vAlign w:val="bottom"/>
            <w:tcBorders>
              <w:bottom w:val="single" w:sz="8" w:color="008256"/>
              <w:right w:val="single" w:sz="8" w:color="008256"/>
            </w:tcBorders>
          </w:tcPr>
          <w:p>
            <w:pPr>
              <w:spacing w:after="0"/>
              <w:rPr>
                <w:sz w:val="4"/>
                <w:szCs w:val="4"/>
                <w:color w:val="auto"/>
              </w:rPr>
            </w:pPr>
          </w:p>
        </w:tc>
        <w:tc>
          <w:tcPr>
            <w:tcW w:w="1120" w:type="dxa"/>
            <w:vAlign w:val="bottom"/>
            <w:tcBorders>
              <w:bottom w:val="single" w:sz="8" w:color="008055"/>
            </w:tcBorders>
          </w:tcPr>
          <w:p>
            <w:pPr>
              <w:spacing w:after="0"/>
              <w:rPr>
                <w:sz w:val="4"/>
                <w:szCs w:val="4"/>
                <w:color w:val="auto"/>
              </w:rPr>
            </w:pPr>
          </w:p>
        </w:tc>
        <w:tc>
          <w:tcPr>
            <w:tcW w:w="200" w:type="dxa"/>
            <w:vAlign w:val="bottom"/>
            <w:tcBorders>
              <w:bottom w:val="single" w:sz="8" w:color="008055"/>
              <w:right w:val="single" w:sz="8" w:color="008256"/>
            </w:tcBorders>
          </w:tcPr>
          <w:p>
            <w:pPr>
              <w:spacing w:after="0"/>
              <w:rPr>
                <w:sz w:val="4"/>
                <w:szCs w:val="4"/>
                <w:color w:val="auto"/>
              </w:rPr>
            </w:pPr>
          </w:p>
        </w:tc>
        <w:tc>
          <w:tcPr>
            <w:tcW w:w="1320" w:type="dxa"/>
            <w:vAlign w:val="bottom"/>
            <w:tcBorders>
              <w:bottom w:val="single" w:sz="8" w:color="008256"/>
              <w:right w:val="single" w:sz="8" w:color="008256"/>
            </w:tcBorders>
          </w:tcPr>
          <w:p>
            <w:pPr>
              <w:spacing w:after="0"/>
              <w:rPr>
                <w:sz w:val="4"/>
                <w:szCs w:val="4"/>
                <w:color w:val="auto"/>
              </w:rPr>
            </w:pPr>
          </w:p>
        </w:tc>
        <w:tc>
          <w:tcPr>
            <w:tcW w:w="960" w:type="dxa"/>
            <w:vAlign w:val="bottom"/>
            <w:tcBorders>
              <w:bottom w:val="single" w:sz="8" w:color="008256"/>
            </w:tcBorders>
          </w:tcPr>
          <w:p>
            <w:pPr>
              <w:spacing w:after="0"/>
              <w:rPr>
                <w:sz w:val="4"/>
                <w:szCs w:val="4"/>
                <w:color w:val="auto"/>
              </w:rPr>
            </w:pPr>
          </w:p>
        </w:tc>
        <w:tc>
          <w:tcPr>
            <w:tcW w:w="0" w:type="dxa"/>
            <w:vAlign w:val="bottom"/>
          </w:tcPr>
          <w:p>
            <w:pPr>
              <w:spacing w:after="0"/>
              <w:rPr>
                <w:sz w:val="1"/>
                <w:szCs w:val="1"/>
                <w:color w:val="auto"/>
              </w:rPr>
            </w:pPr>
          </w:p>
        </w:tc>
      </w:tr>
      <w:tr>
        <w:trPr>
          <w:trHeight w:val="85"/>
        </w:trPr>
        <w:tc>
          <w:tcPr>
            <w:tcW w:w="2840" w:type="dxa"/>
            <w:vAlign w:val="bottom"/>
            <w:tcBorders>
              <w:right w:val="single" w:sz="8" w:color="008256"/>
            </w:tcBorders>
            <w:vMerge w:val="restart"/>
            <w:shd w:val="clear" w:color="auto" w:fill="E3FAF2"/>
          </w:tcPr>
          <w:p>
            <w:pPr>
              <w:ind w:left="80"/>
              <w:spacing w:after="0"/>
              <w:rPr>
                <w:sz w:val="20"/>
                <w:szCs w:val="20"/>
                <w:color w:val="auto"/>
              </w:rPr>
            </w:pPr>
            <w:r>
              <w:rPr>
                <w:rFonts w:ascii="Arial" w:cs="Arial" w:eastAsia="Arial" w:hAnsi="Arial"/>
                <w:sz w:val="11"/>
                <w:szCs w:val="11"/>
                <w:b w:val="1"/>
                <w:bCs w:val="1"/>
                <w:color w:val="auto"/>
              </w:rPr>
              <w:t>Tim Chen</w:t>
            </w:r>
          </w:p>
        </w:tc>
        <w:tc>
          <w:tcPr>
            <w:tcW w:w="700" w:type="dxa"/>
            <w:vAlign w:val="bottom"/>
            <w:tcBorders>
              <w:right w:val="single" w:sz="8" w:color="008256"/>
            </w:tcBorders>
            <w:vMerge w:val="restart"/>
            <w:shd w:val="clear" w:color="auto" w:fill="E3FAF2"/>
          </w:tcPr>
          <w:p>
            <w:pPr>
              <w:ind w:left="200"/>
              <w:spacing w:after="0"/>
              <w:rPr>
                <w:sz w:val="20"/>
                <w:szCs w:val="20"/>
                <w:color w:val="auto"/>
              </w:rPr>
            </w:pPr>
            <w:r>
              <w:rPr>
                <w:rFonts w:ascii="Arial" w:cs="Arial" w:eastAsia="Arial" w:hAnsi="Arial"/>
                <w:sz w:val="11"/>
                <w:szCs w:val="11"/>
                <w:b w:val="1"/>
                <w:bCs w:val="1"/>
                <w:color w:val="auto"/>
              </w:rPr>
              <w:t>2024</w:t>
            </w:r>
          </w:p>
        </w:tc>
        <w:tc>
          <w:tcPr>
            <w:tcW w:w="980" w:type="dxa"/>
            <w:vAlign w:val="bottom"/>
            <w:tcBorders>
              <w:right w:val="single" w:sz="8" w:color="008055"/>
            </w:tcBorders>
            <w:vMerge w:val="restart"/>
            <w:shd w:val="clear" w:color="auto" w:fill="E3FAF2"/>
          </w:tcPr>
          <w:p>
            <w:pPr>
              <w:jc w:val="right"/>
              <w:ind w:right="5"/>
              <w:spacing w:after="0"/>
              <w:rPr>
                <w:sz w:val="20"/>
                <w:szCs w:val="20"/>
                <w:color w:val="auto"/>
              </w:rPr>
            </w:pPr>
            <w:r>
              <w:rPr>
                <w:rFonts w:ascii="Arial" w:cs="Arial" w:eastAsia="Arial" w:hAnsi="Arial"/>
                <w:sz w:val="11"/>
                <w:szCs w:val="11"/>
                <w:color w:val="auto"/>
              </w:rPr>
              <w:t>700,000</w:t>
            </w:r>
          </w:p>
        </w:tc>
        <w:tc>
          <w:tcPr>
            <w:tcW w:w="860" w:type="dxa"/>
            <w:vAlign w:val="bottom"/>
            <w:vMerge w:val="restart"/>
            <w:shd w:val="clear" w:color="auto" w:fill="E3FAF2"/>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right w:val="single" w:sz="8" w:color="008055"/>
            </w:tcBorders>
            <w:shd w:val="clear" w:color="auto" w:fill="E3FAF2"/>
          </w:tcPr>
          <w:p>
            <w:pPr>
              <w:spacing w:after="0"/>
              <w:rPr>
                <w:sz w:val="7"/>
                <w:szCs w:val="7"/>
                <w:color w:val="auto"/>
              </w:rPr>
            </w:pPr>
          </w:p>
        </w:tc>
        <w:tc>
          <w:tcPr>
            <w:tcW w:w="980" w:type="dxa"/>
            <w:vAlign w:val="bottom"/>
            <w:tcBorders>
              <w:right w:val="single" w:sz="8" w:color="008256"/>
            </w:tcBorders>
            <w:vMerge w:val="restart"/>
            <w:shd w:val="clear" w:color="auto" w:fill="E3FAF2"/>
          </w:tcPr>
          <w:p>
            <w:pPr>
              <w:jc w:val="right"/>
              <w:ind w:right="6"/>
              <w:spacing w:after="0"/>
              <w:rPr>
                <w:sz w:val="20"/>
                <w:szCs w:val="20"/>
                <w:color w:val="auto"/>
              </w:rPr>
            </w:pPr>
            <w:r>
              <w:rPr>
                <w:rFonts w:ascii="Arial" w:cs="Arial" w:eastAsia="Arial" w:hAnsi="Arial"/>
                <w:sz w:val="11"/>
                <w:szCs w:val="11"/>
                <w:color w:val="auto"/>
              </w:rPr>
              <w:t>—</w:t>
            </w:r>
          </w:p>
        </w:tc>
        <w:tc>
          <w:tcPr>
            <w:tcW w:w="1000" w:type="dxa"/>
            <w:vAlign w:val="bottom"/>
            <w:tcBorders>
              <w:right w:val="single" w:sz="8" w:color="008055"/>
            </w:tcBorders>
            <w:vMerge w:val="restart"/>
            <w:shd w:val="clear" w:color="auto" w:fill="E3FAF2"/>
          </w:tcPr>
          <w:p>
            <w:pPr>
              <w:jc w:val="right"/>
              <w:ind w:right="26"/>
              <w:spacing w:after="0"/>
              <w:rPr>
                <w:sz w:val="20"/>
                <w:szCs w:val="20"/>
                <w:color w:val="auto"/>
              </w:rPr>
            </w:pPr>
            <w:r>
              <w:rPr>
                <w:rFonts w:ascii="Arial" w:cs="Arial" w:eastAsia="Arial" w:hAnsi="Arial"/>
                <w:sz w:val="11"/>
                <w:szCs w:val="11"/>
                <w:color w:val="auto"/>
              </w:rPr>
              <w:t>—</w:t>
            </w:r>
          </w:p>
        </w:tc>
        <w:tc>
          <w:tcPr>
            <w:tcW w:w="1120" w:type="dxa"/>
            <w:vAlign w:val="bottom"/>
            <w:vMerge w:val="restart"/>
            <w:shd w:val="clear" w:color="auto" w:fill="E3FAF2"/>
          </w:tcPr>
          <w:p>
            <w:pPr>
              <w:jc w:val="right"/>
              <w:ind w:right="87"/>
              <w:spacing w:after="0"/>
              <w:rPr>
                <w:sz w:val="20"/>
                <w:szCs w:val="20"/>
                <w:color w:val="auto"/>
              </w:rPr>
            </w:pPr>
            <w:r>
              <w:rPr>
                <w:rFonts w:ascii="Arial" w:cs="Arial" w:eastAsia="Arial" w:hAnsi="Arial"/>
                <w:sz w:val="11"/>
                <w:szCs w:val="11"/>
                <w:color w:val="auto"/>
              </w:rPr>
              <w:t>770,800</w:t>
            </w:r>
          </w:p>
        </w:tc>
        <w:tc>
          <w:tcPr>
            <w:tcW w:w="200" w:type="dxa"/>
            <w:vAlign w:val="bottom"/>
            <w:tcBorders>
              <w:right w:val="single" w:sz="8" w:color="008256"/>
            </w:tcBorders>
            <w:shd w:val="clear" w:color="auto" w:fill="E3FAF2"/>
          </w:tcPr>
          <w:p>
            <w:pPr>
              <w:jc w:val="right"/>
              <w:ind w:right="8"/>
              <w:spacing w:after="0"/>
              <w:rPr>
                <w:sz w:val="20"/>
                <w:szCs w:val="20"/>
                <w:color w:val="auto"/>
              </w:rPr>
            </w:pPr>
            <w:r>
              <w:rPr>
                <w:rFonts w:ascii="Arial" w:cs="Arial" w:eastAsia="Arial" w:hAnsi="Arial"/>
                <w:sz w:val="6"/>
                <w:szCs w:val="6"/>
                <w:color w:val="auto"/>
              </w:rPr>
              <w:t>(3)</w:t>
            </w:r>
          </w:p>
        </w:tc>
        <w:tc>
          <w:tcPr>
            <w:tcW w:w="1320" w:type="dxa"/>
            <w:vAlign w:val="bottom"/>
            <w:tcBorders>
              <w:right w:val="single" w:sz="8" w:color="008055"/>
            </w:tcBorders>
            <w:vMerge w:val="restart"/>
            <w:shd w:val="clear" w:color="auto" w:fill="E3FAF2"/>
          </w:tcPr>
          <w:p>
            <w:pPr>
              <w:jc w:val="right"/>
              <w:ind w:right="26"/>
              <w:spacing w:after="0"/>
              <w:rPr>
                <w:sz w:val="20"/>
                <w:szCs w:val="20"/>
                <w:color w:val="auto"/>
              </w:rPr>
            </w:pPr>
            <w:r>
              <w:rPr>
                <w:rFonts w:ascii="Arial" w:cs="Arial" w:eastAsia="Arial" w:hAnsi="Arial"/>
                <w:sz w:val="11"/>
                <w:szCs w:val="11"/>
                <w:color w:val="auto"/>
              </w:rPr>
              <w:t>16,304</w:t>
            </w:r>
          </w:p>
        </w:tc>
        <w:tc>
          <w:tcPr>
            <w:tcW w:w="960" w:type="dxa"/>
            <w:vAlign w:val="bottom"/>
            <w:vMerge w:val="restart"/>
            <w:shd w:val="clear" w:color="auto" w:fill="E3FAF2"/>
          </w:tcPr>
          <w:p>
            <w:pPr>
              <w:ind w:left="400"/>
              <w:spacing w:after="0"/>
              <w:rPr>
                <w:sz w:val="20"/>
                <w:szCs w:val="20"/>
                <w:color w:val="auto"/>
              </w:rPr>
            </w:pPr>
            <w:r>
              <w:rPr>
                <w:rFonts w:ascii="Arial" w:cs="Arial" w:eastAsia="Arial" w:hAnsi="Arial"/>
                <w:sz w:val="11"/>
                <w:szCs w:val="11"/>
                <w:color w:val="auto"/>
              </w:rPr>
              <w:t>1,487,104</w:t>
            </w:r>
          </w:p>
        </w:tc>
        <w:tc>
          <w:tcPr>
            <w:tcW w:w="0" w:type="dxa"/>
            <w:vAlign w:val="bottom"/>
          </w:tcPr>
          <w:p>
            <w:pPr>
              <w:spacing w:after="0"/>
              <w:rPr>
                <w:sz w:val="1"/>
                <w:szCs w:val="1"/>
                <w:color w:val="auto"/>
              </w:rPr>
            </w:pPr>
          </w:p>
        </w:tc>
      </w:tr>
      <w:tr>
        <w:trPr>
          <w:trHeight w:val="59"/>
        </w:trPr>
        <w:tc>
          <w:tcPr>
            <w:tcW w:w="2840" w:type="dxa"/>
            <w:vAlign w:val="bottom"/>
            <w:tcBorders>
              <w:right w:val="single" w:sz="8" w:color="008256"/>
            </w:tcBorders>
            <w:vMerge w:val="continue"/>
            <w:shd w:val="clear" w:color="auto" w:fill="E3FAF2"/>
          </w:tcPr>
          <w:p>
            <w:pPr>
              <w:spacing w:after="0"/>
              <w:rPr>
                <w:sz w:val="5"/>
                <w:szCs w:val="5"/>
                <w:color w:val="auto"/>
              </w:rPr>
            </w:pPr>
          </w:p>
        </w:tc>
        <w:tc>
          <w:tcPr>
            <w:tcW w:w="700" w:type="dxa"/>
            <w:vAlign w:val="bottom"/>
            <w:tcBorders>
              <w:right w:val="single" w:sz="8" w:color="008256"/>
            </w:tcBorders>
            <w:vMerge w:val="continue"/>
            <w:shd w:val="clear" w:color="auto" w:fill="E3FAF2"/>
          </w:tcPr>
          <w:p>
            <w:pPr>
              <w:spacing w:after="0"/>
              <w:rPr>
                <w:sz w:val="5"/>
                <w:szCs w:val="5"/>
                <w:color w:val="auto"/>
              </w:rPr>
            </w:pPr>
          </w:p>
        </w:tc>
        <w:tc>
          <w:tcPr>
            <w:tcW w:w="980" w:type="dxa"/>
            <w:vAlign w:val="bottom"/>
            <w:tcBorders>
              <w:right w:val="single" w:sz="8" w:color="008055"/>
            </w:tcBorders>
            <w:vMerge w:val="continue"/>
            <w:shd w:val="clear" w:color="auto" w:fill="E3FAF2"/>
          </w:tcPr>
          <w:p>
            <w:pPr>
              <w:spacing w:after="0"/>
              <w:rPr>
                <w:sz w:val="5"/>
                <w:szCs w:val="5"/>
                <w:color w:val="auto"/>
              </w:rPr>
            </w:pPr>
          </w:p>
        </w:tc>
        <w:tc>
          <w:tcPr>
            <w:tcW w:w="860" w:type="dxa"/>
            <w:vAlign w:val="bottom"/>
            <w:vMerge w:val="continue"/>
            <w:shd w:val="clear" w:color="auto" w:fill="E3FAF2"/>
          </w:tcPr>
          <w:p>
            <w:pPr>
              <w:spacing w:after="0"/>
              <w:rPr>
                <w:sz w:val="5"/>
                <w:szCs w:val="5"/>
                <w:color w:val="auto"/>
              </w:rPr>
            </w:pPr>
          </w:p>
        </w:tc>
        <w:tc>
          <w:tcPr>
            <w:tcW w:w="320" w:type="dxa"/>
            <w:vAlign w:val="bottom"/>
            <w:tcBorders>
              <w:right w:val="single" w:sz="8" w:color="008055"/>
            </w:tcBorders>
            <w:shd w:val="clear" w:color="auto" w:fill="E3FAF2"/>
          </w:tcPr>
          <w:p>
            <w:pPr>
              <w:spacing w:after="0"/>
              <w:rPr>
                <w:sz w:val="5"/>
                <w:szCs w:val="5"/>
                <w:color w:val="auto"/>
              </w:rPr>
            </w:pPr>
          </w:p>
        </w:tc>
        <w:tc>
          <w:tcPr>
            <w:tcW w:w="980" w:type="dxa"/>
            <w:vAlign w:val="bottom"/>
            <w:tcBorders>
              <w:right w:val="single" w:sz="8" w:color="008256"/>
            </w:tcBorders>
            <w:vMerge w:val="continue"/>
            <w:shd w:val="clear" w:color="auto" w:fill="E3FAF2"/>
          </w:tcPr>
          <w:p>
            <w:pPr>
              <w:spacing w:after="0"/>
              <w:rPr>
                <w:sz w:val="5"/>
                <w:szCs w:val="5"/>
                <w:color w:val="auto"/>
              </w:rPr>
            </w:pPr>
          </w:p>
        </w:tc>
        <w:tc>
          <w:tcPr>
            <w:tcW w:w="1000" w:type="dxa"/>
            <w:vAlign w:val="bottom"/>
            <w:tcBorders>
              <w:right w:val="single" w:sz="8" w:color="008055"/>
            </w:tcBorders>
            <w:vMerge w:val="continue"/>
            <w:shd w:val="clear" w:color="auto" w:fill="E3FAF2"/>
          </w:tcPr>
          <w:p>
            <w:pPr>
              <w:spacing w:after="0"/>
              <w:rPr>
                <w:sz w:val="5"/>
                <w:szCs w:val="5"/>
                <w:color w:val="auto"/>
              </w:rPr>
            </w:pPr>
          </w:p>
        </w:tc>
        <w:tc>
          <w:tcPr>
            <w:tcW w:w="1120" w:type="dxa"/>
            <w:vAlign w:val="bottom"/>
            <w:vMerge w:val="continue"/>
            <w:shd w:val="clear" w:color="auto" w:fill="E3FAF2"/>
          </w:tcPr>
          <w:p>
            <w:pPr>
              <w:spacing w:after="0"/>
              <w:rPr>
                <w:sz w:val="5"/>
                <w:szCs w:val="5"/>
                <w:color w:val="auto"/>
              </w:rPr>
            </w:pPr>
          </w:p>
        </w:tc>
        <w:tc>
          <w:tcPr>
            <w:tcW w:w="200" w:type="dxa"/>
            <w:vAlign w:val="bottom"/>
            <w:tcBorders>
              <w:right w:val="single" w:sz="8" w:color="008256"/>
            </w:tcBorders>
            <w:shd w:val="clear" w:color="auto" w:fill="E3FAF2"/>
          </w:tcPr>
          <w:p>
            <w:pPr>
              <w:spacing w:after="0"/>
              <w:rPr>
                <w:sz w:val="5"/>
                <w:szCs w:val="5"/>
                <w:color w:val="auto"/>
              </w:rPr>
            </w:pPr>
          </w:p>
        </w:tc>
        <w:tc>
          <w:tcPr>
            <w:tcW w:w="1320" w:type="dxa"/>
            <w:vAlign w:val="bottom"/>
            <w:tcBorders>
              <w:right w:val="single" w:sz="8" w:color="008055"/>
            </w:tcBorders>
            <w:vMerge w:val="continue"/>
            <w:shd w:val="clear" w:color="auto" w:fill="E3FAF2"/>
          </w:tcPr>
          <w:p>
            <w:pPr>
              <w:spacing w:after="0"/>
              <w:rPr>
                <w:sz w:val="5"/>
                <w:szCs w:val="5"/>
                <w:color w:val="auto"/>
              </w:rPr>
            </w:pPr>
          </w:p>
        </w:tc>
        <w:tc>
          <w:tcPr>
            <w:tcW w:w="960" w:type="dxa"/>
            <w:vAlign w:val="bottom"/>
            <w:vMerge w:val="continue"/>
            <w:shd w:val="clear" w:color="auto" w:fill="E3FAF2"/>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840" w:type="dxa"/>
            <w:vAlign w:val="bottom"/>
            <w:tcBorders>
              <w:right w:val="single" w:sz="8" w:color="008256"/>
            </w:tcBorders>
            <w:shd w:val="clear" w:color="auto" w:fill="E3FAF2"/>
          </w:tcPr>
          <w:p>
            <w:pPr>
              <w:ind w:left="80"/>
              <w:spacing w:after="0"/>
              <w:rPr>
                <w:sz w:val="20"/>
                <w:szCs w:val="20"/>
                <w:color w:val="auto"/>
              </w:rPr>
            </w:pPr>
            <w:r>
              <w:rPr>
                <w:rFonts w:ascii="Arial" w:cs="Arial" w:eastAsia="Arial" w:hAnsi="Arial"/>
                <w:sz w:val="11"/>
                <w:szCs w:val="11"/>
                <w:color w:val="auto"/>
              </w:rPr>
              <w:t>Chief Executive Officer and</w:t>
            </w:r>
          </w:p>
        </w:tc>
        <w:tc>
          <w:tcPr>
            <w:tcW w:w="700" w:type="dxa"/>
            <w:vAlign w:val="bottom"/>
            <w:tcBorders>
              <w:right w:val="single" w:sz="8" w:color="008256"/>
            </w:tcBorders>
            <w:vMerge w:val="restart"/>
            <w:shd w:val="clear" w:color="auto" w:fill="E3FAF2"/>
          </w:tcPr>
          <w:p>
            <w:pPr>
              <w:ind w:left="200"/>
              <w:spacing w:after="0"/>
              <w:rPr>
                <w:sz w:val="20"/>
                <w:szCs w:val="20"/>
                <w:color w:val="auto"/>
              </w:rPr>
            </w:pPr>
            <w:r>
              <w:rPr>
                <w:rFonts w:ascii="Arial" w:cs="Arial" w:eastAsia="Arial" w:hAnsi="Arial"/>
                <w:sz w:val="11"/>
                <w:szCs w:val="11"/>
                <w:b w:val="1"/>
                <w:bCs w:val="1"/>
                <w:color w:val="auto"/>
              </w:rPr>
              <w:t>2023</w:t>
            </w:r>
          </w:p>
        </w:tc>
        <w:tc>
          <w:tcPr>
            <w:tcW w:w="980" w:type="dxa"/>
            <w:vAlign w:val="bottom"/>
            <w:tcBorders>
              <w:right w:val="single" w:sz="8" w:color="008055"/>
            </w:tcBorders>
            <w:vMerge w:val="restart"/>
            <w:shd w:val="clear" w:color="auto" w:fill="E3FAF2"/>
          </w:tcPr>
          <w:p>
            <w:pPr>
              <w:jc w:val="right"/>
              <w:ind w:right="5"/>
              <w:spacing w:after="0"/>
              <w:rPr>
                <w:sz w:val="20"/>
                <w:szCs w:val="20"/>
                <w:color w:val="auto"/>
              </w:rPr>
            </w:pPr>
            <w:r>
              <w:rPr>
                <w:rFonts w:ascii="Arial" w:cs="Arial" w:eastAsia="Arial" w:hAnsi="Arial"/>
                <w:sz w:val="11"/>
                <w:szCs w:val="11"/>
                <w:color w:val="auto"/>
              </w:rPr>
              <w:t>687,500</w:t>
            </w:r>
          </w:p>
        </w:tc>
        <w:tc>
          <w:tcPr>
            <w:tcW w:w="860" w:type="dxa"/>
            <w:vAlign w:val="bottom"/>
            <w:vMerge w:val="restart"/>
            <w:shd w:val="clear" w:color="auto" w:fill="E3FAF2"/>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right w:val="single" w:sz="8" w:color="008055"/>
            </w:tcBorders>
            <w:shd w:val="clear" w:color="auto" w:fill="E3FAF2"/>
          </w:tcPr>
          <w:p>
            <w:pPr>
              <w:spacing w:after="0"/>
              <w:rPr>
                <w:sz w:val="11"/>
                <w:szCs w:val="11"/>
                <w:color w:val="auto"/>
              </w:rPr>
            </w:pPr>
          </w:p>
        </w:tc>
        <w:tc>
          <w:tcPr>
            <w:tcW w:w="980" w:type="dxa"/>
            <w:vAlign w:val="bottom"/>
            <w:tcBorders>
              <w:right w:val="single" w:sz="8" w:color="008256"/>
            </w:tcBorders>
            <w:vMerge w:val="restart"/>
            <w:shd w:val="clear" w:color="auto" w:fill="E3FAF2"/>
          </w:tcPr>
          <w:p>
            <w:pPr>
              <w:jc w:val="right"/>
              <w:ind w:right="6"/>
              <w:spacing w:after="0"/>
              <w:rPr>
                <w:sz w:val="20"/>
                <w:szCs w:val="20"/>
                <w:color w:val="auto"/>
              </w:rPr>
            </w:pPr>
            <w:r>
              <w:rPr>
                <w:rFonts w:ascii="Arial" w:cs="Arial" w:eastAsia="Arial" w:hAnsi="Arial"/>
                <w:sz w:val="11"/>
                <w:szCs w:val="11"/>
                <w:color w:val="auto"/>
              </w:rPr>
              <w:t>5,843,870</w:t>
            </w:r>
          </w:p>
        </w:tc>
        <w:tc>
          <w:tcPr>
            <w:tcW w:w="1000" w:type="dxa"/>
            <w:vAlign w:val="bottom"/>
            <w:tcBorders>
              <w:right w:val="single" w:sz="8" w:color="008055"/>
            </w:tcBorders>
            <w:vMerge w:val="restart"/>
            <w:shd w:val="clear" w:color="auto" w:fill="E3FAF2"/>
          </w:tcPr>
          <w:p>
            <w:pPr>
              <w:jc w:val="right"/>
              <w:ind w:right="26"/>
              <w:spacing w:after="0"/>
              <w:rPr>
                <w:sz w:val="20"/>
                <w:szCs w:val="20"/>
                <w:color w:val="auto"/>
              </w:rPr>
            </w:pPr>
            <w:r>
              <w:rPr>
                <w:rFonts w:ascii="Arial" w:cs="Arial" w:eastAsia="Arial" w:hAnsi="Arial"/>
                <w:sz w:val="11"/>
                <w:szCs w:val="11"/>
                <w:color w:val="auto"/>
              </w:rPr>
              <w:t>—</w:t>
            </w:r>
          </w:p>
        </w:tc>
        <w:tc>
          <w:tcPr>
            <w:tcW w:w="1120" w:type="dxa"/>
            <w:vAlign w:val="bottom"/>
            <w:vMerge w:val="restart"/>
            <w:shd w:val="clear" w:color="auto" w:fill="E3FAF2"/>
          </w:tcPr>
          <w:p>
            <w:pPr>
              <w:jc w:val="right"/>
              <w:ind w:right="87"/>
              <w:spacing w:after="0"/>
              <w:rPr>
                <w:sz w:val="20"/>
                <w:szCs w:val="20"/>
                <w:color w:val="auto"/>
              </w:rPr>
            </w:pPr>
            <w:r>
              <w:rPr>
                <w:rFonts w:ascii="Arial" w:cs="Arial" w:eastAsia="Arial" w:hAnsi="Arial"/>
                <w:sz w:val="11"/>
                <w:szCs w:val="11"/>
                <w:color w:val="auto"/>
              </w:rPr>
              <w:t>—</w:t>
            </w:r>
          </w:p>
        </w:tc>
        <w:tc>
          <w:tcPr>
            <w:tcW w:w="200" w:type="dxa"/>
            <w:vAlign w:val="bottom"/>
            <w:tcBorders>
              <w:right w:val="single" w:sz="8" w:color="008256"/>
            </w:tcBorders>
            <w:shd w:val="clear" w:color="auto" w:fill="E3FAF2"/>
          </w:tcPr>
          <w:p>
            <w:pPr>
              <w:spacing w:after="0"/>
              <w:rPr>
                <w:sz w:val="11"/>
                <w:szCs w:val="11"/>
                <w:color w:val="auto"/>
              </w:rPr>
            </w:pPr>
          </w:p>
        </w:tc>
        <w:tc>
          <w:tcPr>
            <w:tcW w:w="1320" w:type="dxa"/>
            <w:vAlign w:val="bottom"/>
            <w:tcBorders>
              <w:right w:val="single" w:sz="8" w:color="008055"/>
            </w:tcBorders>
            <w:vMerge w:val="restart"/>
            <w:shd w:val="clear" w:color="auto" w:fill="E3FAF2"/>
          </w:tcPr>
          <w:p>
            <w:pPr>
              <w:jc w:val="right"/>
              <w:ind w:right="26"/>
              <w:spacing w:after="0"/>
              <w:rPr>
                <w:sz w:val="20"/>
                <w:szCs w:val="20"/>
                <w:color w:val="auto"/>
              </w:rPr>
            </w:pPr>
            <w:r>
              <w:rPr>
                <w:rFonts w:ascii="Arial" w:cs="Arial" w:eastAsia="Arial" w:hAnsi="Arial"/>
                <w:sz w:val="11"/>
                <w:szCs w:val="11"/>
                <w:color w:val="auto"/>
              </w:rPr>
              <w:t>15,300</w:t>
            </w:r>
          </w:p>
        </w:tc>
        <w:tc>
          <w:tcPr>
            <w:tcW w:w="960" w:type="dxa"/>
            <w:vAlign w:val="bottom"/>
            <w:vMerge w:val="restart"/>
            <w:shd w:val="clear" w:color="auto" w:fill="E3FAF2"/>
          </w:tcPr>
          <w:p>
            <w:pPr>
              <w:ind w:left="400"/>
              <w:spacing w:after="0"/>
              <w:rPr>
                <w:sz w:val="20"/>
                <w:szCs w:val="20"/>
                <w:color w:val="auto"/>
              </w:rPr>
            </w:pPr>
            <w:r>
              <w:rPr>
                <w:rFonts w:ascii="Arial" w:cs="Arial" w:eastAsia="Arial" w:hAnsi="Arial"/>
                <w:sz w:val="11"/>
                <w:szCs w:val="11"/>
                <w:color w:val="auto"/>
              </w:rPr>
              <w:t>6,546,670</w:t>
            </w:r>
          </w:p>
        </w:tc>
        <w:tc>
          <w:tcPr>
            <w:tcW w:w="0" w:type="dxa"/>
            <w:vAlign w:val="bottom"/>
          </w:tcPr>
          <w:p>
            <w:pPr>
              <w:spacing w:after="0"/>
              <w:rPr>
                <w:sz w:val="1"/>
                <w:szCs w:val="1"/>
                <w:color w:val="auto"/>
              </w:rPr>
            </w:pPr>
          </w:p>
        </w:tc>
      </w:tr>
      <w:tr>
        <w:trPr>
          <w:trHeight w:val="165"/>
        </w:trPr>
        <w:tc>
          <w:tcPr>
            <w:tcW w:w="2840" w:type="dxa"/>
            <w:vAlign w:val="bottom"/>
            <w:tcBorders>
              <w:right w:val="single" w:sz="8" w:color="008256"/>
            </w:tcBorders>
            <w:shd w:val="clear" w:color="auto" w:fill="E3FAF2"/>
          </w:tcPr>
          <w:p>
            <w:pPr>
              <w:ind w:left="80"/>
              <w:spacing w:after="0"/>
              <w:rPr>
                <w:sz w:val="20"/>
                <w:szCs w:val="20"/>
                <w:color w:val="auto"/>
              </w:rPr>
            </w:pPr>
            <w:r>
              <w:rPr>
                <w:rFonts w:ascii="Arial" w:cs="Arial" w:eastAsia="Arial" w:hAnsi="Arial"/>
                <w:sz w:val="11"/>
                <w:szCs w:val="11"/>
                <w:color w:val="auto"/>
              </w:rPr>
              <w:t>Chairman of the Board</w:t>
            </w:r>
          </w:p>
        </w:tc>
        <w:tc>
          <w:tcPr>
            <w:tcW w:w="700" w:type="dxa"/>
            <w:vAlign w:val="bottom"/>
            <w:tcBorders>
              <w:right w:val="single" w:sz="8" w:color="008256"/>
            </w:tcBorders>
            <w:vMerge w:val="continue"/>
            <w:shd w:val="clear" w:color="auto" w:fill="E3FAF2"/>
          </w:tcPr>
          <w:p>
            <w:pPr>
              <w:spacing w:after="0"/>
              <w:rPr>
                <w:sz w:val="14"/>
                <w:szCs w:val="14"/>
                <w:color w:val="auto"/>
              </w:rPr>
            </w:pPr>
          </w:p>
        </w:tc>
        <w:tc>
          <w:tcPr>
            <w:tcW w:w="980" w:type="dxa"/>
            <w:vAlign w:val="bottom"/>
            <w:tcBorders>
              <w:right w:val="single" w:sz="8" w:color="008055"/>
            </w:tcBorders>
            <w:vMerge w:val="continue"/>
            <w:shd w:val="clear" w:color="auto" w:fill="E3FAF2"/>
          </w:tcPr>
          <w:p>
            <w:pPr>
              <w:spacing w:after="0"/>
              <w:rPr>
                <w:sz w:val="14"/>
                <w:szCs w:val="14"/>
                <w:color w:val="auto"/>
              </w:rPr>
            </w:pPr>
          </w:p>
        </w:tc>
        <w:tc>
          <w:tcPr>
            <w:tcW w:w="860" w:type="dxa"/>
            <w:vAlign w:val="bottom"/>
            <w:vMerge w:val="continue"/>
            <w:shd w:val="clear" w:color="auto" w:fill="E3FAF2"/>
          </w:tcPr>
          <w:p>
            <w:pPr>
              <w:spacing w:after="0"/>
              <w:rPr>
                <w:sz w:val="14"/>
                <w:szCs w:val="14"/>
                <w:color w:val="auto"/>
              </w:rPr>
            </w:pPr>
          </w:p>
        </w:tc>
        <w:tc>
          <w:tcPr>
            <w:tcW w:w="320" w:type="dxa"/>
            <w:vAlign w:val="bottom"/>
            <w:tcBorders>
              <w:right w:val="single" w:sz="8" w:color="008055"/>
            </w:tcBorders>
            <w:shd w:val="clear" w:color="auto" w:fill="E3FAF2"/>
          </w:tcPr>
          <w:p>
            <w:pPr>
              <w:spacing w:after="0"/>
              <w:rPr>
                <w:sz w:val="14"/>
                <w:szCs w:val="14"/>
                <w:color w:val="auto"/>
              </w:rPr>
            </w:pPr>
          </w:p>
        </w:tc>
        <w:tc>
          <w:tcPr>
            <w:tcW w:w="980" w:type="dxa"/>
            <w:vAlign w:val="bottom"/>
            <w:tcBorders>
              <w:right w:val="single" w:sz="8" w:color="008256"/>
            </w:tcBorders>
            <w:vMerge w:val="continue"/>
            <w:shd w:val="clear" w:color="auto" w:fill="E3FAF2"/>
          </w:tcPr>
          <w:p>
            <w:pPr>
              <w:spacing w:after="0"/>
              <w:rPr>
                <w:sz w:val="14"/>
                <w:szCs w:val="14"/>
                <w:color w:val="auto"/>
              </w:rPr>
            </w:pPr>
          </w:p>
        </w:tc>
        <w:tc>
          <w:tcPr>
            <w:tcW w:w="1000" w:type="dxa"/>
            <w:vAlign w:val="bottom"/>
            <w:tcBorders>
              <w:right w:val="single" w:sz="8" w:color="008055"/>
            </w:tcBorders>
            <w:vMerge w:val="continue"/>
            <w:shd w:val="clear" w:color="auto" w:fill="E3FAF2"/>
          </w:tcPr>
          <w:p>
            <w:pPr>
              <w:spacing w:after="0"/>
              <w:rPr>
                <w:sz w:val="14"/>
                <w:szCs w:val="14"/>
                <w:color w:val="auto"/>
              </w:rPr>
            </w:pPr>
          </w:p>
        </w:tc>
        <w:tc>
          <w:tcPr>
            <w:tcW w:w="1120" w:type="dxa"/>
            <w:vAlign w:val="bottom"/>
            <w:vMerge w:val="continue"/>
            <w:shd w:val="clear" w:color="auto" w:fill="E3FAF2"/>
          </w:tcPr>
          <w:p>
            <w:pPr>
              <w:spacing w:after="0"/>
              <w:rPr>
                <w:sz w:val="14"/>
                <w:szCs w:val="14"/>
                <w:color w:val="auto"/>
              </w:rPr>
            </w:pPr>
          </w:p>
        </w:tc>
        <w:tc>
          <w:tcPr>
            <w:tcW w:w="200" w:type="dxa"/>
            <w:vAlign w:val="bottom"/>
            <w:tcBorders>
              <w:right w:val="single" w:sz="8" w:color="008256"/>
            </w:tcBorders>
            <w:shd w:val="clear" w:color="auto" w:fill="E3FAF2"/>
          </w:tcPr>
          <w:p>
            <w:pPr>
              <w:spacing w:after="0"/>
              <w:rPr>
                <w:sz w:val="14"/>
                <w:szCs w:val="14"/>
                <w:color w:val="auto"/>
              </w:rPr>
            </w:pPr>
          </w:p>
        </w:tc>
        <w:tc>
          <w:tcPr>
            <w:tcW w:w="1320" w:type="dxa"/>
            <w:vAlign w:val="bottom"/>
            <w:tcBorders>
              <w:right w:val="single" w:sz="8" w:color="008055"/>
            </w:tcBorders>
            <w:vMerge w:val="continue"/>
            <w:shd w:val="clear" w:color="auto" w:fill="E3FAF2"/>
          </w:tcPr>
          <w:p>
            <w:pPr>
              <w:spacing w:after="0"/>
              <w:rPr>
                <w:sz w:val="14"/>
                <w:szCs w:val="14"/>
                <w:color w:val="auto"/>
              </w:rPr>
            </w:pPr>
          </w:p>
        </w:tc>
        <w:tc>
          <w:tcPr>
            <w:tcW w:w="960" w:type="dxa"/>
            <w:vAlign w:val="bottom"/>
            <w:vMerge w:val="continue"/>
            <w:shd w:val="clear" w:color="auto" w:fill="E3FAF2"/>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840" w:type="dxa"/>
            <w:vAlign w:val="bottom"/>
            <w:tcBorders>
              <w:right w:val="single" w:sz="8" w:color="008256"/>
            </w:tcBorders>
          </w:tcPr>
          <w:p>
            <w:pPr>
              <w:ind w:left="80"/>
              <w:spacing w:after="0"/>
              <w:rPr>
                <w:sz w:val="20"/>
                <w:szCs w:val="20"/>
                <w:color w:val="auto"/>
              </w:rPr>
            </w:pPr>
            <w:r>
              <w:rPr>
                <w:rFonts w:ascii="Arial" w:cs="Arial" w:eastAsia="Arial" w:hAnsi="Arial"/>
                <w:sz w:val="11"/>
                <w:szCs w:val="11"/>
                <w:b w:val="1"/>
                <w:bCs w:val="1"/>
                <w:color w:val="auto"/>
              </w:rPr>
              <w:t>Lauren StClair</w:t>
            </w:r>
            <w:r>
              <w:rPr>
                <w:rFonts w:ascii="Arial" w:cs="Arial" w:eastAsia="Arial" w:hAnsi="Arial"/>
                <w:sz w:val="14"/>
                <w:szCs w:val="14"/>
                <w:b w:val="1"/>
                <w:bCs w:val="1"/>
                <w:color w:val="auto"/>
                <w:vertAlign w:val="superscript"/>
              </w:rPr>
              <w:t>(5)</w:t>
            </w:r>
          </w:p>
        </w:tc>
        <w:tc>
          <w:tcPr>
            <w:tcW w:w="700" w:type="dxa"/>
            <w:vAlign w:val="bottom"/>
            <w:tcBorders>
              <w:right w:val="single" w:sz="8" w:color="008256"/>
            </w:tcBorders>
          </w:tcPr>
          <w:p>
            <w:pPr>
              <w:ind w:left="200"/>
              <w:spacing w:after="0"/>
              <w:rPr>
                <w:sz w:val="20"/>
                <w:szCs w:val="20"/>
                <w:color w:val="auto"/>
              </w:rPr>
            </w:pPr>
            <w:r>
              <w:rPr>
                <w:rFonts w:ascii="Arial" w:cs="Arial" w:eastAsia="Arial" w:hAnsi="Arial"/>
                <w:sz w:val="11"/>
                <w:szCs w:val="11"/>
                <w:b w:val="1"/>
                <w:bCs w:val="1"/>
                <w:color w:val="auto"/>
              </w:rPr>
              <w:t>2024</w:t>
            </w:r>
          </w:p>
        </w:tc>
        <w:tc>
          <w:tcPr>
            <w:tcW w:w="980" w:type="dxa"/>
            <w:vAlign w:val="bottom"/>
            <w:tcBorders>
              <w:right w:val="single" w:sz="8" w:color="008055"/>
            </w:tcBorders>
          </w:tcPr>
          <w:p>
            <w:pPr>
              <w:jc w:val="right"/>
              <w:ind w:right="5"/>
              <w:spacing w:after="0"/>
              <w:rPr>
                <w:sz w:val="20"/>
                <w:szCs w:val="20"/>
                <w:color w:val="auto"/>
              </w:rPr>
            </w:pPr>
            <w:r>
              <w:rPr>
                <w:rFonts w:ascii="Arial" w:cs="Arial" w:eastAsia="Arial" w:hAnsi="Arial"/>
                <w:sz w:val="11"/>
                <w:szCs w:val="11"/>
                <w:color w:val="auto"/>
              </w:rPr>
              <w:t>770,000</w:t>
            </w:r>
          </w:p>
        </w:tc>
        <w:tc>
          <w:tcPr>
            <w:tcW w:w="86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tcBorders>
              <w:right w:val="single" w:sz="8" w:color="008055"/>
            </w:tcBorders>
          </w:tcPr>
          <w:p>
            <w:pPr>
              <w:spacing w:after="0"/>
              <w:rPr>
                <w:sz w:val="17"/>
                <w:szCs w:val="17"/>
                <w:color w:val="auto"/>
              </w:rPr>
            </w:pPr>
          </w:p>
        </w:tc>
        <w:tc>
          <w:tcPr>
            <w:tcW w:w="980" w:type="dxa"/>
            <w:vAlign w:val="bottom"/>
            <w:tcBorders>
              <w:right w:val="single" w:sz="8" w:color="008256"/>
            </w:tcBorders>
          </w:tcPr>
          <w:p>
            <w:pPr>
              <w:jc w:val="right"/>
              <w:ind w:right="6"/>
              <w:spacing w:after="0"/>
              <w:rPr>
                <w:sz w:val="20"/>
                <w:szCs w:val="20"/>
                <w:color w:val="auto"/>
              </w:rPr>
            </w:pPr>
            <w:r>
              <w:rPr>
                <w:rFonts w:ascii="Arial" w:cs="Arial" w:eastAsia="Arial" w:hAnsi="Arial"/>
                <w:sz w:val="11"/>
                <w:szCs w:val="11"/>
                <w:color w:val="auto"/>
              </w:rPr>
              <w:t>1,551,938</w:t>
            </w:r>
          </w:p>
        </w:tc>
        <w:tc>
          <w:tcPr>
            <w:tcW w:w="1000" w:type="dxa"/>
            <w:vAlign w:val="bottom"/>
            <w:tcBorders>
              <w:right w:val="single" w:sz="8" w:color="008055"/>
            </w:tcBorders>
          </w:tcPr>
          <w:p>
            <w:pPr>
              <w:jc w:val="right"/>
              <w:ind w:right="26"/>
              <w:spacing w:after="0"/>
              <w:rPr>
                <w:sz w:val="20"/>
                <w:szCs w:val="20"/>
                <w:color w:val="auto"/>
              </w:rPr>
            </w:pPr>
            <w:r>
              <w:rPr>
                <w:rFonts w:ascii="Arial" w:cs="Arial" w:eastAsia="Arial" w:hAnsi="Arial"/>
                <w:sz w:val="11"/>
                <w:szCs w:val="11"/>
                <w:color w:val="auto"/>
              </w:rPr>
              <w:t>822,631</w:t>
            </w:r>
          </w:p>
        </w:tc>
        <w:tc>
          <w:tcPr>
            <w:tcW w:w="1120" w:type="dxa"/>
            <w:vAlign w:val="bottom"/>
          </w:tcPr>
          <w:p>
            <w:pPr>
              <w:jc w:val="right"/>
              <w:ind w:right="87"/>
              <w:spacing w:after="0"/>
              <w:rPr>
                <w:sz w:val="20"/>
                <w:szCs w:val="20"/>
                <w:color w:val="auto"/>
              </w:rPr>
            </w:pPr>
            <w:r>
              <w:rPr>
                <w:rFonts w:ascii="Arial" w:cs="Arial" w:eastAsia="Arial" w:hAnsi="Arial"/>
                <w:sz w:val="11"/>
                <w:szCs w:val="11"/>
                <w:color w:val="auto"/>
              </w:rPr>
              <w:t>—</w:t>
            </w:r>
          </w:p>
        </w:tc>
        <w:tc>
          <w:tcPr>
            <w:tcW w:w="200" w:type="dxa"/>
            <w:vAlign w:val="bottom"/>
            <w:tcBorders>
              <w:right w:val="single" w:sz="8" w:color="008256"/>
            </w:tcBorders>
          </w:tcPr>
          <w:p>
            <w:pPr>
              <w:spacing w:after="0"/>
              <w:rPr>
                <w:sz w:val="17"/>
                <w:szCs w:val="17"/>
                <w:color w:val="auto"/>
              </w:rPr>
            </w:pPr>
          </w:p>
        </w:tc>
        <w:tc>
          <w:tcPr>
            <w:tcW w:w="1320" w:type="dxa"/>
            <w:vAlign w:val="bottom"/>
            <w:tcBorders>
              <w:right w:val="single" w:sz="8" w:color="008055"/>
            </w:tcBorders>
          </w:tcPr>
          <w:p>
            <w:pPr>
              <w:jc w:val="right"/>
              <w:ind w:right="26"/>
              <w:spacing w:after="0"/>
              <w:rPr>
                <w:sz w:val="20"/>
                <w:szCs w:val="20"/>
                <w:color w:val="auto"/>
              </w:rPr>
            </w:pPr>
            <w:r>
              <w:rPr>
                <w:rFonts w:ascii="Arial" w:cs="Arial" w:eastAsia="Arial" w:hAnsi="Arial"/>
                <w:sz w:val="11"/>
                <w:szCs w:val="11"/>
                <w:color w:val="auto"/>
              </w:rPr>
              <w:t>16,037</w:t>
            </w:r>
          </w:p>
        </w:tc>
        <w:tc>
          <w:tcPr>
            <w:tcW w:w="960" w:type="dxa"/>
            <w:vAlign w:val="bottom"/>
          </w:tcPr>
          <w:p>
            <w:pPr>
              <w:ind w:left="400"/>
              <w:spacing w:after="0"/>
              <w:rPr>
                <w:sz w:val="20"/>
                <w:szCs w:val="20"/>
                <w:color w:val="auto"/>
              </w:rPr>
            </w:pPr>
            <w:r>
              <w:rPr>
                <w:rFonts w:ascii="Arial" w:cs="Arial" w:eastAsia="Arial" w:hAnsi="Arial"/>
                <w:sz w:val="11"/>
                <w:szCs w:val="11"/>
                <w:color w:val="auto"/>
              </w:rPr>
              <w:t>3,160,606</w:t>
            </w:r>
          </w:p>
        </w:tc>
        <w:tc>
          <w:tcPr>
            <w:tcW w:w="0" w:type="dxa"/>
            <w:vAlign w:val="bottom"/>
          </w:tcPr>
          <w:p>
            <w:pPr>
              <w:spacing w:after="0"/>
              <w:rPr>
                <w:sz w:val="1"/>
                <w:szCs w:val="1"/>
                <w:color w:val="auto"/>
              </w:rPr>
            </w:pPr>
          </w:p>
        </w:tc>
      </w:tr>
      <w:tr>
        <w:trPr>
          <w:trHeight w:val="186"/>
        </w:trPr>
        <w:tc>
          <w:tcPr>
            <w:tcW w:w="2840" w:type="dxa"/>
            <w:vAlign w:val="bottom"/>
            <w:tcBorders>
              <w:right w:val="single" w:sz="8" w:color="008256"/>
            </w:tcBorders>
          </w:tcPr>
          <w:p>
            <w:pPr>
              <w:ind w:left="80"/>
              <w:spacing w:after="0"/>
              <w:rPr>
                <w:sz w:val="20"/>
                <w:szCs w:val="20"/>
                <w:color w:val="auto"/>
              </w:rPr>
            </w:pPr>
            <w:r>
              <w:rPr>
                <w:rFonts w:ascii="Arial" w:cs="Arial" w:eastAsia="Arial" w:hAnsi="Arial"/>
                <w:sz w:val="11"/>
                <w:szCs w:val="11"/>
                <w:color w:val="auto"/>
              </w:rPr>
              <w:t>Chief Financial Officer</w:t>
            </w:r>
          </w:p>
        </w:tc>
        <w:tc>
          <w:tcPr>
            <w:tcW w:w="700" w:type="dxa"/>
            <w:vAlign w:val="bottom"/>
            <w:tcBorders>
              <w:right w:val="single" w:sz="8" w:color="008256"/>
            </w:tcBorders>
          </w:tcPr>
          <w:p>
            <w:pPr>
              <w:ind w:left="200"/>
              <w:spacing w:after="0"/>
              <w:rPr>
                <w:sz w:val="20"/>
                <w:szCs w:val="20"/>
                <w:color w:val="auto"/>
              </w:rPr>
            </w:pPr>
            <w:r>
              <w:rPr>
                <w:rFonts w:ascii="Arial" w:cs="Arial" w:eastAsia="Arial" w:hAnsi="Arial"/>
                <w:sz w:val="11"/>
                <w:szCs w:val="11"/>
                <w:b w:val="1"/>
                <w:bCs w:val="1"/>
                <w:color w:val="auto"/>
              </w:rPr>
              <w:t>2023</w:t>
            </w:r>
          </w:p>
        </w:tc>
        <w:tc>
          <w:tcPr>
            <w:tcW w:w="980" w:type="dxa"/>
            <w:vAlign w:val="bottom"/>
            <w:tcBorders>
              <w:right w:val="single" w:sz="8" w:color="008055"/>
            </w:tcBorders>
          </w:tcPr>
          <w:p>
            <w:pPr>
              <w:jc w:val="right"/>
              <w:ind w:right="5"/>
              <w:spacing w:after="0"/>
              <w:rPr>
                <w:sz w:val="20"/>
                <w:szCs w:val="20"/>
                <w:color w:val="auto"/>
              </w:rPr>
            </w:pPr>
            <w:r>
              <w:rPr>
                <w:rFonts w:ascii="Arial" w:cs="Arial" w:eastAsia="Arial" w:hAnsi="Arial"/>
                <w:sz w:val="11"/>
                <w:szCs w:val="11"/>
                <w:color w:val="auto"/>
              </w:rPr>
              <w:t>771,250</w:t>
            </w:r>
          </w:p>
        </w:tc>
        <w:tc>
          <w:tcPr>
            <w:tcW w:w="860" w:type="dxa"/>
            <w:vAlign w:val="bottom"/>
          </w:tcPr>
          <w:p>
            <w:pPr>
              <w:jc w:val="right"/>
              <w:spacing w:after="0"/>
              <w:rPr>
                <w:sz w:val="20"/>
                <w:szCs w:val="20"/>
                <w:color w:val="auto"/>
              </w:rPr>
            </w:pPr>
            <w:r>
              <w:rPr>
                <w:rFonts w:ascii="Arial" w:cs="Arial" w:eastAsia="Arial" w:hAnsi="Arial"/>
                <w:sz w:val="11"/>
                <w:szCs w:val="11"/>
                <w:color w:val="auto"/>
              </w:rPr>
              <w:t>163,000</w:t>
            </w:r>
          </w:p>
        </w:tc>
        <w:tc>
          <w:tcPr>
            <w:tcW w:w="320" w:type="dxa"/>
            <w:vAlign w:val="bottom"/>
            <w:tcBorders>
              <w:right w:val="single" w:sz="8" w:color="008055"/>
            </w:tcBorders>
          </w:tcPr>
          <w:p>
            <w:pPr>
              <w:spacing w:after="0"/>
              <w:rPr>
                <w:sz w:val="16"/>
                <w:szCs w:val="16"/>
                <w:color w:val="auto"/>
              </w:rPr>
            </w:pPr>
          </w:p>
        </w:tc>
        <w:tc>
          <w:tcPr>
            <w:tcW w:w="980" w:type="dxa"/>
            <w:vAlign w:val="bottom"/>
            <w:tcBorders>
              <w:right w:val="single" w:sz="8" w:color="008256"/>
            </w:tcBorders>
          </w:tcPr>
          <w:p>
            <w:pPr>
              <w:jc w:val="right"/>
              <w:ind w:right="6"/>
              <w:spacing w:after="0"/>
              <w:rPr>
                <w:sz w:val="20"/>
                <w:szCs w:val="20"/>
                <w:color w:val="auto"/>
              </w:rPr>
            </w:pPr>
            <w:r>
              <w:rPr>
                <w:rFonts w:ascii="Arial" w:cs="Arial" w:eastAsia="Arial" w:hAnsi="Arial"/>
                <w:sz w:val="11"/>
                <w:szCs w:val="11"/>
                <w:color w:val="auto"/>
              </w:rPr>
              <w:t>1,976,902</w:t>
            </w:r>
          </w:p>
        </w:tc>
        <w:tc>
          <w:tcPr>
            <w:tcW w:w="1000" w:type="dxa"/>
            <w:vAlign w:val="bottom"/>
            <w:tcBorders>
              <w:right w:val="single" w:sz="8" w:color="008055"/>
            </w:tcBorders>
          </w:tcPr>
          <w:p>
            <w:pPr>
              <w:jc w:val="right"/>
              <w:ind w:right="26"/>
              <w:spacing w:after="0"/>
              <w:rPr>
                <w:sz w:val="20"/>
                <w:szCs w:val="20"/>
                <w:color w:val="auto"/>
              </w:rPr>
            </w:pPr>
            <w:r>
              <w:rPr>
                <w:rFonts w:ascii="Arial" w:cs="Arial" w:eastAsia="Arial" w:hAnsi="Arial"/>
                <w:sz w:val="11"/>
                <w:szCs w:val="11"/>
                <w:color w:val="auto"/>
              </w:rPr>
              <w:t>—</w:t>
            </w:r>
          </w:p>
        </w:tc>
        <w:tc>
          <w:tcPr>
            <w:tcW w:w="1120" w:type="dxa"/>
            <w:vAlign w:val="bottom"/>
          </w:tcPr>
          <w:p>
            <w:pPr>
              <w:jc w:val="right"/>
              <w:ind w:right="87"/>
              <w:spacing w:after="0"/>
              <w:rPr>
                <w:sz w:val="20"/>
                <w:szCs w:val="20"/>
                <w:color w:val="auto"/>
              </w:rPr>
            </w:pPr>
            <w:r>
              <w:rPr>
                <w:rFonts w:ascii="Arial" w:cs="Arial" w:eastAsia="Arial" w:hAnsi="Arial"/>
                <w:sz w:val="11"/>
                <w:szCs w:val="11"/>
                <w:color w:val="auto"/>
              </w:rPr>
              <w:t>—</w:t>
            </w:r>
          </w:p>
        </w:tc>
        <w:tc>
          <w:tcPr>
            <w:tcW w:w="200" w:type="dxa"/>
            <w:vAlign w:val="bottom"/>
            <w:tcBorders>
              <w:right w:val="single" w:sz="8" w:color="008256"/>
            </w:tcBorders>
          </w:tcPr>
          <w:p>
            <w:pPr>
              <w:spacing w:after="0"/>
              <w:rPr>
                <w:sz w:val="16"/>
                <w:szCs w:val="16"/>
                <w:color w:val="auto"/>
              </w:rPr>
            </w:pPr>
          </w:p>
        </w:tc>
        <w:tc>
          <w:tcPr>
            <w:tcW w:w="1320" w:type="dxa"/>
            <w:vAlign w:val="bottom"/>
            <w:tcBorders>
              <w:right w:val="single" w:sz="8" w:color="008055"/>
            </w:tcBorders>
          </w:tcPr>
          <w:p>
            <w:pPr>
              <w:jc w:val="right"/>
              <w:ind w:right="26"/>
              <w:spacing w:after="0"/>
              <w:rPr>
                <w:sz w:val="20"/>
                <w:szCs w:val="20"/>
                <w:color w:val="auto"/>
              </w:rPr>
            </w:pPr>
            <w:r>
              <w:rPr>
                <w:rFonts w:ascii="Arial" w:cs="Arial" w:eastAsia="Arial" w:hAnsi="Arial"/>
                <w:sz w:val="11"/>
                <w:szCs w:val="11"/>
                <w:color w:val="auto"/>
              </w:rPr>
              <w:t>15,300</w:t>
            </w:r>
          </w:p>
        </w:tc>
        <w:tc>
          <w:tcPr>
            <w:tcW w:w="960" w:type="dxa"/>
            <w:vAlign w:val="bottom"/>
          </w:tcPr>
          <w:p>
            <w:pPr>
              <w:ind w:left="400"/>
              <w:spacing w:after="0"/>
              <w:rPr>
                <w:sz w:val="20"/>
                <w:szCs w:val="20"/>
                <w:color w:val="auto"/>
              </w:rPr>
            </w:pPr>
            <w:r>
              <w:rPr>
                <w:rFonts w:ascii="Arial" w:cs="Arial" w:eastAsia="Arial" w:hAnsi="Arial"/>
                <w:sz w:val="11"/>
                <w:szCs w:val="11"/>
                <w:color w:val="auto"/>
              </w:rPr>
              <w:t>2,926,452</w:t>
            </w:r>
          </w:p>
        </w:tc>
        <w:tc>
          <w:tcPr>
            <w:tcW w:w="0" w:type="dxa"/>
            <w:vAlign w:val="bottom"/>
          </w:tcPr>
          <w:p>
            <w:pPr>
              <w:spacing w:after="0"/>
              <w:rPr>
                <w:sz w:val="1"/>
                <w:szCs w:val="1"/>
                <w:color w:val="auto"/>
              </w:rPr>
            </w:pPr>
          </w:p>
        </w:tc>
      </w:tr>
      <w:tr>
        <w:trPr>
          <w:trHeight w:val="32"/>
        </w:trPr>
        <w:tc>
          <w:tcPr>
            <w:tcW w:w="2840" w:type="dxa"/>
            <w:vAlign w:val="bottom"/>
            <w:tcBorders>
              <w:right w:val="single" w:sz="8" w:color="008256"/>
            </w:tcBorders>
          </w:tcPr>
          <w:p>
            <w:pPr>
              <w:spacing w:after="0"/>
              <w:rPr>
                <w:sz w:val="2"/>
                <w:szCs w:val="2"/>
                <w:color w:val="auto"/>
              </w:rPr>
            </w:pPr>
          </w:p>
        </w:tc>
        <w:tc>
          <w:tcPr>
            <w:tcW w:w="700" w:type="dxa"/>
            <w:vAlign w:val="bottom"/>
            <w:tcBorders>
              <w:right w:val="single" w:sz="8" w:color="008256"/>
            </w:tcBorders>
          </w:tcPr>
          <w:p>
            <w:pPr>
              <w:spacing w:after="0"/>
              <w:rPr>
                <w:sz w:val="2"/>
                <w:szCs w:val="2"/>
                <w:color w:val="auto"/>
              </w:rPr>
            </w:pPr>
          </w:p>
        </w:tc>
        <w:tc>
          <w:tcPr>
            <w:tcW w:w="980" w:type="dxa"/>
            <w:vAlign w:val="bottom"/>
            <w:tcBorders>
              <w:right w:val="single" w:sz="8" w:color="008055"/>
            </w:tcBorders>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Borders>
              <w:right w:val="single" w:sz="8" w:color="008055"/>
            </w:tcBorders>
          </w:tcPr>
          <w:p>
            <w:pPr>
              <w:spacing w:after="0"/>
              <w:rPr>
                <w:sz w:val="2"/>
                <w:szCs w:val="2"/>
                <w:color w:val="auto"/>
              </w:rPr>
            </w:pPr>
          </w:p>
        </w:tc>
        <w:tc>
          <w:tcPr>
            <w:tcW w:w="980" w:type="dxa"/>
            <w:vAlign w:val="bottom"/>
            <w:tcBorders>
              <w:right w:val="single" w:sz="8" w:color="008256"/>
            </w:tcBorders>
          </w:tcPr>
          <w:p>
            <w:pPr>
              <w:spacing w:after="0"/>
              <w:rPr>
                <w:sz w:val="2"/>
                <w:szCs w:val="2"/>
                <w:color w:val="auto"/>
              </w:rPr>
            </w:pPr>
          </w:p>
        </w:tc>
        <w:tc>
          <w:tcPr>
            <w:tcW w:w="1000" w:type="dxa"/>
            <w:vAlign w:val="bottom"/>
            <w:tcBorders>
              <w:right w:val="single" w:sz="8" w:color="008055"/>
            </w:tcBorders>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Borders>
              <w:right w:val="single" w:sz="8" w:color="008256"/>
            </w:tcBorders>
          </w:tcPr>
          <w:p>
            <w:pPr>
              <w:spacing w:after="0"/>
              <w:rPr>
                <w:sz w:val="2"/>
                <w:szCs w:val="2"/>
                <w:color w:val="auto"/>
              </w:rPr>
            </w:pPr>
          </w:p>
        </w:tc>
        <w:tc>
          <w:tcPr>
            <w:tcW w:w="1320" w:type="dxa"/>
            <w:vAlign w:val="bottom"/>
            <w:tcBorders>
              <w:right w:val="single" w:sz="8" w:color="008055"/>
            </w:tcBorders>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840" w:type="dxa"/>
            <w:vAlign w:val="bottom"/>
            <w:tcBorders>
              <w:right w:val="single" w:sz="8" w:color="008256"/>
            </w:tcBorders>
            <w:shd w:val="clear" w:color="auto" w:fill="E3FAF2"/>
          </w:tcPr>
          <w:p>
            <w:pPr>
              <w:ind w:left="100"/>
              <w:spacing w:after="0"/>
              <w:rPr>
                <w:sz w:val="20"/>
                <w:szCs w:val="20"/>
                <w:color w:val="auto"/>
              </w:rPr>
            </w:pPr>
            <w:r>
              <w:rPr>
                <w:rFonts w:ascii="Arial" w:cs="Arial" w:eastAsia="Arial" w:hAnsi="Arial"/>
                <w:sz w:val="11"/>
                <w:szCs w:val="11"/>
                <w:b w:val="1"/>
                <w:bCs w:val="1"/>
                <w:color w:val="auto"/>
              </w:rPr>
              <w:t>Sam Yount</w:t>
            </w:r>
          </w:p>
        </w:tc>
        <w:tc>
          <w:tcPr>
            <w:tcW w:w="700" w:type="dxa"/>
            <w:vAlign w:val="bottom"/>
            <w:tcBorders>
              <w:right w:val="single" w:sz="8" w:color="008256"/>
            </w:tcBorders>
            <w:shd w:val="clear" w:color="auto" w:fill="E3FAF2"/>
          </w:tcPr>
          <w:p>
            <w:pPr>
              <w:ind w:left="200"/>
              <w:spacing w:after="0"/>
              <w:rPr>
                <w:sz w:val="20"/>
                <w:szCs w:val="20"/>
                <w:color w:val="auto"/>
              </w:rPr>
            </w:pPr>
            <w:r>
              <w:rPr>
                <w:rFonts w:ascii="Arial" w:cs="Arial" w:eastAsia="Arial" w:hAnsi="Arial"/>
                <w:sz w:val="11"/>
                <w:szCs w:val="11"/>
                <w:b w:val="1"/>
                <w:bCs w:val="1"/>
                <w:color w:val="auto"/>
              </w:rPr>
              <w:t>2024</w:t>
            </w:r>
          </w:p>
        </w:tc>
        <w:tc>
          <w:tcPr>
            <w:tcW w:w="980" w:type="dxa"/>
            <w:vAlign w:val="bottom"/>
            <w:tcBorders>
              <w:right w:val="single" w:sz="8" w:color="008055"/>
            </w:tcBorders>
            <w:shd w:val="clear" w:color="auto" w:fill="E3FAF2"/>
          </w:tcPr>
          <w:p>
            <w:pPr>
              <w:jc w:val="right"/>
              <w:ind w:right="5"/>
              <w:spacing w:after="0"/>
              <w:rPr>
                <w:sz w:val="20"/>
                <w:szCs w:val="20"/>
                <w:color w:val="auto"/>
              </w:rPr>
            </w:pPr>
            <w:r>
              <w:rPr>
                <w:rFonts w:ascii="Arial" w:cs="Arial" w:eastAsia="Arial" w:hAnsi="Arial"/>
                <w:sz w:val="11"/>
                <w:szCs w:val="11"/>
                <w:color w:val="auto"/>
              </w:rPr>
              <w:t>368,250</w:t>
            </w:r>
          </w:p>
        </w:tc>
        <w:tc>
          <w:tcPr>
            <w:tcW w:w="860" w:type="dxa"/>
            <w:vAlign w:val="bottom"/>
            <w:shd w:val="clear" w:color="auto" w:fill="E3FAF2"/>
          </w:tcPr>
          <w:p>
            <w:pPr>
              <w:jc w:val="right"/>
              <w:spacing w:after="0"/>
              <w:rPr>
                <w:sz w:val="20"/>
                <w:szCs w:val="20"/>
                <w:color w:val="auto"/>
              </w:rPr>
            </w:pPr>
            <w:r>
              <w:rPr>
                <w:rFonts w:ascii="Arial" w:cs="Arial" w:eastAsia="Arial" w:hAnsi="Arial"/>
                <w:sz w:val="11"/>
                <w:szCs w:val="11"/>
                <w:color w:val="auto"/>
              </w:rPr>
              <w:t>1,751,667</w:t>
            </w:r>
          </w:p>
        </w:tc>
        <w:tc>
          <w:tcPr>
            <w:tcW w:w="320" w:type="dxa"/>
            <w:vAlign w:val="bottom"/>
            <w:tcBorders>
              <w:right w:val="single" w:sz="8" w:color="008055"/>
            </w:tcBorders>
            <w:shd w:val="clear" w:color="auto" w:fill="E3FAF2"/>
          </w:tcPr>
          <w:p>
            <w:pPr>
              <w:jc w:val="right"/>
              <w:ind w:right="168"/>
              <w:spacing w:after="0"/>
              <w:rPr>
                <w:sz w:val="20"/>
                <w:szCs w:val="20"/>
                <w:color w:val="auto"/>
              </w:rPr>
            </w:pPr>
            <w:r>
              <w:rPr>
                <w:rFonts w:ascii="Arial" w:cs="Arial" w:eastAsia="Arial" w:hAnsi="Arial"/>
                <w:sz w:val="6"/>
                <w:szCs w:val="6"/>
                <w:color w:val="auto"/>
              </w:rPr>
              <w:t>(4)</w:t>
            </w:r>
          </w:p>
        </w:tc>
        <w:tc>
          <w:tcPr>
            <w:tcW w:w="980" w:type="dxa"/>
            <w:vAlign w:val="bottom"/>
            <w:tcBorders>
              <w:right w:val="single" w:sz="8" w:color="008256"/>
            </w:tcBorders>
            <w:shd w:val="clear" w:color="auto" w:fill="E3FAF2"/>
          </w:tcPr>
          <w:p>
            <w:pPr>
              <w:jc w:val="right"/>
              <w:ind w:right="6"/>
              <w:spacing w:after="0"/>
              <w:rPr>
                <w:sz w:val="20"/>
                <w:szCs w:val="20"/>
                <w:color w:val="auto"/>
              </w:rPr>
            </w:pPr>
            <w:r>
              <w:rPr>
                <w:rFonts w:ascii="Arial" w:cs="Arial" w:eastAsia="Arial" w:hAnsi="Arial"/>
                <w:sz w:val="11"/>
                <w:szCs w:val="11"/>
                <w:color w:val="auto"/>
              </w:rPr>
              <w:t>—</w:t>
            </w:r>
          </w:p>
        </w:tc>
        <w:tc>
          <w:tcPr>
            <w:tcW w:w="1000" w:type="dxa"/>
            <w:vAlign w:val="bottom"/>
            <w:tcBorders>
              <w:right w:val="single" w:sz="8" w:color="008055"/>
            </w:tcBorders>
            <w:shd w:val="clear" w:color="auto" w:fill="E3FAF2"/>
          </w:tcPr>
          <w:p>
            <w:pPr>
              <w:jc w:val="right"/>
              <w:ind w:right="26"/>
              <w:spacing w:after="0"/>
              <w:rPr>
                <w:sz w:val="20"/>
                <w:szCs w:val="20"/>
                <w:color w:val="auto"/>
              </w:rPr>
            </w:pPr>
            <w:r>
              <w:rPr>
                <w:rFonts w:ascii="Arial" w:cs="Arial" w:eastAsia="Arial" w:hAnsi="Arial"/>
                <w:sz w:val="11"/>
                <w:szCs w:val="11"/>
                <w:color w:val="auto"/>
              </w:rPr>
              <w:t>—</w:t>
            </w:r>
          </w:p>
        </w:tc>
        <w:tc>
          <w:tcPr>
            <w:tcW w:w="1120" w:type="dxa"/>
            <w:vAlign w:val="bottom"/>
            <w:shd w:val="clear" w:color="auto" w:fill="E3FAF2"/>
          </w:tcPr>
          <w:p>
            <w:pPr>
              <w:jc w:val="right"/>
              <w:ind w:right="87"/>
              <w:spacing w:after="0"/>
              <w:rPr>
                <w:sz w:val="20"/>
                <w:szCs w:val="20"/>
                <w:color w:val="auto"/>
              </w:rPr>
            </w:pPr>
            <w:r>
              <w:rPr>
                <w:rFonts w:ascii="Arial" w:cs="Arial" w:eastAsia="Arial" w:hAnsi="Arial"/>
                <w:sz w:val="11"/>
                <w:szCs w:val="11"/>
                <w:color w:val="auto"/>
              </w:rPr>
              <w:t>—</w:t>
            </w:r>
          </w:p>
        </w:tc>
        <w:tc>
          <w:tcPr>
            <w:tcW w:w="200" w:type="dxa"/>
            <w:vAlign w:val="bottom"/>
            <w:tcBorders>
              <w:right w:val="single" w:sz="8" w:color="008256"/>
            </w:tcBorders>
            <w:shd w:val="clear" w:color="auto" w:fill="E3FAF2"/>
          </w:tcPr>
          <w:p>
            <w:pPr>
              <w:spacing w:after="0"/>
              <w:rPr>
                <w:sz w:val="18"/>
                <w:szCs w:val="18"/>
                <w:color w:val="auto"/>
              </w:rPr>
            </w:pPr>
          </w:p>
        </w:tc>
        <w:tc>
          <w:tcPr>
            <w:tcW w:w="1320" w:type="dxa"/>
            <w:vAlign w:val="bottom"/>
            <w:tcBorders>
              <w:right w:val="single" w:sz="8" w:color="008055"/>
            </w:tcBorders>
            <w:shd w:val="clear" w:color="auto" w:fill="E3FAF2"/>
          </w:tcPr>
          <w:p>
            <w:pPr>
              <w:jc w:val="right"/>
              <w:ind w:right="26"/>
              <w:spacing w:after="0"/>
              <w:rPr>
                <w:sz w:val="20"/>
                <w:szCs w:val="20"/>
                <w:color w:val="auto"/>
              </w:rPr>
            </w:pPr>
            <w:r>
              <w:rPr>
                <w:rFonts w:ascii="Arial" w:cs="Arial" w:eastAsia="Arial" w:hAnsi="Arial"/>
                <w:sz w:val="11"/>
                <w:szCs w:val="11"/>
                <w:color w:val="auto"/>
              </w:rPr>
              <w:t>16,283</w:t>
            </w:r>
          </w:p>
        </w:tc>
        <w:tc>
          <w:tcPr>
            <w:tcW w:w="960" w:type="dxa"/>
            <w:vAlign w:val="bottom"/>
            <w:shd w:val="clear" w:color="auto" w:fill="E3FAF2"/>
          </w:tcPr>
          <w:p>
            <w:pPr>
              <w:ind w:left="400"/>
              <w:spacing w:after="0"/>
              <w:rPr>
                <w:sz w:val="20"/>
                <w:szCs w:val="20"/>
                <w:color w:val="auto"/>
              </w:rPr>
            </w:pPr>
            <w:r>
              <w:rPr>
                <w:rFonts w:ascii="Arial" w:cs="Arial" w:eastAsia="Arial" w:hAnsi="Arial"/>
                <w:sz w:val="11"/>
                <w:szCs w:val="11"/>
                <w:color w:val="auto"/>
              </w:rPr>
              <w:t>2,136,200</w:t>
            </w:r>
          </w:p>
        </w:tc>
        <w:tc>
          <w:tcPr>
            <w:tcW w:w="0" w:type="dxa"/>
            <w:vAlign w:val="bottom"/>
          </w:tcPr>
          <w:p>
            <w:pPr>
              <w:spacing w:after="0"/>
              <w:rPr>
                <w:sz w:val="1"/>
                <w:szCs w:val="1"/>
                <w:color w:val="auto"/>
              </w:rPr>
            </w:pPr>
          </w:p>
        </w:tc>
      </w:tr>
      <w:tr>
        <w:trPr>
          <w:trHeight w:val="192"/>
        </w:trPr>
        <w:tc>
          <w:tcPr>
            <w:tcW w:w="2840" w:type="dxa"/>
            <w:vAlign w:val="bottom"/>
            <w:tcBorders>
              <w:bottom w:val="single" w:sz="8" w:color="E3FAF2"/>
              <w:right w:val="single" w:sz="8" w:color="008256"/>
            </w:tcBorders>
            <w:shd w:val="clear" w:color="auto" w:fill="E3FAF2"/>
          </w:tcPr>
          <w:p>
            <w:pPr>
              <w:ind w:left="100"/>
              <w:spacing w:after="0"/>
              <w:rPr>
                <w:sz w:val="20"/>
                <w:szCs w:val="20"/>
                <w:color w:val="auto"/>
              </w:rPr>
            </w:pPr>
            <w:r>
              <w:rPr>
                <w:rFonts w:ascii="Arial" w:cs="Arial" w:eastAsia="Arial" w:hAnsi="Arial"/>
                <w:sz w:val="11"/>
                <w:szCs w:val="11"/>
                <w:color w:val="auto"/>
              </w:rPr>
              <w:t>Chief Business Officer</w:t>
            </w:r>
          </w:p>
        </w:tc>
        <w:tc>
          <w:tcPr>
            <w:tcW w:w="700" w:type="dxa"/>
            <w:vAlign w:val="bottom"/>
            <w:tcBorders>
              <w:bottom w:val="single" w:sz="8" w:color="E3FAF2"/>
              <w:right w:val="single" w:sz="8" w:color="008256"/>
            </w:tcBorders>
            <w:shd w:val="clear" w:color="auto" w:fill="E3FAF2"/>
          </w:tcPr>
          <w:p>
            <w:pPr>
              <w:ind w:left="200"/>
              <w:spacing w:after="0"/>
              <w:rPr>
                <w:sz w:val="20"/>
                <w:szCs w:val="20"/>
                <w:color w:val="auto"/>
              </w:rPr>
            </w:pPr>
            <w:r>
              <w:rPr>
                <w:rFonts w:ascii="Arial" w:cs="Arial" w:eastAsia="Arial" w:hAnsi="Arial"/>
                <w:sz w:val="11"/>
                <w:szCs w:val="11"/>
                <w:b w:val="1"/>
                <w:bCs w:val="1"/>
                <w:color w:val="auto"/>
              </w:rPr>
              <w:t>2023</w:t>
            </w:r>
          </w:p>
        </w:tc>
        <w:tc>
          <w:tcPr>
            <w:tcW w:w="980" w:type="dxa"/>
            <w:vAlign w:val="bottom"/>
            <w:tcBorders>
              <w:bottom w:val="single" w:sz="8" w:color="E3FAF2"/>
              <w:right w:val="single" w:sz="8" w:color="008055"/>
            </w:tcBorders>
            <w:shd w:val="clear" w:color="auto" w:fill="E3FAF2"/>
          </w:tcPr>
          <w:p>
            <w:pPr>
              <w:jc w:val="right"/>
              <w:ind w:right="5"/>
              <w:spacing w:after="0"/>
              <w:rPr>
                <w:sz w:val="20"/>
                <w:szCs w:val="20"/>
                <w:color w:val="auto"/>
              </w:rPr>
            </w:pPr>
            <w:r>
              <w:rPr>
                <w:rFonts w:ascii="Arial" w:cs="Arial" w:eastAsia="Arial" w:hAnsi="Arial"/>
                <w:sz w:val="11"/>
                <w:szCs w:val="11"/>
                <w:color w:val="auto"/>
              </w:rPr>
              <w:t>350,000</w:t>
            </w:r>
          </w:p>
        </w:tc>
        <w:tc>
          <w:tcPr>
            <w:tcW w:w="860" w:type="dxa"/>
            <w:vAlign w:val="bottom"/>
            <w:tcBorders>
              <w:bottom w:val="single" w:sz="8" w:color="E3FAF2"/>
            </w:tcBorders>
            <w:shd w:val="clear" w:color="auto" w:fill="E3FAF2"/>
          </w:tcPr>
          <w:p>
            <w:pPr>
              <w:jc w:val="right"/>
              <w:spacing w:after="0"/>
              <w:rPr>
                <w:sz w:val="20"/>
                <w:szCs w:val="20"/>
                <w:color w:val="auto"/>
              </w:rPr>
            </w:pPr>
            <w:r>
              <w:rPr>
                <w:rFonts w:ascii="Arial" w:cs="Arial" w:eastAsia="Arial" w:hAnsi="Arial"/>
                <w:sz w:val="11"/>
                <w:szCs w:val="11"/>
                <w:color w:val="auto"/>
              </w:rPr>
              <w:t>1,666,666</w:t>
            </w:r>
          </w:p>
        </w:tc>
        <w:tc>
          <w:tcPr>
            <w:tcW w:w="320" w:type="dxa"/>
            <w:vAlign w:val="bottom"/>
            <w:tcBorders>
              <w:bottom w:val="single" w:sz="8" w:color="E3FAF2"/>
              <w:right w:val="single" w:sz="8" w:color="008055"/>
            </w:tcBorders>
            <w:shd w:val="clear" w:color="auto" w:fill="E3FAF2"/>
          </w:tcPr>
          <w:p>
            <w:pPr>
              <w:spacing w:after="0"/>
              <w:rPr>
                <w:sz w:val="16"/>
                <w:szCs w:val="16"/>
                <w:color w:val="auto"/>
              </w:rPr>
            </w:pPr>
          </w:p>
        </w:tc>
        <w:tc>
          <w:tcPr>
            <w:tcW w:w="980" w:type="dxa"/>
            <w:vAlign w:val="bottom"/>
            <w:tcBorders>
              <w:bottom w:val="single" w:sz="8" w:color="E3FAF2"/>
              <w:right w:val="single" w:sz="8" w:color="008256"/>
            </w:tcBorders>
            <w:shd w:val="clear" w:color="auto" w:fill="E3FAF2"/>
          </w:tcPr>
          <w:p>
            <w:pPr>
              <w:jc w:val="right"/>
              <w:ind w:right="6"/>
              <w:spacing w:after="0"/>
              <w:rPr>
                <w:sz w:val="20"/>
                <w:szCs w:val="20"/>
                <w:color w:val="auto"/>
              </w:rPr>
            </w:pPr>
            <w:r>
              <w:rPr>
                <w:rFonts w:ascii="Arial" w:cs="Arial" w:eastAsia="Arial" w:hAnsi="Arial"/>
                <w:sz w:val="11"/>
                <w:szCs w:val="11"/>
                <w:color w:val="auto"/>
              </w:rPr>
              <w:t>—</w:t>
            </w:r>
          </w:p>
        </w:tc>
        <w:tc>
          <w:tcPr>
            <w:tcW w:w="1000" w:type="dxa"/>
            <w:vAlign w:val="bottom"/>
            <w:tcBorders>
              <w:bottom w:val="single" w:sz="8" w:color="E3FAF2"/>
              <w:right w:val="single" w:sz="8" w:color="008055"/>
            </w:tcBorders>
            <w:shd w:val="clear" w:color="auto" w:fill="E3FAF2"/>
          </w:tcPr>
          <w:p>
            <w:pPr>
              <w:jc w:val="right"/>
              <w:ind w:right="26"/>
              <w:spacing w:after="0"/>
              <w:rPr>
                <w:sz w:val="20"/>
                <w:szCs w:val="20"/>
                <w:color w:val="auto"/>
              </w:rPr>
            </w:pPr>
            <w:r>
              <w:rPr>
                <w:rFonts w:ascii="Arial" w:cs="Arial" w:eastAsia="Arial" w:hAnsi="Arial"/>
                <w:sz w:val="11"/>
                <w:szCs w:val="11"/>
                <w:color w:val="auto"/>
              </w:rPr>
              <w:t>—</w:t>
            </w:r>
          </w:p>
        </w:tc>
        <w:tc>
          <w:tcPr>
            <w:tcW w:w="1120" w:type="dxa"/>
            <w:vAlign w:val="bottom"/>
            <w:tcBorders>
              <w:bottom w:val="single" w:sz="8" w:color="E3FAF2"/>
            </w:tcBorders>
            <w:shd w:val="clear" w:color="auto" w:fill="E3FAF2"/>
          </w:tcPr>
          <w:p>
            <w:pPr>
              <w:jc w:val="right"/>
              <w:ind w:right="87"/>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E3FAF2"/>
              <w:right w:val="single" w:sz="8" w:color="008256"/>
            </w:tcBorders>
            <w:shd w:val="clear" w:color="auto" w:fill="E3FAF2"/>
          </w:tcPr>
          <w:p>
            <w:pPr>
              <w:spacing w:after="0"/>
              <w:rPr>
                <w:sz w:val="16"/>
                <w:szCs w:val="16"/>
                <w:color w:val="auto"/>
              </w:rPr>
            </w:pPr>
          </w:p>
        </w:tc>
        <w:tc>
          <w:tcPr>
            <w:tcW w:w="1320" w:type="dxa"/>
            <w:vAlign w:val="bottom"/>
            <w:tcBorders>
              <w:bottom w:val="single" w:sz="8" w:color="E3FAF2"/>
              <w:right w:val="single" w:sz="8" w:color="008055"/>
            </w:tcBorders>
            <w:shd w:val="clear" w:color="auto" w:fill="E3FAF2"/>
          </w:tcPr>
          <w:p>
            <w:pPr>
              <w:jc w:val="right"/>
              <w:ind w:right="26"/>
              <w:spacing w:after="0"/>
              <w:rPr>
                <w:sz w:val="20"/>
                <w:szCs w:val="20"/>
                <w:color w:val="auto"/>
              </w:rPr>
            </w:pPr>
            <w:r>
              <w:rPr>
                <w:rFonts w:ascii="Arial" w:cs="Arial" w:eastAsia="Arial" w:hAnsi="Arial"/>
                <w:sz w:val="11"/>
                <w:szCs w:val="11"/>
                <w:color w:val="auto"/>
              </w:rPr>
              <w:t>11,773</w:t>
            </w:r>
          </w:p>
        </w:tc>
        <w:tc>
          <w:tcPr>
            <w:tcW w:w="960" w:type="dxa"/>
            <w:vAlign w:val="bottom"/>
            <w:tcBorders>
              <w:bottom w:val="single" w:sz="8" w:color="E3FAF2"/>
            </w:tcBorders>
            <w:shd w:val="clear" w:color="auto" w:fill="E3FAF2"/>
          </w:tcPr>
          <w:p>
            <w:pPr>
              <w:ind w:left="400"/>
              <w:spacing w:after="0"/>
              <w:rPr>
                <w:sz w:val="20"/>
                <w:szCs w:val="20"/>
                <w:color w:val="auto"/>
              </w:rPr>
            </w:pPr>
            <w:r>
              <w:rPr>
                <w:rFonts w:ascii="Arial" w:cs="Arial" w:eastAsia="Arial" w:hAnsi="Arial"/>
                <w:sz w:val="11"/>
                <w:szCs w:val="11"/>
                <w:color w:val="auto"/>
              </w:rPr>
              <w:t>2,028,439</w:t>
            </w:r>
          </w:p>
        </w:tc>
        <w:tc>
          <w:tcPr>
            <w:tcW w:w="0" w:type="dxa"/>
            <w:vAlign w:val="bottom"/>
          </w:tcPr>
          <w:p>
            <w:pPr>
              <w:spacing w:after="0"/>
              <w:rPr>
                <w:sz w:val="1"/>
                <w:szCs w:val="1"/>
                <w:color w:val="auto"/>
              </w:rPr>
            </w:pPr>
          </w:p>
        </w:tc>
      </w:tr>
      <w:tr>
        <w:trPr>
          <w:trHeight w:val="20"/>
        </w:trPr>
        <w:tc>
          <w:tcPr>
            <w:tcW w:w="2840" w:type="dxa"/>
            <w:vAlign w:val="bottom"/>
            <w:tcBorders>
              <w:right w:val="single" w:sz="8" w:color="008256"/>
            </w:tcBorders>
            <w:shd w:val="clear" w:color="auto" w:fill="008256"/>
          </w:tcPr>
          <w:p>
            <w:pPr>
              <w:spacing w:after="0" w:line="20" w:lineRule="exact"/>
              <w:rPr>
                <w:sz w:val="1"/>
                <w:szCs w:val="1"/>
                <w:color w:val="auto"/>
              </w:rPr>
            </w:pPr>
          </w:p>
        </w:tc>
        <w:tc>
          <w:tcPr>
            <w:tcW w:w="700" w:type="dxa"/>
            <w:vAlign w:val="bottom"/>
            <w:tcBorders>
              <w:right w:val="single" w:sz="8" w:color="008256"/>
            </w:tcBorders>
            <w:shd w:val="clear" w:color="auto" w:fill="008256"/>
          </w:tcPr>
          <w:p>
            <w:pPr>
              <w:spacing w:after="0" w:line="20" w:lineRule="exact"/>
              <w:rPr>
                <w:sz w:val="1"/>
                <w:szCs w:val="1"/>
                <w:color w:val="auto"/>
              </w:rPr>
            </w:pPr>
          </w:p>
        </w:tc>
        <w:tc>
          <w:tcPr>
            <w:tcW w:w="980" w:type="dxa"/>
            <w:vAlign w:val="bottom"/>
            <w:tcBorders>
              <w:right w:val="single" w:sz="8" w:color="008055"/>
            </w:tcBorders>
            <w:shd w:val="clear" w:color="auto" w:fill="008256"/>
          </w:tcPr>
          <w:p>
            <w:pPr>
              <w:spacing w:after="0" w:line="20" w:lineRule="exact"/>
              <w:rPr>
                <w:sz w:val="1"/>
                <w:szCs w:val="1"/>
                <w:color w:val="auto"/>
              </w:rPr>
            </w:pPr>
          </w:p>
        </w:tc>
        <w:tc>
          <w:tcPr>
            <w:tcW w:w="860" w:type="dxa"/>
            <w:vAlign w:val="bottom"/>
            <w:shd w:val="clear" w:color="auto" w:fill="008055"/>
          </w:tcPr>
          <w:p>
            <w:pPr>
              <w:spacing w:after="0" w:line="20" w:lineRule="exact"/>
              <w:rPr>
                <w:sz w:val="1"/>
                <w:szCs w:val="1"/>
                <w:color w:val="auto"/>
              </w:rPr>
            </w:pPr>
          </w:p>
        </w:tc>
        <w:tc>
          <w:tcPr>
            <w:tcW w:w="320" w:type="dxa"/>
            <w:vAlign w:val="bottom"/>
            <w:tcBorders>
              <w:right w:val="single" w:sz="8" w:color="008055"/>
            </w:tcBorders>
            <w:shd w:val="clear" w:color="auto" w:fill="008055"/>
          </w:tcPr>
          <w:p>
            <w:pPr>
              <w:spacing w:after="0" w:line="20" w:lineRule="exact"/>
              <w:rPr>
                <w:sz w:val="1"/>
                <w:szCs w:val="1"/>
                <w:color w:val="auto"/>
              </w:rPr>
            </w:pPr>
          </w:p>
        </w:tc>
        <w:tc>
          <w:tcPr>
            <w:tcW w:w="980" w:type="dxa"/>
            <w:vAlign w:val="bottom"/>
            <w:tcBorders>
              <w:right w:val="single" w:sz="8" w:color="008256"/>
            </w:tcBorders>
            <w:shd w:val="clear" w:color="auto" w:fill="008256"/>
          </w:tcPr>
          <w:p>
            <w:pPr>
              <w:spacing w:after="0" w:line="20" w:lineRule="exact"/>
              <w:rPr>
                <w:sz w:val="1"/>
                <w:szCs w:val="1"/>
                <w:color w:val="auto"/>
              </w:rPr>
            </w:pPr>
          </w:p>
        </w:tc>
        <w:tc>
          <w:tcPr>
            <w:tcW w:w="1000" w:type="dxa"/>
            <w:vAlign w:val="bottom"/>
            <w:tcBorders>
              <w:right w:val="single" w:sz="8" w:color="008055"/>
            </w:tcBorders>
            <w:shd w:val="clear" w:color="auto" w:fill="008256"/>
          </w:tcPr>
          <w:p>
            <w:pPr>
              <w:spacing w:after="0" w:line="20" w:lineRule="exact"/>
              <w:rPr>
                <w:sz w:val="1"/>
                <w:szCs w:val="1"/>
                <w:color w:val="auto"/>
              </w:rPr>
            </w:pPr>
          </w:p>
        </w:tc>
        <w:tc>
          <w:tcPr>
            <w:tcW w:w="1120" w:type="dxa"/>
            <w:vAlign w:val="bottom"/>
            <w:shd w:val="clear" w:color="auto" w:fill="008055"/>
          </w:tcPr>
          <w:p>
            <w:pPr>
              <w:spacing w:after="0" w:line="20" w:lineRule="exact"/>
              <w:rPr>
                <w:sz w:val="1"/>
                <w:szCs w:val="1"/>
                <w:color w:val="auto"/>
              </w:rPr>
            </w:pPr>
          </w:p>
        </w:tc>
        <w:tc>
          <w:tcPr>
            <w:tcW w:w="200" w:type="dxa"/>
            <w:vAlign w:val="bottom"/>
            <w:tcBorders>
              <w:right w:val="single" w:sz="8" w:color="008256"/>
            </w:tcBorders>
            <w:shd w:val="clear" w:color="auto" w:fill="008055"/>
          </w:tcPr>
          <w:p>
            <w:pPr>
              <w:spacing w:after="0" w:line="20" w:lineRule="exact"/>
              <w:rPr>
                <w:sz w:val="1"/>
                <w:szCs w:val="1"/>
                <w:color w:val="auto"/>
              </w:rPr>
            </w:pPr>
          </w:p>
        </w:tc>
        <w:tc>
          <w:tcPr>
            <w:tcW w:w="1320" w:type="dxa"/>
            <w:vAlign w:val="bottom"/>
            <w:tcBorders>
              <w:right w:val="single" w:sz="8" w:color="008055"/>
            </w:tcBorders>
            <w:shd w:val="clear" w:color="auto" w:fill="008256"/>
          </w:tcPr>
          <w:p>
            <w:pPr>
              <w:spacing w:after="0" w:line="20" w:lineRule="exact"/>
              <w:rPr>
                <w:sz w:val="1"/>
                <w:szCs w:val="1"/>
                <w:color w:val="auto"/>
              </w:rPr>
            </w:pPr>
          </w:p>
        </w:tc>
        <w:tc>
          <w:tcPr>
            <w:tcW w:w="960" w:type="dxa"/>
            <w:vAlign w:val="bottom"/>
            <w:shd w:val="clear" w:color="auto" w:fill="00825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7" w:lineRule="exact"/>
        <w:rPr>
          <w:sz w:val="20"/>
          <w:szCs w:val="20"/>
          <w:color w:val="auto"/>
        </w:rPr>
      </w:pPr>
    </w:p>
    <w:p>
      <w:pPr>
        <w:ind w:left="200" w:right="40" w:hanging="195"/>
        <w:spacing w:after="0" w:line="266" w:lineRule="auto"/>
        <w:tabs>
          <w:tab w:leader="none" w:pos="190" w:val="left"/>
        </w:tabs>
        <w:numPr>
          <w:ilvl w:val="0"/>
          <w:numId w:val="22"/>
        </w:numPr>
        <w:rPr>
          <w:rFonts w:ascii="Arial" w:cs="Arial" w:eastAsia="Arial" w:hAnsi="Arial"/>
          <w:sz w:val="11"/>
          <w:szCs w:val="11"/>
          <w:i w:val="1"/>
          <w:iCs w:val="1"/>
          <w:color w:val="auto"/>
        </w:rPr>
      </w:pPr>
      <w:r>
        <w:rPr>
          <w:rFonts w:ascii="Arial" w:cs="Arial" w:eastAsia="Arial" w:hAnsi="Arial"/>
          <w:sz w:val="11"/>
          <w:szCs w:val="11"/>
          <w:i w:val="1"/>
          <w:iCs w:val="1"/>
          <w:color w:val="auto"/>
        </w:rPr>
        <w:t>The amounts reported in these columns represent the aggregate grant date fair value of restricted stock unit awards and stock option awards, in each case computed in accordance with ASC Topic 718. The assumptions used in calculating the grant date fair value of restricted stock units (including PSUs) and stock options (including PSOs) are set forth in Note 10–Stockholders’ Equity of the consolidated financial statements included in the Company’s Annual Report on Form 10-K for the year ended December 31, 2024. The grant date fair value for the PSOs granted in 2024 included in this column ($822,631 for Ms. StClair) is reported assuming performance at target, and the grant date fair value of these PSOs assuming maximum performance at 200% would be $1,645,261 for Ms. StClair.</w:t>
      </w:r>
    </w:p>
    <w:p>
      <w:pPr>
        <w:ind w:left="180" w:hanging="175"/>
        <w:spacing w:after="0"/>
        <w:tabs>
          <w:tab w:leader="none" w:pos="180" w:val="left"/>
        </w:tabs>
        <w:numPr>
          <w:ilvl w:val="0"/>
          <w:numId w:val="22"/>
        </w:numPr>
        <w:rPr>
          <w:rFonts w:ascii="Arial" w:cs="Arial" w:eastAsia="Arial" w:hAnsi="Arial"/>
          <w:sz w:val="11"/>
          <w:szCs w:val="11"/>
          <w:i w:val="1"/>
          <w:iCs w:val="1"/>
          <w:color w:val="auto"/>
        </w:rPr>
      </w:pPr>
      <w:r>
        <w:rPr>
          <w:rFonts w:ascii="Arial" w:cs="Arial" w:eastAsia="Arial" w:hAnsi="Arial"/>
          <w:sz w:val="11"/>
          <w:szCs w:val="11"/>
          <w:i w:val="1"/>
          <w:iCs w:val="1"/>
          <w:color w:val="auto"/>
        </w:rPr>
        <w:t>The 2024 amounts reported in this column include Company matching contributions under its 401(k) plan of $13,800 for each of Mr. Chen, Ms. StClair and Mr. Yount.</w:t>
      </w:r>
    </w:p>
    <w:p>
      <w:pPr>
        <w:ind w:left="200" w:right="180" w:hanging="195"/>
        <w:spacing w:after="0" w:line="261" w:lineRule="auto"/>
        <w:tabs>
          <w:tab w:leader="none" w:pos="190" w:val="left"/>
        </w:tabs>
        <w:numPr>
          <w:ilvl w:val="0"/>
          <w:numId w:val="22"/>
        </w:numPr>
        <w:rPr>
          <w:rFonts w:ascii="Arial" w:cs="Arial" w:eastAsia="Arial" w:hAnsi="Arial"/>
          <w:sz w:val="11"/>
          <w:szCs w:val="11"/>
          <w:i w:val="1"/>
          <w:iCs w:val="1"/>
          <w:color w:val="auto"/>
        </w:rPr>
      </w:pPr>
      <w:r>
        <w:rPr>
          <w:rFonts w:ascii="Arial" w:cs="Arial" w:eastAsia="Arial" w:hAnsi="Arial"/>
          <w:sz w:val="11"/>
          <w:szCs w:val="11"/>
          <w:i w:val="1"/>
          <w:iCs w:val="1"/>
          <w:color w:val="auto"/>
        </w:rPr>
        <w:t>This amount represents a performance-based incentive bonus paid to Mr. Chen based on (i) a revenue-related growth metric and (ii) a non-GAAP operating income-related metric, both in fiscal year 2024, subject to certification of the attainment of the performance levels. On March 18, 2025, the attainment of performance levels for fiscal year 2024 was certified by the Compensation Committee and this performance-based incentive bonus was earned.</w:t>
      </w:r>
    </w:p>
    <w:p>
      <w:pPr>
        <w:spacing w:after="0" w:line="1" w:lineRule="exact"/>
        <w:rPr>
          <w:rFonts w:ascii="Arial" w:cs="Arial" w:eastAsia="Arial" w:hAnsi="Arial"/>
          <w:sz w:val="11"/>
          <w:szCs w:val="11"/>
          <w:i w:val="1"/>
          <w:iCs w:val="1"/>
          <w:color w:val="auto"/>
        </w:rPr>
      </w:pPr>
    </w:p>
    <w:p>
      <w:pPr>
        <w:ind w:left="200" w:right="20" w:hanging="195"/>
        <w:spacing w:after="0" w:line="255" w:lineRule="auto"/>
        <w:tabs>
          <w:tab w:leader="none" w:pos="190" w:val="left"/>
        </w:tabs>
        <w:numPr>
          <w:ilvl w:val="0"/>
          <w:numId w:val="22"/>
        </w:numPr>
        <w:rPr>
          <w:rFonts w:ascii="Arial" w:cs="Arial" w:eastAsia="Arial" w:hAnsi="Arial"/>
          <w:sz w:val="11"/>
          <w:szCs w:val="11"/>
          <w:i w:val="1"/>
          <w:iCs w:val="1"/>
          <w:color w:val="auto"/>
        </w:rPr>
      </w:pPr>
      <w:r>
        <w:rPr>
          <w:rFonts w:ascii="Arial" w:cs="Arial" w:eastAsia="Arial" w:hAnsi="Arial"/>
          <w:sz w:val="11"/>
          <w:szCs w:val="11"/>
          <w:i w:val="1"/>
          <w:iCs w:val="1"/>
          <w:color w:val="auto"/>
        </w:rPr>
        <w:t>This amount includes retention compensation of $1,666,667 paid to Mr. Yount pursuant to the terms of a retention agreement related to the Company's acquisition of On the Barrelhead, Inc. (OTB) in July 2022. Under the retention agreement, Mr. Yount could receive up to $5.0 million of cash retention awards which are payable in equal installments on the first, second and third anniversaries of the closing of the acquisition of OTB, subject to Mr. Yount's continued employment with the Company. Additionally, this amount also includes a discretionary bonus of $85,000 paid to Mr. Yount based on driving performance of insurance products of the Company in 2024.</w:t>
      </w:r>
    </w:p>
    <w:p>
      <w:pPr>
        <w:ind w:left="200" w:right="20" w:hanging="195"/>
        <w:spacing w:after="0" w:line="284" w:lineRule="auto"/>
        <w:tabs>
          <w:tab w:leader="none" w:pos="190" w:val="left"/>
        </w:tabs>
        <w:numPr>
          <w:ilvl w:val="0"/>
          <w:numId w:val="22"/>
        </w:numPr>
        <w:rPr>
          <w:rFonts w:ascii="Arial" w:cs="Arial" w:eastAsia="Arial" w:hAnsi="Arial"/>
          <w:sz w:val="11"/>
          <w:szCs w:val="11"/>
          <w:i w:val="1"/>
          <w:iCs w:val="1"/>
          <w:color w:val="auto"/>
        </w:rPr>
      </w:pPr>
      <w:r>
        <w:rPr>
          <w:rFonts w:ascii="Arial" w:cs="Arial" w:eastAsia="Arial" w:hAnsi="Arial"/>
          <w:sz w:val="11"/>
          <w:szCs w:val="11"/>
          <w:i w:val="1"/>
          <w:iCs w:val="1"/>
          <w:color w:val="auto"/>
        </w:rPr>
        <w:t>Ms. StClair served as our Chief Financial Officer until March 7, 2025. Upon Ms. StClair's resignation from the Company, all unvested awards (including RSUs and PSOs) were immediately forfeited, while any vested options remain exercisable for a period of 90 days following the date of resignation, after which any unexercised options will be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292735</wp:posOffset>
            </wp:positionV>
            <wp:extent cx="7161530" cy="2895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1530" cy="289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1080"/>
        <w:spacing w:after="0"/>
        <w:rPr>
          <w:sz w:val="20"/>
          <w:szCs w:val="20"/>
          <w:color w:val="auto"/>
        </w:rPr>
      </w:pPr>
      <w:r>
        <w:rPr>
          <w:rFonts w:ascii="Arial" w:cs="Arial" w:eastAsia="Arial" w:hAnsi="Arial"/>
          <w:sz w:val="13"/>
          <w:szCs w:val="13"/>
          <w:b w:val="1"/>
          <w:bCs w:val="1"/>
          <w:color w:val="auto"/>
        </w:rPr>
        <w:t>29</w:t>
      </w:r>
    </w:p>
    <w:p>
      <w:pPr>
        <w:sectPr>
          <w:pgSz w:w="11900" w:h="16838" w:orient="portrait"/>
          <w:cols w:equalWidth="0" w:num="1">
            <w:col w:w="11280"/>
          </w:cols>
          <w:pgMar w:left="300" w:top="171" w:right="319" w:bottom="1440" w:gutter="0" w:footer="0" w:header="0"/>
        </w:sectPr>
      </w:pPr>
    </w:p>
    <w:bookmarkStart w:id="34" w:name="page35"/>
    <w:bookmarkEnd w:id="34"/>
    <w:p>
      <w:pPr>
        <w:ind w:left="300"/>
        <w:spacing w:after="0"/>
        <w:rPr>
          <w:sz w:val="20"/>
          <w:szCs w:val="20"/>
          <w:color w:val="auto"/>
        </w:rPr>
      </w:pPr>
      <w:r>
        <w:rPr>
          <w:rFonts w:ascii="Arial" w:cs="Arial" w:eastAsia="Arial" w:hAnsi="Arial"/>
          <w:sz w:val="13"/>
          <w:szCs w:val="13"/>
          <w:b w:val="1"/>
          <w:bCs w:val="1"/>
          <w:color w:val="00482F"/>
        </w:rPr>
        <w:drawing>
          <wp:anchor simplePos="0" relativeHeight="251657728" behindDoc="1" locked="0" layoutInCell="0" allowOverlap="1">
            <wp:simplePos x="0" y="0"/>
            <wp:positionH relativeFrom="page">
              <wp:posOffset>328295</wp:posOffset>
            </wp:positionH>
            <wp:positionV relativeFrom="page">
              <wp:posOffset>102235</wp:posOffset>
            </wp:positionV>
            <wp:extent cx="2876550" cy="2495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876550" cy="249555"/>
                    </a:xfrm>
                    <a:prstGeom prst="rect">
                      <a:avLst/>
                    </a:prstGeom>
                    <a:noFill/>
                  </pic:spPr>
                </pic:pic>
              </a:graphicData>
            </a:graphic>
          </wp:anchor>
        </w:drawing>
        <w:t>NAMED EXECUTIVE OFFICER</w:t>
      </w:r>
    </w:p>
    <w:p>
      <w:pPr>
        <w:spacing w:after="0" w:line="11" w:lineRule="exact"/>
        <w:rPr>
          <w:sz w:val="20"/>
          <w:szCs w:val="20"/>
          <w:color w:val="auto"/>
        </w:rPr>
      </w:pPr>
    </w:p>
    <w:p>
      <w:pPr>
        <w:ind w:left="300"/>
        <w:spacing w:after="0"/>
        <w:rPr>
          <w:sz w:val="20"/>
          <w:szCs w:val="20"/>
          <w:color w:val="auto"/>
        </w:rPr>
      </w:pPr>
      <w:r>
        <w:rPr>
          <w:rFonts w:ascii="Arial" w:cs="Arial" w:eastAsia="Arial" w:hAnsi="Arial"/>
          <w:sz w:val="13"/>
          <w:szCs w:val="13"/>
          <w:b w:val="1"/>
          <w:bCs w:val="1"/>
          <w:color w:val="00482F"/>
        </w:rPr>
        <w:t>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Narrative Disclosure to Summary Compensation Table</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Offer Letters and Other Agreements</w:t>
      </w:r>
    </w:p>
    <w:p>
      <w:pPr>
        <w:spacing w:after="0" w:line="185" w:lineRule="exact"/>
        <w:rPr>
          <w:sz w:val="20"/>
          <w:szCs w:val="20"/>
          <w:color w:val="auto"/>
        </w:rPr>
      </w:pPr>
    </w:p>
    <w:p>
      <w:pPr>
        <w:ind w:right="140"/>
        <w:spacing w:after="0" w:line="266" w:lineRule="auto"/>
        <w:rPr>
          <w:sz w:val="20"/>
          <w:szCs w:val="20"/>
          <w:color w:val="auto"/>
        </w:rPr>
      </w:pPr>
      <w:r>
        <w:rPr>
          <w:rFonts w:ascii="Arial" w:cs="Arial" w:eastAsia="Arial" w:hAnsi="Arial"/>
          <w:sz w:val="13"/>
          <w:szCs w:val="13"/>
          <w:color w:val="auto"/>
        </w:rPr>
        <w:t>Set forth below are descriptions of our employment terms with our Named Executive Officers. For a discussion of the severance pay and other benefits to be provided in connection with a termination of employment and/or a change in control under the arrangements with our Named Executive Officers, see “—Potential Payments Upon Termination or Change in Control.”</w:t>
      </w:r>
    </w:p>
    <w:p>
      <w:pPr>
        <w:spacing w:after="0" w:line="146" w:lineRule="exact"/>
        <w:rPr>
          <w:sz w:val="20"/>
          <w:szCs w:val="20"/>
          <w:color w:val="auto"/>
        </w:rPr>
      </w:pPr>
    </w:p>
    <w:p>
      <w:pPr>
        <w:ind w:right="80"/>
        <w:spacing w:after="0" w:line="266" w:lineRule="auto"/>
        <w:rPr>
          <w:sz w:val="20"/>
          <w:szCs w:val="20"/>
          <w:color w:val="auto"/>
        </w:rPr>
      </w:pPr>
      <w:r>
        <w:rPr>
          <w:rFonts w:ascii="Arial" w:cs="Arial" w:eastAsia="Arial" w:hAnsi="Arial"/>
          <w:sz w:val="13"/>
          <w:szCs w:val="13"/>
          <w:i w:val="1"/>
          <w:iCs w:val="1"/>
          <w:color w:val="auto"/>
        </w:rPr>
        <w:t>Tim Chen</w:t>
      </w:r>
      <w:r>
        <w:rPr>
          <w:rFonts w:ascii="Arial" w:cs="Arial" w:eastAsia="Arial" w:hAnsi="Arial"/>
          <w:sz w:val="13"/>
          <w:szCs w:val="13"/>
          <w:color w:val="auto"/>
        </w:rPr>
        <w:t>. On June 25, 2021, we entered into an offer letter with Mr. Chen. Mr. Chen is entitled to an annual base salary as determined by the Compensation Committee of the Board from time to time</w:t>
      </w:r>
      <w:r>
        <w:rPr>
          <w:rFonts w:ascii="Arial" w:cs="Arial" w:eastAsia="Arial" w:hAnsi="Arial"/>
          <w:sz w:val="13"/>
          <w:szCs w:val="13"/>
          <w:i w:val="1"/>
          <w:iCs w:val="1"/>
          <w:color w:val="auto"/>
        </w:rPr>
        <w:t xml:space="preserve"> </w:t>
      </w:r>
      <w:r>
        <w:rPr>
          <w:rFonts w:ascii="Arial" w:cs="Arial" w:eastAsia="Arial" w:hAnsi="Arial"/>
          <w:sz w:val="13"/>
          <w:szCs w:val="13"/>
          <w:color w:val="auto"/>
        </w:rPr>
        <w:t>which was $700,000 effective as of April 1, 2023. Mr. Chen is also eligible to participate in the employee benefit plans generally available to our employees.</w:t>
      </w:r>
    </w:p>
    <w:p>
      <w:pPr>
        <w:spacing w:after="0" w:line="146" w:lineRule="exact"/>
        <w:rPr>
          <w:sz w:val="20"/>
          <w:szCs w:val="20"/>
          <w:color w:val="auto"/>
        </w:rPr>
      </w:pPr>
    </w:p>
    <w:p>
      <w:pPr>
        <w:ind w:right="280"/>
        <w:spacing w:after="0" w:line="266" w:lineRule="auto"/>
        <w:rPr>
          <w:sz w:val="20"/>
          <w:szCs w:val="20"/>
          <w:color w:val="auto"/>
        </w:rPr>
      </w:pPr>
      <w:r>
        <w:rPr>
          <w:rFonts w:ascii="Arial" w:cs="Arial" w:eastAsia="Arial" w:hAnsi="Arial"/>
          <w:sz w:val="13"/>
          <w:szCs w:val="13"/>
          <w:i w:val="1"/>
          <w:iCs w:val="1"/>
          <w:color w:val="auto"/>
        </w:rPr>
        <w:t xml:space="preserve">Lauren StClair. </w:t>
      </w:r>
      <w:r>
        <w:rPr>
          <w:rFonts w:ascii="Arial" w:cs="Arial" w:eastAsia="Arial" w:hAnsi="Arial"/>
          <w:sz w:val="13"/>
          <w:szCs w:val="13"/>
          <w:color w:val="auto"/>
        </w:rPr>
        <w:t>On November 24, 2020, we entered into an offer letter with Ms. StClair. Ms. StClair is entitled to an annual base salary as determined by the Compensation Committee of the Board</w:t>
      </w:r>
      <w:r>
        <w:rPr>
          <w:rFonts w:ascii="Arial" w:cs="Arial" w:eastAsia="Arial" w:hAnsi="Arial"/>
          <w:sz w:val="13"/>
          <w:szCs w:val="13"/>
          <w:i w:val="1"/>
          <w:iCs w:val="1"/>
          <w:color w:val="auto"/>
        </w:rPr>
        <w:t xml:space="preserve"> </w:t>
      </w:r>
      <w:r>
        <w:rPr>
          <w:rFonts w:ascii="Arial" w:cs="Arial" w:eastAsia="Arial" w:hAnsi="Arial"/>
          <w:sz w:val="13"/>
          <w:szCs w:val="13"/>
          <w:color w:val="auto"/>
        </w:rPr>
        <w:t>from time to time, which was $770,000 effective as of April 1, 2023. Ms. StClair is also eligible to participate in the employee benefit plans generally available to our employees.</w:t>
      </w:r>
    </w:p>
    <w:p>
      <w:pPr>
        <w:spacing w:after="0" w:line="135"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xml:space="preserve">Sam Yount. </w:t>
      </w:r>
      <w:r>
        <w:rPr>
          <w:rFonts w:ascii="Arial" w:cs="Arial" w:eastAsia="Arial" w:hAnsi="Arial"/>
          <w:sz w:val="12"/>
          <w:szCs w:val="12"/>
          <w:color w:val="auto"/>
        </w:rPr>
        <w:t>On June 23, 2022 we entered into an offer letter with Mr. Yount as part of NerdWallet's acquisition of On the Barrelhead, Inc., a Delaware corporation (OTB) that was completed on July 11,</w:t>
      </w:r>
    </w:p>
    <w:p>
      <w:pPr>
        <w:spacing w:after="0" w:line="29" w:lineRule="exact"/>
        <w:rPr>
          <w:sz w:val="20"/>
          <w:szCs w:val="20"/>
          <w:color w:val="auto"/>
        </w:rPr>
      </w:pPr>
    </w:p>
    <w:p>
      <w:pPr>
        <w:spacing w:after="0"/>
        <w:rPr>
          <w:sz w:val="20"/>
          <w:szCs w:val="20"/>
          <w:color w:val="auto"/>
        </w:rPr>
      </w:pPr>
      <w:r>
        <w:rPr>
          <w:rFonts w:ascii="Arial" w:cs="Arial" w:eastAsia="Arial" w:hAnsi="Arial"/>
          <w:sz w:val="12"/>
          <w:szCs w:val="12"/>
          <w:color w:val="auto"/>
        </w:rPr>
        <w:t>2022. Mr. Yount is entitled to an annual base salary as determined by the Compensation Committee of the Board from time to time, which was $350,000 effective as of July 11, 2022 and increased to</w:t>
      </w:r>
    </w:p>
    <w:p>
      <w:pPr>
        <w:spacing w:after="0" w:line="14" w:lineRule="exact"/>
        <w:rPr>
          <w:sz w:val="20"/>
          <w:szCs w:val="20"/>
          <w:color w:val="auto"/>
        </w:rPr>
      </w:pPr>
    </w:p>
    <w:p>
      <w:pPr>
        <w:spacing w:after="0"/>
        <w:rPr>
          <w:sz w:val="20"/>
          <w:szCs w:val="20"/>
          <w:color w:val="auto"/>
        </w:rPr>
      </w:pPr>
      <w:r>
        <w:rPr>
          <w:rFonts w:ascii="Arial" w:cs="Arial" w:eastAsia="Arial" w:hAnsi="Arial"/>
          <w:sz w:val="12"/>
          <w:szCs w:val="12"/>
          <w:color w:val="auto"/>
        </w:rPr>
        <w:t>$423,000 on October 1, 2024. In addition, we entered into a cash retention agreement with Mr. Yount pursuant to which Mr. Yount could receive up to $5.0 million of cash retention payments, payable in</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equal installments on the first, second and third anniversaries of the closing of the acquisition of OTB, subject to Mr. Yount's continued employment with the Company. Mr. Yount is also eligible to</w:t>
      </w:r>
    </w:p>
    <w:p>
      <w:pPr>
        <w:spacing w:after="0" w:line="3" w:lineRule="exact"/>
        <w:rPr>
          <w:sz w:val="20"/>
          <w:szCs w:val="20"/>
          <w:color w:val="auto"/>
        </w:rPr>
      </w:pPr>
    </w:p>
    <w:p>
      <w:pPr>
        <w:spacing w:after="0"/>
        <w:rPr>
          <w:sz w:val="20"/>
          <w:szCs w:val="20"/>
          <w:color w:val="auto"/>
        </w:rPr>
      </w:pPr>
      <w:r>
        <w:rPr>
          <w:rFonts w:ascii="Arial" w:cs="Arial" w:eastAsia="Arial" w:hAnsi="Arial"/>
          <w:sz w:val="13"/>
          <w:szCs w:val="13"/>
          <w:color w:val="auto"/>
        </w:rPr>
        <w:t>participate in the employee benefit plans generally available to our employees.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Annual Incentive Programs</w:t>
      </w:r>
    </w:p>
    <w:p>
      <w:pPr>
        <w:spacing w:after="0" w:line="185" w:lineRule="exact"/>
        <w:rPr>
          <w:sz w:val="20"/>
          <w:szCs w:val="20"/>
          <w:color w:val="auto"/>
        </w:rPr>
      </w:pPr>
    </w:p>
    <w:p>
      <w:pPr>
        <w:ind w:right="160"/>
        <w:spacing w:after="0" w:line="261" w:lineRule="auto"/>
        <w:rPr>
          <w:sz w:val="20"/>
          <w:szCs w:val="20"/>
          <w:color w:val="auto"/>
        </w:rPr>
      </w:pPr>
      <w:r>
        <w:rPr>
          <w:rFonts w:ascii="Arial" w:cs="Arial" w:eastAsia="Arial" w:hAnsi="Arial"/>
          <w:sz w:val="13"/>
          <w:szCs w:val="13"/>
          <w:color w:val="auto"/>
        </w:rPr>
        <w:t>The Compensation Committee designated Mr. Chen as a participant in the 2024 CEO Incentive Program with a bonus target value of $470,000. For additional information about this bonus, see "— 2024 Summary Compensation Table" above. The Program is designed to align Mr. Chen's interests with short-term Company performance. For 2025, our other executive officers will participate in an annual cash incentive plan based on a revenue-related growth metric and a non-GAAP operating income-related metric.</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Equity Awards</w:t>
      </w:r>
    </w:p>
    <w:p>
      <w:pPr>
        <w:spacing w:after="0" w:line="185" w:lineRule="exact"/>
        <w:rPr>
          <w:sz w:val="20"/>
          <w:szCs w:val="20"/>
          <w:color w:val="auto"/>
        </w:rPr>
      </w:pPr>
    </w:p>
    <w:p>
      <w:pPr>
        <w:ind w:right="20"/>
        <w:spacing w:after="0" w:line="250" w:lineRule="auto"/>
        <w:rPr>
          <w:sz w:val="20"/>
          <w:szCs w:val="20"/>
          <w:color w:val="auto"/>
        </w:rPr>
      </w:pPr>
      <w:r>
        <w:rPr>
          <w:rFonts w:ascii="Arial" w:cs="Arial" w:eastAsia="Arial" w:hAnsi="Arial"/>
          <w:sz w:val="13"/>
          <w:szCs w:val="13"/>
          <w:color w:val="auto"/>
        </w:rPr>
        <w:t>Our Compensation Committee approves all compensation decisions relating to all of our executive officers, including our Named Executive Officers. Equity awards to Ms. StClair in 2024 consisted of restricted stock units (RSUs) and performance-based non-qualified stock options (PSOs) based on (i) a revenue-related growth metric and (ii) a non-GAAP operating income-related metric, both in fiscal year 2024, subject to certification of the attainment of the performance levels. Upon Ms. StClair's resignation from the Company effective March 7, 2025, all unvested awards (including 2024 RSUs and PSOs) were immediately forfeited. Our other Named Executive Officers in 2024 (Mr. Chen and Mr. Yount) did not receive equity awards in 2024. For additional information about these equity awards, see "—Outstanding Equity Awards At December 31, 2024" below. Our equity compensation is designed to ensure that our Named Executive Officers are incentivized to grow stockholder value and that their interests are aligned with our stockholders for the long term.</w:t>
      </w:r>
    </w:p>
    <w:p>
      <w:pPr>
        <w:spacing w:after="0" w:line="148" w:lineRule="exact"/>
        <w:rPr>
          <w:sz w:val="20"/>
          <w:szCs w:val="20"/>
          <w:color w:val="auto"/>
        </w:rPr>
      </w:pPr>
    </w:p>
    <w:p>
      <w:pPr>
        <w:ind w:right="140"/>
        <w:spacing w:after="0" w:line="266" w:lineRule="auto"/>
        <w:rPr>
          <w:sz w:val="20"/>
          <w:szCs w:val="20"/>
          <w:color w:val="auto"/>
        </w:rPr>
      </w:pPr>
      <w:r>
        <w:rPr>
          <w:rFonts w:ascii="Arial" w:cs="Arial" w:eastAsia="Arial" w:hAnsi="Arial"/>
          <w:sz w:val="13"/>
          <w:szCs w:val="13"/>
          <w:color w:val="auto"/>
        </w:rPr>
        <w:t>While we do not have formal stock ownership guidelines or requirements for our executive officers, we do strive to promote a culture of ownership. Our Chief Executive Officer and our Chief Financial Officer have agreed to retain holdings (vested and unvested) worth at least six times and four times their total annual cash compensation, respectively.</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Policies and Practices Related to the Grant of Certain Equity Awards</w:t>
      </w:r>
    </w:p>
    <w:p>
      <w:pPr>
        <w:spacing w:after="0" w:line="174" w:lineRule="exact"/>
        <w:rPr>
          <w:sz w:val="20"/>
          <w:szCs w:val="20"/>
          <w:color w:val="auto"/>
        </w:rPr>
      </w:pPr>
    </w:p>
    <w:p>
      <w:pPr>
        <w:ind w:right="160"/>
        <w:spacing w:after="0" w:line="287" w:lineRule="auto"/>
        <w:rPr>
          <w:sz w:val="20"/>
          <w:szCs w:val="20"/>
          <w:color w:val="auto"/>
        </w:rPr>
      </w:pPr>
      <w:r>
        <w:rPr>
          <w:rFonts w:ascii="Arial" w:cs="Arial" w:eastAsia="Arial" w:hAnsi="Arial"/>
          <w:sz w:val="12"/>
          <w:szCs w:val="12"/>
          <w:color w:val="auto"/>
        </w:rPr>
        <w:t>The Compensation Committee approves equity awards granted to our Named Executive Officers on or before the grant date. The Compensation Committee does not take material nonpublic information into account when determining the timing and terms of such awards. We have not timed the disclosure of material nonpublic information for the purpose of affecting the value of executive compensation. In 2024, we did not award any stock options to our Named Executive Officers during any period beginning four (4) business days before the filing of a periodic report on Form 10-Q or Form 10-K or the filing or furnishing of a current report on Form 8-K disclosing material non-public information and ending one business day after the filing or furnishing of such report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288290</wp:posOffset>
            </wp:positionV>
            <wp:extent cx="7161530" cy="2895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1530" cy="289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 xml:space="preserve">30 </w:t>
      </w:r>
      <w:r>
        <w:rPr>
          <w:rFonts w:ascii="Arial" w:cs="Arial" w:eastAsia="Arial" w:hAnsi="Arial"/>
          <w:sz w:val="13"/>
          <w:szCs w:val="13"/>
          <w:color w:val="auto"/>
        </w:rPr>
        <w:t>PROXY STATEMENT 2025</w:t>
      </w:r>
    </w:p>
    <w:p>
      <w:pPr>
        <w:sectPr>
          <w:pgSz w:w="11900" w:h="16838" w:orient="portrait"/>
          <w:cols w:equalWidth="0" w:num="1">
            <w:col w:w="11280"/>
          </w:cols>
          <w:pgMar w:left="300" w:top="171" w:right="319" w:bottom="1440" w:gutter="0" w:footer="0" w:header="0"/>
        </w:sectPr>
      </w:pPr>
    </w:p>
    <w:bookmarkStart w:id="35" w:name="page36"/>
    <w:bookmarkEnd w:id="35"/>
    <w:p>
      <w:pPr>
        <w:ind w:left="7100"/>
        <w:spacing w:after="0"/>
        <w:rPr>
          <w:sz w:val="20"/>
          <w:szCs w:val="20"/>
          <w:color w:val="auto"/>
        </w:rPr>
      </w:pPr>
      <w:r>
        <w:rPr>
          <w:rFonts w:ascii="Arial" w:cs="Arial" w:eastAsia="Arial" w:hAnsi="Arial"/>
          <w:sz w:val="13"/>
          <w:szCs w:val="13"/>
          <w:b w:val="1"/>
          <w:bCs w:val="1"/>
          <w:color w:val="00482F"/>
        </w:rPr>
        <w:drawing>
          <wp:anchor simplePos="0" relativeHeight="251657728" behindDoc="1" locked="0" layoutInCell="0" allowOverlap="1">
            <wp:simplePos x="0" y="0"/>
            <wp:positionH relativeFrom="page">
              <wp:posOffset>4653915</wp:posOffset>
            </wp:positionH>
            <wp:positionV relativeFrom="page">
              <wp:posOffset>102235</wp:posOffset>
            </wp:positionV>
            <wp:extent cx="2715260" cy="2495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715260" cy="249555"/>
                    </a:xfrm>
                    <a:prstGeom prst="rect">
                      <a:avLst/>
                    </a:prstGeom>
                    <a:noFill/>
                  </pic:spPr>
                </pic:pic>
              </a:graphicData>
            </a:graphic>
          </wp:anchor>
        </w:drawing>
        <w:t>NAMED EXECUTIVE OFFICER</w:t>
      </w:r>
    </w:p>
    <w:p>
      <w:pPr>
        <w:spacing w:after="0" w:line="11" w:lineRule="exact"/>
        <w:rPr>
          <w:sz w:val="20"/>
          <w:szCs w:val="20"/>
          <w:color w:val="auto"/>
        </w:rPr>
      </w:pPr>
    </w:p>
    <w:p>
      <w:pPr>
        <w:ind w:left="7100"/>
        <w:spacing w:after="0"/>
        <w:rPr>
          <w:sz w:val="20"/>
          <w:szCs w:val="20"/>
          <w:color w:val="auto"/>
        </w:rPr>
      </w:pPr>
      <w:r>
        <w:rPr>
          <w:rFonts w:ascii="Arial" w:cs="Arial" w:eastAsia="Arial" w:hAnsi="Arial"/>
          <w:sz w:val="13"/>
          <w:szCs w:val="13"/>
          <w:b w:val="1"/>
          <w:bCs w:val="1"/>
          <w:color w:val="00482F"/>
        </w:rPr>
        <w:t>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Outstanding Equity Awards At December 31, 2024</w:t>
      </w:r>
    </w:p>
    <w:p>
      <w:pPr>
        <w:spacing w:after="0" w:line="97"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provides information about the outstanding Company equity awards held by our Named Executive Officers as of December 31, 2024.</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0" w:type="dxa"/>
            <w:vAlign w:val="bottom"/>
            <w:tcBorders>
              <w:top w:val="single" w:sz="8" w:color="008256"/>
              <w:bottom w:val="single" w:sz="8" w:color="008256"/>
              <w:right w:val="single" w:sz="8" w:color="008256"/>
            </w:tcBorders>
          </w:tcPr>
          <w:p>
            <w:pPr>
              <w:spacing w:after="0"/>
              <w:rPr>
                <w:sz w:val="14"/>
                <w:szCs w:val="14"/>
                <w:color w:val="auto"/>
              </w:rPr>
            </w:pPr>
          </w:p>
        </w:tc>
        <w:tc>
          <w:tcPr>
            <w:tcW w:w="1400" w:type="dxa"/>
            <w:vAlign w:val="bottom"/>
            <w:tcBorders>
              <w:top w:val="single" w:sz="8" w:color="008256"/>
              <w:bottom w:val="single" w:sz="8" w:color="008256"/>
              <w:right w:val="single" w:sz="8" w:color="008256"/>
            </w:tcBorders>
          </w:tcPr>
          <w:p>
            <w:pPr>
              <w:spacing w:after="0"/>
              <w:rPr>
                <w:sz w:val="14"/>
                <w:szCs w:val="14"/>
                <w:color w:val="auto"/>
              </w:rPr>
            </w:pPr>
          </w:p>
        </w:tc>
        <w:tc>
          <w:tcPr>
            <w:tcW w:w="1220" w:type="dxa"/>
            <w:vAlign w:val="bottom"/>
            <w:tcBorders>
              <w:top w:val="single" w:sz="8" w:color="008256"/>
              <w:bottom w:val="single" w:sz="8" w:color="008256"/>
            </w:tcBorders>
          </w:tcPr>
          <w:p>
            <w:pPr>
              <w:spacing w:after="0"/>
              <w:rPr>
                <w:sz w:val="14"/>
                <w:szCs w:val="14"/>
                <w:color w:val="auto"/>
              </w:rPr>
            </w:pPr>
          </w:p>
        </w:tc>
        <w:tc>
          <w:tcPr>
            <w:tcW w:w="300" w:type="dxa"/>
            <w:vAlign w:val="bottom"/>
            <w:tcBorders>
              <w:top w:val="single" w:sz="8" w:color="008256"/>
              <w:bottom w:val="single" w:sz="8" w:color="008256"/>
            </w:tcBorders>
          </w:tcPr>
          <w:p>
            <w:pPr>
              <w:spacing w:after="0"/>
              <w:rPr>
                <w:sz w:val="14"/>
                <w:szCs w:val="14"/>
                <w:color w:val="auto"/>
              </w:rPr>
            </w:pPr>
          </w:p>
        </w:tc>
        <w:tc>
          <w:tcPr>
            <w:tcW w:w="1760" w:type="dxa"/>
            <w:vAlign w:val="bottom"/>
            <w:tcBorders>
              <w:top w:val="single" w:sz="8" w:color="008256"/>
              <w:bottom w:val="single" w:sz="8" w:color="008256"/>
            </w:tcBorders>
            <w:gridSpan w:val="3"/>
          </w:tcPr>
          <w:p>
            <w:pPr>
              <w:ind w:left="800"/>
              <w:spacing w:after="0"/>
              <w:rPr>
                <w:sz w:val="20"/>
                <w:szCs w:val="20"/>
                <w:color w:val="auto"/>
              </w:rPr>
            </w:pPr>
            <w:r>
              <w:rPr>
                <w:rFonts w:ascii="Arial" w:cs="Arial" w:eastAsia="Arial" w:hAnsi="Arial"/>
                <w:sz w:val="10"/>
                <w:szCs w:val="10"/>
                <w:b w:val="1"/>
                <w:bCs w:val="1"/>
                <w:color w:val="auto"/>
              </w:rPr>
              <w:t>OPTION AWARDS</w:t>
            </w:r>
          </w:p>
        </w:tc>
        <w:tc>
          <w:tcPr>
            <w:tcW w:w="1000" w:type="dxa"/>
            <w:vAlign w:val="bottom"/>
            <w:tcBorders>
              <w:top w:val="single" w:sz="8" w:color="008256"/>
              <w:bottom w:val="single" w:sz="8" w:color="008256"/>
            </w:tcBorders>
          </w:tcPr>
          <w:p>
            <w:pPr>
              <w:spacing w:after="0"/>
              <w:rPr>
                <w:sz w:val="14"/>
                <w:szCs w:val="14"/>
                <w:color w:val="auto"/>
              </w:rPr>
            </w:pPr>
          </w:p>
        </w:tc>
        <w:tc>
          <w:tcPr>
            <w:tcW w:w="1260" w:type="dxa"/>
            <w:vAlign w:val="bottom"/>
            <w:tcBorders>
              <w:top w:val="single" w:sz="8" w:color="008256"/>
              <w:bottom w:val="single" w:sz="8" w:color="008256"/>
              <w:right w:val="single" w:sz="8" w:color="008256"/>
            </w:tcBorders>
          </w:tcPr>
          <w:p>
            <w:pPr>
              <w:spacing w:after="0"/>
              <w:rPr>
                <w:sz w:val="14"/>
                <w:szCs w:val="14"/>
                <w:color w:val="auto"/>
              </w:rPr>
            </w:pPr>
          </w:p>
        </w:tc>
        <w:tc>
          <w:tcPr>
            <w:tcW w:w="1800" w:type="dxa"/>
            <w:vAlign w:val="bottom"/>
            <w:tcBorders>
              <w:top w:val="single" w:sz="8" w:color="008256"/>
              <w:bottom w:val="single" w:sz="8" w:color="008256"/>
            </w:tcBorders>
            <w:gridSpan w:val="3"/>
          </w:tcPr>
          <w:p>
            <w:pPr>
              <w:ind w:left="960"/>
              <w:spacing w:after="0"/>
              <w:rPr>
                <w:sz w:val="20"/>
                <w:szCs w:val="20"/>
                <w:color w:val="auto"/>
              </w:rPr>
            </w:pPr>
            <w:r>
              <w:rPr>
                <w:rFonts w:ascii="Arial" w:cs="Arial" w:eastAsia="Arial" w:hAnsi="Arial"/>
                <w:sz w:val="10"/>
                <w:szCs w:val="10"/>
                <w:b w:val="1"/>
                <w:bCs w:val="1"/>
                <w:color w:val="auto"/>
                <w:w w:val="99"/>
              </w:rPr>
              <w:t>STOCK AWARDS</w:t>
            </w:r>
          </w:p>
        </w:tc>
        <w:tc>
          <w:tcPr>
            <w:tcW w:w="940" w:type="dxa"/>
            <w:vAlign w:val="bottom"/>
            <w:tcBorders>
              <w:top w:val="single" w:sz="8" w:color="008256"/>
              <w:bottom w:val="single" w:sz="8" w:color="008256"/>
            </w:tcBorders>
          </w:tcPr>
          <w:p>
            <w:pPr>
              <w:spacing w:after="0"/>
              <w:rPr>
                <w:sz w:val="14"/>
                <w:szCs w:val="14"/>
                <w:color w:val="auto"/>
              </w:rPr>
            </w:pPr>
          </w:p>
        </w:tc>
      </w:tr>
      <w:tr>
        <w:trPr>
          <w:trHeight w:val="122"/>
        </w:trPr>
        <w:tc>
          <w:tcPr>
            <w:tcW w:w="1600" w:type="dxa"/>
            <w:vAlign w:val="bottom"/>
            <w:tcBorders>
              <w:right w:val="single" w:sz="8" w:color="008256"/>
            </w:tcBorders>
          </w:tcPr>
          <w:p>
            <w:pPr>
              <w:spacing w:after="0"/>
              <w:rPr>
                <w:sz w:val="10"/>
                <w:szCs w:val="10"/>
                <w:color w:val="auto"/>
              </w:rPr>
            </w:pPr>
          </w:p>
        </w:tc>
        <w:tc>
          <w:tcPr>
            <w:tcW w:w="1400" w:type="dxa"/>
            <w:vAlign w:val="bottom"/>
            <w:tcBorders>
              <w:right w:val="single" w:sz="8" w:color="008256"/>
            </w:tcBorders>
          </w:tcPr>
          <w:p>
            <w:pPr>
              <w:spacing w:after="0"/>
              <w:rPr>
                <w:sz w:val="10"/>
                <w:szCs w:val="10"/>
                <w:color w:val="auto"/>
              </w:rPr>
            </w:pPr>
          </w:p>
        </w:tc>
        <w:tc>
          <w:tcPr>
            <w:tcW w:w="1220" w:type="dxa"/>
            <w:vAlign w:val="bottom"/>
          </w:tcPr>
          <w:p>
            <w:pPr>
              <w:spacing w:after="0"/>
              <w:rPr>
                <w:sz w:val="10"/>
                <w:szCs w:val="10"/>
                <w:color w:val="auto"/>
              </w:rPr>
            </w:pPr>
          </w:p>
        </w:tc>
        <w:tc>
          <w:tcPr>
            <w:tcW w:w="300" w:type="dxa"/>
            <w:vAlign w:val="bottom"/>
            <w:tcBorders>
              <w:right w:val="single" w:sz="8" w:color="008256"/>
            </w:tcBorders>
          </w:tcPr>
          <w:p>
            <w:pPr>
              <w:spacing w:after="0"/>
              <w:rPr>
                <w:sz w:val="10"/>
                <w:szCs w:val="10"/>
                <w:color w:val="auto"/>
              </w:rPr>
            </w:pPr>
          </w:p>
        </w:tc>
        <w:tc>
          <w:tcPr>
            <w:tcW w:w="1220" w:type="dxa"/>
            <w:vAlign w:val="bottom"/>
          </w:tcPr>
          <w:p>
            <w:pPr>
              <w:spacing w:after="0"/>
              <w:rPr>
                <w:sz w:val="10"/>
                <w:szCs w:val="10"/>
                <w:color w:val="auto"/>
              </w:rPr>
            </w:pPr>
          </w:p>
        </w:tc>
        <w:tc>
          <w:tcPr>
            <w:tcW w:w="300" w:type="dxa"/>
            <w:vAlign w:val="bottom"/>
            <w:tcBorders>
              <w:right w:val="single" w:sz="8" w:color="008256"/>
            </w:tcBorders>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Borders>
              <w:right w:val="single" w:sz="8" w:color="008256"/>
            </w:tcBorders>
          </w:tcPr>
          <w:p>
            <w:pPr>
              <w:spacing w:after="0"/>
              <w:rPr>
                <w:sz w:val="10"/>
                <w:szCs w:val="10"/>
                <w:color w:val="auto"/>
              </w:rPr>
            </w:pPr>
          </w:p>
        </w:tc>
        <w:tc>
          <w:tcPr>
            <w:tcW w:w="1260" w:type="dxa"/>
            <w:vAlign w:val="bottom"/>
            <w:tcBorders>
              <w:right w:val="single" w:sz="8" w:color="008256"/>
            </w:tcBorders>
          </w:tcPr>
          <w:p>
            <w:pPr>
              <w:spacing w:after="0"/>
              <w:rPr>
                <w:sz w:val="10"/>
                <w:szCs w:val="10"/>
                <w:color w:val="auto"/>
              </w:rPr>
            </w:pPr>
          </w:p>
        </w:tc>
        <w:tc>
          <w:tcPr>
            <w:tcW w:w="1220" w:type="dxa"/>
            <w:vAlign w:val="bottom"/>
          </w:tcPr>
          <w:p>
            <w:pPr>
              <w:spacing w:after="0"/>
              <w:rPr>
                <w:sz w:val="10"/>
                <w:szCs w:val="10"/>
                <w:color w:val="auto"/>
              </w:rPr>
            </w:pPr>
          </w:p>
        </w:tc>
        <w:tc>
          <w:tcPr>
            <w:tcW w:w="300" w:type="dxa"/>
            <w:vAlign w:val="bottom"/>
            <w:tcBorders>
              <w:right w:val="single" w:sz="8" w:color="008256"/>
            </w:tcBorders>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jc w:val="center"/>
              <w:ind w:right="227"/>
              <w:spacing w:after="0"/>
              <w:rPr>
                <w:sz w:val="20"/>
                <w:szCs w:val="20"/>
                <w:color w:val="auto"/>
              </w:rPr>
            </w:pPr>
            <w:r>
              <w:rPr>
                <w:rFonts w:ascii="Arial" w:cs="Arial" w:eastAsia="Arial" w:hAnsi="Arial"/>
                <w:sz w:val="10"/>
                <w:szCs w:val="10"/>
                <w:b w:val="1"/>
                <w:bCs w:val="1"/>
                <w:color w:val="auto"/>
                <w:w w:val="98"/>
              </w:rPr>
              <w:t>MARKET</w:t>
            </w:r>
          </w:p>
        </w:tc>
      </w:tr>
      <w:tr>
        <w:trPr>
          <w:trHeight w:val="117"/>
        </w:trPr>
        <w:tc>
          <w:tcPr>
            <w:tcW w:w="1600" w:type="dxa"/>
            <w:vAlign w:val="bottom"/>
            <w:tcBorders>
              <w:right w:val="single" w:sz="8" w:color="008256"/>
            </w:tcBorders>
          </w:tcPr>
          <w:p>
            <w:pPr>
              <w:spacing w:after="0"/>
              <w:rPr>
                <w:sz w:val="10"/>
                <w:szCs w:val="10"/>
                <w:color w:val="auto"/>
              </w:rPr>
            </w:pPr>
          </w:p>
        </w:tc>
        <w:tc>
          <w:tcPr>
            <w:tcW w:w="1400" w:type="dxa"/>
            <w:vAlign w:val="bottom"/>
            <w:tcBorders>
              <w:right w:val="single" w:sz="8" w:color="008256"/>
            </w:tcBorders>
          </w:tcPr>
          <w:p>
            <w:pPr>
              <w:spacing w:after="0"/>
              <w:rPr>
                <w:sz w:val="10"/>
                <w:szCs w:val="10"/>
                <w:color w:val="auto"/>
              </w:rPr>
            </w:pPr>
          </w:p>
        </w:tc>
        <w:tc>
          <w:tcPr>
            <w:tcW w:w="1220" w:type="dxa"/>
            <w:vAlign w:val="bottom"/>
          </w:tcPr>
          <w:p>
            <w:pPr>
              <w:spacing w:after="0"/>
              <w:rPr>
                <w:sz w:val="10"/>
                <w:szCs w:val="10"/>
                <w:color w:val="auto"/>
              </w:rPr>
            </w:pPr>
          </w:p>
        </w:tc>
        <w:tc>
          <w:tcPr>
            <w:tcW w:w="300" w:type="dxa"/>
            <w:vAlign w:val="bottom"/>
            <w:tcBorders>
              <w:right w:val="single" w:sz="8" w:color="008256"/>
            </w:tcBorders>
          </w:tcPr>
          <w:p>
            <w:pPr>
              <w:spacing w:after="0"/>
              <w:rPr>
                <w:sz w:val="10"/>
                <w:szCs w:val="10"/>
                <w:color w:val="auto"/>
              </w:rPr>
            </w:pPr>
          </w:p>
        </w:tc>
        <w:tc>
          <w:tcPr>
            <w:tcW w:w="1220" w:type="dxa"/>
            <w:vAlign w:val="bottom"/>
          </w:tcPr>
          <w:p>
            <w:pPr>
              <w:spacing w:after="0"/>
              <w:rPr>
                <w:sz w:val="10"/>
                <w:szCs w:val="10"/>
                <w:color w:val="auto"/>
              </w:rPr>
            </w:pPr>
          </w:p>
        </w:tc>
        <w:tc>
          <w:tcPr>
            <w:tcW w:w="300" w:type="dxa"/>
            <w:vAlign w:val="bottom"/>
            <w:tcBorders>
              <w:right w:val="single" w:sz="8" w:color="008256"/>
            </w:tcBorders>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Borders>
              <w:right w:val="single" w:sz="8" w:color="008256"/>
            </w:tcBorders>
          </w:tcPr>
          <w:p>
            <w:pPr>
              <w:spacing w:after="0"/>
              <w:rPr>
                <w:sz w:val="10"/>
                <w:szCs w:val="10"/>
                <w:color w:val="auto"/>
              </w:rPr>
            </w:pPr>
          </w:p>
        </w:tc>
        <w:tc>
          <w:tcPr>
            <w:tcW w:w="1260" w:type="dxa"/>
            <w:vAlign w:val="bottom"/>
            <w:tcBorders>
              <w:right w:val="single" w:sz="8" w:color="008256"/>
            </w:tcBorders>
          </w:tcPr>
          <w:p>
            <w:pPr>
              <w:spacing w:after="0"/>
              <w:rPr>
                <w:sz w:val="10"/>
                <w:szCs w:val="10"/>
                <w:color w:val="auto"/>
              </w:rPr>
            </w:pPr>
          </w:p>
        </w:tc>
        <w:tc>
          <w:tcPr>
            <w:tcW w:w="1220" w:type="dxa"/>
            <w:vAlign w:val="bottom"/>
          </w:tcPr>
          <w:p>
            <w:pPr>
              <w:spacing w:after="0"/>
              <w:rPr>
                <w:sz w:val="10"/>
                <w:szCs w:val="10"/>
                <w:color w:val="auto"/>
              </w:rPr>
            </w:pPr>
          </w:p>
        </w:tc>
        <w:tc>
          <w:tcPr>
            <w:tcW w:w="300" w:type="dxa"/>
            <w:vAlign w:val="bottom"/>
            <w:tcBorders>
              <w:right w:val="single" w:sz="8" w:color="008256"/>
            </w:tcBorders>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jc w:val="center"/>
              <w:ind w:right="247"/>
              <w:spacing w:after="0"/>
              <w:rPr>
                <w:sz w:val="20"/>
                <w:szCs w:val="20"/>
                <w:color w:val="auto"/>
              </w:rPr>
            </w:pPr>
            <w:r>
              <w:rPr>
                <w:rFonts w:ascii="Arial" w:cs="Arial" w:eastAsia="Arial" w:hAnsi="Arial"/>
                <w:sz w:val="10"/>
                <w:szCs w:val="10"/>
                <w:b w:val="1"/>
                <w:bCs w:val="1"/>
                <w:color w:val="auto"/>
                <w:w w:val="94"/>
              </w:rPr>
              <w:t>VALUE</w:t>
            </w:r>
          </w:p>
        </w:tc>
      </w:tr>
      <w:tr>
        <w:trPr>
          <w:trHeight w:val="117"/>
        </w:trPr>
        <w:tc>
          <w:tcPr>
            <w:tcW w:w="1600" w:type="dxa"/>
            <w:vAlign w:val="bottom"/>
            <w:tcBorders>
              <w:right w:val="single" w:sz="8" w:color="008256"/>
            </w:tcBorders>
          </w:tcPr>
          <w:p>
            <w:pPr>
              <w:spacing w:after="0"/>
              <w:rPr>
                <w:sz w:val="10"/>
                <w:szCs w:val="10"/>
                <w:color w:val="auto"/>
              </w:rPr>
            </w:pPr>
          </w:p>
        </w:tc>
        <w:tc>
          <w:tcPr>
            <w:tcW w:w="1400" w:type="dxa"/>
            <w:vAlign w:val="bottom"/>
            <w:tcBorders>
              <w:right w:val="single" w:sz="8" w:color="008256"/>
            </w:tcBorders>
          </w:tcPr>
          <w:p>
            <w:pPr>
              <w:spacing w:after="0"/>
              <w:rPr>
                <w:sz w:val="10"/>
                <w:szCs w:val="10"/>
                <w:color w:val="auto"/>
              </w:rPr>
            </w:pPr>
          </w:p>
        </w:tc>
        <w:tc>
          <w:tcPr>
            <w:tcW w:w="1220" w:type="dxa"/>
            <w:vAlign w:val="bottom"/>
          </w:tcPr>
          <w:p>
            <w:pPr>
              <w:jc w:val="center"/>
              <w:ind w:left="207"/>
              <w:spacing w:after="0"/>
              <w:rPr>
                <w:sz w:val="20"/>
                <w:szCs w:val="20"/>
                <w:color w:val="auto"/>
              </w:rPr>
            </w:pPr>
            <w:r>
              <w:rPr>
                <w:rFonts w:ascii="Arial" w:cs="Arial" w:eastAsia="Arial" w:hAnsi="Arial"/>
                <w:sz w:val="10"/>
                <w:szCs w:val="10"/>
                <w:b w:val="1"/>
                <w:bCs w:val="1"/>
                <w:color w:val="auto"/>
                <w:w w:val="99"/>
              </w:rPr>
              <w:t>NUMBER OF</w:t>
            </w:r>
          </w:p>
        </w:tc>
        <w:tc>
          <w:tcPr>
            <w:tcW w:w="300" w:type="dxa"/>
            <w:vAlign w:val="bottom"/>
            <w:tcBorders>
              <w:right w:val="single" w:sz="8" w:color="008256"/>
            </w:tcBorders>
          </w:tcPr>
          <w:p>
            <w:pPr>
              <w:spacing w:after="0"/>
              <w:rPr>
                <w:sz w:val="10"/>
                <w:szCs w:val="10"/>
                <w:color w:val="auto"/>
              </w:rPr>
            </w:pPr>
          </w:p>
        </w:tc>
        <w:tc>
          <w:tcPr>
            <w:tcW w:w="1220" w:type="dxa"/>
            <w:vAlign w:val="bottom"/>
          </w:tcPr>
          <w:p>
            <w:pPr>
              <w:jc w:val="center"/>
              <w:ind w:left="207"/>
              <w:spacing w:after="0"/>
              <w:rPr>
                <w:sz w:val="20"/>
                <w:szCs w:val="20"/>
                <w:color w:val="auto"/>
              </w:rPr>
            </w:pPr>
            <w:r>
              <w:rPr>
                <w:rFonts w:ascii="Arial" w:cs="Arial" w:eastAsia="Arial" w:hAnsi="Arial"/>
                <w:sz w:val="10"/>
                <w:szCs w:val="10"/>
                <w:b w:val="1"/>
                <w:bCs w:val="1"/>
                <w:color w:val="auto"/>
                <w:w w:val="99"/>
              </w:rPr>
              <w:t>NUMBER OF</w:t>
            </w:r>
          </w:p>
        </w:tc>
        <w:tc>
          <w:tcPr>
            <w:tcW w:w="300" w:type="dxa"/>
            <w:vAlign w:val="bottom"/>
            <w:tcBorders>
              <w:right w:val="single" w:sz="8" w:color="008256"/>
            </w:tcBorders>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Borders>
              <w:right w:val="single" w:sz="8" w:color="008256"/>
            </w:tcBorders>
          </w:tcPr>
          <w:p>
            <w:pPr>
              <w:spacing w:after="0"/>
              <w:rPr>
                <w:sz w:val="10"/>
                <w:szCs w:val="10"/>
                <w:color w:val="auto"/>
              </w:rPr>
            </w:pPr>
          </w:p>
        </w:tc>
        <w:tc>
          <w:tcPr>
            <w:tcW w:w="1260" w:type="dxa"/>
            <w:vAlign w:val="bottom"/>
            <w:tcBorders>
              <w:right w:val="single" w:sz="8" w:color="008256"/>
            </w:tcBorders>
          </w:tcPr>
          <w:p>
            <w:pPr>
              <w:spacing w:after="0"/>
              <w:rPr>
                <w:sz w:val="10"/>
                <w:szCs w:val="10"/>
                <w:color w:val="auto"/>
              </w:rPr>
            </w:pPr>
          </w:p>
        </w:tc>
        <w:tc>
          <w:tcPr>
            <w:tcW w:w="1220" w:type="dxa"/>
            <w:vAlign w:val="bottom"/>
          </w:tcPr>
          <w:p>
            <w:pPr>
              <w:jc w:val="center"/>
              <w:ind w:left="207"/>
              <w:spacing w:after="0"/>
              <w:rPr>
                <w:sz w:val="20"/>
                <w:szCs w:val="20"/>
                <w:color w:val="auto"/>
              </w:rPr>
            </w:pPr>
            <w:r>
              <w:rPr>
                <w:rFonts w:ascii="Arial" w:cs="Arial" w:eastAsia="Arial" w:hAnsi="Arial"/>
                <w:sz w:val="10"/>
                <w:szCs w:val="10"/>
                <w:b w:val="1"/>
                <w:bCs w:val="1"/>
                <w:color w:val="auto"/>
              </w:rPr>
              <w:t>NUMBER</w:t>
            </w:r>
          </w:p>
        </w:tc>
        <w:tc>
          <w:tcPr>
            <w:tcW w:w="300" w:type="dxa"/>
            <w:vAlign w:val="bottom"/>
            <w:tcBorders>
              <w:right w:val="single" w:sz="8" w:color="008256"/>
            </w:tcBorders>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jc w:val="center"/>
              <w:ind w:right="227"/>
              <w:spacing w:after="0"/>
              <w:rPr>
                <w:sz w:val="20"/>
                <w:szCs w:val="20"/>
                <w:color w:val="auto"/>
              </w:rPr>
            </w:pPr>
            <w:r>
              <w:rPr>
                <w:rFonts w:ascii="Arial" w:cs="Arial" w:eastAsia="Arial" w:hAnsi="Arial"/>
                <w:sz w:val="10"/>
                <w:szCs w:val="10"/>
                <w:b w:val="1"/>
                <w:bCs w:val="1"/>
                <w:color w:val="auto"/>
                <w:w w:val="99"/>
              </w:rPr>
              <w:t>OF SHARES</w:t>
            </w:r>
          </w:p>
        </w:tc>
      </w:tr>
      <w:tr>
        <w:trPr>
          <w:trHeight w:val="127"/>
        </w:trPr>
        <w:tc>
          <w:tcPr>
            <w:tcW w:w="1600" w:type="dxa"/>
            <w:vAlign w:val="bottom"/>
            <w:tcBorders>
              <w:right w:val="single" w:sz="8" w:color="008256"/>
            </w:tcBorders>
          </w:tcPr>
          <w:p>
            <w:pPr>
              <w:spacing w:after="0"/>
              <w:rPr>
                <w:sz w:val="11"/>
                <w:szCs w:val="11"/>
                <w:color w:val="auto"/>
              </w:rPr>
            </w:pPr>
          </w:p>
        </w:tc>
        <w:tc>
          <w:tcPr>
            <w:tcW w:w="1400" w:type="dxa"/>
            <w:vAlign w:val="bottom"/>
            <w:tcBorders>
              <w:right w:val="single" w:sz="8" w:color="008256"/>
            </w:tcBorders>
          </w:tcPr>
          <w:p>
            <w:pPr>
              <w:spacing w:after="0"/>
              <w:rPr>
                <w:sz w:val="11"/>
                <w:szCs w:val="11"/>
                <w:color w:val="auto"/>
              </w:rPr>
            </w:pPr>
          </w:p>
        </w:tc>
        <w:tc>
          <w:tcPr>
            <w:tcW w:w="1220" w:type="dxa"/>
            <w:vAlign w:val="bottom"/>
          </w:tcPr>
          <w:p>
            <w:pPr>
              <w:jc w:val="center"/>
              <w:ind w:left="207"/>
              <w:spacing w:after="0"/>
              <w:rPr>
                <w:sz w:val="20"/>
                <w:szCs w:val="20"/>
                <w:color w:val="auto"/>
              </w:rPr>
            </w:pPr>
            <w:r>
              <w:rPr>
                <w:rFonts w:ascii="Arial" w:cs="Arial" w:eastAsia="Arial" w:hAnsi="Arial"/>
                <w:sz w:val="10"/>
                <w:szCs w:val="10"/>
                <w:b w:val="1"/>
                <w:bCs w:val="1"/>
                <w:color w:val="auto"/>
                <w:w w:val="99"/>
              </w:rPr>
              <w:t>SECURITIES</w:t>
            </w:r>
          </w:p>
        </w:tc>
        <w:tc>
          <w:tcPr>
            <w:tcW w:w="300" w:type="dxa"/>
            <w:vAlign w:val="bottom"/>
            <w:tcBorders>
              <w:right w:val="single" w:sz="8" w:color="008256"/>
            </w:tcBorders>
          </w:tcPr>
          <w:p>
            <w:pPr>
              <w:spacing w:after="0"/>
              <w:rPr>
                <w:sz w:val="11"/>
                <w:szCs w:val="11"/>
                <w:color w:val="auto"/>
              </w:rPr>
            </w:pPr>
          </w:p>
        </w:tc>
        <w:tc>
          <w:tcPr>
            <w:tcW w:w="1220" w:type="dxa"/>
            <w:vAlign w:val="bottom"/>
          </w:tcPr>
          <w:p>
            <w:pPr>
              <w:jc w:val="center"/>
              <w:ind w:left="207"/>
              <w:spacing w:after="0"/>
              <w:rPr>
                <w:sz w:val="20"/>
                <w:szCs w:val="20"/>
                <w:color w:val="auto"/>
              </w:rPr>
            </w:pPr>
            <w:r>
              <w:rPr>
                <w:rFonts w:ascii="Arial" w:cs="Arial" w:eastAsia="Arial" w:hAnsi="Arial"/>
                <w:sz w:val="10"/>
                <w:szCs w:val="10"/>
                <w:b w:val="1"/>
                <w:bCs w:val="1"/>
                <w:color w:val="auto"/>
                <w:w w:val="99"/>
              </w:rPr>
              <w:t>SECURITIES</w:t>
            </w:r>
          </w:p>
        </w:tc>
        <w:tc>
          <w:tcPr>
            <w:tcW w:w="300" w:type="dxa"/>
            <w:vAlign w:val="bottom"/>
            <w:tcBorders>
              <w:right w:val="single" w:sz="8" w:color="008256"/>
            </w:tcBorders>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Borders>
              <w:right w:val="single" w:sz="8" w:color="008256"/>
            </w:tcBorders>
          </w:tcPr>
          <w:p>
            <w:pPr>
              <w:spacing w:after="0"/>
              <w:rPr>
                <w:sz w:val="11"/>
                <w:szCs w:val="11"/>
                <w:color w:val="auto"/>
              </w:rPr>
            </w:pPr>
          </w:p>
        </w:tc>
        <w:tc>
          <w:tcPr>
            <w:tcW w:w="1260" w:type="dxa"/>
            <w:vAlign w:val="bottom"/>
            <w:tcBorders>
              <w:right w:val="single" w:sz="8" w:color="008256"/>
            </w:tcBorders>
          </w:tcPr>
          <w:p>
            <w:pPr>
              <w:spacing w:after="0"/>
              <w:rPr>
                <w:sz w:val="11"/>
                <w:szCs w:val="11"/>
                <w:color w:val="auto"/>
              </w:rPr>
            </w:pPr>
          </w:p>
        </w:tc>
        <w:tc>
          <w:tcPr>
            <w:tcW w:w="1220" w:type="dxa"/>
            <w:vAlign w:val="bottom"/>
          </w:tcPr>
          <w:p>
            <w:pPr>
              <w:jc w:val="center"/>
              <w:ind w:left="187"/>
              <w:spacing w:after="0"/>
              <w:rPr>
                <w:sz w:val="20"/>
                <w:szCs w:val="20"/>
                <w:color w:val="auto"/>
              </w:rPr>
            </w:pPr>
            <w:r>
              <w:rPr>
                <w:rFonts w:ascii="Arial" w:cs="Arial" w:eastAsia="Arial" w:hAnsi="Arial"/>
                <w:sz w:val="10"/>
                <w:szCs w:val="10"/>
                <w:b w:val="1"/>
                <w:bCs w:val="1"/>
                <w:color w:val="auto"/>
                <w:w w:val="99"/>
              </w:rPr>
              <w:t>OF SHARES</w:t>
            </w:r>
          </w:p>
        </w:tc>
        <w:tc>
          <w:tcPr>
            <w:tcW w:w="300" w:type="dxa"/>
            <w:vAlign w:val="bottom"/>
            <w:tcBorders>
              <w:right w:val="single" w:sz="8" w:color="008256"/>
            </w:tcBorders>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jc w:val="center"/>
              <w:ind w:right="247"/>
              <w:spacing w:after="0"/>
              <w:rPr>
                <w:sz w:val="20"/>
                <w:szCs w:val="20"/>
                <w:color w:val="auto"/>
              </w:rPr>
            </w:pPr>
            <w:r>
              <w:rPr>
                <w:rFonts w:ascii="Arial" w:cs="Arial" w:eastAsia="Arial" w:hAnsi="Arial"/>
                <w:sz w:val="10"/>
                <w:szCs w:val="10"/>
                <w:b w:val="1"/>
                <w:bCs w:val="1"/>
                <w:color w:val="auto"/>
              </w:rPr>
              <w:t>OR UNITS</w:t>
            </w:r>
          </w:p>
        </w:tc>
      </w:tr>
      <w:tr>
        <w:trPr>
          <w:trHeight w:val="117"/>
        </w:trPr>
        <w:tc>
          <w:tcPr>
            <w:tcW w:w="1600" w:type="dxa"/>
            <w:vAlign w:val="bottom"/>
            <w:tcBorders>
              <w:right w:val="single" w:sz="8" w:color="008256"/>
            </w:tcBorders>
          </w:tcPr>
          <w:p>
            <w:pPr>
              <w:spacing w:after="0"/>
              <w:rPr>
                <w:sz w:val="10"/>
                <w:szCs w:val="10"/>
                <w:color w:val="auto"/>
              </w:rPr>
            </w:pPr>
          </w:p>
        </w:tc>
        <w:tc>
          <w:tcPr>
            <w:tcW w:w="1400" w:type="dxa"/>
            <w:vAlign w:val="bottom"/>
            <w:tcBorders>
              <w:right w:val="single" w:sz="8" w:color="008256"/>
            </w:tcBorders>
          </w:tcPr>
          <w:p>
            <w:pPr>
              <w:spacing w:after="0"/>
              <w:rPr>
                <w:sz w:val="10"/>
                <w:szCs w:val="10"/>
                <w:color w:val="auto"/>
              </w:rPr>
            </w:pPr>
          </w:p>
        </w:tc>
        <w:tc>
          <w:tcPr>
            <w:tcW w:w="1220" w:type="dxa"/>
            <w:vAlign w:val="bottom"/>
          </w:tcPr>
          <w:p>
            <w:pPr>
              <w:jc w:val="center"/>
              <w:ind w:left="207"/>
              <w:spacing w:after="0"/>
              <w:rPr>
                <w:sz w:val="20"/>
                <w:szCs w:val="20"/>
                <w:color w:val="auto"/>
              </w:rPr>
            </w:pPr>
            <w:r>
              <w:rPr>
                <w:rFonts w:ascii="Arial" w:cs="Arial" w:eastAsia="Arial" w:hAnsi="Arial"/>
                <w:sz w:val="10"/>
                <w:szCs w:val="10"/>
                <w:b w:val="1"/>
                <w:bCs w:val="1"/>
                <w:color w:val="auto"/>
                <w:w w:val="96"/>
              </w:rPr>
              <w:t>UNDERLYING</w:t>
            </w:r>
          </w:p>
        </w:tc>
        <w:tc>
          <w:tcPr>
            <w:tcW w:w="300" w:type="dxa"/>
            <w:vAlign w:val="bottom"/>
            <w:tcBorders>
              <w:right w:val="single" w:sz="8" w:color="008256"/>
            </w:tcBorders>
          </w:tcPr>
          <w:p>
            <w:pPr>
              <w:spacing w:after="0"/>
              <w:rPr>
                <w:sz w:val="10"/>
                <w:szCs w:val="10"/>
                <w:color w:val="auto"/>
              </w:rPr>
            </w:pPr>
          </w:p>
        </w:tc>
        <w:tc>
          <w:tcPr>
            <w:tcW w:w="1220" w:type="dxa"/>
            <w:vAlign w:val="bottom"/>
          </w:tcPr>
          <w:p>
            <w:pPr>
              <w:jc w:val="center"/>
              <w:ind w:left="207"/>
              <w:spacing w:after="0"/>
              <w:rPr>
                <w:sz w:val="20"/>
                <w:szCs w:val="20"/>
                <w:color w:val="auto"/>
              </w:rPr>
            </w:pPr>
            <w:r>
              <w:rPr>
                <w:rFonts w:ascii="Arial" w:cs="Arial" w:eastAsia="Arial" w:hAnsi="Arial"/>
                <w:sz w:val="10"/>
                <w:szCs w:val="10"/>
                <w:b w:val="1"/>
                <w:bCs w:val="1"/>
                <w:color w:val="auto"/>
                <w:w w:val="96"/>
              </w:rPr>
              <w:t>UNDERLYING</w:t>
            </w:r>
          </w:p>
        </w:tc>
        <w:tc>
          <w:tcPr>
            <w:tcW w:w="300" w:type="dxa"/>
            <w:vAlign w:val="bottom"/>
            <w:tcBorders>
              <w:right w:val="single" w:sz="8" w:color="008256"/>
            </w:tcBorders>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Borders>
              <w:right w:val="single" w:sz="8" w:color="008256"/>
            </w:tcBorders>
          </w:tcPr>
          <w:p>
            <w:pPr>
              <w:spacing w:after="0"/>
              <w:rPr>
                <w:sz w:val="10"/>
                <w:szCs w:val="10"/>
                <w:color w:val="auto"/>
              </w:rPr>
            </w:pPr>
          </w:p>
        </w:tc>
        <w:tc>
          <w:tcPr>
            <w:tcW w:w="1260" w:type="dxa"/>
            <w:vAlign w:val="bottom"/>
            <w:tcBorders>
              <w:right w:val="single" w:sz="8" w:color="008256"/>
            </w:tcBorders>
          </w:tcPr>
          <w:p>
            <w:pPr>
              <w:spacing w:after="0"/>
              <w:rPr>
                <w:sz w:val="10"/>
                <w:szCs w:val="10"/>
                <w:color w:val="auto"/>
              </w:rPr>
            </w:pPr>
          </w:p>
        </w:tc>
        <w:tc>
          <w:tcPr>
            <w:tcW w:w="1220" w:type="dxa"/>
            <w:vAlign w:val="bottom"/>
          </w:tcPr>
          <w:p>
            <w:pPr>
              <w:jc w:val="center"/>
              <w:ind w:left="207"/>
              <w:spacing w:after="0"/>
              <w:rPr>
                <w:sz w:val="20"/>
                <w:szCs w:val="20"/>
                <w:color w:val="auto"/>
              </w:rPr>
            </w:pPr>
            <w:r>
              <w:rPr>
                <w:rFonts w:ascii="Arial" w:cs="Arial" w:eastAsia="Arial" w:hAnsi="Arial"/>
                <w:sz w:val="10"/>
                <w:szCs w:val="10"/>
                <w:b w:val="1"/>
                <w:bCs w:val="1"/>
                <w:color w:val="auto"/>
              </w:rPr>
              <w:t>OR UNITS</w:t>
            </w:r>
          </w:p>
        </w:tc>
        <w:tc>
          <w:tcPr>
            <w:tcW w:w="300" w:type="dxa"/>
            <w:vAlign w:val="bottom"/>
            <w:tcBorders>
              <w:right w:val="single" w:sz="8" w:color="008256"/>
            </w:tcBorders>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jc w:val="center"/>
              <w:ind w:right="247"/>
              <w:spacing w:after="0"/>
              <w:rPr>
                <w:sz w:val="20"/>
                <w:szCs w:val="20"/>
                <w:color w:val="auto"/>
              </w:rPr>
            </w:pPr>
            <w:r>
              <w:rPr>
                <w:rFonts w:ascii="Arial" w:cs="Arial" w:eastAsia="Arial" w:hAnsi="Arial"/>
                <w:sz w:val="10"/>
                <w:szCs w:val="10"/>
                <w:b w:val="1"/>
                <w:bCs w:val="1"/>
                <w:color w:val="auto"/>
              </w:rPr>
              <w:t>OF STOCK</w:t>
            </w:r>
          </w:p>
        </w:tc>
      </w:tr>
      <w:tr>
        <w:trPr>
          <w:trHeight w:val="117"/>
        </w:trPr>
        <w:tc>
          <w:tcPr>
            <w:tcW w:w="1600" w:type="dxa"/>
            <w:vAlign w:val="bottom"/>
            <w:tcBorders>
              <w:right w:val="single" w:sz="8" w:color="008256"/>
            </w:tcBorders>
          </w:tcPr>
          <w:p>
            <w:pPr>
              <w:spacing w:after="0"/>
              <w:rPr>
                <w:sz w:val="10"/>
                <w:szCs w:val="10"/>
                <w:color w:val="auto"/>
              </w:rPr>
            </w:pPr>
          </w:p>
        </w:tc>
        <w:tc>
          <w:tcPr>
            <w:tcW w:w="1400" w:type="dxa"/>
            <w:vAlign w:val="bottom"/>
            <w:tcBorders>
              <w:right w:val="single" w:sz="8" w:color="008256"/>
            </w:tcBorders>
          </w:tcPr>
          <w:p>
            <w:pPr>
              <w:spacing w:after="0"/>
              <w:rPr>
                <w:sz w:val="10"/>
                <w:szCs w:val="10"/>
                <w:color w:val="auto"/>
              </w:rPr>
            </w:pPr>
          </w:p>
        </w:tc>
        <w:tc>
          <w:tcPr>
            <w:tcW w:w="1220" w:type="dxa"/>
            <w:vAlign w:val="bottom"/>
          </w:tcPr>
          <w:p>
            <w:pPr>
              <w:jc w:val="center"/>
              <w:ind w:left="207"/>
              <w:spacing w:after="0"/>
              <w:rPr>
                <w:sz w:val="20"/>
                <w:szCs w:val="20"/>
                <w:color w:val="auto"/>
              </w:rPr>
            </w:pPr>
            <w:r>
              <w:rPr>
                <w:rFonts w:ascii="Arial" w:cs="Arial" w:eastAsia="Arial" w:hAnsi="Arial"/>
                <w:sz w:val="10"/>
                <w:szCs w:val="10"/>
                <w:b w:val="1"/>
                <w:bCs w:val="1"/>
                <w:color w:val="auto"/>
                <w:w w:val="99"/>
              </w:rPr>
              <w:t>UNEXERCISED</w:t>
            </w:r>
          </w:p>
        </w:tc>
        <w:tc>
          <w:tcPr>
            <w:tcW w:w="300" w:type="dxa"/>
            <w:vAlign w:val="bottom"/>
            <w:tcBorders>
              <w:right w:val="single" w:sz="8" w:color="008256"/>
            </w:tcBorders>
          </w:tcPr>
          <w:p>
            <w:pPr>
              <w:spacing w:after="0"/>
              <w:rPr>
                <w:sz w:val="10"/>
                <w:szCs w:val="10"/>
                <w:color w:val="auto"/>
              </w:rPr>
            </w:pPr>
          </w:p>
        </w:tc>
        <w:tc>
          <w:tcPr>
            <w:tcW w:w="1220" w:type="dxa"/>
            <w:vAlign w:val="bottom"/>
          </w:tcPr>
          <w:p>
            <w:pPr>
              <w:jc w:val="center"/>
              <w:ind w:left="207"/>
              <w:spacing w:after="0"/>
              <w:rPr>
                <w:sz w:val="20"/>
                <w:szCs w:val="20"/>
                <w:color w:val="auto"/>
              </w:rPr>
            </w:pPr>
            <w:r>
              <w:rPr>
                <w:rFonts w:ascii="Arial" w:cs="Arial" w:eastAsia="Arial" w:hAnsi="Arial"/>
                <w:sz w:val="10"/>
                <w:szCs w:val="10"/>
                <w:b w:val="1"/>
                <w:bCs w:val="1"/>
                <w:color w:val="auto"/>
                <w:w w:val="99"/>
              </w:rPr>
              <w:t>UNEXERCISED</w:t>
            </w:r>
          </w:p>
        </w:tc>
        <w:tc>
          <w:tcPr>
            <w:tcW w:w="300" w:type="dxa"/>
            <w:vAlign w:val="bottom"/>
            <w:tcBorders>
              <w:right w:val="single" w:sz="8" w:color="008256"/>
            </w:tcBorders>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Borders>
              <w:right w:val="single" w:sz="8" w:color="008256"/>
            </w:tcBorders>
          </w:tcPr>
          <w:p>
            <w:pPr>
              <w:jc w:val="center"/>
              <w:ind w:right="206"/>
              <w:spacing w:after="0"/>
              <w:rPr>
                <w:sz w:val="20"/>
                <w:szCs w:val="20"/>
                <w:color w:val="auto"/>
              </w:rPr>
            </w:pPr>
            <w:r>
              <w:rPr>
                <w:rFonts w:ascii="Arial" w:cs="Arial" w:eastAsia="Arial" w:hAnsi="Arial"/>
                <w:sz w:val="10"/>
                <w:szCs w:val="10"/>
                <w:b w:val="1"/>
                <w:bCs w:val="1"/>
                <w:color w:val="auto"/>
                <w:w w:val="98"/>
              </w:rPr>
              <w:t>OPTION</w:t>
            </w:r>
          </w:p>
        </w:tc>
        <w:tc>
          <w:tcPr>
            <w:tcW w:w="1260" w:type="dxa"/>
            <w:vAlign w:val="bottom"/>
            <w:tcBorders>
              <w:right w:val="single" w:sz="8" w:color="008256"/>
            </w:tcBorders>
          </w:tcPr>
          <w:p>
            <w:pPr>
              <w:spacing w:after="0"/>
              <w:rPr>
                <w:sz w:val="10"/>
                <w:szCs w:val="10"/>
                <w:color w:val="auto"/>
              </w:rPr>
            </w:pPr>
          </w:p>
        </w:tc>
        <w:tc>
          <w:tcPr>
            <w:tcW w:w="1220" w:type="dxa"/>
            <w:vAlign w:val="bottom"/>
          </w:tcPr>
          <w:p>
            <w:pPr>
              <w:jc w:val="center"/>
              <w:ind w:left="207"/>
              <w:spacing w:after="0"/>
              <w:rPr>
                <w:sz w:val="20"/>
                <w:szCs w:val="20"/>
                <w:color w:val="auto"/>
              </w:rPr>
            </w:pPr>
            <w:r>
              <w:rPr>
                <w:rFonts w:ascii="Arial" w:cs="Arial" w:eastAsia="Arial" w:hAnsi="Arial"/>
                <w:sz w:val="10"/>
                <w:szCs w:val="10"/>
                <w:b w:val="1"/>
                <w:bCs w:val="1"/>
                <w:color w:val="auto"/>
              </w:rPr>
              <w:t>OF STOCK</w:t>
            </w:r>
          </w:p>
        </w:tc>
        <w:tc>
          <w:tcPr>
            <w:tcW w:w="300" w:type="dxa"/>
            <w:vAlign w:val="bottom"/>
            <w:tcBorders>
              <w:right w:val="single" w:sz="8" w:color="008256"/>
            </w:tcBorders>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jc w:val="center"/>
              <w:ind w:right="227"/>
              <w:spacing w:after="0"/>
              <w:rPr>
                <w:sz w:val="20"/>
                <w:szCs w:val="20"/>
                <w:color w:val="auto"/>
              </w:rPr>
            </w:pPr>
            <w:r>
              <w:rPr>
                <w:rFonts w:ascii="Arial" w:cs="Arial" w:eastAsia="Arial" w:hAnsi="Arial"/>
                <w:sz w:val="10"/>
                <w:szCs w:val="10"/>
                <w:b w:val="1"/>
                <w:bCs w:val="1"/>
                <w:color w:val="auto"/>
                <w:w w:val="97"/>
              </w:rPr>
              <w:t>THAT</w:t>
            </w:r>
          </w:p>
        </w:tc>
      </w:tr>
      <w:tr>
        <w:trPr>
          <w:trHeight w:val="117"/>
        </w:trPr>
        <w:tc>
          <w:tcPr>
            <w:tcW w:w="1600" w:type="dxa"/>
            <w:vAlign w:val="bottom"/>
            <w:tcBorders>
              <w:right w:val="single" w:sz="8" w:color="008256"/>
            </w:tcBorders>
          </w:tcPr>
          <w:p>
            <w:pPr>
              <w:spacing w:after="0"/>
              <w:rPr>
                <w:sz w:val="10"/>
                <w:szCs w:val="10"/>
                <w:color w:val="auto"/>
              </w:rPr>
            </w:pPr>
          </w:p>
        </w:tc>
        <w:tc>
          <w:tcPr>
            <w:tcW w:w="1400" w:type="dxa"/>
            <w:vAlign w:val="bottom"/>
            <w:tcBorders>
              <w:right w:val="single" w:sz="8" w:color="008256"/>
            </w:tcBorders>
          </w:tcPr>
          <w:p>
            <w:pPr>
              <w:jc w:val="center"/>
              <w:spacing w:after="0"/>
              <w:rPr>
                <w:sz w:val="20"/>
                <w:szCs w:val="20"/>
                <w:color w:val="auto"/>
              </w:rPr>
            </w:pPr>
            <w:r>
              <w:rPr>
                <w:rFonts w:ascii="Arial" w:cs="Arial" w:eastAsia="Arial" w:hAnsi="Arial"/>
                <w:sz w:val="10"/>
                <w:szCs w:val="10"/>
                <w:b w:val="1"/>
                <w:bCs w:val="1"/>
                <w:color w:val="auto"/>
              </w:rPr>
              <w:t>VESTING</w:t>
            </w:r>
          </w:p>
        </w:tc>
        <w:tc>
          <w:tcPr>
            <w:tcW w:w="1220" w:type="dxa"/>
            <w:vAlign w:val="bottom"/>
          </w:tcPr>
          <w:p>
            <w:pPr>
              <w:jc w:val="center"/>
              <w:ind w:left="207"/>
              <w:spacing w:after="0"/>
              <w:rPr>
                <w:sz w:val="20"/>
                <w:szCs w:val="20"/>
                <w:color w:val="auto"/>
              </w:rPr>
            </w:pPr>
            <w:r>
              <w:rPr>
                <w:rFonts w:ascii="Arial" w:cs="Arial" w:eastAsia="Arial" w:hAnsi="Arial"/>
                <w:sz w:val="10"/>
                <w:szCs w:val="10"/>
                <w:b w:val="1"/>
                <w:bCs w:val="1"/>
                <w:color w:val="auto"/>
                <w:w w:val="97"/>
              </w:rPr>
              <w:t>OPTIONS</w:t>
            </w:r>
          </w:p>
        </w:tc>
        <w:tc>
          <w:tcPr>
            <w:tcW w:w="300" w:type="dxa"/>
            <w:vAlign w:val="bottom"/>
            <w:tcBorders>
              <w:right w:val="single" w:sz="8" w:color="008256"/>
            </w:tcBorders>
          </w:tcPr>
          <w:p>
            <w:pPr>
              <w:spacing w:after="0"/>
              <w:rPr>
                <w:sz w:val="10"/>
                <w:szCs w:val="10"/>
                <w:color w:val="auto"/>
              </w:rPr>
            </w:pPr>
          </w:p>
        </w:tc>
        <w:tc>
          <w:tcPr>
            <w:tcW w:w="1220" w:type="dxa"/>
            <w:vAlign w:val="bottom"/>
          </w:tcPr>
          <w:p>
            <w:pPr>
              <w:jc w:val="center"/>
              <w:ind w:left="207"/>
              <w:spacing w:after="0"/>
              <w:rPr>
                <w:sz w:val="20"/>
                <w:szCs w:val="20"/>
                <w:color w:val="auto"/>
              </w:rPr>
            </w:pPr>
            <w:r>
              <w:rPr>
                <w:rFonts w:ascii="Arial" w:cs="Arial" w:eastAsia="Arial" w:hAnsi="Arial"/>
                <w:sz w:val="10"/>
                <w:szCs w:val="10"/>
                <w:b w:val="1"/>
                <w:bCs w:val="1"/>
                <w:color w:val="auto"/>
                <w:w w:val="97"/>
              </w:rPr>
              <w:t>OPTIONS</w:t>
            </w:r>
          </w:p>
        </w:tc>
        <w:tc>
          <w:tcPr>
            <w:tcW w:w="300" w:type="dxa"/>
            <w:vAlign w:val="bottom"/>
            <w:tcBorders>
              <w:right w:val="single" w:sz="8" w:color="008256"/>
            </w:tcBorders>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Borders>
              <w:right w:val="single" w:sz="8" w:color="008256"/>
            </w:tcBorders>
          </w:tcPr>
          <w:p>
            <w:pPr>
              <w:jc w:val="center"/>
              <w:ind w:right="206"/>
              <w:spacing w:after="0"/>
              <w:rPr>
                <w:sz w:val="20"/>
                <w:szCs w:val="20"/>
                <w:color w:val="auto"/>
              </w:rPr>
            </w:pPr>
            <w:r>
              <w:rPr>
                <w:rFonts w:ascii="Arial" w:cs="Arial" w:eastAsia="Arial" w:hAnsi="Arial"/>
                <w:sz w:val="10"/>
                <w:szCs w:val="10"/>
                <w:b w:val="1"/>
                <w:bCs w:val="1"/>
                <w:color w:val="auto"/>
                <w:w w:val="98"/>
              </w:rPr>
              <w:t>EXERCISE</w:t>
            </w:r>
          </w:p>
        </w:tc>
        <w:tc>
          <w:tcPr>
            <w:tcW w:w="1260" w:type="dxa"/>
            <w:vAlign w:val="bottom"/>
            <w:tcBorders>
              <w:right w:val="single" w:sz="8" w:color="008256"/>
            </w:tcBorders>
          </w:tcPr>
          <w:p>
            <w:pPr>
              <w:jc w:val="center"/>
              <w:spacing w:after="0"/>
              <w:rPr>
                <w:sz w:val="20"/>
                <w:szCs w:val="20"/>
                <w:color w:val="auto"/>
              </w:rPr>
            </w:pPr>
            <w:r>
              <w:rPr>
                <w:rFonts w:ascii="Arial" w:cs="Arial" w:eastAsia="Arial" w:hAnsi="Arial"/>
                <w:sz w:val="10"/>
                <w:szCs w:val="10"/>
                <w:b w:val="1"/>
                <w:bCs w:val="1"/>
                <w:color w:val="auto"/>
                <w:w w:val="98"/>
              </w:rPr>
              <w:t>OPTION</w:t>
            </w:r>
          </w:p>
        </w:tc>
        <w:tc>
          <w:tcPr>
            <w:tcW w:w="1220" w:type="dxa"/>
            <w:vAlign w:val="bottom"/>
          </w:tcPr>
          <w:p>
            <w:pPr>
              <w:jc w:val="center"/>
              <w:ind w:left="207"/>
              <w:spacing w:after="0"/>
              <w:rPr>
                <w:sz w:val="20"/>
                <w:szCs w:val="20"/>
                <w:color w:val="auto"/>
              </w:rPr>
            </w:pPr>
            <w:r>
              <w:rPr>
                <w:rFonts w:ascii="Arial" w:cs="Arial" w:eastAsia="Arial" w:hAnsi="Arial"/>
                <w:sz w:val="10"/>
                <w:szCs w:val="10"/>
                <w:b w:val="1"/>
                <w:bCs w:val="1"/>
                <w:color w:val="auto"/>
                <w:w w:val="97"/>
              </w:rPr>
              <w:t>THAT HAVE</w:t>
            </w:r>
          </w:p>
        </w:tc>
        <w:tc>
          <w:tcPr>
            <w:tcW w:w="300" w:type="dxa"/>
            <w:vAlign w:val="bottom"/>
            <w:tcBorders>
              <w:right w:val="single" w:sz="8" w:color="008256"/>
            </w:tcBorders>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jc w:val="center"/>
              <w:ind w:right="227"/>
              <w:spacing w:after="0"/>
              <w:rPr>
                <w:sz w:val="20"/>
                <w:szCs w:val="20"/>
                <w:color w:val="auto"/>
              </w:rPr>
            </w:pPr>
            <w:r>
              <w:rPr>
                <w:rFonts w:ascii="Arial" w:cs="Arial" w:eastAsia="Arial" w:hAnsi="Arial"/>
                <w:sz w:val="10"/>
                <w:szCs w:val="10"/>
                <w:b w:val="1"/>
                <w:bCs w:val="1"/>
                <w:color w:val="auto"/>
                <w:w w:val="96"/>
              </w:rPr>
              <w:t>HAVE NOT</w:t>
            </w:r>
          </w:p>
        </w:tc>
      </w:tr>
      <w:tr>
        <w:trPr>
          <w:trHeight w:val="117"/>
        </w:trPr>
        <w:tc>
          <w:tcPr>
            <w:tcW w:w="1600" w:type="dxa"/>
            <w:vAlign w:val="bottom"/>
            <w:tcBorders>
              <w:right w:val="single" w:sz="8" w:color="008256"/>
            </w:tcBorders>
          </w:tcPr>
          <w:p>
            <w:pPr>
              <w:spacing w:after="0"/>
              <w:rPr>
                <w:sz w:val="10"/>
                <w:szCs w:val="10"/>
                <w:color w:val="auto"/>
              </w:rPr>
            </w:pPr>
          </w:p>
        </w:tc>
        <w:tc>
          <w:tcPr>
            <w:tcW w:w="1400" w:type="dxa"/>
            <w:vAlign w:val="bottom"/>
            <w:tcBorders>
              <w:right w:val="single" w:sz="8" w:color="008256"/>
            </w:tcBorders>
          </w:tcPr>
          <w:p>
            <w:pPr>
              <w:jc w:val="center"/>
              <w:spacing w:after="0"/>
              <w:rPr>
                <w:sz w:val="20"/>
                <w:szCs w:val="20"/>
                <w:color w:val="auto"/>
              </w:rPr>
            </w:pPr>
            <w:r>
              <w:rPr>
                <w:rFonts w:ascii="Arial" w:cs="Arial" w:eastAsia="Arial" w:hAnsi="Arial"/>
                <w:sz w:val="10"/>
                <w:szCs w:val="10"/>
                <w:b w:val="1"/>
                <w:bCs w:val="1"/>
                <w:color w:val="auto"/>
                <w:w w:val="97"/>
              </w:rPr>
              <w:t>COMMENCEMENT</w:t>
            </w:r>
          </w:p>
        </w:tc>
        <w:tc>
          <w:tcPr>
            <w:tcW w:w="1220" w:type="dxa"/>
            <w:vAlign w:val="bottom"/>
          </w:tcPr>
          <w:p>
            <w:pPr>
              <w:jc w:val="center"/>
              <w:ind w:left="207"/>
              <w:spacing w:after="0"/>
              <w:rPr>
                <w:sz w:val="20"/>
                <w:szCs w:val="20"/>
                <w:color w:val="auto"/>
              </w:rPr>
            </w:pPr>
            <w:r>
              <w:rPr>
                <w:rFonts w:ascii="Arial" w:cs="Arial" w:eastAsia="Arial" w:hAnsi="Arial"/>
                <w:sz w:val="10"/>
                <w:szCs w:val="10"/>
                <w:b w:val="1"/>
                <w:bCs w:val="1"/>
                <w:color w:val="auto"/>
                <w:w w:val="97"/>
              </w:rPr>
              <w:t>(#)</w:t>
            </w:r>
          </w:p>
        </w:tc>
        <w:tc>
          <w:tcPr>
            <w:tcW w:w="300" w:type="dxa"/>
            <w:vAlign w:val="bottom"/>
            <w:tcBorders>
              <w:right w:val="single" w:sz="8" w:color="008256"/>
            </w:tcBorders>
          </w:tcPr>
          <w:p>
            <w:pPr>
              <w:spacing w:after="0"/>
              <w:rPr>
                <w:sz w:val="10"/>
                <w:szCs w:val="10"/>
                <w:color w:val="auto"/>
              </w:rPr>
            </w:pPr>
          </w:p>
        </w:tc>
        <w:tc>
          <w:tcPr>
            <w:tcW w:w="1220" w:type="dxa"/>
            <w:vAlign w:val="bottom"/>
          </w:tcPr>
          <w:p>
            <w:pPr>
              <w:jc w:val="center"/>
              <w:ind w:left="207"/>
              <w:spacing w:after="0"/>
              <w:rPr>
                <w:sz w:val="20"/>
                <w:szCs w:val="20"/>
                <w:color w:val="auto"/>
              </w:rPr>
            </w:pPr>
            <w:r>
              <w:rPr>
                <w:rFonts w:ascii="Arial" w:cs="Arial" w:eastAsia="Arial" w:hAnsi="Arial"/>
                <w:sz w:val="10"/>
                <w:szCs w:val="10"/>
                <w:b w:val="1"/>
                <w:bCs w:val="1"/>
                <w:color w:val="auto"/>
                <w:w w:val="97"/>
              </w:rPr>
              <w:t>(#)</w:t>
            </w:r>
          </w:p>
        </w:tc>
        <w:tc>
          <w:tcPr>
            <w:tcW w:w="300" w:type="dxa"/>
            <w:vAlign w:val="bottom"/>
            <w:tcBorders>
              <w:right w:val="single" w:sz="8" w:color="008256"/>
            </w:tcBorders>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tcBorders>
              <w:right w:val="single" w:sz="8" w:color="008256"/>
            </w:tcBorders>
          </w:tcPr>
          <w:p>
            <w:pPr>
              <w:jc w:val="center"/>
              <w:ind w:right="206"/>
              <w:spacing w:after="0"/>
              <w:rPr>
                <w:sz w:val="20"/>
                <w:szCs w:val="20"/>
                <w:color w:val="auto"/>
              </w:rPr>
            </w:pPr>
            <w:r>
              <w:rPr>
                <w:rFonts w:ascii="Arial" w:cs="Arial" w:eastAsia="Arial" w:hAnsi="Arial"/>
                <w:sz w:val="10"/>
                <w:szCs w:val="10"/>
                <w:b w:val="1"/>
                <w:bCs w:val="1"/>
                <w:color w:val="auto"/>
                <w:w w:val="98"/>
              </w:rPr>
              <w:t>PRICE</w:t>
            </w:r>
          </w:p>
        </w:tc>
        <w:tc>
          <w:tcPr>
            <w:tcW w:w="1260" w:type="dxa"/>
            <w:vAlign w:val="bottom"/>
            <w:tcBorders>
              <w:right w:val="single" w:sz="8" w:color="008256"/>
            </w:tcBorders>
          </w:tcPr>
          <w:p>
            <w:pPr>
              <w:jc w:val="center"/>
              <w:spacing w:after="0"/>
              <w:rPr>
                <w:sz w:val="20"/>
                <w:szCs w:val="20"/>
                <w:color w:val="auto"/>
              </w:rPr>
            </w:pPr>
            <w:r>
              <w:rPr>
                <w:rFonts w:ascii="Arial" w:cs="Arial" w:eastAsia="Arial" w:hAnsi="Arial"/>
                <w:sz w:val="10"/>
                <w:szCs w:val="10"/>
                <w:b w:val="1"/>
                <w:bCs w:val="1"/>
                <w:color w:val="auto"/>
                <w:w w:val="98"/>
              </w:rPr>
              <w:t>EXPIRATION</w:t>
            </w:r>
          </w:p>
        </w:tc>
        <w:tc>
          <w:tcPr>
            <w:tcW w:w="1220" w:type="dxa"/>
            <w:vAlign w:val="bottom"/>
          </w:tcPr>
          <w:p>
            <w:pPr>
              <w:jc w:val="center"/>
              <w:ind w:left="207"/>
              <w:spacing w:after="0"/>
              <w:rPr>
                <w:sz w:val="20"/>
                <w:szCs w:val="20"/>
                <w:color w:val="auto"/>
              </w:rPr>
            </w:pPr>
            <w:r>
              <w:rPr>
                <w:rFonts w:ascii="Arial" w:cs="Arial" w:eastAsia="Arial" w:hAnsi="Arial"/>
                <w:sz w:val="10"/>
                <w:szCs w:val="10"/>
                <w:b w:val="1"/>
                <w:bCs w:val="1"/>
                <w:color w:val="auto"/>
              </w:rPr>
              <w:t>NOT VESTED</w:t>
            </w:r>
          </w:p>
        </w:tc>
        <w:tc>
          <w:tcPr>
            <w:tcW w:w="300" w:type="dxa"/>
            <w:vAlign w:val="bottom"/>
            <w:tcBorders>
              <w:right w:val="single" w:sz="8" w:color="008256"/>
            </w:tcBorders>
          </w:tcPr>
          <w:p>
            <w:pPr>
              <w:spacing w:after="0"/>
              <w:rPr>
                <w:sz w:val="10"/>
                <w:szCs w:val="10"/>
                <w:color w:val="auto"/>
              </w:rPr>
            </w:pPr>
          </w:p>
        </w:tc>
        <w:tc>
          <w:tcPr>
            <w:tcW w:w="280" w:type="dxa"/>
            <w:vAlign w:val="bottom"/>
          </w:tcPr>
          <w:p>
            <w:pPr>
              <w:spacing w:after="0"/>
              <w:rPr>
                <w:sz w:val="10"/>
                <w:szCs w:val="10"/>
                <w:color w:val="auto"/>
              </w:rPr>
            </w:pPr>
          </w:p>
        </w:tc>
        <w:tc>
          <w:tcPr>
            <w:tcW w:w="940" w:type="dxa"/>
            <w:vAlign w:val="bottom"/>
          </w:tcPr>
          <w:p>
            <w:pPr>
              <w:jc w:val="center"/>
              <w:ind w:right="247"/>
              <w:spacing w:after="0"/>
              <w:rPr>
                <w:sz w:val="20"/>
                <w:szCs w:val="20"/>
                <w:color w:val="auto"/>
              </w:rPr>
            </w:pPr>
            <w:r>
              <w:rPr>
                <w:rFonts w:ascii="Arial" w:cs="Arial" w:eastAsia="Arial" w:hAnsi="Arial"/>
                <w:sz w:val="10"/>
                <w:szCs w:val="10"/>
                <w:b w:val="1"/>
                <w:bCs w:val="1"/>
                <w:color w:val="auto"/>
                <w:w w:val="99"/>
              </w:rPr>
              <w:t>VESTED</w:t>
            </w:r>
          </w:p>
        </w:tc>
      </w:tr>
      <w:tr>
        <w:trPr>
          <w:trHeight w:val="179"/>
        </w:trPr>
        <w:tc>
          <w:tcPr>
            <w:tcW w:w="1600" w:type="dxa"/>
            <w:vAlign w:val="bottom"/>
            <w:tcBorders>
              <w:right w:val="single" w:sz="8" w:color="008256"/>
            </w:tcBorders>
          </w:tcPr>
          <w:p>
            <w:pPr>
              <w:ind w:left="80"/>
              <w:spacing w:after="0"/>
              <w:rPr>
                <w:sz w:val="20"/>
                <w:szCs w:val="20"/>
                <w:color w:val="auto"/>
              </w:rPr>
            </w:pPr>
            <w:r>
              <w:rPr>
                <w:rFonts w:ascii="Arial" w:cs="Arial" w:eastAsia="Arial" w:hAnsi="Arial"/>
                <w:sz w:val="10"/>
                <w:szCs w:val="10"/>
                <w:b w:val="1"/>
                <w:bCs w:val="1"/>
                <w:color w:val="auto"/>
              </w:rPr>
              <w:t>NAME</w:t>
            </w:r>
          </w:p>
        </w:tc>
        <w:tc>
          <w:tcPr>
            <w:tcW w:w="1400" w:type="dxa"/>
            <w:vAlign w:val="bottom"/>
            <w:tcBorders>
              <w:right w:val="single" w:sz="8" w:color="008256"/>
            </w:tcBorders>
          </w:tcPr>
          <w:p>
            <w:pPr>
              <w:jc w:val="center"/>
              <w:spacing w:after="0"/>
              <w:rPr>
                <w:sz w:val="20"/>
                <w:szCs w:val="20"/>
                <w:color w:val="auto"/>
              </w:rPr>
            </w:pPr>
            <w:r>
              <w:rPr>
                <w:rFonts w:ascii="Arial" w:cs="Arial" w:eastAsia="Arial" w:hAnsi="Arial"/>
                <w:sz w:val="10"/>
                <w:szCs w:val="10"/>
                <w:b w:val="1"/>
                <w:bCs w:val="1"/>
                <w:color w:val="auto"/>
                <w:w w:val="95"/>
              </w:rPr>
              <w:t>DATE</w:t>
            </w:r>
          </w:p>
        </w:tc>
        <w:tc>
          <w:tcPr>
            <w:tcW w:w="1220" w:type="dxa"/>
            <w:vAlign w:val="bottom"/>
          </w:tcPr>
          <w:p>
            <w:pPr>
              <w:jc w:val="center"/>
              <w:ind w:left="227"/>
              <w:spacing w:after="0"/>
              <w:rPr>
                <w:sz w:val="20"/>
                <w:szCs w:val="20"/>
                <w:color w:val="auto"/>
              </w:rPr>
            </w:pPr>
            <w:r>
              <w:rPr>
                <w:rFonts w:ascii="Arial" w:cs="Arial" w:eastAsia="Arial" w:hAnsi="Arial"/>
                <w:sz w:val="10"/>
                <w:szCs w:val="10"/>
                <w:b w:val="1"/>
                <w:bCs w:val="1"/>
                <w:color w:val="auto"/>
                <w:w w:val="98"/>
              </w:rPr>
              <w:t>EXERCISABLE</w:t>
            </w:r>
          </w:p>
        </w:tc>
        <w:tc>
          <w:tcPr>
            <w:tcW w:w="300" w:type="dxa"/>
            <w:vAlign w:val="bottom"/>
            <w:tcBorders>
              <w:right w:val="single" w:sz="8" w:color="008256"/>
            </w:tcBorders>
          </w:tcPr>
          <w:p>
            <w:pPr>
              <w:spacing w:after="0"/>
              <w:rPr>
                <w:sz w:val="15"/>
                <w:szCs w:val="15"/>
                <w:color w:val="auto"/>
              </w:rPr>
            </w:pPr>
          </w:p>
        </w:tc>
        <w:tc>
          <w:tcPr>
            <w:tcW w:w="1220" w:type="dxa"/>
            <w:vAlign w:val="bottom"/>
          </w:tcPr>
          <w:p>
            <w:pPr>
              <w:jc w:val="center"/>
              <w:ind w:left="207"/>
              <w:spacing w:after="0"/>
              <w:rPr>
                <w:sz w:val="20"/>
                <w:szCs w:val="20"/>
                <w:color w:val="auto"/>
              </w:rPr>
            </w:pPr>
            <w:r>
              <w:rPr>
                <w:rFonts w:ascii="Arial" w:cs="Arial" w:eastAsia="Arial" w:hAnsi="Arial"/>
                <w:sz w:val="10"/>
                <w:szCs w:val="10"/>
                <w:b w:val="1"/>
                <w:bCs w:val="1"/>
                <w:color w:val="auto"/>
                <w:w w:val="98"/>
              </w:rPr>
              <w:t>UNEXERCISABLE</w:t>
            </w:r>
          </w:p>
        </w:tc>
        <w:tc>
          <w:tcPr>
            <w:tcW w:w="300" w:type="dxa"/>
            <w:vAlign w:val="bottom"/>
            <w:tcBorders>
              <w:right w:val="single" w:sz="8" w:color="008256"/>
            </w:tcBorders>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Borders>
              <w:right w:val="single" w:sz="8" w:color="008256"/>
            </w:tcBorders>
          </w:tcPr>
          <w:p>
            <w:pPr>
              <w:jc w:val="center"/>
              <w:ind w:right="226"/>
              <w:spacing w:after="0"/>
              <w:rPr>
                <w:sz w:val="20"/>
                <w:szCs w:val="20"/>
                <w:color w:val="auto"/>
              </w:rPr>
            </w:pPr>
            <w:r>
              <w:rPr>
                <w:rFonts w:ascii="Arial" w:cs="Arial" w:eastAsia="Arial" w:hAnsi="Arial"/>
                <w:sz w:val="10"/>
                <w:szCs w:val="10"/>
                <w:b w:val="1"/>
                <w:bCs w:val="1"/>
                <w:color w:val="auto"/>
                <w:w w:val="97"/>
              </w:rPr>
              <w:t>($)</w:t>
            </w:r>
          </w:p>
        </w:tc>
        <w:tc>
          <w:tcPr>
            <w:tcW w:w="1260" w:type="dxa"/>
            <w:vAlign w:val="bottom"/>
            <w:tcBorders>
              <w:right w:val="single" w:sz="8" w:color="008256"/>
            </w:tcBorders>
          </w:tcPr>
          <w:p>
            <w:pPr>
              <w:jc w:val="center"/>
              <w:spacing w:after="0"/>
              <w:rPr>
                <w:sz w:val="20"/>
                <w:szCs w:val="20"/>
                <w:color w:val="auto"/>
              </w:rPr>
            </w:pPr>
            <w:r>
              <w:rPr>
                <w:rFonts w:ascii="Arial" w:cs="Arial" w:eastAsia="Arial" w:hAnsi="Arial"/>
                <w:sz w:val="10"/>
                <w:szCs w:val="10"/>
                <w:b w:val="1"/>
                <w:bCs w:val="1"/>
                <w:color w:val="auto"/>
                <w:w w:val="95"/>
              </w:rPr>
              <w:t>DATE</w:t>
            </w:r>
          </w:p>
        </w:tc>
        <w:tc>
          <w:tcPr>
            <w:tcW w:w="1220" w:type="dxa"/>
            <w:vAlign w:val="bottom"/>
          </w:tcPr>
          <w:p>
            <w:pPr>
              <w:jc w:val="center"/>
              <w:ind w:left="207"/>
              <w:spacing w:after="0"/>
              <w:rPr>
                <w:sz w:val="20"/>
                <w:szCs w:val="20"/>
                <w:color w:val="auto"/>
              </w:rPr>
            </w:pPr>
            <w:r>
              <w:rPr>
                <w:rFonts w:ascii="Arial" w:cs="Arial" w:eastAsia="Arial" w:hAnsi="Arial"/>
                <w:sz w:val="10"/>
                <w:szCs w:val="10"/>
                <w:b w:val="1"/>
                <w:bCs w:val="1"/>
                <w:color w:val="auto"/>
                <w:w w:val="97"/>
              </w:rPr>
              <w:t>(#)</w:t>
            </w:r>
          </w:p>
        </w:tc>
        <w:tc>
          <w:tcPr>
            <w:tcW w:w="300" w:type="dxa"/>
            <w:vAlign w:val="bottom"/>
            <w:tcBorders>
              <w:right w:val="single" w:sz="8" w:color="008256"/>
            </w:tcBorders>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center"/>
              <w:ind w:right="247"/>
              <w:spacing w:after="0"/>
              <w:rPr>
                <w:sz w:val="20"/>
                <w:szCs w:val="20"/>
                <w:color w:val="auto"/>
              </w:rPr>
            </w:pPr>
            <w:r>
              <w:rPr>
                <w:rFonts w:ascii="Arial" w:cs="Arial" w:eastAsia="Arial" w:hAnsi="Arial"/>
                <w:sz w:val="10"/>
                <w:szCs w:val="10"/>
                <w:b w:val="1"/>
                <w:bCs w:val="1"/>
                <w:color w:val="auto"/>
                <w:w w:val="90"/>
              </w:rPr>
              <w:t>($)</w:t>
            </w:r>
            <w:r>
              <w:rPr>
                <w:rFonts w:ascii="Arial" w:cs="Arial" w:eastAsia="Arial" w:hAnsi="Arial"/>
                <w:sz w:val="12"/>
                <w:szCs w:val="12"/>
                <w:b w:val="1"/>
                <w:bCs w:val="1"/>
                <w:color w:val="auto"/>
                <w:w w:val="90"/>
                <w:vertAlign w:val="superscript"/>
              </w:rPr>
              <w:t>(9)</w:t>
            </w:r>
          </w:p>
        </w:tc>
      </w:tr>
      <w:tr>
        <w:trPr>
          <w:trHeight w:val="48"/>
        </w:trPr>
        <w:tc>
          <w:tcPr>
            <w:tcW w:w="1600" w:type="dxa"/>
            <w:vAlign w:val="bottom"/>
            <w:tcBorders>
              <w:bottom w:val="single" w:sz="8" w:color="008256"/>
              <w:right w:val="single" w:sz="8" w:color="008256"/>
            </w:tcBorders>
          </w:tcPr>
          <w:p>
            <w:pPr>
              <w:spacing w:after="0"/>
              <w:rPr>
                <w:sz w:val="4"/>
                <w:szCs w:val="4"/>
                <w:color w:val="auto"/>
              </w:rPr>
            </w:pPr>
          </w:p>
        </w:tc>
        <w:tc>
          <w:tcPr>
            <w:tcW w:w="1400" w:type="dxa"/>
            <w:vAlign w:val="bottom"/>
            <w:tcBorders>
              <w:bottom w:val="single" w:sz="8" w:color="008256"/>
              <w:right w:val="single" w:sz="8" w:color="008256"/>
            </w:tcBorders>
          </w:tcPr>
          <w:p>
            <w:pPr>
              <w:spacing w:after="0"/>
              <w:rPr>
                <w:sz w:val="4"/>
                <w:szCs w:val="4"/>
                <w:color w:val="auto"/>
              </w:rPr>
            </w:pPr>
          </w:p>
        </w:tc>
        <w:tc>
          <w:tcPr>
            <w:tcW w:w="1220" w:type="dxa"/>
            <w:vAlign w:val="bottom"/>
            <w:tcBorders>
              <w:bottom w:val="single" w:sz="8" w:color="008256"/>
            </w:tcBorders>
          </w:tcPr>
          <w:p>
            <w:pPr>
              <w:spacing w:after="0"/>
              <w:rPr>
                <w:sz w:val="4"/>
                <w:szCs w:val="4"/>
                <w:color w:val="auto"/>
              </w:rPr>
            </w:pPr>
          </w:p>
        </w:tc>
        <w:tc>
          <w:tcPr>
            <w:tcW w:w="300" w:type="dxa"/>
            <w:vAlign w:val="bottom"/>
            <w:tcBorders>
              <w:bottom w:val="single" w:sz="8" w:color="008256"/>
              <w:right w:val="single" w:sz="8" w:color="008256"/>
            </w:tcBorders>
          </w:tcPr>
          <w:p>
            <w:pPr>
              <w:spacing w:after="0"/>
              <w:rPr>
                <w:sz w:val="4"/>
                <w:szCs w:val="4"/>
                <w:color w:val="auto"/>
              </w:rPr>
            </w:pPr>
          </w:p>
        </w:tc>
        <w:tc>
          <w:tcPr>
            <w:tcW w:w="1220" w:type="dxa"/>
            <w:vAlign w:val="bottom"/>
            <w:tcBorders>
              <w:bottom w:val="single" w:sz="8" w:color="008256"/>
            </w:tcBorders>
          </w:tcPr>
          <w:p>
            <w:pPr>
              <w:spacing w:after="0"/>
              <w:rPr>
                <w:sz w:val="4"/>
                <w:szCs w:val="4"/>
                <w:color w:val="auto"/>
              </w:rPr>
            </w:pPr>
          </w:p>
        </w:tc>
        <w:tc>
          <w:tcPr>
            <w:tcW w:w="300" w:type="dxa"/>
            <w:vAlign w:val="bottom"/>
            <w:tcBorders>
              <w:bottom w:val="single" w:sz="8" w:color="008256"/>
              <w:right w:val="single" w:sz="8" w:color="008256"/>
            </w:tcBorders>
          </w:tcPr>
          <w:p>
            <w:pPr>
              <w:spacing w:after="0"/>
              <w:rPr>
                <w:sz w:val="4"/>
                <w:szCs w:val="4"/>
                <w:color w:val="auto"/>
              </w:rPr>
            </w:pPr>
          </w:p>
        </w:tc>
        <w:tc>
          <w:tcPr>
            <w:tcW w:w="240" w:type="dxa"/>
            <w:vAlign w:val="bottom"/>
            <w:tcBorders>
              <w:bottom w:val="single" w:sz="8" w:color="008256"/>
            </w:tcBorders>
          </w:tcPr>
          <w:p>
            <w:pPr>
              <w:spacing w:after="0"/>
              <w:rPr>
                <w:sz w:val="4"/>
                <w:szCs w:val="4"/>
                <w:color w:val="auto"/>
              </w:rPr>
            </w:pPr>
          </w:p>
        </w:tc>
        <w:tc>
          <w:tcPr>
            <w:tcW w:w="1000" w:type="dxa"/>
            <w:vAlign w:val="bottom"/>
            <w:tcBorders>
              <w:bottom w:val="single" w:sz="8" w:color="008256"/>
              <w:right w:val="single" w:sz="8" w:color="008256"/>
            </w:tcBorders>
          </w:tcPr>
          <w:p>
            <w:pPr>
              <w:spacing w:after="0"/>
              <w:rPr>
                <w:sz w:val="4"/>
                <w:szCs w:val="4"/>
                <w:color w:val="auto"/>
              </w:rPr>
            </w:pPr>
          </w:p>
        </w:tc>
        <w:tc>
          <w:tcPr>
            <w:tcW w:w="1260" w:type="dxa"/>
            <w:vAlign w:val="bottom"/>
            <w:tcBorders>
              <w:bottom w:val="single" w:sz="8" w:color="008256"/>
              <w:right w:val="single" w:sz="8" w:color="008256"/>
            </w:tcBorders>
          </w:tcPr>
          <w:p>
            <w:pPr>
              <w:spacing w:after="0"/>
              <w:rPr>
                <w:sz w:val="4"/>
                <w:szCs w:val="4"/>
                <w:color w:val="auto"/>
              </w:rPr>
            </w:pPr>
          </w:p>
        </w:tc>
        <w:tc>
          <w:tcPr>
            <w:tcW w:w="1220" w:type="dxa"/>
            <w:vAlign w:val="bottom"/>
            <w:tcBorders>
              <w:bottom w:val="single" w:sz="8" w:color="008256"/>
            </w:tcBorders>
          </w:tcPr>
          <w:p>
            <w:pPr>
              <w:spacing w:after="0"/>
              <w:rPr>
                <w:sz w:val="4"/>
                <w:szCs w:val="4"/>
                <w:color w:val="auto"/>
              </w:rPr>
            </w:pPr>
          </w:p>
        </w:tc>
        <w:tc>
          <w:tcPr>
            <w:tcW w:w="300" w:type="dxa"/>
            <w:vAlign w:val="bottom"/>
            <w:tcBorders>
              <w:bottom w:val="single" w:sz="8" w:color="008256"/>
              <w:right w:val="single" w:sz="8" w:color="008256"/>
            </w:tcBorders>
          </w:tcPr>
          <w:p>
            <w:pPr>
              <w:spacing w:after="0"/>
              <w:rPr>
                <w:sz w:val="4"/>
                <w:szCs w:val="4"/>
                <w:color w:val="auto"/>
              </w:rPr>
            </w:pPr>
          </w:p>
        </w:tc>
        <w:tc>
          <w:tcPr>
            <w:tcW w:w="280" w:type="dxa"/>
            <w:vAlign w:val="bottom"/>
            <w:tcBorders>
              <w:bottom w:val="single" w:sz="8" w:color="008256"/>
            </w:tcBorders>
          </w:tcPr>
          <w:p>
            <w:pPr>
              <w:spacing w:after="0"/>
              <w:rPr>
                <w:sz w:val="4"/>
                <w:szCs w:val="4"/>
                <w:color w:val="auto"/>
              </w:rPr>
            </w:pPr>
          </w:p>
        </w:tc>
        <w:tc>
          <w:tcPr>
            <w:tcW w:w="940" w:type="dxa"/>
            <w:vAlign w:val="bottom"/>
            <w:tcBorders>
              <w:bottom w:val="single" w:sz="8" w:color="008256"/>
            </w:tcBorders>
          </w:tcPr>
          <w:p>
            <w:pPr>
              <w:spacing w:after="0"/>
              <w:rPr>
                <w:sz w:val="4"/>
                <w:szCs w:val="4"/>
                <w:color w:val="auto"/>
              </w:rPr>
            </w:pPr>
          </w:p>
        </w:tc>
      </w:tr>
      <w:tr>
        <w:trPr>
          <w:trHeight w:val="160"/>
        </w:trPr>
        <w:tc>
          <w:tcPr>
            <w:tcW w:w="1600" w:type="dxa"/>
            <w:vAlign w:val="bottom"/>
            <w:tcBorders>
              <w:right w:val="single" w:sz="8" w:color="008256"/>
            </w:tcBorders>
            <w:shd w:val="clear" w:color="auto" w:fill="E1F8F0"/>
          </w:tcPr>
          <w:p>
            <w:pPr>
              <w:ind w:left="20"/>
              <w:spacing w:after="0"/>
              <w:rPr>
                <w:sz w:val="20"/>
                <w:szCs w:val="20"/>
                <w:color w:val="auto"/>
              </w:rPr>
            </w:pPr>
            <w:r>
              <w:rPr>
                <w:rFonts w:ascii="Arial" w:cs="Arial" w:eastAsia="Arial" w:hAnsi="Arial"/>
                <w:sz w:val="11"/>
                <w:szCs w:val="11"/>
                <w:b w:val="1"/>
                <w:bCs w:val="1"/>
                <w:color w:val="auto"/>
              </w:rPr>
              <w:t>Tim Chen</w:t>
            </w:r>
          </w:p>
        </w:tc>
        <w:tc>
          <w:tcPr>
            <w:tcW w:w="1400" w:type="dxa"/>
            <w:vAlign w:val="bottom"/>
            <w:tcBorders>
              <w:right w:val="single" w:sz="8" w:color="008256"/>
            </w:tcBorders>
            <w:shd w:val="clear" w:color="auto" w:fill="E1F8F0"/>
          </w:tcPr>
          <w:p>
            <w:pPr>
              <w:jc w:val="center"/>
              <w:spacing w:after="0"/>
              <w:rPr>
                <w:sz w:val="20"/>
                <w:szCs w:val="20"/>
                <w:color w:val="auto"/>
              </w:rPr>
            </w:pPr>
            <w:r>
              <w:rPr>
                <w:rFonts w:ascii="Arial" w:cs="Arial" w:eastAsia="Arial" w:hAnsi="Arial"/>
                <w:sz w:val="11"/>
                <w:szCs w:val="11"/>
                <w:color w:val="auto"/>
              </w:rPr>
              <w:t>5/24/2021</w:t>
            </w:r>
          </w:p>
        </w:tc>
        <w:tc>
          <w:tcPr>
            <w:tcW w:w="1220" w:type="dxa"/>
            <w:vAlign w:val="bottom"/>
            <w:shd w:val="clear" w:color="auto" w:fill="E1F8F0"/>
          </w:tcPr>
          <w:p>
            <w:pPr>
              <w:jc w:val="right"/>
              <w:spacing w:after="0"/>
              <w:rPr>
                <w:sz w:val="20"/>
                <w:szCs w:val="20"/>
                <w:color w:val="auto"/>
              </w:rPr>
            </w:pPr>
            <w:r>
              <w:rPr>
                <w:rFonts w:ascii="Arial" w:cs="Arial" w:eastAsia="Arial" w:hAnsi="Arial"/>
                <w:sz w:val="11"/>
                <w:szCs w:val="11"/>
                <w:color w:val="auto"/>
              </w:rPr>
              <w:t>14,880</w:t>
            </w:r>
          </w:p>
        </w:tc>
        <w:tc>
          <w:tcPr>
            <w:tcW w:w="300" w:type="dxa"/>
            <w:vAlign w:val="bottom"/>
            <w:tcBorders>
              <w:right w:val="single" w:sz="8" w:color="008256"/>
            </w:tcBorders>
            <w:shd w:val="clear" w:color="auto" w:fill="E1F8F0"/>
          </w:tcPr>
          <w:p>
            <w:pPr>
              <w:spacing w:after="0"/>
              <w:rPr>
                <w:sz w:val="13"/>
                <w:szCs w:val="13"/>
                <w:color w:val="auto"/>
              </w:rPr>
            </w:pPr>
          </w:p>
        </w:tc>
        <w:tc>
          <w:tcPr>
            <w:tcW w:w="1220" w:type="dxa"/>
            <w:vAlign w:val="bottom"/>
            <w:shd w:val="clear" w:color="auto" w:fill="E1F8F0"/>
          </w:tcPr>
          <w:p>
            <w:pPr>
              <w:jc w:val="right"/>
              <w:spacing w:after="0"/>
              <w:rPr>
                <w:sz w:val="20"/>
                <w:szCs w:val="20"/>
                <w:color w:val="auto"/>
              </w:rPr>
            </w:pPr>
            <w:r>
              <w:rPr>
                <w:rFonts w:ascii="Arial" w:cs="Arial" w:eastAsia="Arial" w:hAnsi="Arial"/>
                <w:sz w:val="11"/>
                <w:szCs w:val="11"/>
                <w:color w:val="auto"/>
              </w:rPr>
              <w:t>4,960</w:t>
            </w:r>
          </w:p>
        </w:tc>
        <w:tc>
          <w:tcPr>
            <w:tcW w:w="300" w:type="dxa"/>
            <w:vAlign w:val="bottom"/>
            <w:tcBorders>
              <w:right w:val="single" w:sz="8" w:color="008256"/>
            </w:tcBorders>
            <w:shd w:val="clear" w:color="auto" w:fill="E1F8F0"/>
          </w:tcPr>
          <w:p>
            <w:pPr>
              <w:jc w:val="right"/>
              <w:ind w:right="163"/>
              <w:spacing w:after="0"/>
              <w:rPr>
                <w:sz w:val="20"/>
                <w:szCs w:val="20"/>
                <w:color w:val="auto"/>
              </w:rPr>
            </w:pPr>
            <w:r>
              <w:rPr>
                <w:rFonts w:ascii="Arial" w:cs="Arial" w:eastAsia="Arial" w:hAnsi="Arial"/>
                <w:sz w:val="7"/>
                <w:szCs w:val="7"/>
                <w:color w:val="auto"/>
                <w:w w:val="92"/>
              </w:rPr>
              <w:t>(1)</w:t>
            </w:r>
          </w:p>
        </w:tc>
        <w:tc>
          <w:tcPr>
            <w:tcW w:w="240" w:type="dxa"/>
            <w:vAlign w:val="bottom"/>
            <w:shd w:val="clear" w:color="auto" w:fill="E1F8F0"/>
          </w:tcPr>
          <w:p>
            <w:pPr>
              <w:spacing w:after="0"/>
              <w:rPr>
                <w:sz w:val="13"/>
                <w:szCs w:val="13"/>
                <w:color w:val="auto"/>
              </w:rPr>
            </w:pPr>
          </w:p>
        </w:tc>
        <w:tc>
          <w:tcPr>
            <w:tcW w:w="1000" w:type="dxa"/>
            <w:vAlign w:val="bottom"/>
            <w:tcBorders>
              <w:right w:val="single" w:sz="8" w:color="008256"/>
            </w:tcBorders>
            <w:shd w:val="clear" w:color="auto" w:fill="E1F8F0"/>
          </w:tcPr>
          <w:p>
            <w:pPr>
              <w:jc w:val="right"/>
              <w:ind w:right="26"/>
              <w:spacing w:after="0"/>
              <w:rPr>
                <w:sz w:val="20"/>
                <w:szCs w:val="20"/>
                <w:color w:val="auto"/>
              </w:rPr>
            </w:pPr>
            <w:r>
              <w:rPr>
                <w:rFonts w:ascii="Arial" w:cs="Arial" w:eastAsia="Arial" w:hAnsi="Arial"/>
                <w:sz w:val="11"/>
                <w:szCs w:val="11"/>
                <w:color w:val="auto"/>
              </w:rPr>
              <w:t>$22.18</w:t>
            </w:r>
          </w:p>
        </w:tc>
        <w:tc>
          <w:tcPr>
            <w:tcW w:w="1260" w:type="dxa"/>
            <w:vAlign w:val="bottom"/>
            <w:tcBorders>
              <w:right w:val="single" w:sz="8" w:color="008256"/>
            </w:tcBorders>
            <w:shd w:val="clear" w:color="auto" w:fill="E1F8F0"/>
          </w:tcPr>
          <w:p>
            <w:pPr>
              <w:jc w:val="center"/>
              <w:spacing w:after="0"/>
              <w:rPr>
                <w:sz w:val="20"/>
                <w:szCs w:val="20"/>
                <w:color w:val="auto"/>
              </w:rPr>
            </w:pPr>
            <w:r>
              <w:rPr>
                <w:rFonts w:ascii="Arial" w:cs="Arial" w:eastAsia="Arial" w:hAnsi="Arial"/>
                <w:sz w:val="11"/>
                <w:szCs w:val="11"/>
                <w:color w:val="auto"/>
              </w:rPr>
              <w:t>5/24/2026</w:t>
            </w:r>
          </w:p>
        </w:tc>
        <w:tc>
          <w:tcPr>
            <w:tcW w:w="1220" w:type="dxa"/>
            <w:vAlign w:val="bottom"/>
            <w:shd w:val="clear" w:color="auto" w:fill="E1F8F0"/>
          </w:tcPr>
          <w:p>
            <w:pPr>
              <w:spacing w:after="0"/>
              <w:rPr>
                <w:sz w:val="13"/>
                <w:szCs w:val="13"/>
                <w:color w:val="auto"/>
              </w:rPr>
            </w:pPr>
          </w:p>
        </w:tc>
        <w:tc>
          <w:tcPr>
            <w:tcW w:w="300" w:type="dxa"/>
            <w:vAlign w:val="bottom"/>
            <w:tcBorders>
              <w:right w:val="single" w:sz="8" w:color="008256"/>
            </w:tcBorders>
            <w:shd w:val="clear" w:color="auto" w:fill="E1F8F0"/>
          </w:tcPr>
          <w:p>
            <w:pPr>
              <w:spacing w:after="0"/>
              <w:rPr>
                <w:sz w:val="13"/>
                <w:szCs w:val="13"/>
                <w:color w:val="auto"/>
              </w:rPr>
            </w:pPr>
          </w:p>
        </w:tc>
        <w:tc>
          <w:tcPr>
            <w:tcW w:w="280" w:type="dxa"/>
            <w:vAlign w:val="bottom"/>
            <w:shd w:val="clear" w:color="auto" w:fill="E1F8F0"/>
          </w:tcPr>
          <w:p>
            <w:pPr>
              <w:spacing w:after="0"/>
              <w:rPr>
                <w:sz w:val="13"/>
                <w:szCs w:val="13"/>
                <w:color w:val="auto"/>
              </w:rPr>
            </w:pPr>
          </w:p>
        </w:tc>
        <w:tc>
          <w:tcPr>
            <w:tcW w:w="940" w:type="dxa"/>
            <w:vAlign w:val="bottom"/>
            <w:shd w:val="clear" w:color="auto" w:fill="E1F8F0"/>
          </w:tcPr>
          <w:p>
            <w:pPr>
              <w:spacing w:after="0"/>
              <w:rPr>
                <w:sz w:val="13"/>
                <w:szCs w:val="13"/>
                <w:color w:val="auto"/>
              </w:rPr>
            </w:pPr>
          </w:p>
        </w:tc>
      </w:tr>
      <w:tr>
        <w:trPr>
          <w:trHeight w:val="174"/>
        </w:trPr>
        <w:tc>
          <w:tcPr>
            <w:tcW w:w="1600" w:type="dxa"/>
            <w:vAlign w:val="bottom"/>
            <w:tcBorders>
              <w:right w:val="single" w:sz="8" w:color="008256"/>
            </w:tcBorders>
            <w:shd w:val="clear" w:color="auto" w:fill="E1F8F0"/>
          </w:tcPr>
          <w:p>
            <w:pPr>
              <w:spacing w:after="0"/>
              <w:rPr>
                <w:sz w:val="15"/>
                <w:szCs w:val="15"/>
                <w:color w:val="auto"/>
              </w:rPr>
            </w:pPr>
          </w:p>
        </w:tc>
        <w:tc>
          <w:tcPr>
            <w:tcW w:w="1400" w:type="dxa"/>
            <w:vAlign w:val="bottom"/>
            <w:tcBorders>
              <w:right w:val="single" w:sz="8" w:color="008256"/>
            </w:tcBorders>
            <w:shd w:val="clear" w:color="auto" w:fill="E1F8F0"/>
          </w:tcPr>
          <w:p>
            <w:pPr>
              <w:jc w:val="center"/>
              <w:spacing w:after="0"/>
              <w:rPr>
                <w:sz w:val="20"/>
                <w:szCs w:val="20"/>
                <w:color w:val="auto"/>
              </w:rPr>
            </w:pPr>
            <w:r>
              <w:rPr>
                <w:rFonts w:ascii="Arial" w:cs="Arial" w:eastAsia="Arial" w:hAnsi="Arial"/>
                <w:sz w:val="11"/>
                <w:szCs w:val="11"/>
                <w:color w:val="auto"/>
              </w:rPr>
              <w:t>5/24/2021</w:t>
            </w:r>
          </w:p>
        </w:tc>
        <w:tc>
          <w:tcPr>
            <w:tcW w:w="1220" w:type="dxa"/>
            <w:vAlign w:val="bottom"/>
            <w:shd w:val="clear" w:color="auto" w:fill="E1F8F0"/>
          </w:tcPr>
          <w:p>
            <w:pPr>
              <w:jc w:val="right"/>
              <w:spacing w:after="0"/>
              <w:rPr>
                <w:sz w:val="20"/>
                <w:szCs w:val="20"/>
                <w:color w:val="auto"/>
              </w:rPr>
            </w:pPr>
            <w:r>
              <w:rPr>
                <w:rFonts w:ascii="Arial" w:cs="Arial" w:eastAsia="Arial" w:hAnsi="Arial"/>
                <w:sz w:val="11"/>
                <w:szCs w:val="11"/>
                <w:color w:val="auto"/>
              </w:rPr>
              <w:t>410,644</w:t>
            </w:r>
          </w:p>
        </w:tc>
        <w:tc>
          <w:tcPr>
            <w:tcW w:w="300" w:type="dxa"/>
            <w:vAlign w:val="bottom"/>
            <w:tcBorders>
              <w:right w:val="single" w:sz="8" w:color="008256"/>
            </w:tcBorders>
            <w:shd w:val="clear" w:color="auto" w:fill="E1F8F0"/>
          </w:tcPr>
          <w:p>
            <w:pPr>
              <w:spacing w:after="0"/>
              <w:rPr>
                <w:sz w:val="15"/>
                <w:szCs w:val="15"/>
                <w:color w:val="auto"/>
              </w:rPr>
            </w:pPr>
          </w:p>
        </w:tc>
        <w:tc>
          <w:tcPr>
            <w:tcW w:w="1220" w:type="dxa"/>
            <w:vAlign w:val="bottom"/>
            <w:shd w:val="clear" w:color="auto" w:fill="E1F8F0"/>
          </w:tcPr>
          <w:p>
            <w:pPr>
              <w:jc w:val="right"/>
              <w:spacing w:after="0"/>
              <w:rPr>
                <w:sz w:val="20"/>
                <w:szCs w:val="20"/>
                <w:color w:val="auto"/>
              </w:rPr>
            </w:pPr>
            <w:r>
              <w:rPr>
                <w:rFonts w:ascii="Arial" w:cs="Arial" w:eastAsia="Arial" w:hAnsi="Arial"/>
                <w:sz w:val="11"/>
                <w:szCs w:val="11"/>
                <w:color w:val="auto"/>
              </w:rPr>
              <w:t>44,516</w:t>
            </w:r>
          </w:p>
        </w:tc>
        <w:tc>
          <w:tcPr>
            <w:tcW w:w="300" w:type="dxa"/>
            <w:vAlign w:val="bottom"/>
            <w:tcBorders>
              <w:right w:val="single" w:sz="8" w:color="008256"/>
            </w:tcBorders>
            <w:shd w:val="clear" w:color="auto" w:fill="E1F8F0"/>
          </w:tcPr>
          <w:p>
            <w:pPr>
              <w:jc w:val="right"/>
              <w:ind w:right="163"/>
              <w:spacing w:after="0"/>
              <w:rPr>
                <w:sz w:val="20"/>
                <w:szCs w:val="20"/>
                <w:color w:val="auto"/>
              </w:rPr>
            </w:pPr>
            <w:r>
              <w:rPr>
                <w:rFonts w:ascii="Arial" w:cs="Arial" w:eastAsia="Arial" w:hAnsi="Arial"/>
                <w:sz w:val="7"/>
                <w:szCs w:val="7"/>
                <w:color w:val="auto"/>
                <w:w w:val="92"/>
              </w:rPr>
              <w:t>(1)</w:t>
            </w:r>
          </w:p>
        </w:tc>
        <w:tc>
          <w:tcPr>
            <w:tcW w:w="240" w:type="dxa"/>
            <w:vAlign w:val="bottom"/>
            <w:shd w:val="clear" w:color="auto" w:fill="E1F8F0"/>
          </w:tcPr>
          <w:p>
            <w:pPr>
              <w:spacing w:after="0"/>
              <w:rPr>
                <w:sz w:val="15"/>
                <w:szCs w:val="15"/>
                <w:color w:val="auto"/>
              </w:rPr>
            </w:pPr>
          </w:p>
        </w:tc>
        <w:tc>
          <w:tcPr>
            <w:tcW w:w="1000" w:type="dxa"/>
            <w:vAlign w:val="bottom"/>
            <w:tcBorders>
              <w:right w:val="single" w:sz="8" w:color="008256"/>
            </w:tcBorders>
            <w:shd w:val="clear" w:color="auto" w:fill="E1F8F0"/>
          </w:tcPr>
          <w:p>
            <w:pPr>
              <w:jc w:val="right"/>
              <w:ind w:right="26"/>
              <w:spacing w:after="0"/>
              <w:rPr>
                <w:sz w:val="20"/>
                <w:szCs w:val="20"/>
                <w:color w:val="auto"/>
              </w:rPr>
            </w:pPr>
            <w:r>
              <w:rPr>
                <w:rFonts w:ascii="Arial" w:cs="Arial" w:eastAsia="Arial" w:hAnsi="Arial"/>
                <w:sz w:val="11"/>
                <w:szCs w:val="11"/>
                <w:color w:val="auto"/>
              </w:rPr>
              <w:t>$20.16</w:t>
            </w:r>
          </w:p>
        </w:tc>
        <w:tc>
          <w:tcPr>
            <w:tcW w:w="1260" w:type="dxa"/>
            <w:vAlign w:val="bottom"/>
            <w:tcBorders>
              <w:right w:val="single" w:sz="8" w:color="008256"/>
            </w:tcBorders>
            <w:shd w:val="clear" w:color="auto" w:fill="E1F8F0"/>
          </w:tcPr>
          <w:p>
            <w:pPr>
              <w:jc w:val="center"/>
              <w:spacing w:after="0"/>
              <w:rPr>
                <w:sz w:val="20"/>
                <w:szCs w:val="20"/>
                <w:color w:val="auto"/>
              </w:rPr>
            </w:pPr>
            <w:r>
              <w:rPr>
                <w:rFonts w:ascii="Arial" w:cs="Arial" w:eastAsia="Arial" w:hAnsi="Arial"/>
                <w:sz w:val="11"/>
                <w:szCs w:val="11"/>
                <w:color w:val="auto"/>
              </w:rPr>
              <w:t>5/24/2031</w:t>
            </w:r>
          </w:p>
        </w:tc>
        <w:tc>
          <w:tcPr>
            <w:tcW w:w="1220" w:type="dxa"/>
            <w:vAlign w:val="bottom"/>
            <w:shd w:val="clear" w:color="auto" w:fill="E1F8F0"/>
          </w:tcPr>
          <w:p>
            <w:pPr>
              <w:spacing w:after="0"/>
              <w:rPr>
                <w:sz w:val="15"/>
                <w:szCs w:val="15"/>
                <w:color w:val="auto"/>
              </w:rPr>
            </w:pPr>
          </w:p>
        </w:tc>
        <w:tc>
          <w:tcPr>
            <w:tcW w:w="300" w:type="dxa"/>
            <w:vAlign w:val="bottom"/>
            <w:tcBorders>
              <w:right w:val="single" w:sz="8" w:color="008256"/>
            </w:tcBorders>
            <w:shd w:val="clear" w:color="auto" w:fill="E1F8F0"/>
          </w:tcPr>
          <w:p>
            <w:pPr>
              <w:spacing w:after="0"/>
              <w:rPr>
                <w:sz w:val="15"/>
                <w:szCs w:val="15"/>
                <w:color w:val="auto"/>
              </w:rPr>
            </w:pPr>
          </w:p>
        </w:tc>
        <w:tc>
          <w:tcPr>
            <w:tcW w:w="280" w:type="dxa"/>
            <w:vAlign w:val="bottom"/>
            <w:shd w:val="clear" w:color="auto" w:fill="E1F8F0"/>
          </w:tcPr>
          <w:p>
            <w:pPr>
              <w:spacing w:after="0"/>
              <w:rPr>
                <w:sz w:val="15"/>
                <w:szCs w:val="15"/>
                <w:color w:val="auto"/>
              </w:rPr>
            </w:pPr>
          </w:p>
        </w:tc>
        <w:tc>
          <w:tcPr>
            <w:tcW w:w="940" w:type="dxa"/>
            <w:vAlign w:val="bottom"/>
            <w:shd w:val="clear" w:color="auto" w:fill="E1F8F0"/>
          </w:tcPr>
          <w:p>
            <w:pPr>
              <w:spacing w:after="0"/>
              <w:rPr>
                <w:sz w:val="15"/>
                <w:szCs w:val="15"/>
                <w:color w:val="auto"/>
              </w:rPr>
            </w:pPr>
          </w:p>
        </w:tc>
      </w:tr>
      <w:tr>
        <w:trPr>
          <w:trHeight w:val="180"/>
        </w:trPr>
        <w:tc>
          <w:tcPr>
            <w:tcW w:w="1600" w:type="dxa"/>
            <w:vAlign w:val="bottom"/>
            <w:tcBorders>
              <w:right w:val="single" w:sz="8" w:color="008256"/>
            </w:tcBorders>
            <w:shd w:val="clear" w:color="auto" w:fill="E1F8F0"/>
          </w:tcPr>
          <w:p>
            <w:pPr>
              <w:spacing w:after="0"/>
              <w:rPr>
                <w:sz w:val="15"/>
                <w:szCs w:val="15"/>
                <w:color w:val="auto"/>
              </w:rPr>
            </w:pPr>
          </w:p>
        </w:tc>
        <w:tc>
          <w:tcPr>
            <w:tcW w:w="1400" w:type="dxa"/>
            <w:vAlign w:val="bottom"/>
            <w:tcBorders>
              <w:right w:val="single" w:sz="8" w:color="008256"/>
            </w:tcBorders>
            <w:shd w:val="clear" w:color="auto" w:fill="E1F8F0"/>
          </w:tcPr>
          <w:p>
            <w:pPr>
              <w:jc w:val="center"/>
              <w:spacing w:after="0"/>
              <w:rPr>
                <w:sz w:val="20"/>
                <w:szCs w:val="20"/>
                <w:color w:val="auto"/>
              </w:rPr>
            </w:pPr>
            <w:r>
              <w:rPr>
                <w:rFonts w:ascii="Arial" w:cs="Arial" w:eastAsia="Arial" w:hAnsi="Arial"/>
                <w:sz w:val="11"/>
                <w:szCs w:val="11"/>
                <w:color w:val="auto"/>
              </w:rPr>
              <w:t>7/1/2022</w:t>
            </w:r>
          </w:p>
        </w:tc>
        <w:tc>
          <w:tcPr>
            <w:tcW w:w="1220" w:type="dxa"/>
            <w:vAlign w:val="bottom"/>
            <w:shd w:val="clear" w:color="auto" w:fill="E1F8F0"/>
          </w:tcPr>
          <w:p>
            <w:pPr>
              <w:jc w:val="right"/>
              <w:spacing w:after="0"/>
              <w:rPr>
                <w:sz w:val="20"/>
                <w:szCs w:val="20"/>
                <w:color w:val="auto"/>
              </w:rPr>
            </w:pPr>
            <w:r>
              <w:rPr>
                <w:rFonts w:ascii="Arial" w:cs="Arial" w:eastAsia="Arial" w:hAnsi="Arial"/>
                <w:sz w:val="11"/>
                <w:szCs w:val="11"/>
                <w:color w:val="auto"/>
              </w:rPr>
              <w:t>—</w:t>
            </w:r>
          </w:p>
        </w:tc>
        <w:tc>
          <w:tcPr>
            <w:tcW w:w="300" w:type="dxa"/>
            <w:vAlign w:val="bottom"/>
            <w:tcBorders>
              <w:right w:val="single" w:sz="8" w:color="008256"/>
            </w:tcBorders>
            <w:shd w:val="clear" w:color="auto" w:fill="E1F8F0"/>
          </w:tcPr>
          <w:p>
            <w:pPr>
              <w:spacing w:after="0"/>
              <w:rPr>
                <w:sz w:val="15"/>
                <w:szCs w:val="15"/>
                <w:color w:val="auto"/>
              </w:rPr>
            </w:pPr>
          </w:p>
        </w:tc>
        <w:tc>
          <w:tcPr>
            <w:tcW w:w="1220" w:type="dxa"/>
            <w:vAlign w:val="bottom"/>
            <w:shd w:val="clear" w:color="auto" w:fill="E1F8F0"/>
          </w:tcPr>
          <w:p>
            <w:pPr>
              <w:jc w:val="right"/>
              <w:spacing w:after="0"/>
              <w:rPr>
                <w:sz w:val="20"/>
                <w:szCs w:val="20"/>
                <w:color w:val="auto"/>
              </w:rPr>
            </w:pPr>
            <w:r>
              <w:rPr>
                <w:rFonts w:ascii="Arial" w:cs="Arial" w:eastAsia="Arial" w:hAnsi="Arial"/>
                <w:sz w:val="11"/>
                <w:szCs w:val="11"/>
                <w:color w:val="auto"/>
              </w:rPr>
              <w:t>11,990</w:t>
            </w:r>
          </w:p>
        </w:tc>
        <w:tc>
          <w:tcPr>
            <w:tcW w:w="300" w:type="dxa"/>
            <w:vAlign w:val="bottom"/>
            <w:tcBorders>
              <w:right w:val="single" w:sz="8" w:color="008256"/>
            </w:tcBorders>
            <w:shd w:val="clear" w:color="auto" w:fill="E1F8F0"/>
          </w:tcPr>
          <w:p>
            <w:pPr>
              <w:jc w:val="right"/>
              <w:ind w:right="163"/>
              <w:spacing w:after="0"/>
              <w:rPr>
                <w:sz w:val="20"/>
                <w:szCs w:val="20"/>
                <w:color w:val="auto"/>
              </w:rPr>
            </w:pPr>
            <w:r>
              <w:rPr>
                <w:rFonts w:ascii="Arial" w:cs="Arial" w:eastAsia="Arial" w:hAnsi="Arial"/>
                <w:sz w:val="7"/>
                <w:szCs w:val="7"/>
                <w:color w:val="auto"/>
                <w:w w:val="92"/>
              </w:rPr>
              <w:t>(2)</w:t>
            </w:r>
          </w:p>
        </w:tc>
        <w:tc>
          <w:tcPr>
            <w:tcW w:w="240" w:type="dxa"/>
            <w:vAlign w:val="bottom"/>
            <w:shd w:val="clear" w:color="auto" w:fill="E1F8F0"/>
          </w:tcPr>
          <w:p>
            <w:pPr>
              <w:spacing w:after="0"/>
              <w:rPr>
                <w:sz w:val="15"/>
                <w:szCs w:val="15"/>
                <w:color w:val="auto"/>
              </w:rPr>
            </w:pPr>
          </w:p>
        </w:tc>
        <w:tc>
          <w:tcPr>
            <w:tcW w:w="1000" w:type="dxa"/>
            <w:vAlign w:val="bottom"/>
            <w:tcBorders>
              <w:right w:val="single" w:sz="8" w:color="008256"/>
            </w:tcBorders>
            <w:shd w:val="clear" w:color="auto" w:fill="E1F8F0"/>
          </w:tcPr>
          <w:p>
            <w:pPr>
              <w:jc w:val="right"/>
              <w:ind w:right="26"/>
              <w:spacing w:after="0"/>
              <w:rPr>
                <w:sz w:val="20"/>
                <w:szCs w:val="20"/>
                <w:color w:val="auto"/>
              </w:rPr>
            </w:pPr>
            <w:r>
              <w:rPr>
                <w:rFonts w:ascii="Arial" w:cs="Arial" w:eastAsia="Arial" w:hAnsi="Arial"/>
                <w:sz w:val="11"/>
                <w:szCs w:val="11"/>
                <w:color w:val="auto"/>
              </w:rPr>
              <w:t>$9.17</w:t>
            </w:r>
          </w:p>
        </w:tc>
        <w:tc>
          <w:tcPr>
            <w:tcW w:w="1260" w:type="dxa"/>
            <w:vAlign w:val="bottom"/>
            <w:tcBorders>
              <w:right w:val="single" w:sz="8" w:color="008256"/>
            </w:tcBorders>
            <w:shd w:val="clear" w:color="auto" w:fill="E1F8F0"/>
          </w:tcPr>
          <w:p>
            <w:pPr>
              <w:jc w:val="center"/>
              <w:spacing w:after="0"/>
              <w:rPr>
                <w:sz w:val="20"/>
                <w:szCs w:val="20"/>
                <w:color w:val="auto"/>
              </w:rPr>
            </w:pPr>
            <w:r>
              <w:rPr>
                <w:rFonts w:ascii="Arial" w:cs="Arial" w:eastAsia="Arial" w:hAnsi="Arial"/>
                <w:sz w:val="11"/>
                <w:szCs w:val="11"/>
                <w:color w:val="auto"/>
              </w:rPr>
              <w:t>7/1/2027</w:t>
            </w:r>
          </w:p>
        </w:tc>
        <w:tc>
          <w:tcPr>
            <w:tcW w:w="1220" w:type="dxa"/>
            <w:vAlign w:val="bottom"/>
            <w:shd w:val="clear" w:color="auto" w:fill="E1F8F0"/>
          </w:tcPr>
          <w:p>
            <w:pPr>
              <w:jc w:val="right"/>
              <w:spacing w:after="0"/>
              <w:rPr>
                <w:sz w:val="20"/>
                <w:szCs w:val="20"/>
                <w:color w:val="auto"/>
              </w:rPr>
            </w:pPr>
            <w:r>
              <w:rPr>
                <w:rFonts w:ascii="Arial" w:cs="Arial" w:eastAsia="Arial" w:hAnsi="Arial"/>
                <w:sz w:val="11"/>
                <w:szCs w:val="11"/>
                <w:color w:val="auto"/>
              </w:rPr>
              <w:t>89,815</w:t>
            </w:r>
          </w:p>
        </w:tc>
        <w:tc>
          <w:tcPr>
            <w:tcW w:w="300" w:type="dxa"/>
            <w:vAlign w:val="bottom"/>
            <w:tcBorders>
              <w:right w:val="single" w:sz="8" w:color="008256"/>
            </w:tcBorders>
            <w:shd w:val="clear" w:color="auto" w:fill="E1F8F0"/>
          </w:tcPr>
          <w:p>
            <w:pPr>
              <w:jc w:val="right"/>
              <w:ind w:right="163"/>
              <w:spacing w:after="0"/>
              <w:rPr>
                <w:sz w:val="20"/>
                <w:szCs w:val="20"/>
                <w:color w:val="auto"/>
              </w:rPr>
            </w:pPr>
            <w:r>
              <w:rPr>
                <w:rFonts w:ascii="Arial" w:cs="Arial" w:eastAsia="Arial" w:hAnsi="Arial"/>
                <w:sz w:val="7"/>
                <w:szCs w:val="7"/>
                <w:color w:val="auto"/>
                <w:w w:val="92"/>
              </w:rPr>
              <w:t>(7)</w:t>
            </w:r>
          </w:p>
        </w:tc>
        <w:tc>
          <w:tcPr>
            <w:tcW w:w="280" w:type="dxa"/>
            <w:vAlign w:val="bottom"/>
            <w:shd w:val="clear" w:color="auto" w:fill="E1F8F0"/>
          </w:tcPr>
          <w:p>
            <w:pPr>
              <w:spacing w:after="0"/>
              <w:rPr>
                <w:sz w:val="15"/>
                <w:szCs w:val="15"/>
                <w:color w:val="auto"/>
              </w:rPr>
            </w:pPr>
          </w:p>
        </w:tc>
        <w:tc>
          <w:tcPr>
            <w:tcW w:w="940" w:type="dxa"/>
            <w:vAlign w:val="bottom"/>
            <w:shd w:val="clear" w:color="auto" w:fill="E1F8F0"/>
          </w:tcPr>
          <w:p>
            <w:pPr>
              <w:jc w:val="right"/>
              <w:spacing w:after="0"/>
              <w:rPr>
                <w:sz w:val="20"/>
                <w:szCs w:val="20"/>
                <w:color w:val="auto"/>
              </w:rPr>
            </w:pPr>
            <w:r>
              <w:rPr>
                <w:rFonts w:ascii="Arial" w:cs="Arial" w:eastAsia="Arial" w:hAnsi="Arial"/>
                <w:sz w:val="11"/>
                <w:szCs w:val="11"/>
                <w:color w:val="auto"/>
              </w:rPr>
              <w:t>1,194,540</w:t>
            </w:r>
          </w:p>
        </w:tc>
      </w:tr>
      <w:tr>
        <w:trPr>
          <w:trHeight w:val="180"/>
        </w:trPr>
        <w:tc>
          <w:tcPr>
            <w:tcW w:w="1600" w:type="dxa"/>
            <w:vAlign w:val="bottom"/>
            <w:tcBorders>
              <w:right w:val="single" w:sz="8" w:color="008256"/>
            </w:tcBorders>
            <w:shd w:val="clear" w:color="auto" w:fill="E1F8F0"/>
          </w:tcPr>
          <w:p>
            <w:pPr>
              <w:spacing w:after="0"/>
              <w:rPr>
                <w:sz w:val="15"/>
                <w:szCs w:val="15"/>
                <w:color w:val="auto"/>
              </w:rPr>
            </w:pPr>
          </w:p>
        </w:tc>
        <w:tc>
          <w:tcPr>
            <w:tcW w:w="1400" w:type="dxa"/>
            <w:vAlign w:val="bottom"/>
            <w:tcBorders>
              <w:right w:val="single" w:sz="8" w:color="008256"/>
            </w:tcBorders>
            <w:shd w:val="clear" w:color="auto" w:fill="E1F8F0"/>
          </w:tcPr>
          <w:p>
            <w:pPr>
              <w:jc w:val="center"/>
              <w:spacing w:after="0"/>
              <w:rPr>
                <w:sz w:val="20"/>
                <w:szCs w:val="20"/>
                <w:color w:val="auto"/>
              </w:rPr>
            </w:pPr>
            <w:r>
              <w:rPr>
                <w:rFonts w:ascii="Arial" w:cs="Arial" w:eastAsia="Arial" w:hAnsi="Arial"/>
                <w:sz w:val="11"/>
                <w:szCs w:val="11"/>
                <w:color w:val="auto"/>
              </w:rPr>
              <w:t>7/1/2022</w:t>
            </w:r>
          </w:p>
        </w:tc>
        <w:tc>
          <w:tcPr>
            <w:tcW w:w="1220" w:type="dxa"/>
            <w:vAlign w:val="bottom"/>
            <w:shd w:val="clear" w:color="auto" w:fill="E1F8F0"/>
          </w:tcPr>
          <w:p>
            <w:pPr>
              <w:jc w:val="right"/>
              <w:spacing w:after="0"/>
              <w:rPr>
                <w:sz w:val="20"/>
                <w:szCs w:val="20"/>
                <w:color w:val="auto"/>
              </w:rPr>
            </w:pPr>
            <w:r>
              <w:rPr>
                <w:rFonts w:ascii="Arial" w:cs="Arial" w:eastAsia="Arial" w:hAnsi="Arial"/>
                <w:sz w:val="11"/>
                <w:szCs w:val="11"/>
                <w:color w:val="auto"/>
              </w:rPr>
              <w:t>361,755</w:t>
            </w:r>
          </w:p>
        </w:tc>
        <w:tc>
          <w:tcPr>
            <w:tcW w:w="300" w:type="dxa"/>
            <w:vAlign w:val="bottom"/>
            <w:tcBorders>
              <w:right w:val="single" w:sz="8" w:color="008256"/>
            </w:tcBorders>
            <w:shd w:val="clear" w:color="auto" w:fill="E1F8F0"/>
          </w:tcPr>
          <w:p>
            <w:pPr>
              <w:spacing w:after="0"/>
              <w:rPr>
                <w:sz w:val="15"/>
                <w:szCs w:val="15"/>
                <w:color w:val="auto"/>
              </w:rPr>
            </w:pPr>
          </w:p>
        </w:tc>
        <w:tc>
          <w:tcPr>
            <w:tcW w:w="1220" w:type="dxa"/>
            <w:vAlign w:val="bottom"/>
            <w:shd w:val="clear" w:color="auto" w:fill="E1F8F0"/>
          </w:tcPr>
          <w:p>
            <w:pPr>
              <w:jc w:val="right"/>
              <w:spacing w:after="0"/>
              <w:rPr>
                <w:sz w:val="20"/>
                <w:szCs w:val="20"/>
                <w:color w:val="auto"/>
              </w:rPr>
            </w:pPr>
            <w:r>
              <w:rPr>
                <w:rFonts w:ascii="Arial" w:cs="Arial" w:eastAsia="Arial" w:hAnsi="Arial"/>
                <w:sz w:val="11"/>
                <w:szCs w:val="11"/>
                <w:color w:val="auto"/>
              </w:rPr>
              <w:t>225,023</w:t>
            </w:r>
          </w:p>
        </w:tc>
        <w:tc>
          <w:tcPr>
            <w:tcW w:w="300" w:type="dxa"/>
            <w:vAlign w:val="bottom"/>
            <w:tcBorders>
              <w:right w:val="single" w:sz="8" w:color="008256"/>
            </w:tcBorders>
            <w:shd w:val="clear" w:color="auto" w:fill="E1F8F0"/>
          </w:tcPr>
          <w:p>
            <w:pPr>
              <w:jc w:val="right"/>
              <w:ind w:right="163"/>
              <w:spacing w:after="0"/>
              <w:rPr>
                <w:sz w:val="20"/>
                <w:szCs w:val="20"/>
                <w:color w:val="auto"/>
              </w:rPr>
            </w:pPr>
            <w:r>
              <w:rPr>
                <w:rFonts w:ascii="Arial" w:cs="Arial" w:eastAsia="Arial" w:hAnsi="Arial"/>
                <w:sz w:val="7"/>
                <w:szCs w:val="7"/>
                <w:color w:val="auto"/>
                <w:w w:val="92"/>
              </w:rPr>
              <w:t>(3)</w:t>
            </w:r>
          </w:p>
        </w:tc>
        <w:tc>
          <w:tcPr>
            <w:tcW w:w="240" w:type="dxa"/>
            <w:vAlign w:val="bottom"/>
            <w:shd w:val="clear" w:color="auto" w:fill="E1F8F0"/>
          </w:tcPr>
          <w:p>
            <w:pPr>
              <w:spacing w:after="0"/>
              <w:rPr>
                <w:sz w:val="15"/>
                <w:szCs w:val="15"/>
                <w:color w:val="auto"/>
              </w:rPr>
            </w:pPr>
          </w:p>
        </w:tc>
        <w:tc>
          <w:tcPr>
            <w:tcW w:w="1000" w:type="dxa"/>
            <w:vAlign w:val="bottom"/>
            <w:tcBorders>
              <w:right w:val="single" w:sz="8" w:color="008256"/>
            </w:tcBorders>
            <w:shd w:val="clear" w:color="auto" w:fill="E1F8F0"/>
          </w:tcPr>
          <w:p>
            <w:pPr>
              <w:jc w:val="right"/>
              <w:ind w:right="26"/>
              <w:spacing w:after="0"/>
              <w:rPr>
                <w:sz w:val="20"/>
                <w:szCs w:val="20"/>
                <w:color w:val="auto"/>
              </w:rPr>
            </w:pPr>
            <w:r>
              <w:rPr>
                <w:rFonts w:ascii="Arial" w:cs="Arial" w:eastAsia="Arial" w:hAnsi="Arial"/>
                <w:sz w:val="11"/>
                <w:szCs w:val="11"/>
                <w:color w:val="auto"/>
              </w:rPr>
              <w:t>$8.34</w:t>
            </w:r>
          </w:p>
        </w:tc>
        <w:tc>
          <w:tcPr>
            <w:tcW w:w="1260" w:type="dxa"/>
            <w:vAlign w:val="bottom"/>
            <w:tcBorders>
              <w:right w:val="single" w:sz="8" w:color="008256"/>
            </w:tcBorders>
            <w:shd w:val="clear" w:color="auto" w:fill="E1F8F0"/>
          </w:tcPr>
          <w:p>
            <w:pPr>
              <w:jc w:val="center"/>
              <w:spacing w:after="0"/>
              <w:rPr>
                <w:sz w:val="20"/>
                <w:szCs w:val="20"/>
                <w:color w:val="auto"/>
              </w:rPr>
            </w:pPr>
            <w:r>
              <w:rPr>
                <w:rFonts w:ascii="Arial" w:cs="Arial" w:eastAsia="Arial" w:hAnsi="Arial"/>
                <w:sz w:val="11"/>
                <w:szCs w:val="11"/>
                <w:color w:val="auto"/>
              </w:rPr>
              <w:t>7/1/2032</w:t>
            </w:r>
          </w:p>
        </w:tc>
        <w:tc>
          <w:tcPr>
            <w:tcW w:w="1220" w:type="dxa"/>
            <w:vAlign w:val="bottom"/>
            <w:shd w:val="clear" w:color="auto" w:fill="E1F8F0"/>
          </w:tcPr>
          <w:p>
            <w:pPr>
              <w:spacing w:after="0"/>
              <w:rPr>
                <w:sz w:val="15"/>
                <w:szCs w:val="15"/>
                <w:color w:val="auto"/>
              </w:rPr>
            </w:pPr>
          </w:p>
        </w:tc>
        <w:tc>
          <w:tcPr>
            <w:tcW w:w="300" w:type="dxa"/>
            <w:vAlign w:val="bottom"/>
            <w:tcBorders>
              <w:right w:val="single" w:sz="8" w:color="008256"/>
            </w:tcBorders>
            <w:shd w:val="clear" w:color="auto" w:fill="E1F8F0"/>
          </w:tcPr>
          <w:p>
            <w:pPr>
              <w:spacing w:after="0"/>
              <w:rPr>
                <w:sz w:val="15"/>
                <w:szCs w:val="15"/>
                <w:color w:val="auto"/>
              </w:rPr>
            </w:pPr>
          </w:p>
        </w:tc>
        <w:tc>
          <w:tcPr>
            <w:tcW w:w="280" w:type="dxa"/>
            <w:vAlign w:val="bottom"/>
            <w:shd w:val="clear" w:color="auto" w:fill="E1F8F0"/>
          </w:tcPr>
          <w:p>
            <w:pPr>
              <w:spacing w:after="0"/>
              <w:rPr>
                <w:sz w:val="15"/>
                <w:szCs w:val="15"/>
                <w:color w:val="auto"/>
              </w:rPr>
            </w:pPr>
          </w:p>
        </w:tc>
        <w:tc>
          <w:tcPr>
            <w:tcW w:w="940" w:type="dxa"/>
            <w:vAlign w:val="bottom"/>
            <w:shd w:val="clear" w:color="auto" w:fill="E1F8F0"/>
          </w:tcPr>
          <w:p>
            <w:pPr>
              <w:spacing w:after="0"/>
              <w:rPr>
                <w:sz w:val="15"/>
                <w:szCs w:val="15"/>
                <w:color w:val="auto"/>
              </w:rPr>
            </w:pPr>
          </w:p>
        </w:tc>
      </w:tr>
      <w:tr>
        <w:trPr>
          <w:trHeight w:val="197"/>
        </w:trPr>
        <w:tc>
          <w:tcPr>
            <w:tcW w:w="1600" w:type="dxa"/>
            <w:vAlign w:val="bottom"/>
            <w:tcBorders>
              <w:right w:val="single" w:sz="8" w:color="008256"/>
            </w:tcBorders>
            <w:shd w:val="clear" w:color="auto" w:fill="E1F8F0"/>
          </w:tcPr>
          <w:p>
            <w:pPr>
              <w:spacing w:after="0"/>
              <w:rPr>
                <w:sz w:val="17"/>
                <w:szCs w:val="17"/>
                <w:color w:val="auto"/>
              </w:rPr>
            </w:pPr>
          </w:p>
        </w:tc>
        <w:tc>
          <w:tcPr>
            <w:tcW w:w="1400" w:type="dxa"/>
            <w:vAlign w:val="bottom"/>
            <w:tcBorders>
              <w:right w:val="single" w:sz="8" w:color="008256"/>
            </w:tcBorders>
            <w:shd w:val="clear" w:color="auto" w:fill="E1F8F0"/>
          </w:tcPr>
          <w:p>
            <w:pPr>
              <w:jc w:val="center"/>
              <w:spacing w:after="0"/>
              <w:rPr>
                <w:sz w:val="20"/>
                <w:szCs w:val="20"/>
                <w:color w:val="auto"/>
              </w:rPr>
            </w:pPr>
            <w:r>
              <w:rPr>
                <w:rFonts w:ascii="Arial" w:cs="Arial" w:eastAsia="Arial" w:hAnsi="Arial"/>
                <w:sz w:val="11"/>
                <w:szCs w:val="11"/>
                <w:color w:val="auto"/>
              </w:rPr>
              <w:t>3/15/2023</w:t>
            </w:r>
          </w:p>
        </w:tc>
        <w:tc>
          <w:tcPr>
            <w:tcW w:w="1220" w:type="dxa"/>
            <w:vAlign w:val="bottom"/>
            <w:shd w:val="clear" w:color="auto" w:fill="E1F8F0"/>
          </w:tcPr>
          <w:p>
            <w:pPr>
              <w:spacing w:after="0"/>
              <w:rPr>
                <w:sz w:val="17"/>
                <w:szCs w:val="17"/>
                <w:color w:val="auto"/>
              </w:rPr>
            </w:pPr>
          </w:p>
        </w:tc>
        <w:tc>
          <w:tcPr>
            <w:tcW w:w="300" w:type="dxa"/>
            <w:vAlign w:val="bottom"/>
            <w:tcBorders>
              <w:right w:val="single" w:sz="8" w:color="008256"/>
            </w:tcBorders>
            <w:shd w:val="clear" w:color="auto" w:fill="E1F8F0"/>
          </w:tcPr>
          <w:p>
            <w:pPr>
              <w:spacing w:after="0"/>
              <w:rPr>
                <w:sz w:val="17"/>
                <w:szCs w:val="17"/>
                <w:color w:val="auto"/>
              </w:rPr>
            </w:pPr>
          </w:p>
        </w:tc>
        <w:tc>
          <w:tcPr>
            <w:tcW w:w="1220" w:type="dxa"/>
            <w:vAlign w:val="bottom"/>
            <w:shd w:val="clear" w:color="auto" w:fill="E1F8F0"/>
          </w:tcPr>
          <w:p>
            <w:pPr>
              <w:spacing w:after="0"/>
              <w:rPr>
                <w:sz w:val="17"/>
                <w:szCs w:val="17"/>
                <w:color w:val="auto"/>
              </w:rPr>
            </w:pPr>
          </w:p>
        </w:tc>
        <w:tc>
          <w:tcPr>
            <w:tcW w:w="300" w:type="dxa"/>
            <w:vAlign w:val="bottom"/>
            <w:tcBorders>
              <w:right w:val="single" w:sz="8" w:color="008256"/>
            </w:tcBorders>
            <w:shd w:val="clear" w:color="auto" w:fill="E1F8F0"/>
          </w:tcPr>
          <w:p>
            <w:pPr>
              <w:spacing w:after="0"/>
              <w:rPr>
                <w:sz w:val="17"/>
                <w:szCs w:val="17"/>
                <w:color w:val="auto"/>
              </w:rPr>
            </w:pPr>
          </w:p>
        </w:tc>
        <w:tc>
          <w:tcPr>
            <w:tcW w:w="240" w:type="dxa"/>
            <w:vAlign w:val="bottom"/>
            <w:shd w:val="clear" w:color="auto" w:fill="E1F8F0"/>
          </w:tcPr>
          <w:p>
            <w:pPr>
              <w:spacing w:after="0"/>
              <w:rPr>
                <w:sz w:val="17"/>
                <w:szCs w:val="17"/>
                <w:color w:val="auto"/>
              </w:rPr>
            </w:pPr>
          </w:p>
        </w:tc>
        <w:tc>
          <w:tcPr>
            <w:tcW w:w="1000" w:type="dxa"/>
            <w:vAlign w:val="bottom"/>
            <w:tcBorders>
              <w:right w:val="single" w:sz="8" w:color="008256"/>
            </w:tcBorders>
            <w:shd w:val="clear" w:color="auto" w:fill="E1F8F0"/>
          </w:tcPr>
          <w:p>
            <w:pPr>
              <w:spacing w:after="0"/>
              <w:rPr>
                <w:sz w:val="17"/>
                <w:szCs w:val="17"/>
                <w:color w:val="auto"/>
              </w:rPr>
            </w:pPr>
          </w:p>
        </w:tc>
        <w:tc>
          <w:tcPr>
            <w:tcW w:w="1260" w:type="dxa"/>
            <w:vAlign w:val="bottom"/>
            <w:tcBorders>
              <w:right w:val="single" w:sz="8" w:color="008256"/>
            </w:tcBorders>
            <w:shd w:val="clear" w:color="auto" w:fill="E1F8F0"/>
          </w:tcPr>
          <w:p>
            <w:pPr>
              <w:spacing w:after="0"/>
              <w:rPr>
                <w:sz w:val="17"/>
                <w:szCs w:val="17"/>
                <w:color w:val="auto"/>
              </w:rPr>
            </w:pPr>
          </w:p>
        </w:tc>
        <w:tc>
          <w:tcPr>
            <w:tcW w:w="1220" w:type="dxa"/>
            <w:vAlign w:val="bottom"/>
            <w:shd w:val="clear" w:color="auto" w:fill="E1F8F0"/>
          </w:tcPr>
          <w:p>
            <w:pPr>
              <w:jc w:val="right"/>
              <w:spacing w:after="0"/>
              <w:rPr>
                <w:sz w:val="20"/>
                <w:szCs w:val="20"/>
                <w:color w:val="auto"/>
              </w:rPr>
            </w:pPr>
            <w:r>
              <w:rPr>
                <w:rFonts w:ascii="Arial" w:cs="Arial" w:eastAsia="Arial" w:hAnsi="Arial"/>
                <w:sz w:val="11"/>
                <w:szCs w:val="11"/>
                <w:color w:val="auto"/>
              </w:rPr>
              <w:t>137,129</w:t>
            </w:r>
          </w:p>
        </w:tc>
        <w:tc>
          <w:tcPr>
            <w:tcW w:w="300" w:type="dxa"/>
            <w:vAlign w:val="bottom"/>
            <w:tcBorders>
              <w:right w:val="single" w:sz="8" w:color="008256"/>
            </w:tcBorders>
            <w:shd w:val="clear" w:color="auto" w:fill="E1F8F0"/>
          </w:tcPr>
          <w:p>
            <w:pPr>
              <w:jc w:val="right"/>
              <w:ind w:right="163"/>
              <w:spacing w:after="0"/>
              <w:rPr>
                <w:sz w:val="20"/>
                <w:szCs w:val="20"/>
                <w:color w:val="auto"/>
              </w:rPr>
            </w:pPr>
            <w:r>
              <w:rPr>
                <w:rFonts w:ascii="Arial" w:cs="Arial" w:eastAsia="Arial" w:hAnsi="Arial"/>
                <w:sz w:val="7"/>
                <w:szCs w:val="7"/>
                <w:color w:val="auto"/>
                <w:w w:val="92"/>
              </w:rPr>
              <w:t>(7)</w:t>
            </w:r>
          </w:p>
        </w:tc>
        <w:tc>
          <w:tcPr>
            <w:tcW w:w="280" w:type="dxa"/>
            <w:vAlign w:val="bottom"/>
            <w:shd w:val="clear" w:color="auto" w:fill="E1F8F0"/>
          </w:tcPr>
          <w:p>
            <w:pPr>
              <w:spacing w:after="0"/>
              <w:rPr>
                <w:sz w:val="17"/>
                <w:szCs w:val="17"/>
                <w:color w:val="auto"/>
              </w:rPr>
            </w:pPr>
          </w:p>
        </w:tc>
        <w:tc>
          <w:tcPr>
            <w:tcW w:w="940" w:type="dxa"/>
            <w:vAlign w:val="bottom"/>
            <w:shd w:val="clear" w:color="auto" w:fill="E1F8F0"/>
          </w:tcPr>
          <w:p>
            <w:pPr>
              <w:jc w:val="right"/>
              <w:spacing w:after="0"/>
              <w:rPr>
                <w:sz w:val="20"/>
                <w:szCs w:val="20"/>
                <w:color w:val="auto"/>
              </w:rPr>
            </w:pPr>
            <w:r>
              <w:rPr>
                <w:rFonts w:ascii="Arial" w:cs="Arial" w:eastAsia="Arial" w:hAnsi="Arial"/>
                <w:sz w:val="11"/>
                <w:szCs w:val="11"/>
                <w:color w:val="auto"/>
              </w:rPr>
              <w:t>1,823,816</w:t>
            </w:r>
          </w:p>
        </w:tc>
      </w:tr>
      <w:tr>
        <w:trPr>
          <w:trHeight w:val="235"/>
        </w:trPr>
        <w:tc>
          <w:tcPr>
            <w:tcW w:w="1600" w:type="dxa"/>
            <w:vAlign w:val="bottom"/>
            <w:tcBorders>
              <w:right w:val="single" w:sz="8" w:color="008256"/>
            </w:tcBorders>
          </w:tcPr>
          <w:p>
            <w:pPr>
              <w:ind w:left="20"/>
              <w:spacing w:after="0"/>
              <w:rPr>
                <w:sz w:val="20"/>
                <w:szCs w:val="20"/>
                <w:color w:val="auto"/>
              </w:rPr>
            </w:pPr>
            <w:r>
              <w:rPr>
                <w:rFonts w:ascii="Arial" w:cs="Arial" w:eastAsia="Arial" w:hAnsi="Arial"/>
                <w:sz w:val="11"/>
                <w:szCs w:val="11"/>
                <w:b w:val="1"/>
                <w:bCs w:val="1"/>
                <w:color w:val="auto"/>
              </w:rPr>
              <w:t xml:space="preserve">Lauren StClair </w:t>
            </w:r>
            <w:r>
              <w:rPr>
                <w:rFonts w:ascii="Arial" w:cs="Arial" w:eastAsia="Arial" w:hAnsi="Arial"/>
                <w:sz w:val="14"/>
                <w:szCs w:val="14"/>
                <w:b w:val="1"/>
                <w:bCs w:val="1"/>
                <w:color w:val="auto"/>
                <w:vertAlign w:val="superscript"/>
              </w:rPr>
              <w:t>(5)</w:t>
            </w:r>
          </w:p>
        </w:tc>
        <w:tc>
          <w:tcPr>
            <w:tcW w:w="1400" w:type="dxa"/>
            <w:vAlign w:val="bottom"/>
            <w:tcBorders>
              <w:right w:val="single" w:sz="8" w:color="008256"/>
            </w:tcBorders>
          </w:tcPr>
          <w:p>
            <w:pPr>
              <w:jc w:val="center"/>
              <w:spacing w:after="0"/>
              <w:rPr>
                <w:sz w:val="20"/>
                <w:szCs w:val="20"/>
                <w:color w:val="auto"/>
              </w:rPr>
            </w:pPr>
            <w:r>
              <w:rPr>
                <w:rFonts w:ascii="Arial" w:cs="Arial" w:eastAsia="Arial" w:hAnsi="Arial"/>
                <w:sz w:val="11"/>
                <w:szCs w:val="11"/>
                <w:color w:val="auto"/>
              </w:rPr>
              <w:t>12/16/2020</w:t>
            </w:r>
          </w:p>
        </w:tc>
        <w:tc>
          <w:tcPr>
            <w:tcW w:w="1220" w:type="dxa"/>
            <w:vAlign w:val="bottom"/>
          </w:tcPr>
          <w:p>
            <w:pPr>
              <w:jc w:val="right"/>
              <w:spacing w:after="0"/>
              <w:rPr>
                <w:sz w:val="20"/>
                <w:szCs w:val="20"/>
                <w:color w:val="auto"/>
              </w:rPr>
            </w:pPr>
            <w:r>
              <w:rPr>
                <w:rFonts w:ascii="Arial" w:cs="Arial" w:eastAsia="Arial" w:hAnsi="Arial"/>
                <w:sz w:val="11"/>
                <w:szCs w:val="11"/>
                <w:color w:val="auto"/>
              </w:rPr>
              <w:t>307,604</w:t>
            </w:r>
          </w:p>
        </w:tc>
        <w:tc>
          <w:tcPr>
            <w:tcW w:w="300" w:type="dxa"/>
            <w:vAlign w:val="bottom"/>
            <w:tcBorders>
              <w:right w:val="single" w:sz="8" w:color="008256"/>
            </w:tcBorders>
          </w:tcPr>
          <w:p>
            <w:pPr>
              <w:jc w:val="right"/>
              <w:ind w:right="143"/>
              <w:spacing w:after="0"/>
              <w:rPr>
                <w:sz w:val="20"/>
                <w:szCs w:val="20"/>
                <w:color w:val="auto"/>
              </w:rPr>
            </w:pPr>
            <w:r>
              <w:rPr>
                <w:rFonts w:ascii="Arial" w:cs="Arial" w:eastAsia="Arial" w:hAnsi="Arial"/>
                <w:sz w:val="7"/>
                <w:szCs w:val="7"/>
                <w:color w:val="auto"/>
              </w:rPr>
              <w:t>(1)</w:t>
            </w:r>
          </w:p>
        </w:tc>
        <w:tc>
          <w:tcPr>
            <w:tcW w:w="1220" w:type="dxa"/>
            <w:vAlign w:val="bottom"/>
          </w:tcPr>
          <w:p>
            <w:pPr>
              <w:jc w:val="right"/>
              <w:spacing w:after="0"/>
              <w:rPr>
                <w:sz w:val="20"/>
                <w:szCs w:val="20"/>
                <w:color w:val="auto"/>
              </w:rPr>
            </w:pPr>
            <w:r>
              <w:rPr>
                <w:rFonts w:ascii="Arial" w:cs="Arial" w:eastAsia="Arial" w:hAnsi="Arial"/>
                <w:sz w:val="11"/>
                <w:szCs w:val="11"/>
                <w:color w:val="auto"/>
              </w:rPr>
              <w:t>—</w:t>
            </w:r>
          </w:p>
        </w:tc>
        <w:tc>
          <w:tcPr>
            <w:tcW w:w="300" w:type="dxa"/>
            <w:vAlign w:val="bottom"/>
            <w:tcBorders>
              <w:right w:val="single" w:sz="8" w:color="008256"/>
            </w:tcBorders>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Borders>
              <w:right w:val="single" w:sz="8" w:color="008256"/>
            </w:tcBorders>
          </w:tcPr>
          <w:p>
            <w:pPr>
              <w:jc w:val="right"/>
              <w:ind w:right="26"/>
              <w:spacing w:after="0"/>
              <w:rPr>
                <w:sz w:val="20"/>
                <w:szCs w:val="20"/>
                <w:color w:val="auto"/>
              </w:rPr>
            </w:pPr>
            <w:r>
              <w:rPr>
                <w:rFonts w:ascii="Arial" w:cs="Arial" w:eastAsia="Arial" w:hAnsi="Arial"/>
                <w:sz w:val="11"/>
                <w:szCs w:val="11"/>
                <w:color w:val="auto"/>
              </w:rPr>
              <w:t>$13.52</w:t>
            </w:r>
          </w:p>
        </w:tc>
        <w:tc>
          <w:tcPr>
            <w:tcW w:w="1260" w:type="dxa"/>
            <w:vAlign w:val="bottom"/>
            <w:tcBorders>
              <w:right w:val="single" w:sz="8" w:color="008256"/>
            </w:tcBorders>
          </w:tcPr>
          <w:p>
            <w:pPr>
              <w:jc w:val="center"/>
              <w:spacing w:after="0"/>
              <w:rPr>
                <w:sz w:val="20"/>
                <w:szCs w:val="20"/>
                <w:color w:val="auto"/>
              </w:rPr>
            </w:pPr>
            <w:r>
              <w:rPr>
                <w:rFonts w:ascii="Arial" w:cs="Arial" w:eastAsia="Arial" w:hAnsi="Arial"/>
                <w:sz w:val="11"/>
                <w:szCs w:val="11"/>
                <w:color w:val="auto"/>
              </w:rPr>
              <w:t>12/15/2030</w:t>
            </w:r>
          </w:p>
        </w:tc>
        <w:tc>
          <w:tcPr>
            <w:tcW w:w="1220" w:type="dxa"/>
            <w:vAlign w:val="bottom"/>
          </w:tcPr>
          <w:p>
            <w:pPr>
              <w:jc w:val="right"/>
              <w:spacing w:after="0"/>
              <w:rPr>
                <w:sz w:val="20"/>
                <w:szCs w:val="20"/>
                <w:color w:val="auto"/>
              </w:rPr>
            </w:pPr>
            <w:r>
              <w:rPr>
                <w:rFonts w:ascii="Arial" w:cs="Arial" w:eastAsia="Arial" w:hAnsi="Arial"/>
                <w:sz w:val="11"/>
                <w:szCs w:val="11"/>
                <w:color w:val="auto"/>
              </w:rPr>
              <w:t>1,756</w:t>
            </w:r>
          </w:p>
        </w:tc>
        <w:tc>
          <w:tcPr>
            <w:tcW w:w="300" w:type="dxa"/>
            <w:vAlign w:val="bottom"/>
            <w:tcBorders>
              <w:right w:val="single" w:sz="8" w:color="008256"/>
            </w:tcBorders>
          </w:tcPr>
          <w:p>
            <w:pPr>
              <w:jc w:val="right"/>
              <w:ind w:right="163"/>
              <w:spacing w:after="0"/>
              <w:rPr>
                <w:sz w:val="20"/>
                <w:szCs w:val="20"/>
                <w:color w:val="auto"/>
              </w:rPr>
            </w:pPr>
            <w:r>
              <w:rPr>
                <w:rFonts w:ascii="Arial" w:cs="Arial" w:eastAsia="Arial" w:hAnsi="Arial"/>
                <w:sz w:val="7"/>
                <w:szCs w:val="7"/>
                <w:color w:val="auto"/>
                <w:w w:val="92"/>
              </w:rPr>
              <w:t>(6)</w:t>
            </w: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23,355</w:t>
            </w:r>
          </w:p>
        </w:tc>
      </w:tr>
      <w:tr>
        <w:trPr>
          <w:trHeight w:val="172"/>
        </w:trPr>
        <w:tc>
          <w:tcPr>
            <w:tcW w:w="1600" w:type="dxa"/>
            <w:vAlign w:val="bottom"/>
            <w:tcBorders>
              <w:right w:val="single" w:sz="8" w:color="008256"/>
            </w:tcBorders>
          </w:tcPr>
          <w:p>
            <w:pPr>
              <w:spacing w:after="0"/>
              <w:rPr>
                <w:sz w:val="14"/>
                <w:szCs w:val="14"/>
                <w:color w:val="auto"/>
              </w:rPr>
            </w:pPr>
          </w:p>
        </w:tc>
        <w:tc>
          <w:tcPr>
            <w:tcW w:w="1400" w:type="dxa"/>
            <w:vAlign w:val="bottom"/>
            <w:tcBorders>
              <w:right w:val="single" w:sz="8" w:color="008256"/>
            </w:tcBorders>
          </w:tcPr>
          <w:p>
            <w:pPr>
              <w:jc w:val="center"/>
              <w:spacing w:after="0"/>
              <w:rPr>
                <w:sz w:val="20"/>
                <w:szCs w:val="20"/>
                <w:color w:val="auto"/>
              </w:rPr>
            </w:pPr>
            <w:r>
              <w:rPr>
                <w:rFonts w:ascii="Arial" w:cs="Arial" w:eastAsia="Arial" w:hAnsi="Arial"/>
                <w:sz w:val="11"/>
                <w:szCs w:val="11"/>
                <w:color w:val="auto"/>
              </w:rPr>
              <w:t>4/1/2022</w:t>
            </w:r>
          </w:p>
        </w:tc>
        <w:tc>
          <w:tcPr>
            <w:tcW w:w="1220" w:type="dxa"/>
            <w:vAlign w:val="bottom"/>
          </w:tcPr>
          <w:p>
            <w:pPr>
              <w:jc w:val="right"/>
              <w:spacing w:after="0"/>
              <w:rPr>
                <w:sz w:val="20"/>
                <w:szCs w:val="20"/>
                <w:color w:val="auto"/>
              </w:rPr>
            </w:pPr>
            <w:r>
              <w:rPr>
                <w:rFonts w:ascii="Arial" w:cs="Arial" w:eastAsia="Arial" w:hAnsi="Arial"/>
                <w:sz w:val="11"/>
                <w:szCs w:val="11"/>
                <w:color w:val="auto"/>
              </w:rPr>
              <w:t>142,694</w:t>
            </w:r>
          </w:p>
        </w:tc>
        <w:tc>
          <w:tcPr>
            <w:tcW w:w="300" w:type="dxa"/>
            <w:vAlign w:val="bottom"/>
            <w:tcBorders>
              <w:right w:val="single" w:sz="8" w:color="008256"/>
            </w:tcBorders>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71,347</w:t>
            </w:r>
          </w:p>
        </w:tc>
        <w:tc>
          <w:tcPr>
            <w:tcW w:w="300" w:type="dxa"/>
            <w:vAlign w:val="bottom"/>
            <w:tcBorders>
              <w:right w:val="single" w:sz="8" w:color="008256"/>
            </w:tcBorders>
          </w:tcPr>
          <w:p>
            <w:pPr>
              <w:jc w:val="right"/>
              <w:ind w:right="163"/>
              <w:spacing w:after="0"/>
              <w:rPr>
                <w:sz w:val="20"/>
                <w:szCs w:val="20"/>
                <w:color w:val="auto"/>
              </w:rPr>
            </w:pPr>
            <w:r>
              <w:rPr>
                <w:rFonts w:ascii="Arial" w:cs="Arial" w:eastAsia="Arial" w:hAnsi="Arial"/>
                <w:sz w:val="7"/>
                <w:szCs w:val="7"/>
                <w:color w:val="auto"/>
                <w:w w:val="92"/>
              </w:rPr>
              <w:t>(3)</w:t>
            </w:r>
          </w:p>
        </w:tc>
        <w:tc>
          <w:tcPr>
            <w:tcW w:w="240" w:type="dxa"/>
            <w:vAlign w:val="bottom"/>
          </w:tcPr>
          <w:p>
            <w:pPr>
              <w:spacing w:after="0"/>
              <w:rPr>
                <w:sz w:val="14"/>
                <w:szCs w:val="14"/>
                <w:color w:val="auto"/>
              </w:rPr>
            </w:pPr>
          </w:p>
        </w:tc>
        <w:tc>
          <w:tcPr>
            <w:tcW w:w="1000" w:type="dxa"/>
            <w:vAlign w:val="bottom"/>
            <w:tcBorders>
              <w:right w:val="single" w:sz="8" w:color="008256"/>
            </w:tcBorders>
          </w:tcPr>
          <w:p>
            <w:pPr>
              <w:jc w:val="right"/>
              <w:ind w:right="26"/>
              <w:spacing w:after="0"/>
              <w:rPr>
                <w:sz w:val="20"/>
                <w:szCs w:val="20"/>
                <w:color w:val="auto"/>
              </w:rPr>
            </w:pPr>
            <w:r>
              <w:rPr>
                <w:rFonts w:ascii="Arial" w:cs="Arial" w:eastAsia="Arial" w:hAnsi="Arial"/>
                <w:sz w:val="11"/>
                <w:szCs w:val="11"/>
                <w:color w:val="auto"/>
              </w:rPr>
              <w:t>$12.64</w:t>
            </w:r>
          </w:p>
        </w:tc>
        <w:tc>
          <w:tcPr>
            <w:tcW w:w="1260" w:type="dxa"/>
            <w:vAlign w:val="bottom"/>
            <w:tcBorders>
              <w:right w:val="single" w:sz="8" w:color="008256"/>
            </w:tcBorders>
          </w:tcPr>
          <w:p>
            <w:pPr>
              <w:jc w:val="center"/>
              <w:spacing w:after="0"/>
              <w:rPr>
                <w:sz w:val="20"/>
                <w:szCs w:val="20"/>
                <w:color w:val="auto"/>
              </w:rPr>
            </w:pPr>
            <w:r>
              <w:rPr>
                <w:rFonts w:ascii="Arial" w:cs="Arial" w:eastAsia="Arial" w:hAnsi="Arial"/>
                <w:sz w:val="11"/>
                <w:szCs w:val="11"/>
                <w:color w:val="auto"/>
              </w:rPr>
              <w:t>3/23/2032</w:t>
            </w:r>
          </w:p>
        </w:tc>
        <w:tc>
          <w:tcPr>
            <w:tcW w:w="1220" w:type="dxa"/>
            <w:vAlign w:val="bottom"/>
          </w:tcPr>
          <w:p>
            <w:pPr>
              <w:jc w:val="right"/>
              <w:spacing w:after="0"/>
              <w:rPr>
                <w:sz w:val="20"/>
                <w:szCs w:val="20"/>
                <w:color w:val="auto"/>
              </w:rPr>
            </w:pPr>
            <w:r>
              <w:rPr>
                <w:rFonts w:ascii="Arial" w:cs="Arial" w:eastAsia="Arial" w:hAnsi="Arial"/>
                <w:sz w:val="11"/>
                <w:szCs w:val="11"/>
                <w:color w:val="auto"/>
              </w:rPr>
              <w:t>26,755</w:t>
            </w:r>
          </w:p>
        </w:tc>
        <w:tc>
          <w:tcPr>
            <w:tcW w:w="300" w:type="dxa"/>
            <w:vAlign w:val="bottom"/>
            <w:tcBorders>
              <w:right w:val="single" w:sz="8" w:color="008256"/>
            </w:tcBorders>
          </w:tcPr>
          <w:p>
            <w:pPr>
              <w:jc w:val="right"/>
              <w:ind w:right="163"/>
              <w:spacing w:after="0"/>
              <w:rPr>
                <w:sz w:val="20"/>
                <w:szCs w:val="20"/>
                <w:color w:val="auto"/>
              </w:rPr>
            </w:pPr>
            <w:r>
              <w:rPr>
                <w:rFonts w:ascii="Arial" w:cs="Arial" w:eastAsia="Arial" w:hAnsi="Arial"/>
                <w:sz w:val="7"/>
                <w:szCs w:val="7"/>
                <w:color w:val="auto"/>
                <w:w w:val="92"/>
              </w:rPr>
              <w:t>(7)</w:t>
            </w:r>
          </w:p>
        </w:tc>
        <w:tc>
          <w:tcPr>
            <w:tcW w:w="2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355,842</w:t>
            </w:r>
          </w:p>
        </w:tc>
      </w:tr>
      <w:tr>
        <w:trPr>
          <w:trHeight w:val="180"/>
        </w:trPr>
        <w:tc>
          <w:tcPr>
            <w:tcW w:w="1600" w:type="dxa"/>
            <w:vAlign w:val="bottom"/>
            <w:tcBorders>
              <w:right w:val="single" w:sz="8" w:color="008256"/>
            </w:tcBorders>
          </w:tcPr>
          <w:p>
            <w:pPr>
              <w:spacing w:after="0"/>
              <w:rPr>
                <w:sz w:val="15"/>
                <w:szCs w:val="15"/>
                <w:color w:val="auto"/>
              </w:rPr>
            </w:pPr>
          </w:p>
        </w:tc>
        <w:tc>
          <w:tcPr>
            <w:tcW w:w="1400" w:type="dxa"/>
            <w:vAlign w:val="bottom"/>
            <w:tcBorders>
              <w:right w:val="single" w:sz="8" w:color="008256"/>
            </w:tcBorders>
          </w:tcPr>
          <w:p>
            <w:pPr>
              <w:jc w:val="center"/>
              <w:spacing w:after="0"/>
              <w:rPr>
                <w:sz w:val="20"/>
                <w:szCs w:val="20"/>
                <w:color w:val="auto"/>
              </w:rPr>
            </w:pPr>
            <w:r>
              <w:rPr>
                <w:rFonts w:ascii="Arial" w:cs="Arial" w:eastAsia="Arial" w:hAnsi="Arial"/>
                <w:sz w:val="11"/>
                <w:szCs w:val="11"/>
                <w:color w:val="auto"/>
              </w:rPr>
              <w:t>3/15/2023</w:t>
            </w:r>
          </w:p>
        </w:tc>
        <w:tc>
          <w:tcPr>
            <w:tcW w:w="1220" w:type="dxa"/>
            <w:vAlign w:val="bottom"/>
          </w:tcPr>
          <w:p>
            <w:pPr>
              <w:spacing w:after="0"/>
              <w:rPr>
                <w:sz w:val="15"/>
                <w:szCs w:val="15"/>
                <w:color w:val="auto"/>
              </w:rPr>
            </w:pPr>
          </w:p>
        </w:tc>
        <w:tc>
          <w:tcPr>
            <w:tcW w:w="300" w:type="dxa"/>
            <w:vAlign w:val="bottom"/>
            <w:tcBorders>
              <w:right w:val="single" w:sz="8" w:color="008256"/>
            </w:tcBorders>
          </w:tcPr>
          <w:p>
            <w:pPr>
              <w:spacing w:after="0"/>
              <w:rPr>
                <w:sz w:val="15"/>
                <w:szCs w:val="15"/>
                <w:color w:val="auto"/>
              </w:rPr>
            </w:pPr>
          </w:p>
        </w:tc>
        <w:tc>
          <w:tcPr>
            <w:tcW w:w="1220" w:type="dxa"/>
            <w:vAlign w:val="bottom"/>
          </w:tcPr>
          <w:p>
            <w:pPr>
              <w:spacing w:after="0"/>
              <w:rPr>
                <w:sz w:val="15"/>
                <w:szCs w:val="15"/>
                <w:color w:val="auto"/>
              </w:rPr>
            </w:pPr>
          </w:p>
        </w:tc>
        <w:tc>
          <w:tcPr>
            <w:tcW w:w="300" w:type="dxa"/>
            <w:vAlign w:val="bottom"/>
            <w:tcBorders>
              <w:right w:val="single" w:sz="8" w:color="008256"/>
            </w:tcBorders>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Borders>
              <w:right w:val="single" w:sz="8" w:color="008256"/>
            </w:tcBorders>
          </w:tcPr>
          <w:p>
            <w:pPr>
              <w:spacing w:after="0"/>
              <w:rPr>
                <w:sz w:val="15"/>
                <w:szCs w:val="15"/>
                <w:color w:val="auto"/>
              </w:rPr>
            </w:pPr>
          </w:p>
        </w:tc>
        <w:tc>
          <w:tcPr>
            <w:tcW w:w="1260" w:type="dxa"/>
            <w:vAlign w:val="bottom"/>
            <w:tcBorders>
              <w:right w:val="single" w:sz="8" w:color="008256"/>
            </w:tcBorders>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44,350</w:t>
            </w:r>
          </w:p>
        </w:tc>
        <w:tc>
          <w:tcPr>
            <w:tcW w:w="300" w:type="dxa"/>
            <w:vAlign w:val="bottom"/>
            <w:tcBorders>
              <w:right w:val="single" w:sz="8" w:color="008256"/>
            </w:tcBorders>
          </w:tcPr>
          <w:p>
            <w:pPr>
              <w:jc w:val="right"/>
              <w:ind w:right="163"/>
              <w:spacing w:after="0"/>
              <w:rPr>
                <w:sz w:val="20"/>
                <w:szCs w:val="20"/>
                <w:color w:val="auto"/>
              </w:rPr>
            </w:pPr>
            <w:r>
              <w:rPr>
                <w:rFonts w:ascii="Arial" w:cs="Arial" w:eastAsia="Arial" w:hAnsi="Arial"/>
                <w:sz w:val="7"/>
                <w:szCs w:val="7"/>
                <w:color w:val="auto"/>
                <w:w w:val="92"/>
              </w:rPr>
              <w:t>(7)</w:t>
            </w:r>
          </w:p>
        </w:tc>
        <w:tc>
          <w:tcPr>
            <w:tcW w:w="28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589,855</w:t>
            </w:r>
          </w:p>
        </w:tc>
      </w:tr>
      <w:tr>
        <w:trPr>
          <w:trHeight w:val="189"/>
        </w:trPr>
        <w:tc>
          <w:tcPr>
            <w:tcW w:w="1600" w:type="dxa"/>
            <w:vAlign w:val="bottom"/>
            <w:tcBorders>
              <w:right w:val="single" w:sz="8" w:color="008256"/>
            </w:tcBorders>
          </w:tcPr>
          <w:p>
            <w:pPr>
              <w:spacing w:after="0"/>
              <w:rPr>
                <w:sz w:val="16"/>
                <w:szCs w:val="16"/>
                <w:color w:val="auto"/>
              </w:rPr>
            </w:pPr>
          </w:p>
        </w:tc>
        <w:tc>
          <w:tcPr>
            <w:tcW w:w="1400" w:type="dxa"/>
            <w:vAlign w:val="bottom"/>
            <w:tcBorders>
              <w:right w:val="single" w:sz="8" w:color="008256"/>
            </w:tcBorders>
          </w:tcPr>
          <w:p>
            <w:pPr>
              <w:jc w:val="center"/>
              <w:spacing w:after="0"/>
              <w:rPr>
                <w:sz w:val="20"/>
                <w:szCs w:val="20"/>
                <w:color w:val="auto"/>
              </w:rPr>
            </w:pPr>
            <w:r>
              <w:rPr>
                <w:rFonts w:ascii="Arial" w:cs="Arial" w:eastAsia="Arial" w:hAnsi="Arial"/>
                <w:sz w:val="11"/>
                <w:szCs w:val="11"/>
                <w:color w:val="auto"/>
              </w:rPr>
              <w:t>3/21/2024</w:t>
            </w:r>
          </w:p>
        </w:tc>
        <w:tc>
          <w:tcPr>
            <w:tcW w:w="1220" w:type="dxa"/>
            <w:vAlign w:val="bottom"/>
          </w:tcPr>
          <w:p>
            <w:pPr>
              <w:jc w:val="right"/>
              <w:spacing w:after="0"/>
              <w:rPr>
                <w:sz w:val="20"/>
                <w:szCs w:val="20"/>
                <w:color w:val="auto"/>
              </w:rPr>
            </w:pPr>
            <w:r>
              <w:rPr>
                <w:rFonts w:ascii="Arial" w:cs="Arial" w:eastAsia="Arial" w:hAnsi="Arial"/>
                <w:sz w:val="11"/>
                <w:szCs w:val="11"/>
                <w:color w:val="auto"/>
              </w:rPr>
              <w:t>—</w:t>
            </w:r>
          </w:p>
        </w:tc>
        <w:tc>
          <w:tcPr>
            <w:tcW w:w="300" w:type="dxa"/>
            <w:vAlign w:val="bottom"/>
            <w:tcBorders>
              <w:right w:val="single" w:sz="8" w:color="008256"/>
            </w:tcBorders>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1"/>
                <w:szCs w:val="11"/>
                <w:color w:val="auto"/>
              </w:rPr>
              <w:t>148,629</w:t>
            </w:r>
          </w:p>
        </w:tc>
        <w:tc>
          <w:tcPr>
            <w:tcW w:w="300" w:type="dxa"/>
            <w:vAlign w:val="bottom"/>
            <w:tcBorders>
              <w:right w:val="single" w:sz="8" w:color="008256"/>
            </w:tcBorders>
          </w:tcPr>
          <w:p>
            <w:pPr>
              <w:jc w:val="right"/>
              <w:ind w:right="163"/>
              <w:spacing w:after="0"/>
              <w:rPr>
                <w:sz w:val="20"/>
                <w:szCs w:val="20"/>
                <w:color w:val="auto"/>
              </w:rPr>
            </w:pPr>
            <w:r>
              <w:rPr>
                <w:rFonts w:ascii="Arial" w:cs="Arial" w:eastAsia="Arial" w:hAnsi="Arial"/>
                <w:sz w:val="7"/>
                <w:szCs w:val="7"/>
                <w:color w:val="auto"/>
                <w:w w:val="92"/>
              </w:rPr>
              <w:t>(4)</w:t>
            </w:r>
          </w:p>
        </w:tc>
        <w:tc>
          <w:tcPr>
            <w:tcW w:w="240" w:type="dxa"/>
            <w:vAlign w:val="bottom"/>
          </w:tcPr>
          <w:p>
            <w:pPr>
              <w:spacing w:after="0"/>
              <w:rPr>
                <w:sz w:val="16"/>
                <w:szCs w:val="16"/>
                <w:color w:val="auto"/>
              </w:rPr>
            </w:pPr>
          </w:p>
        </w:tc>
        <w:tc>
          <w:tcPr>
            <w:tcW w:w="1000" w:type="dxa"/>
            <w:vAlign w:val="bottom"/>
            <w:tcBorders>
              <w:right w:val="single" w:sz="8" w:color="008256"/>
            </w:tcBorders>
          </w:tcPr>
          <w:p>
            <w:pPr>
              <w:jc w:val="right"/>
              <w:ind w:right="26"/>
              <w:spacing w:after="0"/>
              <w:rPr>
                <w:sz w:val="20"/>
                <w:szCs w:val="20"/>
                <w:color w:val="auto"/>
              </w:rPr>
            </w:pPr>
            <w:r>
              <w:rPr>
                <w:rFonts w:ascii="Arial" w:cs="Arial" w:eastAsia="Arial" w:hAnsi="Arial"/>
                <w:sz w:val="11"/>
                <w:szCs w:val="11"/>
                <w:color w:val="auto"/>
              </w:rPr>
              <w:t>$15.73</w:t>
            </w:r>
          </w:p>
        </w:tc>
        <w:tc>
          <w:tcPr>
            <w:tcW w:w="1260" w:type="dxa"/>
            <w:vAlign w:val="bottom"/>
            <w:tcBorders>
              <w:right w:val="single" w:sz="8" w:color="008256"/>
            </w:tcBorders>
          </w:tcPr>
          <w:p>
            <w:pPr>
              <w:jc w:val="center"/>
              <w:spacing w:after="0"/>
              <w:rPr>
                <w:sz w:val="20"/>
                <w:szCs w:val="20"/>
                <w:color w:val="auto"/>
              </w:rPr>
            </w:pPr>
            <w:r>
              <w:rPr>
                <w:rFonts w:ascii="Arial" w:cs="Arial" w:eastAsia="Arial" w:hAnsi="Arial"/>
                <w:sz w:val="11"/>
                <w:szCs w:val="11"/>
                <w:color w:val="auto"/>
              </w:rPr>
              <w:t>3/20/2034</w:t>
            </w:r>
          </w:p>
        </w:tc>
        <w:tc>
          <w:tcPr>
            <w:tcW w:w="1220" w:type="dxa"/>
            <w:vAlign w:val="bottom"/>
          </w:tcPr>
          <w:p>
            <w:pPr>
              <w:jc w:val="right"/>
              <w:spacing w:after="0"/>
              <w:rPr>
                <w:sz w:val="20"/>
                <w:szCs w:val="20"/>
                <w:color w:val="auto"/>
              </w:rPr>
            </w:pPr>
            <w:r>
              <w:rPr>
                <w:rFonts w:ascii="Arial" w:cs="Arial" w:eastAsia="Arial" w:hAnsi="Arial"/>
                <w:sz w:val="11"/>
                <w:szCs w:val="11"/>
                <w:color w:val="auto"/>
              </w:rPr>
              <w:t>80,162</w:t>
            </w:r>
          </w:p>
        </w:tc>
        <w:tc>
          <w:tcPr>
            <w:tcW w:w="300" w:type="dxa"/>
            <w:vAlign w:val="bottom"/>
            <w:tcBorders>
              <w:right w:val="single" w:sz="8" w:color="008256"/>
            </w:tcBorders>
          </w:tcPr>
          <w:p>
            <w:pPr>
              <w:jc w:val="right"/>
              <w:ind w:right="163"/>
              <w:spacing w:after="0"/>
              <w:rPr>
                <w:sz w:val="20"/>
                <w:szCs w:val="20"/>
                <w:color w:val="auto"/>
              </w:rPr>
            </w:pPr>
            <w:r>
              <w:rPr>
                <w:rFonts w:ascii="Arial" w:cs="Arial" w:eastAsia="Arial" w:hAnsi="Arial"/>
                <w:sz w:val="7"/>
                <w:szCs w:val="7"/>
                <w:color w:val="auto"/>
                <w:w w:val="92"/>
              </w:rPr>
              <w:t>(7)</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1"/>
                <w:szCs w:val="11"/>
                <w:color w:val="auto"/>
              </w:rPr>
              <w:t>1,066,155</w:t>
            </w:r>
          </w:p>
        </w:tc>
      </w:tr>
      <w:tr>
        <w:trPr>
          <w:trHeight w:val="242"/>
        </w:trPr>
        <w:tc>
          <w:tcPr>
            <w:tcW w:w="1600" w:type="dxa"/>
            <w:vAlign w:val="bottom"/>
            <w:tcBorders>
              <w:right w:val="single" w:sz="8" w:color="008256"/>
            </w:tcBorders>
            <w:shd w:val="clear" w:color="auto" w:fill="E1F8F0"/>
          </w:tcPr>
          <w:p>
            <w:pPr>
              <w:ind w:left="20"/>
              <w:spacing w:after="0"/>
              <w:rPr>
                <w:sz w:val="20"/>
                <w:szCs w:val="20"/>
                <w:color w:val="auto"/>
              </w:rPr>
            </w:pPr>
            <w:r>
              <w:rPr>
                <w:rFonts w:ascii="Arial" w:cs="Arial" w:eastAsia="Arial" w:hAnsi="Arial"/>
                <w:sz w:val="11"/>
                <w:szCs w:val="11"/>
                <w:b w:val="1"/>
                <w:bCs w:val="1"/>
                <w:color w:val="auto"/>
              </w:rPr>
              <w:t>Sam Yount</w:t>
            </w:r>
          </w:p>
        </w:tc>
        <w:tc>
          <w:tcPr>
            <w:tcW w:w="1400" w:type="dxa"/>
            <w:vAlign w:val="bottom"/>
            <w:tcBorders>
              <w:right w:val="single" w:sz="8" w:color="008256"/>
            </w:tcBorders>
            <w:shd w:val="clear" w:color="auto" w:fill="E1F8F0"/>
          </w:tcPr>
          <w:p>
            <w:pPr>
              <w:jc w:val="center"/>
              <w:spacing w:after="0"/>
              <w:rPr>
                <w:sz w:val="20"/>
                <w:szCs w:val="20"/>
                <w:color w:val="auto"/>
              </w:rPr>
            </w:pPr>
            <w:r>
              <w:rPr>
                <w:rFonts w:ascii="Arial" w:cs="Arial" w:eastAsia="Arial" w:hAnsi="Arial"/>
                <w:sz w:val="11"/>
                <w:szCs w:val="11"/>
                <w:color w:val="auto"/>
              </w:rPr>
              <w:t>7/11/2022</w:t>
            </w:r>
          </w:p>
        </w:tc>
        <w:tc>
          <w:tcPr>
            <w:tcW w:w="1220" w:type="dxa"/>
            <w:vAlign w:val="bottom"/>
            <w:shd w:val="clear" w:color="auto" w:fill="E1F8F0"/>
          </w:tcPr>
          <w:p>
            <w:pPr>
              <w:spacing w:after="0"/>
              <w:rPr>
                <w:sz w:val="21"/>
                <w:szCs w:val="21"/>
                <w:color w:val="auto"/>
              </w:rPr>
            </w:pPr>
          </w:p>
        </w:tc>
        <w:tc>
          <w:tcPr>
            <w:tcW w:w="300" w:type="dxa"/>
            <w:vAlign w:val="bottom"/>
            <w:tcBorders>
              <w:right w:val="single" w:sz="8" w:color="008256"/>
            </w:tcBorders>
            <w:shd w:val="clear" w:color="auto" w:fill="E1F8F0"/>
          </w:tcPr>
          <w:p>
            <w:pPr>
              <w:spacing w:after="0"/>
              <w:rPr>
                <w:sz w:val="21"/>
                <w:szCs w:val="21"/>
                <w:color w:val="auto"/>
              </w:rPr>
            </w:pPr>
          </w:p>
        </w:tc>
        <w:tc>
          <w:tcPr>
            <w:tcW w:w="1220" w:type="dxa"/>
            <w:vAlign w:val="bottom"/>
            <w:shd w:val="clear" w:color="auto" w:fill="E1F8F0"/>
          </w:tcPr>
          <w:p>
            <w:pPr>
              <w:spacing w:after="0"/>
              <w:rPr>
                <w:sz w:val="21"/>
                <w:szCs w:val="21"/>
                <w:color w:val="auto"/>
              </w:rPr>
            </w:pPr>
          </w:p>
        </w:tc>
        <w:tc>
          <w:tcPr>
            <w:tcW w:w="300" w:type="dxa"/>
            <w:vAlign w:val="bottom"/>
            <w:tcBorders>
              <w:right w:val="single" w:sz="8" w:color="008256"/>
            </w:tcBorders>
            <w:shd w:val="clear" w:color="auto" w:fill="E1F8F0"/>
          </w:tcPr>
          <w:p>
            <w:pPr>
              <w:spacing w:after="0"/>
              <w:rPr>
                <w:sz w:val="21"/>
                <w:szCs w:val="21"/>
                <w:color w:val="auto"/>
              </w:rPr>
            </w:pPr>
          </w:p>
        </w:tc>
        <w:tc>
          <w:tcPr>
            <w:tcW w:w="240" w:type="dxa"/>
            <w:vAlign w:val="bottom"/>
            <w:shd w:val="clear" w:color="auto" w:fill="E1F8F0"/>
          </w:tcPr>
          <w:p>
            <w:pPr>
              <w:spacing w:after="0"/>
              <w:rPr>
                <w:sz w:val="21"/>
                <w:szCs w:val="21"/>
                <w:color w:val="auto"/>
              </w:rPr>
            </w:pPr>
          </w:p>
        </w:tc>
        <w:tc>
          <w:tcPr>
            <w:tcW w:w="1000" w:type="dxa"/>
            <w:vAlign w:val="bottom"/>
            <w:tcBorders>
              <w:right w:val="single" w:sz="8" w:color="008256"/>
            </w:tcBorders>
            <w:shd w:val="clear" w:color="auto" w:fill="E1F8F0"/>
          </w:tcPr>
          <w:p>
            <w:pPr>
              <w:spacing w:after="0"/>
              <w:rPr>
                <w:sz w:val="21"/>
                <w:szCs w:val="21"/>
                <w:color w:val="auto"/>
              </w:rPr>
            </w:pPr>
          </w:p>
        </w:tc>
        <w:tc>
          <w:tcPr>
            <w:tcW w:w="1260" w:type="dxa"/>
            <w:vAlign w:val="bottom"/>
            <w:tcBorders>
              <w:right w:val="single" w:sz="8" w:color="008256"/>
            </w:tcBorders>
            <w:shd w:val="clear" w:color="auto" w:fill="E1F8F0"/>
          </w:tcPr>
          <w:p>
            <w:pPr>
              <w:spacing w:after="0"/>
              <w:rPr>
                <w:sz w:val="21"/>
                <w:szCs w:val="21"/>
                <w:color w:val="auto"/>
              </w:rPr>
            </w:pPr>
          </w:p>
        </w:tc>
        <w:tc>
          <w:tcPr>
            <w:tcW w:w="1220" w:type="dxa"/>
            <w:vAlign w:val="bottom"/>
            <w:shd w:val="clear" w:color="auto" w:fill="E1F8F0"/>
          </w:tcPr>
          <w:p>
            <w:pPr>
              <w:jc w:val="right"/>
              <w:spacing w:after="0"/>
              <w:rPr>
                <w:sz w:val="20"/>
                <w:szCs w:val="20"/>
                <w:color w:val="auto"/>
              </w:rPr>
            </w:pPr>
            <w:r>
              <w:rPr>
                <w:rFonts w:ascii="Arial" w:cs="Arial" w:eastAsia="Arial" w:hAnsi="Arial"/>
                <w:sz w:val="11"/>
                <w:szCs w:val="11"/>
                <w:color w:val="auto"/>
              </w:rPr>
              <w:t>486,854</w:t>
            </w:r>
          </w:p>
        </w:tc>
        <w:tc>
          <w:tcPr>
            <w:tcW w:w="300" w:type="dxa"/>
            <w:vAlign w:val="bottom"/>
            <w:tcBorders>
              <w:right w:val="single" w:sz="8" w:color="008256"/>
            </w:tcBorders>
            <w:shd w:val="clear" w:color="auto" w:fill="E1F8F0"/>
          </w:tcPr>
          <w:p>
            <w:pPr>
              <w:jc w:val="right"/>
              <w:ind w:right="163"/>
              <w:spacing w:after="0"/>
              <w:rPr>
                <w:sz w:val="20"/>
                <w:szCs w:val="20"/>
                <w:color w:val="auto"/>
              </w:rPr>
            </w:pPr>
            <w:r>
              <w:rPr>
                <w:rFonts w:ascii="Arial" w:cs="Arial" w:eastAsia="Arial" w:hAnsi="Arial"/>
                <w:sz w:val="7"/>
                <w:szCs w:val="7"/>
                <w:color w:val="auto"/>
                <w:w w:val="92"/>
              </w:rPr>
              <w:t>(8)</w:t>
            </w:r>
          </w:p>
        </w:tc>
        <w:tc>
          <w:tcPr>
            <w:tcW w:w="280" w:type="dxa"/>
            <w:vAlign w:val="bottom"/>
            <w:shd w:val="clear" w:color="auto" w:fill="E1F8F0"/>
          </w:tcPr>
          <w:p>
            <w:pPr>
              <w:spacing w:after="0"/>
              <w:rPr>
                <w:sz w:val="21"/>
                <w:szCs w:val="21"/>
                <w:color w:val="auto"/>
              </w:rPr>
            </w:pPr>
          </w:p>
        </w:tc>
        <w:tc>
          <w:tcPr>
            <w:tcW w:w="940" w:type="dxa"/>
            <w:vAlign w:val="bottom"/>
            <w:shd w:val="clear" w:color="auto" w:fill="E1F8F0"/>
          </w:tcPr>
          <w:p>
            <w:pPr>
              <w:jc w:val="right"/>
              <w:spacing w:after="0"/>
              <w:rPr>
                <w:sz w:val="20"/>
                <w:szCs w:val="20"/>
                <w:color w:val="auto"/>
              </w:rPr>
            </w:pPr>
            <w:r>
              <w:rPr>
                <w:rFonts w:ascii="Arial" w:cs="Arial" w:eastAsia="Arial" w:hAnsi="Arial"/>
                <w:sz w:val="11"/>
                <w:szCs w:val="11"/>
                <w:color w:val="auto"/>
              </w:rPr>
              <w:t>6,475,158</w:t>
            </w:r>
          </w:p>
        </w:tc>
      </w:tr>
      <w:tr>
        <w:trPr>
          <w:trHeight w:val="183"/>
        </w:trPr>
        <w:tc>
          <w:tcPr>
            <w:tcW w:w="1600" w:type="dxa"/>
            <w:vAlign w:val="bottom"/>
            <w:tcBorders>
              <w:bottom w:val="single" w:sz="8" w:color="008055"/>
              <w:right w:val="single" w:sz="8" w:color="008256"/>
            </w:tcBorders>
            <w:shd w:val="clear" w:color="auto" w:fill="E1F8F0"/>
          </w:tcPr>
          <w:p>
            <w:pPr>
              <w:spacing w:after="0"/>
              <w:rPr>
                <w:sz w:val="15"/>
                <w:szCs w:val="15"/>
                <w:color w:val="auto"/>
              </w:rPr>
            </w:pPr>
          </w:p>
        </w:tc>
        <w:tc>
          <w:tcPr>
            <w:tcW w:w="1400" w:type="dxa"/>
            <w:vAlign w:val="bottom"/>
            <w:tcBorders>
              <w:bottom w:val="single" w:sz="8" w:color="008055"/>
              <w:right w:val="single" w:sz="8" w:color="008256"/>
            </w:tcBorders>
            <w:shd w:val="clear" w:color="auto" w:fill="E1F8F0"/>
          </w:tcPr>
          <w:p>
            <w:pPr>
              <w:jc w:val="center"/>
              <w:spacing w:after="0"/>
              <w:rPr>
                <w:sz w:val="20"/>
                <w:szCs w:val="20"/>
                <w:color w:val="auto"/>
              </w:rPr>
            </w:pPr>
            <w:r>
              <w:rPr>
                <w:rFonts w:ascii="Arial" w:cs="Arial" w:eastAsia="Arial" w:hAnsi="Arial"/>
                <w:sz w:val="11"/>
                <w:szCs w:val="11"/>
                <w:color w:val="auto"/>
              </w:rPr>
              <w:t>7/11/2022</w:t>
            </w:r>
          </w:p>
        </w:tc>
        <w:tc>
          <w:tcPr>
            <w:tcW w:w="1220" w:type="dxa"/>
            <w:vAlign w:val="bottom"/>
            <w:tcBorders>
              <w:bottom w:val="single" w:sz="8" w:color="008055"/>
            </w:tcBorders>
            <w:shd w:val="clear" w:color="auto" w:fill="E1F8F0"/>
          </w:tcPr>
          <w:p>
            <w:pPr>
              <w:spacing w:after="0"/>
              <w:rPr>
                <w:sz w:val="15"/>
                <w:szCs w:val="15"/>
                <w:color w:val="auto"/>
              </w:rPr>
            </w:pPr>
          </w:p>
        </w:tc>
        <w:tc>
          <w:tcPr>
            <w:tcW w:w="300" w:type="dxa"/>
            <w:vAlign w:val="bottom"/>
            <w:tcBorders>
              <w:bottom w:val="single" w:sz="8" w:color="008055"/>
              <w:right w:val="single" w:sz="8" w:color="008256"/>
            </w:tcBorders>
            <w:shd w:val="clear" w:color="auto" w:fill="E1F8F0"/>
          </w:tcPr>
          <w:p>
            <w:pPr>
              <w:spacing w:after="0"/>
              <w:rPr>
                <w:sz w:val="15"/>
                <w:szCs w:val="15"/>
                <w:color w:val="auto"/>
              </w:rPr>
            </w:pPr>
          </w:p>
        </w:tc>
        <w:tc>
          <w:tcPr>
            <w:tcW w:w="1220" w:type="dxa"/>
            <w:vAlign w:val="bottom"/>
            <w:tcBorders>
              <w:bottom w:val="single" w:sz="8" w:color="008055"/>
            </w:tcBorders>
            <w:shd w:val="clear" w:color="auto" w:fill="E1F8F0"/>
          </w:tcPr>
          <w:p>
            <w:pPr>
              <w:spacing w:after="0"/>
              <w:rPr>
                <w:sz w:val="15"/>
                <w:szCs w:val="15"/>
                <w:color w:val="auto"/>
              </w:rPr>
            </w:pPr>
          </w:p>
        </w:tc>
        <w:tc>
          <w:tcPr>
            <w:tcW w:w="300" w:type="dxa"/>
            <w:vAlign w:val="bottom"/>
            <w:tcBorders>
              <w:bottom w:val="single" w:sz="8" w:color="008055"/>
              <w:right w:val="single" w:sz="8" w:color="008256"/>
            </w:tcBorders>
            <w:shd w:val="clear" w:color="auto" w:fill="E1F8F0"/>
          </w:tcPr>
          <w:p>
            <w:pPr>
              <w:spacing w:after="0"/>
              <w:rPr>
                <w:sz w:val="15"/>
                <w:szCs w:val="15"/>
                <w:color w:val="auto"/>
              </w:rPr>
            </w:pPr>
          </w:p>
        </w:tc>
        <w:tc>
          <w:tcPr>
            <w:tcW w:w="240" w:type="dxa"/>
            <w:vAlign w:val="bottom"/>
            <w:tcBorders>
              <w:bottom w:val="single" w:sz="8" w:color="008055"/>
            </w:tcBorders>
            <w:shd w:val="clear" w:color="auto" w:fill="E1F8F0"/>
          </w:tcPr>
          <w:p>
            <w:pPr>
              <w:spacing w:after="0"/>
              <w:rPr>
                <w:sz w:val="15"/>
                <w:szCs w:val="15"/>
                <w:color w:val="auto"/>
              </w:rPr>
            </w:pPr>
          </w:p>
        </w:tc>
        <w:tc>
          <w:tcPr>
            <w:tcW w:w="1000" w:type="dxa"/>
            <w:vAlign w:val="bottom"/>
            <w:tcBorders>
              <w:bottom w:val="single" w:sz="8" w:color="008055"/>
              <w:right w:val="single" w:sz="8" w:color="008256"/>
            </w:tcBorders>
            <w:shd w:val="clear" w:color="auto" w:fill="E1F8F0"/>
          </w:tcPr>
          <w:p>
            <w:pPr>
              <w:spacing w:after="0"/>
              <w:rPr>
                <w:sz w:val="15"/>
                <w:szCs w:val="15"/>
                <w:color w:val="auto"/>
              </w:rPr>
            </w:pPr>
          </w:p>
        </w:tc>
        <w:tc>
          <w:tcPr>
            <w:tcW w:w="1260" w:type="dxa"/>
            <w:vAlign w:val="bottom"/>
            <w:tcBorders>
              <w:bottom w:val="single" w:sz="8" w:color="008055"/>
              <w:right w:val="single" w:sz="8" w:color="008256"/>
            </w:tcBorders>
            <w:shd w:val="clear" w:color="auto" w:fill="E1F8F0"/>
          </w:tcPr>
          <w:p>
            <w:pPr>
              <w:spacing w:after="0"/>
              <w:rPr>
                <w:sz w:val="15"/>
                <w:szCs w:val="15"/>
                <w:color w:val="auto"/>
              </w:rPr>
            </w:pPr>
          </w:p>
        </w:tc>
        <w:tc>
          <w:tcPr>
            <w:tcW w:w="1220" w:type="dxa"/>
            <w:vAlign w:val="bottom"/>
            <w:tcBorders>
              <w:bottom w:val="single" w:sz="8" w:color="008055"/>
            </w:tcBorders>
            <w:shd w:val="clear" w:color="auto" w:fill="E1F8F0"/>
          </w:tcPr>
          <w:p>
            <w:pPr>
              <w:jc w:val="right"/>
              <w:spacing w:after="0"/>
              <w:rPr>
                <w:sz w:val="20"/>
                <w:szCs w:val="20"/>
                <w:color w:val="auto"/>
              </w:rPr>
            </w:pPr>
            <w:r>
              <w:rPr>
                <w:rFonts w:ascii="Arial" w:cs="Arial" w:eastAsia="Arial" w:hAnsi="Arial"/>
                <w:sz w:val="11"/>
                <w:szCs w:val="11"/>
                <w:color w:val="auto"/>
              </w:rPr>
              <w:t>19,570</w:t>
            </w:r>
          </w:p>
        </w:tc>
        <w:tc>
          <w:tcPr>
            <w:tcW w:w="300" w:type="dxa"/>
            <w:vAlign w:val="bottom"/>
            <w:tcBorders>
              <w:bottom w:val="single" w:sz="8" w:color="008055"/>
              <w:right w:val="single" w:sz="8" w:color="008256"/>
            </w:tcBorders>
            <w:shd w:val="clear" w:color="auto" w:fill="E1F8F0"/>
          </w:tcPr>
          <w:p>
            <w:pPr>
              <w:jc w:val="right"/>
              <w:ind w:right="163"/>
              <w:spacing w:after="0"/>
              <w:rPr>
                <w:sz w:val="20"/>
                <w:szCs w:val="20"/>
                <w:color w:val="auto"/>
              </w:rPr>
            </w:pPr>
            <w:r>
              <w:rPr>
                <w:rFonts w:ascii="Arial" w:cs="Arial" w:eastAsia="Arial" w:hAnsi="Arial"/>
                <w:sz w:val="7"/>
                <w:szCs w:val="7"/>
                <w:color w:val="auto"/>
                <w:w w:val="92"/>
              </w:rPr>
              <w:t>(6)</w:t>
            </w:r>
          </w:p>
        </w:tc>
        <w:tc>
          <w:tcPr>
            <w:tcW w:w="280" w:type="dxa"/>
            <w:vAlign w:val="bottom"/>
            <w:tcBorders>
              <w:bottom w:val="single" w:sz="8" w:color="008055"/>
            </w:tcBorders>
            <w:shd w:val="clear" w:color="auto" w:fill="E1F8F0"/>
          </w:tcPr>
          <w:p>
            <w:pPr>
              <w:spacing w:after="0"/>
              <w:rPr>
                <w:sz w:val="15"/>
                <w:szCs w:val="15"/>
                <w:color w:val="auto"/>
              </w:rPr>
            </w:pPr>
          </w:p>
        </w:tc>
        <w:tc>
          <w:tcPr>
            <w:tcW w:w="940" w:type="dxa"/>
            <w:vAlign w:val="bottom"/>
            <w:tcBorders>
              <w:bottom w:val="single" w:sz="8" w:color="008055"/>
            </w:tcBorders>
            <w:shd w:val="clear" w:color="auto" w:fill="E1F8F0"/>
          </w:tcPr>
          <w:p>
            <w:pPr>
              <w:jc w:val="right"/>
              <w:spacing w:after="0"/>
              <w:rPr>
                <w:sz w:val="20"/>
                <w:szCs w:val="20"/>
                <w:color w:val="auto"/>
              </w:rPr>
            </w:pPr>
            <w:r>
              <w:rPr>
                <w:rFonts w:ascii="Arial" w:cs="Arial" w:eastAsia="Arial" w:hAnsi="Arial"/>
                <w:sz w:val="11"/>
                <w:szCs w:val="11"/>
                <w:color w:val="auto"/>
              </w:rPr>
              <w:t>260,281</w:t>
            </w:r>
          </w:p>
        </w:tc>
      </w:tr>
    </w:tbl>
    <w:p>
      <w:pPr>
        <w:spacing w:after="0" w:line="57" w:lineRule="exact"/>
        <w:rPr>
          <w:sz w:val="20"/>
          <w:szCs w:val="20"/>
          <w:color w:val="auto"/>
        </w:rPr>
      </w:pPr>
    </w:p>
    <w:p>
      <w:pPr>
        <w:ind w:left="200" w:right="100" w:hanging="195"/>
        <w:spacing w:after="0" w:line="271" w:lineRule="auto"/>
        <w:tabs>
          <w:tab w:leader="none" w:pos="190" w:val="left"/>
        </w:tabs>
        <w:numPr>
          <w:ilvl w:val="0"/>
          <w:numId w:val="23"/>
        </w:numPr>
        <w:rPr>
          <w:rFonts w:ascii="Arial" w:cs="Arial" w:eastAsia="Arial" w:hAnsi="Arial"/>
          <w:sz w:val="11"/>
          <w:szCs w:val="11"/>
          <w:i w:val="1"/>
          <w:iCs w:val="1"/>
          <w:color w:val="auto"/>
        </w:rPr>
      </w:pPr>
      <w:r>
        <w:rPr>
          <w:rFonts w:ascii="Arial" w:cs="Arial" w:eastAsia="Arial" w:hAnsi="Arial"/>
          <w:sz w:val="11"/>
          <w:szCs w:val="11"/>
          <w:i w:val="1"/>
          <w:iCs w:val="1"/>
          <w:color w:val="auto"/>
        </w:rPr>
        <w:t>The option vests as to 25% of the shares subject to the option on the first anniversary of the vesting commencement date, and as to 1/48th of the shares on a monthly basis thereafter for the next 36 months, subject to the executive’s continued service with us on each applicable vesting date.</w:t>
      </w:r>
    </w:p>
    <w:p>
      <w:pPr>
        <w:ind w:left="180" w:hanging="175"/>
        <w:spacing w:after="0"/>
        <w:tabs>
          <w:tab w:leader="none" w:pos="180" w:val="left"/>
        </w:tabs>
        <w:numPr>
          <w:ilvl w:val="0"/>
          <w:numId w:val="23"/>
        </w:numPr>
        <w:rPr>
          <w:rFonts w:ascii="Arial" w:cs="Arial" w:eastAsia="Arial" w:hAnsi="Arial"/>
          <w:sz w:val="11"/>
          <w:szCs w:val="11"/>
          <w:i w:val="1"/>
          <w:iCs w:val="1"/>
          <w:color w:val="auto"/>
        </w:rPr>
      </w:pPr>
      <w:r>
        <w:rPr>
          <w:rFonts w:ascii="Arial" w:cs="Arial" w:eastAsia="Arial" w:hAnsi="Arial"/>
          <w:sz w:val="11"/>
          <w:szCs w:val="11"/>
          <w:i w:val="1"/>
          <w:iCs w:val="1"/>
          <w:color w:val="auto"/>
        </w:rPr>
        <w:t>The option vests as to 100% of the shares subject to the option on January 1, 2026, subject to the executive's continued service with us on the vesting date.</w:t>
      </w:r>
    </w:p>
    <w:p>
      <w:pPr>
        <w:spacing w:after="0" w:line="11" w:lineRule="exact"/>
        <w:rPr>
          <w:rFonts w:ascii="Arial" w:cs="Arial" w:eastAsia="Arial" w:hAnsi="Arial"/>
          <w:sz w:val="11"/>
          <w:szCs w:val="11"/>
          <w:i w:val="1"/>
          <w:iCs w:val="1"/>
          <w:color w:val="auto"/>
        </w:rPr>
      </w:pPr>
    </w:p>
    <w:p>
      <w:pPr>
        <w:ind w:left="200" w:right="100" w:hanging="195"/>
        <w:spacing w:after="0" w:line="251" w:lineRule="auto"/>
        <w:tabs>
          <w:tab w:leader="none" w:pos="190" w:val="left"/>
        </w:tabs>
        <w:numPr>
          <w:ilvl w:val="0"/>
          <w:numId w:val="23"/>
        </w:numPr>
        <w:rPr>
          <w:rFonts w:ascii="Arial" w:cs="Arial" w:eastAsia="Arial" w:hAnsi="Arial"/>
          <w:sz w:val="11"/>
          <w:szCs w:val="11"/>
          <w:i w:val="1"/>
          <w:iCs w:val="1"/>
          <w:color w:val="auto"/>
        </w:rPr>
      </w:pPr>
      <w:r>
        <w:rPr>
          <w:rFonts w:ascii="Arial" w:cs="Arial" w:eastAsia="Arial" w:hAnsi="Arial"/>
          <w:sz w:val="11"/>
          <w:szCs w:val="11"/>
          <w:i w:val="1"/>
          <w:iCs w:val="1"/>
          <w:color w:val="auto"/>
        </w:rPr>
        <w:t>The option vests in substantially equal monthly installments over 48 months of continuous service following the vesting commencement date, subject to the executive’s continued service with us on each applicable vesting date.</w:t>
      </w:r>
    </w:p>
    <w:p>
      <w:pPr>
        <w:spacing w:after="0" w:line="132" w:lineRule="exact"/>
        <w:rPr>
          <w:rFonts w:ascii="Arial" w:cs="Arial" w:eastAsia="Arial" w:hAnsi="Arial"/>
          <w:sz w:val="11"/>
          <w:szCs w:val="11"/>
          <w:i w:val="1"/>
          <w:iCs w:val="1"/>
          <w:color w:val="auto"/>
        </w:rPr>
      </w:pPr>
    </w:p>
    <w:p>
      <w:pPr>
        <w:ind w:left="200" w:right="120" w:hanging="195"/>
        <w:spacing w:after="0" w:line="261" w:lineRule="auto"/>
        <w:tabs>
          <w:tab w:leader="none" w:pos="190" w:val="left"/>
        </w:tabs>
        <w:numPr>
          <w:ilvl w:val="0"/>
          <w:numId w:val="23"/>
        </w:numPr>
        <w:rPr>
          <w:rFonts w:ascii="Arial" w:cs="Arial" w:eastAsia="Arial" w:hAnsi="Arial"/>
          <w:sz w:val="11"/>
          <w:szCs w:val="11"/>
          <w:i w:val="1"/>
          <w:iCs w:val="1"/>
          <w:color w:val="auto"/>
        </w:rPr>
      </w:pPr>
      <w:r>
        <w:rPr>
          <w:rFonts w:ascii="Arial" w:cs="Arial" w:eastAsia="Arial" w:hAnsi="Arial"/>
          <w:sz w:val="11"/>
          <w:szCs w:val="11"/>
          <w:i w:val="1"/>
          <w:iCs w:val="1"/>
          <w:color w:val="auto"/>
        </w:rPr>
        <w:t>Represents PSOs with both service-based and performance-based conditions, at a payout of 164% of target. Recipients of these PSOs were eligible to earn between 0% and 200% of their target awards based upon the achievement of (i) a revenue-related growth metric and (ii) a non-GAAP operating income-related metric, both in fiscal year 2024, subject to certification of the attainment of the performance levels, with such PSOs further subject to service-based vesting over a period of three years.</w:t>
      </w:r>
    </w:p>
    <w:p>
      <w:pPr>
        <w:spacing w:after="0" w:line="1" w:lineRule="exact"/>
        <w:rPr>
          <w:rFonts w:ascii="Arial" w:cs="Arial" w:eastAsia="Arial" w:hAnsi="Arial"/>
          <w:sz w:val="11"/>
          <w:szCs w:val="11"/>
          <w:i w:val="1"/>
          <w:iCs w:val="1"/>
          <w:color w:val="auto"/>
        </w:rPr>
      </w:pPr>
    </w:p>
    <w:p>
      <w:pPr>
        <w:ind w:left="200" w:right="140" w:hanging="195"/>
        <w:spacing w:after="0" w:line="251" w:lineRule="auto"/>
        <w:tabs>
          <w:tab w:leader="none" w:pos="190" w:val="left"/>
        </w:tabs>
        <w:numPr>
          <w:ilvl w:val="0"/>
          <w:numId w:val="23"/>
        </w:numPr>
        <w:rPr>
          <w:rFonts w:ascii="Arial" w:cs="Arial" w:eastAsia="Arial" w:hAnsi="Arial"/>
          <w:sz w:val="11"/>
          <w:szCs w:val="11"/>
          <w:i w:val="1"/>
          <w:iCs w:val="1"/>
          <w:color w:val="auto"/>
        </w:rPr>
      </w:pPr>
      <w:r>
        <w:rPr>
          <w:rFonts w:ascii="Arial" w:cs="Arial" w:eastAsia="Arial" w:hAnsi="Arial"/>
          <w:sz w:val="11"/>
          <w:szCs w:val="11"/>
          <w:i w:val="1"/>
          <w:iCs w:val="1"/>
          <w:color w:val="auto"/>
        </w:rPr>
        <w:t>Upon Ms. StClair's resignation from the Company effective March 7, 2025, all unvested options (including PSOs) and RSUs were immediately forfeited, while any vested options remain exercisable for a period of 90 days following the date of resignation, after which any unexercised options will be forfeited.</w:t>
      </w:r>
    </w:p>
    <w:p>
      <w:pPr>
        <w:ind w:left="200" w:right="140" w:hanging="195"/>
        <w:spacing w:after="0" w:line="261" w:lineRule="auto"/>
        <w:tabs>
          <w:tab w:leader="none" w:pos="190" w:val="left"/>
        </w:tabs>
        <w:numPr>
          <w:ilvl w:val="0"/>
          <w:numId w:val="23"/>
        </w:numPr>
        <w:rPr>
          <w:rFonts w:ascii="Arial" w:cs="Arial" w:eastAsia="Arial" w:hAnsi="Arial"/>
          <w:sz w:val="11"/>
          <w:szCs w:val="11"/>
          <w:i w:val="1"/>
          <w:iCs w:val="1"/>
          <w:color w:val="auto"/>
        </w:rPr>
      </w:pPr>
      <w:r>
        <w:rPr>
          <w:rFonts w:ascii="Arial" w:cs="Arial" w:eastAsia="Arial" w:hAnsi="Arial"/>
          <w:sz w:val="11"/>
          <w:szCs w:val="11"/>
          <w:i w:val="1"/>
          <w:iCs w:val="1"/>
          <w:color w:val="auto"/>
        </w:rPr>
        <w:t>The RSUs will be completely vested once the executive has been a service provider on 17 consecutive Quarterly Installment Dates (approximately four years). A number of shares shall vest on each Quarterly Installment Date (March 1, June 1, September 1, and December 1 of each year, provided that if such date is not a business day, the Quarterly Installment Date shall be the first business day after such date) following the vesting commencement date as follows, subject to the executive being a service provider through such date:</w:t>
      </w:r>
    </w:p>
    <w:p>
      <w:pPr>
        <w:spacing w:after="0" w:line="1" w:lineRule="exact"/>
        <w:rPr>
          <w:rFonts w:ascii="Arial" w:cs="Arial" w:eastAsia="Arial" w:hAnsi="Arial"/>
          <w:sz w:val="11"/>
          <w:szCs w:val="11"/>
          <w:i w:val="1"/>
          <w:iCs w:val="1"/>
          <w:color w:val="auto"/>
        </w:rPr>
      </w:pPr>
    </w:p>
    <w:p>
      <w:pPr>
        <w:ind w:left="520" w:hanging="197"/>
        <w:spacing w:after="0" w:line="205" w:lineRule="auto"/>
        <w:tabs>
          <w:tab w:leader="none" w:pos="520" w:val="left"/>
        </w:tabs>
        <w:numPr>
          <w:ilvl w:val="1"/>
          <w:numId w:val="23"/>
        </w:numPr>
        <w:rPr>
          <w:rFonts w:ascii="Arial" w:cs="Arial" w:eastAsia="Arial" w:hAnsi="Arial"/>
          <w:sz w:val="11"/>
          <w:szCs w:val="11"/>
          <w:i w:val="1"/>
          <w:iCs w:val="1"/>
          <w:color w:val="auto"/>
        </w:rPr>
      </w:pPr>
      <w:r>
        <w:rPr>
          <w:rFonts w:ascii="Arial" w:cs="Arial" w:eastAsia="Arial" w:hAnsi="Arial"/>
          <w:sz w:val="11"/>
          <w:szCs w:val="11"/>
          <w:i w:val="1"/>
          <w:iCs w:val="1"/>
          <w:color w:val="auto"/>
        </w:rPr>
        <w:t>1</w:t>
      </w:r>
      <w:r>
        <w:rPr>
          <w:rFonts w:ascii="Arial" w:cs="Arial" w:eastAsia="Arial" w:hAnsi="Arial"/>
          <w:sz w:val="14"/>
          <w:szCs w:val="14"/>
          <w:i w:val="1"/>
          <w:iCs w:val="1"/>
          <w:color w:val="auto"/>
          <w:vertAlign w:val="superscript"/>
        </w:rPr>
        <w:t>st</w:t>
      </w:r>
      <w:r>
        <w:rPr>
          <w:rFonts w:ascii="Arial" w:cs="Arial" w:eastAsia="Arial" w:hAnsi="Arial"/>
          <w:sz w:val="11"/>
          <w:szCs w:val="11"/>
          <w:i w:val="1"/>
          <w:iCs w:val="1"/>
          <w:color w:val="auto"/>
        </w:rPr>
        <w:t xml:space="preserve"> through 4</w:t>
      </w:r>
      <w:r>
        <w:rPr>
          <w:rFonts w:ascii="Arial" w:cs="Arial" w:eastAsia="Arial" w:hAnsi="Arial"/>
          <w:sz w:val="14"/>
          <w:szCs w:val="14"/>
          <w:i w:val="1"/>
          <w:iCs w:val="1"/>
          <w:color w:val="auto"/>
          <w:vertAlign w:val="superscript"/>
        </w:rPr>
        <w:t>th</w:t>
      </w:r>
      <w:r>
        <w:rPr>
          <w:rFonts w:ascii="Arial" w:cs="Arial" w:eastAsia="Arial" w:hAnsi="Arial"/>
          <w:sz w:val="11"/>
          <w:szCs w:val="11"/>
          <w:i w:val="1"/>
          <w:iCs w:val="1"/>
          <w:color w:val="auto"/>
        </w:rPr>
        <w:t xml:space="preserve"> Quarterly Installment Date: No vesting.</w:t>
      </w:r>
    </w:p>
    <w:p>
      <w:pPr>
        <w:ind w:left="520" w:right="80" w:hanging="197"/>
        <w:spacing w:after="0" w:line="221" w:lineRule="auto"/>
        <w:tabs>
          <w:tab w:leader="none" w:pos="517" w:val="left"/>
        </w:tabs>
        <w:numPr>
          <w:ilvl w:val="1"/>
          <w:numId w:val="23"/>
        </w:numPr>
        <w:rPr>
          <w:rFonts w:ascii="Arial" w:cs="Arial" w:eastAsia="Arial" w:hAnsi="Arial"/>
          <w:sz w:val="11"/>
          <w:szCs w:val="11"/>
          <w:i w:val="1"/>
          <w:iCs w:val="1"/>
          <w:color w:val="auto"/>
        </w:rPr>
      </w:pPr>
      <w:r>
        <w:rPr>
          <w:rFonts w:ascii="Arial" w:cs="Arial" w:eastAsia="Arial" w:hAnsi="Arial"/>
          <w:sz w:val="11"/>
          <w:szCs w:val="11"/>
          <w:i w:val="1"/>
          <w:iCs w:val="1"/>
          <w:color w:val="auto"/>
        </w:rPr>
        <w:t>5</w:t>
      </w:r>
      <w:r>
        <w:rPr>
          <w:rFonts w:ascii="Arial" w:cs="Arial" w:eastAsia="Arial" w:hAnsi="Arial"/>
          <w:sz w:val="14"/>
          <w:szCs w:val="14"/>
          <w:i w:val="1"/>
          <w:iCs w:val="1"/>
          <w:color w:val="auto"/>
          <w:vertAlign w:val="superscript"/>
        </w:rPr>
        <w:t>th</w:t>
      </w:r>
      <w:r>
        <w:rPr>
          <w:rFonts w:ascii="Arial" w:cs="Arial" w:eastAsia="Arial" w:hAnsi="Arial"/>
          <w:sz w:val="11"/>
          <w:szCs w:val="11"/>
          <w:i w:val="1"/>
          <w:iCs w:val="1"/>
          <w:color w:val="auto"/>
        </w:rPr>
        <w:t xml:space="preserve"> Quarterly Installment Date: A number of shares subject to the award shall vest equal to the product of (i) the number of RSUs granted, multiplied by (ii) a fraction, (x) the numerator of which shall be the number of days that have elapsed since, and including, the vesting commencement date and (y) the denominator of which shall be one thousand four hundred sixty (1,460), rounded down to the nearest whole share.</w:t>
      </w:r>
    </w:p>
    <w:p>
      <w:pPr>
        <w:ind w:left="520" w:hanging="197"/>
        <w:spacing w:after="0" w:line="205" w:lineRule="auto"/>
        <w:tabs>
          <w:tab w:leader="none" w:pos="520" w:val="left"/>
        </w:tabs>
        <w:numPr>
          <w:ilvl w:val="1"/>
          <w:numId w:val="23"/>
        </w:numPr>
        <w:rPr>
          <w:rFonts w:ascii="Arial" w:cs="Arial" w:eastAsia="Arial" w:hAnsi="Arial"/>
          <w:sz w:val="11"/>
          <w:szCs w:val="11"/>
          <w:i w:val="1"/>
          <w:iCs w:val="1"/>
          <w:color w:val="auto"/>
        </w:rPr>
      </w:pPr>
      <w:r>
        <w:rPr>
          <w:rFonts w:ascii="Arial" w:cs="Arial" w:eastAsia="Arial" w:hAnsi="Arial"/>
          <w:sz w:val="11"/>
          <w:szCs w:val="11"/>
          <w:i w:val="1"/>
          <w:iCs w:val="1"/>
          <w:color w:val="auto"/>
        </w:rPr>
        <w:t>6</w:t>
      </w:r>
      <w:r>
        <w:rPr>
          <w:rFonts w:ascii="Arial" w:cs="Arial" w:eastAsia="Arial" w:hAnsi="Arial"/>
          <w:sz w:val="14"/>
          <w:szCs w:val="14"/>
          <w:i w:val="1"/>
          <w:iCs w:val="1"/>
          <w:color w:val="auto"/>
          <w:vertAlign w:val="superscript"/>
        </w:rPr>
        <w:t>th</w:t>
      </w:r>
      <w:r>
        <w:rPr>
          <w:rFonts w:ascii="Arial" w:cs="Arial" w:eastAsia="Arial" w:hAnsi="Arial"/>
          <w:sz w:val="11"/>
          <w:szCs w:val="11"/>
          <w:i w:val="1"/>
          <w:iCs w:val="1"/>
          <w:color w:val="auto"/>
        </w:rPr>
        <w:t xml:space="preserve"> through 16</w:t>
      </w:r>
      <w:r>
        <w:rPr>
          <w:rFonts w:ascii="Arial" w:cs="Arial" w:eastAsia="Arial" w:hAnsi="Arial"/>
          <w:sz w:val="14"/>
          <w:szCs w:val="14"/>
          <w:i w:val="1"/>
          <w:iCs w:val="1"/>
          <w:color w:val="auto"/>
          <w:vertAlign w:val="superscript"/>
        </w:rPr>
        <w:t>th</w:t>
      </w:r>
      <w:r>
        <w:rPr>
          <w:rFonts w:ascii="Arial" w:cs="Arial" w:eastAsia="Arial" w:hAnsi="Arial"/>
          <w:sz w:val="11"/>
          <w:szCs w:val="11"/>
          <w:i w:val="1"/>
          <w:iCs w:val="1"/>
          <w:color w:val="auto"/>
        </w:rPr>
        <w:t xml:space="preserve"> Quarterly Installment Date: 1/16</w:t>
      </w:r>
      <w:r>
        <w:rPr>
          <w:rFonts w:ascii="Arial" w:cs="Arial" w:eastAsia="Arial" w:hAnsi="Arial"/>
          <w:sz w:val="14"/>
          <w:szCs w:val="14"/>
          <w:i w:val="1"/>
          <w:iCs w:val="1"/>
          <w:color w:val="auto"/>
          <w:vertAlign w:val="superscript"/>
        </w:rPr>
        <w:t>th</w:t>
      </w:r>
      <w:r>
        <w:rPr>
          <w:rFonts w:ascii="Arial" w:cs="Arial" w:eastAsia="Arial" w:hAnsi="Arial"/>
          <w:sz w:val="11"/>
          <w:szCs w:val="11"/>
          <w:i w:val="1"/>
          <w:iCs w:val="1"/>
          <w:color w:val="auto"/>
        </w:rPr>
        <w:t xml:space="preserve"> of the number of RSUs granted shall vest, rounded down to the nearest whole share.</w:t>
      </w:r>
    </w:p>
    <w:p>
      <w:pPr>
        <w:ind w:left="520" w:hanging="197"/>
        <w:spacing w:after="0" w:line="205" w:lineRule="auto"/>
        <w:tabs>
          <w:tab w:leader="none" w:pos="520" w:val="left"/>
        </w:tabs>
        <w:numPr>
          <w:ilvl w:val="1"/>
          <w:numId w:val="23"/>
        </w:numPr>
        <w:rPr>
          <w:rFonts w:ascii="Arial" w:cs="Arial" w:eastAsia="Arial" w:hAnsi="Arial"/>
          <w:sz w:val="11"/>
          <w:szCs w:val="11"/>
          <w:i w:val="1"/>
          <w:iCs w:val="1"/>
          <w:color w:val="auto"/>
        </w:rPr>
      </w:pPr>
      <w:r>
        <w:rPr>
          <w:rFonts w:ascii="Arial" w:cs="Arial" w:eastAsia="Arial" w:hAnsi="Arial"/>
          <w:sz w:val="11"/>
          <w:szCs w:val="11"/>
          <w:i w:val="1"/>
          <w:iCs w:val="1"/>
          <w:color w:val="auto"/>
        </w:rPr>
        <w:t>17</w:t>
      </w:r>
      <w:r>
        <w:rPr>
          <w:rFonts w:ascii="Arial" w:cs="Arial" w:eastAsia="Arial" w:hAnsi="Arial"/>
          <w:sz w:val="14"/>
          <w:szCs w:val="14"/>
          <w:i w:val="1"/>
          <w:iCs w:val="1"/>
          <w:color w:val="auto"/>
          <w:vertAlign w:val="superscript"/>
        </w:rPr>
        <w:t>th</w:t>
      </w:r>
      <w:r>
        <w:rPr>
          <w:rFonts w:ascii="Arial" w:cs="Arial" w:eastAsia="Arial" w:hAnsi="Arial"/>
          <w:sz w:val="11"/>
          <w:szCs w:val="11"/>
          <w:i w:val="1"/>
          <w:iCs w:val="1"/>
          <w:color w:val="auto"/>
        </w:rPr>
        <w:t xml:space="preserve"> Quarterly Installment Date: All then unvested RSUs shall vest.</w:t>
      </w:r>
    </w:p>
    <w:p>
      <w:pPr>
        <w:ind w:left="200" w:right="440" w:hanging="195"/>
        <w:spacing w:after="0" w:line="251" w:lineRule="auto"/>
        <w:tabs>
          <w:tab w:leader="none" w:pos="190" w:val="left"/>
        </w:tabs>
        <w:numPr>
          <w:ilvl w:val="0"/>
          <w:numId w:val="23"/>
        </w:numPr>
        <w:rPr>
          <w:rFonts w:ascii="Arial" w:cs="Arial" w:eastAsia="Arial" w:hAnsi="Arial"/>
          <w:sz w:val="11"/>
          <w:szCs w:val="11"/>
          <w:i w:val="1"/>
          <w:iCs w:val="1"/>
          <w:color w:val="auto"/>
        </w:rPr>
      </w:pPr>
      <w:r>
        <w:rPr>
          <w:rFonts w:ascii="Arial" w:cs="Arial" w:eastAsia="Arial" w:hAnsi="Arial"/>
          <w:sz w:val="11"/>
          <w:szCs w:val="11"/>
          <w:i w:val="1"/>
          <w:iCs w:val="1"/>
          <w:color w:val="auto"/>
        </w:rPr>
        <w:t>The RSUs vest in 16 substantially equal installments on each Quarterly Installment Date (March 1, June 1, September 1, and December 1 of each year, provided that if such date is not a business day, the Quarterly Installment Date shall be the first business day after such date) following the vesting commencement date, subject to the executive’s continued service with us on each applicable vesting date.</w:t>
      </w:r>
    </w:p>
    <w:p>
      <w:pPr>
        <w:ind w:left="200" w:right="260" w:hanging="195"/>
        <w:spacing w:after="0" w:line="261" w:lineRule="auto"/>
        <w:tabs>
          <w:tab w:leader="none" w:pos="190" w:val="left"/>
        </w:tabs>
        <w:numPr>
          <w:ilvl w:val="0"/>
          <w:numId w:val="23"/>
        </w:numPr>
        <w:rPr>
          <w:rFonts w:ascii="Arial" w:cs="Arial" w:eastAsia="Arial" w:hAnsi="Arial"/>
          <w:sz w:val="11"/>
          <w:szCs w:val="11"/>
          <w:i w:val="1"/>
          <w:iCs w:val="1"/>
          <w:color w:val="auto"/>
        </w:rPr>
      </w:pPr>
      <w:r>
        <w:rPr>
          <w:rFonts w:ascii="Arial" w:cs="Arial" w:eastAsia="Arial" w:hAnsi="Arial"/>
          <w:sz w:val="11"/>
          <w:szCs w:val="11"/>
          <w:i w:val="1"/>
          <w:iCs w:val="1"/>
          <w:color w:val="auto"/>
        </w:rPr>
        <w:t>The RSUs were granted to Mr. Yount under the NerdWallet, Inc. 2022 Inducement Equity Incentive Plan related to the Company's acquisition of OTB in July 2022. The RSUs vest in full upon the third anniversary of the vesting commencement date.</w:t>
      </w:r>
    </w:p>
    <w:p>
      <w:pPr>
        <w:ind w:left="180" w:hanging="175"/>
        <w:spacing w:after="0"/>
        <w:tabs>
          <w:tab w:leader="none" w:pos="180" w:val="left"/>
        </w:tabs>
        <w:numPr>
          <w:ilvl w:val="0"/>
          <w:numId w:val="23"/>
        </w:numPr>
        <w:rPr>
          <w:rFonts w:ascii="Arial" w:cs="Arial" w:eastAsia="Arial" w:hAnsi="Arial"/>
          <w:sz w:val="11"/>
          <w:szCs w:val="11"/>
          <w:i w:val="1"/>
          <w:iCs w:val="1"/>
          <w:color w:val="auto"/>
        </w:rPr>
      </w:pPr>
      <w:r>
        <w:rPr>
          <w:rFonts w:ascii="Arial" w:cs="Arial" w:eastAsia="Arial" w:hAnsi="Arial"/>
          <w:sz w:val="11"/>
          <w:szCs w:val="11"/>
          <w:i w:val="1"/>
          <w:iCs w:val="1"/>
          <w:color w:val="auto"/>
        </w:rPr>
        <w:t>Market value is calculated based on $13.30, the closing price of our Class A common stock on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314960</wp:posOffset>
            </wp:positionV>
            <wp:extent cx="7161530" cy="2895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1530" cy="289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1080"/>
        <w:spacing w:after="0"/>
        <w:rPr>
          <w:sz w:val="20"/>
          <w:szCs w:val="20"/>
          <w:color w:val="auto"/>
        </w:rPr>
      </w:pPr>
      <w:r>
        <w:rPr>
          <w:rFonts w:ascii="Arial" w:cs="Arial" w:eastAsia="Arial" w:hAnsi="Arial"/>
          <w:sz w:val="13"/>
          <w:szCs w:val="13"/>
          <w:b w:val="1"/>
          <w:bCs w:val="1"/>
          <w:color w:val="auto"/>
        </w:rPr>
        <w:t>31</w:t>
      </w:r>
    </w:p>
    <w:p>
      <w:pPr>
        <w:sectPr>
          <w:pgSz w:w="11900" w:h="16838" w:orient="portrait"/>
          <w:cols w:equalWidth="0" w:num="1">
            <w:col w:w="11280"/>
          </w:cols>
          <w:pgMar w:left="300" w:top="171" w:right="319" w:bottom="1440" w:gutter="0" w:footer="0" w:header="0"/>
        </w:sectPr>
      </w:pPr>
    </w:p>
    <w:bookmarkStart w:id="36" w:name="page37"/>
    <w:bookmarkEnd w:id="36"/>
    <w:p>
      <w:pPr>
        <w:ind w:left="300"/>
        <w:spacing w:after="0"/>
        <w:rPr>
          <w:sz w:val="20"/>
          <w:szCs w:val="20"/>
          <w:color w:val="auto"/>
        </w:rPr>
      </w:pPr>
      <w:r>
        <w:rPr>
          <w:rFonts w:ascii="Arial" w:cs="Arial" w:eastAsia="Arial" w:hAnsi="Arial"/>
          <w:sz w:val="13"/>
          <w:szCs w:val="13"/>
          <w:b w:val="1"/>
          <w:bCs w:val="1"/>
          <w:color w:val="00482F"/>
        </w:rPr>
        <w:drawing>
          <wp:anchor simplePos="0" relativeHeight="251657728" behindDoc="1" locked="0" layoutInCell="0" allowOverlap="1">
            <wp:simplePos x="0" y="0"/>
            <wp:positionH relativeFrom="page">
              <wp:posOffset>328295</wp:posOffset>
            </wp:positionH>
            <wp:positionV relativeFrom="page">
              <wp:posOffset>102235</wp:posOffset>
            </wp:positionV>
            <wp:extent cx="2876550" cy="2495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876550" cy="249555"/>
                    </a:xfrm>
                    <a:prstGeom prst="rect">
                      <a:avLst/>
                    </a:prstGeom>
                    <a:noFill/>
                  </pic:spPr>
                </pic:pic>
              </a:graphicData>
            </a:graphic>
          </wp:anchor>
        </w:drawing>
        <w:t>NAMED EXECUTIVE OFFICER</w:t>
      </w:r>
    </w:p>
    <w:p>
      <w:pPr>
        <w:spacing w:after="0" w:line="11" w:lineRule="exact"/>
        <w:rPr>
          <w:sz w:val="20"/>
          <w:szCs w:val="20"/>
          <w:color w:val="auto"/>
        </w:rPr>
      </w:pPr>
    </w:p>
    <w:p>
      <w:pPr>
        <w:ind w:left="300"/>
        <w:spacing w:after="0"/>
        <w:rPr>
          <w:sz w:val="20"/>
          <w:szCs w:val="20"/>
          <w:color w:val="auto"/>
        </w:rPr>
      </w:pPr>
      <w:r>
        <w:rPr>
          <w:rFonts w:ascii="Arial" w:cs="Arial" w:eastAsia="Arial" w:hAnsi="Arial"/>
          <w:sz w:val="13"/>
          <w:szCs w:val="13"/>
          <w:b w:val="1"/>
          <w:bCs w:val="1"/>
          <w:color w:val="00482F"/>
        </w:rPr>
        <w:t>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Potential Payments Upon Termination of Employment or Change in Control of the Company</w:t>
      </w:r>
    </w:p>
    <w:p>
      <w:pPr>
        <w:spacing w:after="0" w:line="181" w:lineRule="exact"/>
        <w:rPr>
          <w:sz w:val="20"/>
          <w:szCs w:val="20"/>
          <w:color w:val="auto"/>
        </w:rPr>
      </w:pPr>
    </w:p>
    <w:p>
      <w:pPr>
        <w:ind w:right="120"/>
        <w:spacing w:after="0" w:line="272" w:lineRule="auto"/>
        <w:rPr>
          <w:sz w:val="20"/>
          <w:szCs w:val="20"/>
          <w:color w:val="auto"/>
        </w:rPr>
      </w:pPr>
      <w:r>
        <w:rPr>
          <w:rFonts w:ascii="Arial" w:cs="Arial" w:eastAsia="Arial" w:hAnsi="Arial"/>
          <w:sz w:val="12"/>
          <w:szCs w:val="12"/>
          <w:color w:val="auto"/>
        </w:rPr>
        <w:t>Pursuant to our change of control and severance policy, which became effective as of June 16, 2021, Mr. Chen and Ms. StClair were eligible for the benefits described in this paragraph (which such benefits specifically supersede any prior agreements relating to such benefits). The policy has a term of three years, subject to automatic renewal unless terminated by the Company at least three months prior to the date on which the policy would otherwise renew. The policy automatically renewed for an additional three-year period on June 16, 2024. In the event of a termination without cause or resignation for good reason (a “Qualifying Termination”), each such officer, contingent on execution of a general release of claims against us, will be entitled to (i) a lump sum payment equal to</w:t>
      </w:r>
    </w:p>
    <w:p>
      <w:pPr>
        <w:spacing w:after="0" w:line="2" w:lineRule="exact"/>
        <w:rPr>
          <w:sz w:val="20"/>
          <w:szCs w:val="20"/>
          <w:color w:val="auto"/>
        </w:rPr>
      </w:pPr>
    </w:p>
    <w:p>
      <w:pPr>
        <w:ind w:right="20" w:firstLine="5"/>
        <w:spacing w:after="0" w:line="247" w:lineRule="auto"/>
        <w:tabs>
          <w:tab w:leader="none" w:pos="205"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amount of base salary that would have been earned during the severance period (at the rate in effect immediately prior to such termination prior to any reduction that triggered a resignation for good reason), plus (B) payment of the officer’s target bonus, if applicable, assuming the bonus would have been earned at 100% of target, and prorated based on the number of calendar months completed in the performance period in which the termination occurs and (ii) to the extent the officer timely elects to receive continued coverage under our group healthcare plans, payment of, or reimbursement for, such coverage under COBRA, for up to the length of the severance period. The severance period will be six months; provided, however, that if such Qualifying Termination occurs during the period beginning 3 months prior to, and ending on the date that is 12 months following, a change in control of the Company (a Change in Control Termination), then the severance period will be 12 months. In addition, in the event of a Change in Control Termination, each such officer would also receive (x) if applicable, payment of the officer’s annual target bonus assuming the bonus would have been earned at 100% of target, and (y) vesting of each of the officer’s outstanding equity awards (excluding performance-based awards) as if the officer had completed an additional 12 months of continuous service beyond the termination date.</w:t>
      </w:r>
    </w:p>
    <w:p>
      <w:pPr>
        <w:spacing w:after="0" w:line="147" w:lineRule="exact"/>
        <w:rPr>
          <w:sz w:val="20"/>
          <w:szCs w:val="20"/>
          <w:color w:val="auto"/>
        </w:rPr>
      </w:pPr>
    </w:p>
    <w:p>
      <w:pPr>
        <w:jc w:val="both"/>
        <w:ind w:right="80"/>
        <w:spacing w:after="0" w:line="261" w:lineRule="auto"/>
        <w:rPr>
          <w:sz w:val="20"/>
          <w:szCs w:val="20"/>
          <w:color w:val="auto"/>
        </w:rPr>
      </w:pPr>
      <w:r>
        <w:rPr>
          <w:rFonts w:ascii="Arial" w:cs="Arial" w:eastAsia="Arial" w:hAnsi="Arial"/>
          <w:sz w:val="13"/>
          <w:szCs w:val="13"/>
          <w:color w:val="auto"/>
        </w:rPr>
        <w:t>On March 15, 2023, we amended our change of control and severance policy to provide for the following: (i) in the event of a Change in Control Termination, each officer’s unvested outstanding equity awards (excluding performance-based awards) will vest fully and (ii) in the event of a Qualifying Termination that is not a Change in Control Termination, such officer will no longer be eligible to receive a prorated target bonus.</w:t>
      </w:r>
    </w:p>
    <w:p>
      <w:pPr>
        <w:spacing w:after="0" w:line="138" w:lineRule="exact"/>
        <w:rPr>
          <w:sz w:val="20"/>
          <w:szCs w:val="20"/>
          <w:color w:val="auto"/>
        </w:rPr>
      </w:pPr>
    </w:p>
    <w:p>
      <w:pPr>
        <w:ind w:right="120"/>
        <w:spacing w:after="0" w:line="283" w:lineRule="auto"/>
        <w:rPr>
          <w:sz w:val="20"/>
          <w:szCs w:val="20"/>
          <w:color w:val="auto"/>
        </w:rPr>
      </w:pPr>
      <w:r>
        <w:rPr>
          <w:rFonts w:ascii="Arial" w:cs="Arial" w:eastAsia="Arial" w:hAnsi="Arial"/>
          <w:sz w:val="13"/>
          <w:szCs w:val="13"/>
          <w:color w:val="auto"/>
        </w:rPr>
        <w:t>Mr. Yount is not a participant in the Company's change of control and severance policy, but has certain severance and change of control benefits pursuant to the terms of his cash and equity retention agreements.</w:t>
      </w:r>
    </w:p>
    <w:p>
      <w:pPr>
        <w:spacing w:after="0" w:line="146" w:lineRule="exact"/>
        <w:rPr>
          <w:sz w:val="20"/>
          <w:szCs w:val="20"/>
          <w:color w:val="auto"/>
        </w:rPr>
      </w:pPr>
    </w:p>
    <w:p>
      <w:pPr>
        <w:spacing w:after="0" w:line="248" w:lineRule="auto"/>
        <w:rPr>
          <w:sz w:val="20"/>
          <w:szCs w:val="20"/>
          <w:color w:val="auto"/>
        </w:rPr>
      </w:pPr>
      <w:r>
        <w:rPr>
          <w:rFonts w:ascii="Arial" w:cs="Arial" w:eastAsia="Arial" w:hAnsi="Arial"/>
          <w:sz w:val="13"/>
          <w:szCs w:val="13"/>
          <w:color w:val="auto"/>
        </w:rPr>
        <w:t>Pursuant to the CEO Incentive Program, in the event Mr. Chen's employment with the Company terminates for any reason other than as a result of death, disability or an involuntary termination, then, unless otherwise determined by the Committee, his bonus opportunity is immediately and automatically forfeited. Furthermore, if at any time before the bonus is paid, and while Mr. Chen is continuously employed by the Company or an affiliate, (i) a Change of Control occurs and (ii) the surviving or acquiring corporation (or its parent company) in such Change of Control does not assume or continue the CEO Incentive Program or substitute a similar bonus opportunity for this Program (a “Replacement Award”), then Mr. Chen will become immediately entitled to receive a bonus payout at the Change of Control Performance Level upon the Change of Control. If, within twelve (12) months after a Change of Control, Mr. Chen experiences a COC Qualifying Termination (as defined in the Company’s Amended and Restated Change of Control and Severance Policy) before the bonus under CEO Incentive Program (or the Replacement Award) has been paid, Mr. Chen will become immediately entitled to receive such bonus (or Replacement Award) upon such COC Qualifying Termination. If Mr. Chen experiences a Qualifying Termination (as defined in the Company’s Amended and Restated Change of Control and Severance Policy) before the bonus under this Program has been paid and then a Change of Control occurs within three (3) months following such termination of employment, Mr. Chen will become immediately entitled to receive such bonus at the Change of Control Performance Level.</w:t>
      </w:r>
    </w:p>
    <w:p>
      <w:pPr>
        <w:spacing w:after="0" w:line="180" w:lineRule="exact"/>
        <w:rPr>
          <w:sz w:val="20"/>
          <w:szCs w:val="20"/>
          <w:color w:val="auto"/>
        </w:rPr>
      </w:pPr>
    </w:p>
    <w:p>
      <w:pPr>
        <w:ind w:right="140"/>
        <w:spacing w:after="0" w:line="275" w:lineRule="auto"/>
        <w:rPr>
          <w:sz w:val="20"/>
          <w:szCs w:val="20"/>
          <w:color w:val="auto"/>
        </w:rPr>
      </w:pPr>
      <w:r>
        <w:rPr>
          <w:rFonts w:ascii="Arial" w:cs="Arial" w:eastAsia="Arial" w:hAnsi="Arial"/>
          <w:sz w:val="12"/>
          <w:szCs w:val="12"/>
          <w:color w:val="auto"/>
        </w:rPr>
        <w:t>Pursuant to the cash retention agreement entered into with Mr. Yount, in the event that his employment with the Company or any of its subsidiaries terminates as a result of a Qualifying Termination prior to the third anniversary of the closing of the acquisition of OTB, and he (or his executor or representative in the case of his death) signs, and does not revoke, a release of all claims against the Company and its affiliates, in a form approved by the Company, within sixty (60) days following such Qualifying Termination, then the retention bonuses shall immediately be deemed earned as of the date of the Qualifying Termination, and the remaining retention bonuses that were not previously paid to him will be paid to him within seventy (70) days following such Qualifying Termination. A "Qualifying Termination" is defined as a termination of employment due to death, permanent disability, by the Company other than for cause, or resignation for good reason.</w:t>
      </w:r>
    </w:p>
    <w:p>
      <w:pPr>
        <w:spacing w:after="0" w:line="164" w:lineRule="exact"/>
        <w:rPr>
          <w:sz w:val="20"/>
          <w:szCs w:val="20"/>
          <w:color w:val="auto"/>
        </w:rPr>
      </w:pPr>
    </w:p>
    <w:p>
      <w:pPr>
        <w:ind w:right="60"/>
        <w:spacing w:after="0" w:line="253" w:lineRule="auto"/>
        <w:rPr>
          <w:sz w:val="20"/>
          <w:szCs w:val="20"/>
          <w:color w:val="auto"/>
        </w:rPr>
      </w:pPr>
      <w:r>
        <w:rPr>
          <w:rFonts w:ascii="Arial" w:cs="Arial" w:eastAsia="Arial" w:hAnsi="Arial"/>
          <w:sz w:val="13"/>
          <w:szCs w:val="13"/>
          <w:color w:val="auto"/>
        </w:rPr>
        <w:t>Pursuant to the retention RSU award agreement entered into with Mr. Yount, in the event that his employment with the Company or any of its subsidiaries terminates prior to the third anniversary of the date of grant as a result of the Company terminating his employment for any reason other than cause, or Mr. Yount's resignation for good reason, and he signs, and does not revoke, a release of all claims against the Company and its affiliates, in a form approved by the Company, within sixty (60) days following such Qualifying Termination, then the RSUs shall immediately vest in full on the date that such release becomes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421640</wp:posOffset>
            </wp:positionV>
            <wp:extent cx="7161530" cy="2895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1530" cy="289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 xml:space="preserve">32 </w:t>
      </w:r>
      <w:r>
        <w:rPr>
          <w:rFonts w:ascii="Arial" w:cs="Arial" w:eastAsia="Arial" w:hAnsi="Arial"/>
          <w:sz w:val="13"/>
          <w:szCs w:val="13"/>
          <w:color w:val="auto"/>
        </w:rPr>
        <w:t>PROXY STATEMENT 2025</w:t>
      </w:r>
    </w:p>
    <w:p>
      <w:pPr>
        <w:sectPr>
          <w:pgSz w:w="11900" w:h="16838" w:orient="portrait"/>
          <w:cols w:equalWidth="0" w:num="1">
            <w:col w:w="11280"/>
          </w:cols>
          <w:pgMar w:left="300" w:top="171" w:right="319" w:bottom="1440" w:gutter="0" w:footer="0" w:header="0"/>
        </w:sectPr>
      </w:pPr>
    </w:p>
    <w:bookmarkStart w:id="37" w:name="page38"/>
    <w:bookmarkEnd w:id="37"/>
    <w:p>
      <w:pPr>
        <w:ind w:left="7100"/>
        <w:spacing w:after="0"/>
        <w:rPr>
          <w:sz w:val="20"/>
          <w:szCs w:val="20"/>
          <w:color w:val="auto"/>
        </w:rPr>
      </w:pPr>
      <w:r>
        <w:rPr>
          <w:rFonts w:ascii="Arial" w:cs="Arial" w:eastAsia="Arial" w:hAnsi="Arial"/>
          <w:sz w:val="13"/>
          <w:szCs w:val="13"/>
          <w:b w:val="1"/>
          <w:bCs w:val="1"/>
          <w:color w:val="00482F"/>
        </w:rPr>
        <w:drawing>
          <wp:anchor simplePos="0" relativeHeight="251657728" behindDoc="1" locked="0" layoutInCell="0" allowOverlap="1">
            <wp:simplePos x="0" y="0"/>
            <wp:positionH relativeFrom="page">
              <wp:posOffset>4653915</wp:posOffset>
            </wp:positionH>
            <wp:positionV relativeFrom="page">
              <wp:posOffset>102235</wp:posOffset>
            </wp:positionV>
            <wp:extent cx="2715260" cy="2495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715260" cy="249555"/>
                    </a:xfrm>
                    <a:prstGeom prst="rect">
                      <a:avLst/>
                    </a:prstGeom>
                    <a:noFill/>
                  </pic:spPr>
                </pic:pic>
              </a:graphicData>
            </a:graphic>
          </wp:anchor>
        </w:drawing>
        <w:t>NAMED EXECUTIVE OFFICER</w:t>
      </w:r>
    </w:p>
    <w:p>
      <w:pPr>
        <w:spacing w:after="0" w:line="11" w:lineRule="exact"/>
        <w:rPr>
          <w:sz w:val="20"/>
          <w:szCs w:val="20"/>
          <w:color w:val="auto"/>
        </w:rPr>
      </w:pPr>
    </w:p>
    <w:p>
      <w:pPr>
        <w:ind w:left="7100"/>
        <w:spacing w:after="0"/>
        <w:rPr>
          <w:sz w:val="20"/>
          <w:szCs w:val="20"/>
          <w:color w:val="auto"/>
        </w:rPr>
      </w:pPr>
      <w:r>
        <w:rPr>
          <w:rFonts w:ascii="Arial" w:cs="Arial" w:eastAsia="Arial" w:hAnsi="Arial"/>
          <w:sz w:val="13"/>
          <w:szCs w:val="13"/>
          <w:b w:val="1"/>
          <w:bCs w:val="1"/>
          <w:color w:val="00482F"/>
        </w:rPr>
        <w:t>COMPENSATION TABLES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Compensation and Benefits</w:t>
      </w:r>
    </w:p>
    <w:p>
      <w:pPr>
        <w:spacing w:after="0" w:line="181" w:lineRule="exact"/>
        <w:rPr>
          <w:sz w:val="20"/>
          <w:szCs w:val="20"/>
          <w:color w:val="auto"/>
        </w:rPr>
      </w:pPr>
    </w:p>
    <w:p>
      <w:pPr>
        <w:ind w:right="80"/>
        <w:spacing w:after="0" w:line="250" w:lineRule="auto"/>
        <w:rPr>
          <w:sz w:val="20"/>
          <w:szCs w:val="20"/>
          <w:color w:val="auto"/>
        </w:rPr>
      </w:pPr>
      <w:r>
        <w:rPr>
          <w:rFonts w:ascii="Arial" w:cs="Arial" w:eastAsia="Arial" w:hAnsi="Arial"/>
          <w:sz w:val="13"/>
          <w:szCs w:val="13"/>
          <w:color w:val="auto"/>
        </w:rPr>
        <w:t>All of our Named Executive Officers are eligible to participate in our employee benefit plans, including our medical, dental, vision, life, disability and accidental death and dismemberment insurance plans, in each case on the same terms as all of our U.S.-based employees. In addition, we also offer our employees paid time off, a 401(k) plan, an Employee Stock Purchase Plan (ESPP), mental health services, commuter benefits, health and dependent care flexible spending accounts, and access to third-party service providers in the areas of legal and personal finance support. We generally do not provide perquisites or personal benefits to our Named Executive Officers that we do not offer to our other employees. During our year ended December 31, 2024, we paid or reimbursed our Named Executive Officers a stipend for wellness, career enrichment, cell phone costs and at-home internet, paid or reimbursed certain home office expenses, and provided certain service-based anniversary gifts to our employees with an accompanying gross-up.</w:t>
      </w:r>
    </w:p>
    <w:p>
      <w:pPr>
        <w:spacing w:after="0" w:line="158" w:lineRule="exact"/>
        <w:rPr>
          <w:sz w:val="20"/>
          <w:szCs w:val="20"/>
          <w:color w:val="auto"/>
        </w:rPr>
      </w:pPr>
    </w:p>
    <w:p>
      <w:pPr>
        <w:ind w:right="100"/>
        <w:spacing w:after="0" w:line="249" w:lineRule="auto"/>
        <w:rPr>
          <w:sz w:val="20"/>
          <w:szCs w:val="20"/>
          <w:color w:val="auto"/>
        </w:rPr>
      </w:pPr>
      <w:r>
        <w:rPr>
          <w:rFonts w:ascii="Arial" w:cs="Arial" w:eastAsia="Arial" w:hAnsi="Arial"/>
          <w:sz w:val="13"/>
          <w:szCs w:val="13"/>
          <w:color w:val="auto"/>
        </w:rPr>
        <w:t>We maintain a 401(k) plan that provides eligible U.S. employees with an opportunity to save for retirement on a tax advantaged basis. Eligible employees are able to defer eligible compensation up to certain Internal Revenue Code limits, which are updated annually. We have the ability to make matching and discretionary contributions to the 401(k) plan. Currently, we make matching contributions up to 4% of the employee’s annual salary up to a maximum of $330,000. The 401(k) plan is intended to be qualified under Section 401(a) of the Code, with the related trust intended to be tax exempt under Section 501(a) of the Code. As a tax-qualified retirement plan, contributions to the 401(k) plan are deductible by us when made, and contributions and earnings on those amounts are not generally taxable to the employees until withdrawn or distributed from the 401(k) plan.</w:t>
      </w:r>
    </w:p>
    <w:p>
      <w:pPr>
        <w:spacing w:after="0" w:line="158" w:lineRule="exact"/>
        <w:rPr>
          <w:sz w:val="20"/>
          <w:szCs w:val="20"/>
          <w:color w:val="auto"/>
        </w:rPr>
      </w:pPr>
    </w:p>
    <w:p>
      <w:pPr>
        <w:spacing w:after="0" w:line="252" w:lineRule="auto"/>
        <w:rPr>
          <w:sz w:val="20"/>
          <w:szCs w:val="20"/>
          <w:color w:val="auto"/>
        </w:rPr>
      </w:pPr>
      <w:r>
        <w:rPr>
          <w:rFonts w:ascii="Arial" w:cs="Arial" w:eastAsia="Arial" w:hAnsi="Arial"/>
          <w:sz w:val="13"/>
          <w:szCs w:val="13"/>
          <w:color w:val="auto"/>
        </w:rPr>
        <w:t>Our Named Executive Officers did not participate in, or earn any benefits under, a nonqualified deferred compensation plan sponsored by us during the year ended December 31, 2024. Our Board may elect to provide our officers and other employees with nonqualified defined contribution or other nonqualified deferred compensation benefits in the future if it determines that doing so is in our best interests.</w:t>
      </w:r>
    </w:p>
    <w:p>
      <w:pPr>
        <w:spacing w:after="0" w:line="155" w:lineRule="exact"/>
        <w:rPr>
          <w:sz w:val="20"/>
          <w:szCs w:val="20"/>
          <w:color w:val="auto"/>
        </w:rPr>
      </w:pPr>
    </w:p>
    <w:p>
      <w:pPr>
        <w:spacing w:after="0"/>
        <w:rPr>
          <w:sz w:val="20"/>
          <w:szCs w:val="20"/>
          <w:color w:val="auto"/>
        </w:rPr>
      </w:pPr>
      <w:r>
        <w:rPr>
          <w:rFonts w:ascii="Arial" w:cs="Arial" w:eastAsia="Arial" w:hAnsi="Arial"/>
          <w:sz w:val="13"/>
          <w:szCs w:val="13"/>
          <w:color w:val="auto"/>
        </w:rPr>
        <w:t>Our Named Executive Officers did not participate in, or otherwise receive any benefits under, any pension or retirement plan sponsored by us designated solely for executive officers during 2024.</w:t>
      </w:r>
    </w:p>
    <w:p>
      <w:pPr>
        <w:spacing w:after="0" w:line="169" w:lineRule="exact"/>
        <w:rPr>
          <w:sz w:val="20"/>
          <w:szCs w:val="20"/>
          <w:color w:val="auto"/>
        </w:rPr>
      </w:pPr>
    </w:p>
    <w:p>
      <w:pPr>
        <w:ind w:right="300"/>
        <w:spacing w:after="0" w:line="283" w:lineRule="auto"/>
        <w:rPr>
          <w:sz w:val="20"/>
          <w:szCs w:val="20"/>
          <w:color w:val="auto"/>
        </w:rPr>
      </w:pPr>
      <w:r>
        <w:rPr>
          <w:rFonts w:ascii="Arial" w:cs="Arial" w:eastAsia="Arial" w:hAnsi="Arial"/>
          <w:sz w:val="13"/>
          <w:szCs w:val="13"/>
          <w:color w:val="auto"/>
        </w:rPr>
        <w:t>In an effort to achieve our vision and mission statements internally, we offer an ESPP to all employees in the U.S. and abroad. The purpose of the ESPP is to attract new employees, retain current employees, and create a culture of ownership so that our employees are aligned with our longer term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167005</wp:posOffset>
            </wp:positionV>
            <wp:extent cx="7161530" cy="28956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1530" cy="28956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1080"/>
        <w:spacing w:after="0"/>
        <w:rPr>
          <w:sz w:val="20"/>
          <w:szCs w:val="20"/>
          <w:color w:val="auto"/>
        </w:rPr>
      </w:pPr>
      <w:r>
        <w:rPr>
          <w:rFonts w:ascii="Arial" w:cs="Arial" w:eastAsia="Arial" w:hAnsi="Arial"/>
          <w:sz w:val="13"/>
          <w:szCs w:val="13"/>
          <w:b w:val="1"/>
          <w:bCs w:val="1"/>
          <w:color w:val="auto"/>
        </w:rPr>
        <w:t>33</w:t>
      </w:r>
    </w:p>
    <w:p>
      <w:pPr>
        <w:sectPr>
          <w:pgSz w:w="11900" w:h="16838" w:orient="portrait"/>
          <w:cols w:equalWidth="0" w:num="1">
            <w:col w:w="11260"/>
          </w:cols>
          <w:pgMar w:left="300" w:top="171" w:right="339" w:bottom="1440" w:gutter="0" w:footer="0" w:header="0"/>
        </w:sectPr>
      </w:pPr>
    </w:p>
    <w:bookmarkStart w:id="38" w:name="page39"/>
    <w:bookmarkEnd w:id="38"/>
    <w:p>
      <w:pPr>
        <w:ind w:left="300"/>
        <w:spacing w:after="0"/>
        <w:rPr>
          <w:sz w:val="20"/>
          <w:szCs w:val="20"/>
          <w:color w:val="auto"/>
        </w:rPr>
      </w:pPr>
      <w:r>
        <w:rPr>
          <w:rFonts w:ascii="Arial" w:cs="Arial" w:eastAsia="Arial" w:hAnsi="Arial"/>
          <w:sz w:val="13"/>
          <w:szCs w:val="13"/>
          <w:b w:val="1"/>
          <w:bCs w:val="1"/>
          <w:color w:val="00482F"/>
        </w:rPr>
        <w:drawing>
          <wp:anchor simplePos="0" relativeHeight="251657728" behindDoc="1" locked="0" layoutInCell="0" allowOverlap="1">
            <wp:simplePos x="0" y="0"/>
            <wp:positionH relativeFrom="page">
              <wp:posOffset>328295</wp:posOffset>
            </wp:positionH>
            <wp:positionV relativeFrom="page">
              <wp:posOffset>102235</wp:posOffset>
            </wp:positionV>
            <wp:extent cx="2876550" cy="2495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876550" cy="249555"/>
                    </a:xfrm>
                    <a:prstGeom prst="rect">
                      <a:avLst/>
                    </a:prstGeom>
                    <a:noFill/>
                  </pic:spPr>
                </pic:pic>
              </a:graphicData>
            </a:graphic>
          </wp:anchor>
        </w:drawing>
        <w:t>NAMED EXECUTIVE OFFICER</w:t>
      </w:r>
    </w:p>
    <w:p>
      <w:pPr>
        <w:spacing w:after="0" w:line="11" w:lineRule="exact"/>
        <w:rPr>
          <w:sz w:val="20"/>
          <w:szCs w:val="20"/>
          <w:color w:val="auto"/>
        </w:rPr>
      </w:pPr>
    </w:p>
    <w:p>
      <w:pPr>
        <w:ind w:left="300"/>
        <w:spacing w:after="0"/>
        <w:rPr>
          <w:sz w:val="20"/>
          <w:szCs w:val="20"/>
          <w:color w:val="auto"/>
        </w:rPr>
      </w:pPr>
      <w:r>
        <w:rPr>
          <w:rFonts w:ascii="Arial" w:cs="Arial" w:eastAsia="Arial" w:hAnsi="Arial"/>
          <w:sz w:val="13"/>
          <w:szCs w:val="13"/>
          <w:b w:val="1"/>
          <w:bCs w:val="1"/>
          <w:color w:val="00482F"/>
        </w:rPr>
        <w:t>COMPENSATION TABLES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 Compensation Plan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sets forth the indicated information as of December 31, 2024 with respect to our equity compensation plans: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60" w:type="dxa"/>
            <w:vAlign w:val="bottom"/>
            <w:tcBorders>
              <w:top w:val="single" w:sz="8" w:color="008256"/>
              <w:right w:val="single" w:sz="8" w:color="008256"/>
            </w:tcBorders>
          </w:tcPr>
          <w:p>
            <w:pPr>
              <w:spacing w:after="0"/>
              <w:rPr>
                <w:sz w:val="14"/>
                <w:szCs w:val="14"/>
                <w:color w:val="auto"/>
              </w:rPr>
            </w:pPr>
          </w:p>
        </w:tc>
        <w:tc>
          <w:tcPr>
            <w:tcW w:w="2040" w:type="dxa"/>
            <w:vAlign w:val="bottom"/>
            <w:tcBorders>
              <w:top w:val="single" w:sz="8" w:color="008256"/>
              <w:right w:val="single" w:sz="8" w:color="008256"/>
            </w:tcBorders>
            <w:gridSpan w:val="2"/>
          </w:tcPr>
          <w:p>
            <w:pPr>
              <w:jc w:val="center"/>
              <w:ind w:right="18"/>
              <w:spacing w:after="0"/>
              <w:rPr>
                <w:sz w:val="20"/>
                <w:szCs w:val="20"/>
                <w:color w:val="auto"/>
              </w:rPr>
            </w:pPr>
            <w:r>
              <w:rPr>
                <w:rFonts w:ascii="Arial" w:cs="Arial" w:eastAsia="Arial" w:hAnsi="Arial"/>
                <w:sz w:val="13"/>
                <w:szCs w:val="13"/>
                <w:b w:val="1"/>
                <w:bCs w:val="1"/>
                <w:color w:val="auto"/>
                <w:w w:val="98"/>
              </w:rPr>
              <w:t>Number of securities to be</w:t>
            </w:r>
          </w:p>
        </w:tc>
        <w:tc>
          <w:tcPr>
            <w:tcW w:w="1900" w:type="dxa"/>
            <w:vAlign w:val="bottom"/>
            <w:tcBorders>
              <w:top w:val="single" w:sz="8" w:color="008256"/>
              <w:right w:val="single" w:sz="8" w:color="008256"/>
            </w:tcBorders>
          </w:tcPr>
          <w:p>
            <w:pPr>
              <w:spacing w:after="0"/>
              <w:rPr>
                <w:sz w:val="14"/>
                <w:szCs w:val="14"/>
                <w:color w:val="auto"/>
              </w:rPr>
            </w:pPr>
          </w:p>
        </w:tc>
        <w:tc>
          <w:tcPr>
            <w:tcW w:w="1960" w:type="dxa"/>
            <w:vAlign w:val="bottom"/>
            <w:tcBorders>
              <w:top w:val="single" w:sz="8" w:color="008256"/>
            </w:tcBorders>
          </w:tcPr>
          <w:p>
            <w:pPr>
              <w:jc w:val="center"/>
              <w:spacing w:after="0"/>
              <w:rPr>
                <w:sz w:val="20"/>
                <w:szCs w:val="20"/>
                <w:color w:val="auto"/>
              </w:rPr>
            </w:pPr>
            <w:r>
              <w:rPr>
                <w:rFonts w:ascii="Arial" w:cs="Arial" w:eastAsia="Arial" w:hAnsi="Arial"/>
                <w:sz w:val="13"/>
                <w:szCs w:val="13"/>
                <w:b w:val="1"/>
                <w:bCs w:val="1"/>
                <w:color w:val="auto"/>
                <w:w w:val="98"/>
              </w:rPr>
              <w:t>Number of securities remaining</w:t>
            </w:r>
          </w:p>
        </w:tc>
      </w:tr>
      <w:tr>
        <w:trPr>
          <w:trHeight w:val="159"/>
        </w:trPr>
        <w:tc>
          <w:tcPr>
            <w:tcW w:w="5260" w:type="dxa"/>
            <w:vAlign w:val="bottom"/>
            <w:tcBorders>
              <w:right w:val="single" w:sz="8" w:color="008256"/>
            </w:tcBorders>
          </w:tcPr>
          <w:p>
            <w:pPr>
              <w:spacing w:after="0"/>
              <w:rPr>
                <w:sz w:val="13"/>
                <w:szCs w:val="13"/>
                <w:color w:val="auto"/>
              </w:rPr>
            </w:pPr>
          </w:p>
        </w:tc>
        <w:tc>
          <w:tcPr>
            <w:tcW w:w="2040" w:type="dxa"/>
            <w:vAlign w:val="bottom"/>
            <w:tcBorders>
              <w:right w:val="single" w:sz="8" w:color="008256"/>
            </w:tcBorders>
            <w:gridSpan w:val="2"/>
          </w:tcPr>
          <w:p>
            <w:pPr>
              <w:jc w:val="center"/>
              <w:ind w:right="18"/>
              <w:spacing w:after="0"/>
              <w:rPr>
                <w:sz w:val="20"/>
                <w:szCs w:val="20"/>
                <w:color w:val="auto"/>
              </w:rPr>
            </w:pPr>
            <w:r>
              <w:rPr>
                <w:rFonts w:ascii="Arial" w:cs="Arial" w:eastAsia="Arial" w:hAnsi="Arial"/>
                <w:sz w:val="13"/>
                <w:szCs w:val="13"/>
                <w:b w:val="1"/>
                <w:bCs w:val="1"/>
                <w:color w:val="auto"/>
                <w:w w:val="98"/>
              </w:rPr>
              <w:t>issued upon exercise of</w:t>
            </w:r>
          </w:p>
        </w:tc>
        <w:tc>
          <w:tcPr>
            <w:tcW w:w="1900" w:type="dxa"/>
            <w:vAlign w:val="bottom"/>
            <w:tcBorders>
              <w:right w:val="single" w:sz="8" w:color="008256"/>
            </w:tcBorders>
          </w:tcPr>
          <w:p>
            <w:pPr>
              <w:jc w:val="center"/>
              <w:spacing w:after="0"/>
              <w:rPr>
                <w:sz w:val="20"/>
                <w:szCs w:val="20"/>
                <w:color w:val="auto"/>
              </w:rPr>
            </w:pPr>
            <w:r>
              <w:rPr>
                <w:rFonts w:ascii="Arial" w:cs="Arial" w:eastAsia="Arial" w:hAnsi="Arial"/>
                <w:sz w:val="13"/>
                <w:szCs w:val="13"/>
                <w:b w:val="1"/>
                <w:bCs w:val="1"/>
                <w:color w:val="auto"/>
                <w:w w:val="97"/>
              </w:rPr>
              <w:t>Weighted-average exercise</w:t>
            </w:r>
          </w:p>
        </w:tc>
        <w:tc>
          <w:tcPr>
            <w:tcW w:w="1960" w:type="dxa"/>
            <w:vAlign w:val="bottom"/>
          </w:tcPr>
          <w:p>
            <w:pPr>
              <w:jc w:val="center"/>
              <w:spacing w:after="0"/>
              <w:rPr>
                <w:sz w:val="20"/>
                <w:szCs w:val="20"/>
                <w:color w:val="auto"/>
              </w:rPr>
            </w:pPr>
            <w:r>
              <w:rPr>
                <w:rFonts w:ascii="Arial" w:cs="Arial" w:eastAsia="Arial" w:hAnsi="Arial"/>
                <w:sz w:val="13"/>
                <w:szCs w:val="13"/>
                <w:b w:val="1"/>
                <w:bCs w:val="1"/>
                <w:color w:val="auto"/>
                <w:w w:val="97"/>
              </w:rPr>
              <w:t>available for future issuance</w:t>
            </w:r>
          </w:p>
        </w:tc>
      </w:tr>
      <w:tr>
        <w:trPr>
          <w:trHeight w:val="149"/>
        </w:trPr>
        <w:tc>
          <w:tcPr>
            <w:tcW w:w="5260" w:type="dxa"/>
            <w:vAlign w:val="bottom"/>
            <w:tcBorders>
              <w:right w:val="single" w:sz="8" w:color="008256"/>
            </w:tcBorders>
          </w:tcPr>
          <w:p>
            <w:pPr>
              <w:spacing w:after="0"/>
              <w:rPr>
                <w:sz w:val="12"/>
                <w:szCs w:val="12"/>
                <w:color w:val="auto"/>
              </w:rPr>
            </w:pPr>
          </w:p>
        </w:tc>
        <w:tc>
          <w:tcPr>
            <w:tcW w:w="2040" w:type="dxa"/>
            <w:vAlign w:val="bottom"/>
            <w:tcBorders>
              <w:right w:val="single" w:sz="8" w:color="008256"/>
            </w:tcBorders>
            <w:gridSpan w:val="2"/>
          </w:tcPr>
          <w:p>
            <w:pPr>
              <w:jc w:val="center"/>
              <w:ind w:right="18"/>
              <w:spacing w:after="0"/>
              <w:rPr>
                <w:sz w:val="20"/>
                <w:szCs w:val="20"/>
                <w:color w:val="auto"/>
              </w:rPr>
            </w:pPr>
            <w:r>
              <w:rPr>
                <w:rFonts w:ascii="Arial" w:cs="Arial" w:eastAsia="Arial" w:hAnsi="Arial"/>
                <w:sz w:val="13"/>
                <w:szCs w:val="13"/>
                <w:b w:val="1"/>
                <w:bCs w:val="1"/>
                <w:color w:val="auto"/>
                <w:w w:val="97"/>
              </w:rPr>
              <w:t>outstanding options, warrants</w:t>
            </w:r>
          </w:p>
        </w:tc>
        <w:tc>
          <w:tcPr>
            <w:tcW w:w="1900" w:type="dxa"/>
            <w:vAlign w:val="bottom"/>
            <w:tcBorders>
              <w:right w:val="single" w:sz="8" w:color="008256"/>
            </w:tcBorders>
          </w:tcPr>
          <w:p>
            <w:pPr>
              <w:jc w:val="center"/>
              <w:spacing w:after="0"/>
              <w:rPr>
                <w:sz w:val="20"/>
                <w:szCs w:val="20"/>
                <w:color w:val="auto"/>
              </w:rPr>
            </w:pPr>
            <w:r>
              <w:rPr>
                <w:rFonts w:ascii="Arial" w:cs="Arial" w:eastAsia="Arial" w:hAnsi="Arial"/>
                <w:sz w:val="13"/>
                <w:szCs w:val="13"/>
                <w:b w:val="1"/>
                <w:bCs w:val="1"/>
                <w:color w:val="auto"/>
                <w:w w:val="97"/>
              </w:rPr>
              <w:t>price of outstanding options,</w:t>
            </w:r>
          </w:p>
        </w:tc>
        <w:tc>
          <w:tcPr>
            <w:tcW w:w="1960" w:type="dxa"/>
            <w:vAlign w:val="bottom"/>
          </w:tcPr>
          <w:p>
            <w:pPr>
              <w:jc w:val="center"/>
              <w:spacing w:after="0"/>
              <w:rPr>
                <w:sz w:val="20"/>
                <w:szCs w:val="20"/>
                <w:color w:val="auto"/>
              </w:rPr>
            </w:pPr>
            <w:r>
              <w:rPr>
                <w:rFonts w:ascii="Arial" w:cs="Arial" w:eastAsia="Arial" w:hAnsi="Arial"/>
                <w:sz w:val="13"/>
                <w:szCs w:val="13"/>
                <w:b w:val="1"/>
                <w:bCs w:val="1"/>
                <w:color w:val="auto"/>
                <w:w w:val="98"/>
              </w:rPr>
              <w:t>under equity compensation</w:t>
            </w:r>
          </w:p>
        </w:tc>
      </w:tr>
      <w:tr>
        <w:trPr>
          <w:trHeight w:val="230"/>
        </w:trPr>
        <w:tc>
          <w:tcPr>
            <w:tcW w:w="5260" w:type="dxa"/>
            <w:vAlign w:val="bottom"/>
            <w:tcBorders>
              <w:bottom w:val="single" w:sz="8" w:color="008256"/>
              <w:right w:val="single" w:sz="8" w:color="008256"/>
            </w:tcBorders>
          </w:tcPr>
          <w:p>
            <w:pPr>
              <w:ind w:left="80"/>
              <w:spacing w:after="0"/>
              <w:rPr>
                <w:sz w:val="20"/>
                <w:szCs w:val="20"/>
                <w:color w:val="auto"/>
              </w:rPr>
            </w:pPr>
            <w:r>
              <w:rPr>
                <w:rFonts w:ascii="Arial" w:cs="Arial" w:eastAsia="Arial" w:hAnsi="Arial"/>
                <w:sz w:val="13"/>
                <w:szCs w:val="13"/>
                <w:b w:val="1"/>
                <w:bCs w:val="1"/>
                <w:color w:val="auto"/>
              </w:rPr>
              <w:t>Plan Category</w:t>
            </w:r>
          </w:p>
        </w:tc>
        <w:tc>
          <w:tcPr>
            <w:tcW w:w="1520" w:type="dxa"/>
            <w:vAlign w:val="bottom"/>
            <w:tcBorders>
              <w:bottom w:val="single" w:sz="8" w:color="008256"/>
            </w:tcBorders>
          </w:tcPr>
          <w:p>
            <w:pPr>
              <w:jc w:val="center"/>
              <w:ind w:left="396"/>
              <w:spacing w:after="0"/>
              <w:rPr>
                <w:sz w:val="20"/>
                <w:szCs w:val="20"/>
                <w:color w:val="auto"/>
              </w:rPr>
            </w:pPr>
            <w:r>
              <w:rPr>
                <w:rFonts w:ascii="Arial" w:cs="Arial" w:eastAsia="Arial" w:hAnsi="Arial"/>
                <w:sz w:val="13"/>
                <w:szCs w:val="13"/>
                <w:b w:val="1"/>
                <w:bCs w:val="1"/>
                <w:color w:val="auto"/>
                <w:w w:val="98"/>
              </w:rPr>
              <w:t>and rights</w:t>
            </w:r>
          </w:p>
        </w:tc>
        <w:tc>
          <w:tcPr>
            <w:tcW w:w="520" w:type="dxa"/>
            <w:vAlign w:val="bottom"/>
            <w:tcBorders>
              <w:bottom w:val="single" w:sz="8" w:color="008256"/>
              <w:right w:val="single" w:sz="8" w:color="008256"/>
            </w:tcBorders>
          </w:tcPr>
          <w:p>
            <w:pPr>
              <w:spacing w:after="0"/>
              <w:rPr>
                <w:sz w:val="20"/>
                <w:szCs w:val="20"/>
                <w:color w:val="auto"/>
              </w:rPr>
            </w:pPr>
          </w:p>
        </w:tc>
        <w:tc>
          <w:tcPr>
            <w:tcW w:w="1900" w:type="dxa"/>
            <w:vAlign w:val="bottom"/>
            <w:tcBorders>
              <w:bottom w:val="single" w:sz="8" w:color="008256"/>
              <w:right w:val="single" w:sz="8" w:color="008256"/>
            </w:tcBorders>
          </w:tcPr>
          <w:p>
            <w:pPr>
              <w:jc w:val="center"/>
              <w:spacing w:after="0"/>
              <w:rPr>
                <w:sz w:val="20"/>
                <w:szCs w:val="20"/>
                <w:color w:val="auto"/>
              </w:rPr>
            </w:pPr>
            <w:r>
              <w:rPr>
                <w:rFonts w:ascii="Arial" w:cs="Arial" w:eastAsia="Arial" w:hAnsi="Arial"/>
                <w:sz w:val="13"/>
                <w:szCs w:val="13"/>
                <w:b w:val="1"/>
                <w:bCs w:val="1"/>
                <w:color w:val="auto"/>
                <w:w w:val="95"/>
              </w:rPr>
              <w:t>warrants and rights</w:t>
            </w:r>
            <w:r>
              <w:rPr>
                <w:rFonts w:ascii="Arial" w:cs="Arial" w:eastAsia="Arial" w:hAnsi="Arial"/>
                <w:sz w:val="16"/>
                <w:szCs w:val="16"/>
                <w:b w:val="1"/>
                <w:bCs w:val="1"/>
                <w:color w:val="auto"/>
                <w:w w:val="95"/>
                <w:vertAlign w:val="superscript"/>
              </w:rPr>
              <w:t>(3)</w:t>
            </w:r>
          </w:p>
        </w:tc>
        <w:tc>
          <w:tcPr>
            <w:tcW w:w="1960" w:type="dxa"/>
            <w:vAlign w:val="bottom"/>
            <w:tcBorders>
              <w:bottom w:val="single" w:sz="8" w:color="008256"/>
            </w:tcBorders>
          </w:tcPr>
          <w:p>
            <w:pPr>
              <w:jc w:val="center"/>
              <w:spacing w:after="0"/>
              <w:rPr>
                <w:sz w:val="20"/>
                <w:szCs w:val="20"/>
                <w:color w:val="auto"/>
              </w:rPr>
            </w:pPr>
            <w:r>
              <w:rPr>
                <w:rFonts w:ascii="Arial" w:cs="Arial" w:eastAsia="Arial" w:hAnsi="Arial"/>
                <w:sz w:val="13"/>
                <w:szCs w:val="13"/>
                <w:b w:val="1"/>
                <w:bCs w:val="1"/>
                <w:color w:val="auto"/>
                <w:w w:val="94"/>
              </w:rPr>
              <w:t xml:space="preserve">plans </w:t>
            </w:r>
            <w:r>
              <w:rPr>
                <w:rFonts w:ascii="Arial" w:cs="Arial" w:eastAsia="Arial" w:hAnsi="Arial"/>
                <w:sz w:val="16"/>
                <w:szCs w:val="16"/>
                <w:b w:val="1"/>
                <w:bCs w:val="1"/>
                <w:color w:val="auto"/>
                <w:w w:val="94"/>
                <w:vertAlign w:val="superscript"/>
              </w:rPr>
              <w:t>(4)</w:t>
            </w:r>
          </w:p>
        </w:tc>
      </w:tr>
      <w:tr>
        <w:trPr>
          <w:trHeight w:val="185"/>
        </w:trPr>
        <w:tc>
          <w:tcPr>
            <w:tcW w:w="5260" w:type="dxa"/>
            <w:vAlign w:val="bottom"/>
            <w:tcBorders>
              <w:right w:val="single" w:sz="8" w:color="008256"/>
            </w:tcBorders>
          </w:tcPr>
          <w:p>
            <w:pPr>
              <w:ind w:left="80"/>
              <w:spacing w:after="0"/>
              <w:rPr>
                <w:sz w:val="20"/>
                <w:szCs w:val="20"/>
                <w:color w:val="auto"/>
              </w:rPr>
            </w:pPr>
            <w:r>
              <w:rPr>
                <w:rFonts w:ascii="Arial" w:cs="Arial" w:eastAsia="Arial" w:hAnsi="Arial"/>
                <w:sz w:val="13"/>
                <w:szCs w:val="13"/>
                <w:color w:val="auto"/>
              </w:rPr>
              <w:t>Equity compensation plans approved by security holders</w:t>
            </w:r>
          </w:p>
        </w:tc>
        <w:tc>
          <w:tcPr>
            <w:tcW w:w="1520" w:type="dxa"/>
            <w:vAlign w:val="bottom"/>
          </w:tcPr>
          <w:p>
            <w:pPr>
              <w:jc w:val="right"/>
              <w:spacing w:after="0"/>
              <w:rPr>
                <w:sz w:val="20"/>
                <w:szCs w:val="20"/>
                <w:color w:val="auto"/>
              </w:rPr>
            </w:pPr>
            <w:r>
              <w:rPr>
                <w:rFonts w:ascii="Arial" w:cs="Arial" w:eastAsia="Arial" w:hAnsi="Arial"/>
                <w:sz w:val="13"/>
                <w:szCs w:val="13"/>
                <w:color w:val="auto"/>
              </w:rPr>
              <w:t>6,765,994</w:t>
            </w:r>
          </w:p>
        </w:tc>
        <w:tc>
          <w:tcPr>
            <w:tcW w:w="520" w:type="dxa"/>
            <w:vAlign w:val="bottom"/>
            <w:tcBorders>
              <w:right w:val="single" w:sz="8" w:color="008256"/>
            </w:tcBorders>
          </w:tcPr>
          <w:p>
            <w:pPr>
              <w:ind w:left="40"/>
              <w:spacing w:after="0"/>
              <w:rPr>
                <w:sz w:val="20"/>
                <w:szCs w:val="20"/>
                <w:color w:val="auto"/>
              </w:rPr>
            </w:pPr>
            <w:r>
              <w:rPr>
                <w:rFonts w:ascii="Arial" w:cs="Arial" w:eastAsia="Arial" w:hAnsi="Arial"/>
                <w:sz w:val="8"/>
                <w:szCs w:val="8"/>
                <w:color w:val="auto"/>
              </w:rPr>
              <w:t>(1)(2)</w:t>
            </w:r>
          </w:p>
        </w:tc>
        <w:tc>
          <w:tcPr>
            <w:tcW w:w="1900" w:type="dxa"/>
            <w:vAlign w:val="bottom"/>
            <w:tcBorders>
              <w:right w:val="single" w:sz="8" w:color="008055"/>
            </w:tcBorders>
          </w:tcPr>
          <w:p>
            <w:pPr>
              <w:jc w:val="right"/>
              <w:ind w:right="16"/>
              <w:spacing w:after="0"/>
              <w:rPr>
                <w:sz w:val="20"/>
                <w:szCs w:val="20"/>
                <w:color w:val="auto"/>
              </w:rPr>
            </w:pPr>
            <w:r>
              <w:rPr>
                <w:rFonts w:ascii="Arial" w:cs="Arial" w:eastAsia="Arial" w:hAnsi="Arial"/>
                <w:sz w:val="13"/>
                <w:szCs w:val="13"/>
                <w:color w:val="auto"/>
              </w:rPr>
              <w:t>$12.40</w:t>
            </w:r>
          </w:p>
        </w:tc>
        <w:tc>
          <w:tcPr>
            <w:tcW w:w="1960" w:type="dxa"/>
            <w:vAlign w:val="bottom"/>
          </w:tcPr>
          <w:p>
            <w:pPr>
              <w:jc w:val="right"/>
              <w:spacing w:after="0"/>
              <w:rPr>
                <w:sz w:val="20"/>
                <w:szCs w:val="20"/>
                <w:color w:val="auto"/>
              </w:rPr>
            </w:pPr>
            <w:r>
              <w:rPr>
                <w:rFonts w:ascii="Arial" w:cs="Arial" w:eastAsia="Arial" w:hAnsi="Arial"/>
                <w:sz w:val="13"/>
                <w:szCs w:val="13"/>
                <w:color w:val="auto"/>
              </w:rPr>
              <w:t>14,890,646</w:t>
            </w:r>
          </w:p>
        </w:tc>
      </w:tr>
      <w:tr>
        <w:trPr>
          <w:trHeight w:val="191"/>
        </w:trPr>
        <w:tc>
          <w:tcPr>
            <w:tcW w:w="5260" w:type="dxa"/>
            <w:vAlign w:val="bottom"/>
            <w:tcBorders>
              <w:right w:val="single" w:sz="8" w:color="008256"/>
            </w:tcBorders>
            <w:shd w:val="clear" w:color="auto" w:fill="E6F4EF"/>
          </w:tcPr>
          <w:p>
            <w:pPr>
              <w:ind w:left="80"/>
              <w:spacing w:after="0"/>
              <w:rPr>
                <w:sz w:val="20"/>
                <w:szCs w:val="20"/>
                <w:color w:val="auto"/>
              </w:rPr>
            </w:pPr>
            <w:r>
              <w:rPr>
                <w:rFonts w:ascii="Arial" w:cs="Arial" w:eastAsia="Arial" w:hAnsi="Arial"/>
                <w:sz w:val="13"/>
                <w:szCs w:val="13"/>
                <w:color w:val="auto"/>
              </w:rPr>
              <w:t>Equity compensation plans not approved by security holders</w:t>
            </w:r>
          </w:p>
        </w:tc>
        <w:tc>
          <w:tcPr>
            <w:tcW w:w="1520" w:type="dxa"/>
            <w:vAlign w:val="bottom"/>
            <w:shd w:val="clear" w:color="auto" w:fill="E6F4EF"/>
          </w:tcPr>
          <w:p>
            <w:pPr>
              <w:jc w:val="right"/>
              <w:spacing w:after="0"/>
              <w:rPr>
                <w:sz w:val="20"/>
                <w:szCs w:val="20"/>
                <w:color w:val="auto"/>
              </w:rPr>
            </w:pPr>
            <w:r>
              <w:rPr>
                <w:rFonts w:ascii="Arial" w:cs="Arial" w:eastAsia="Arial" w:hAnsi="Arial"/>
                <w:sz w:val="13"/>
                <w:szCs w:val="13"/>
                <w:color w:val="auto"/>
              </w:rPr>
              <w:t>1,137,667</w:t>
            </w:r>
          </w:p>
        </w:tc>
        <w:tc>
          <w:tcPr>
            <w:tcW w:w="520" w:type="dxa"/>
            <w:vAlign w:val="bottom"/>
            <w:tcBorders>
              <w:right w:val="single" w:sz="8" w:color="008256"/>
            </w:tcBorders>
            <w:shd w:val="clear" w:color="auto" w:fill="E6F4EF"/>
          </w:tcPr>
          <w:p>
            <w:pPr>
              <w:ind w:left="40"/>
              <w:spacing w:after="0"/>
              <w:rPr>
                <w:sz w:val="20"/>
                <w:szCs w:val="20"/>
                <w:color w:val="auto"/>
              </w:rPr>
            </w:pPr>
            <w:r>
              <w:rPr>
                <w:rFonts w:ascii="Arial" w:cs="Arial" w:eastAsia="Arial" w:hAnsi="Arial"/>
                <w:sz w:val="8"/>
                <w:szCs w:val="8"/>
                <w:color w:val="auto"/>
              </w:rPr>
              <w:t>(5)</w:t>
            </w:r>
          </w:p>
        </w:tc>
        <w:tc>
          <w:tcPr>
            <w:tcW w:w="1900" w:type="dxa"/>
            <w:vAlign w:val="bottom"/>
            <w:tcBorders>
              <w:right w:val="single" w:sz="8" w:color="008256"/>
            </w:tcBorders>
            <w:shd w:val="clear" w:color="auto" w:fill="E6F4EF"/>
          </w:tcPr>
          <w:p>
            <w:pPr>
              <w:spacing w:after="0"/>
              <w:rPr>
                <w:sz w:val="16"/>
                <w:szCs w:val="16"/>
                <w:color w:val="auto"/>
              </w:rPr>
            </w:pPr>
          </w:p>
        </w:tc>
        <w:tc>
          <w:tcPr>
            <w:tcW w:w="1960" w:type="dxa"/>
            <w:vAlign w:val="bottom"/>
            <w:shd w:val="clear" w:color="auto" w:fill="E6F4EF"/>
          </w:tcPr>
          <w:p>
            <w:pPr>
              <w:jc w:val="right"/>
              <w:spacing w:after="0"/>
              <w:rPr>
                <w:sz w:val="20"/>
                <w:szCs w:val="20"/>
                <w:color w:val="auto"/>
              </w:rPr>
            </w:pPr>
            <w:r>
              <w:rPr>
                <w:rFonts w:ascii="Arial" w:cs="Arial" w:eastAsia="Arial" w:hAnsi="Arial"/>
                <w:sz w:val="13"/>
                <w:szCs w:val="13"/>
                <w:color w:val="auto"/>
              </w:rPr>
              <w:t>—</w:t>
            </w:r>
          </w:p>
        </w:tc>
      </w:tr>
      <w:tr>
        <w:trPr>
          <w:trHeight w:val="184"/>
        </w:trPr>
        <w:tc>
          <w:tcPr>
            <w:tcW w:w="5260" w:type="dxa"/>
            <w:vAlign w:val="bottom"/>
            <w:tcBorders>
              <w:bottom w:val="single" w:sz="8" w:color="008256"/>
              <w:right w:val="single" w:sz="8" w:color="008055"/>
            </w:tcBorders>
          </w:tcPr>
          <w:p>
            <w:pPr>
              <w:ind w:left="80"/>
              <w:spacing w:after="0"/>
              <w:rPr>
                <w:sz w:val="20"/>
                <w:szCs w:val="20"/>
                <w:color w:val="auto"/>
              </w:rPr>
            </w:pPr>
            <w:r>
              <w:rPr>
                <w:rFonts w:ascii="Arial" w:cs="Arial" w:eastAsia="Arial" w:hAnsi="Arial"/>
                <w:sz w:val="13"/>
                <w:szCs w:val="13"/>
                <w:color w:val="auto"/>
              </w:rPr>
              <w:t>Total</w:t>
            </w:r>
          </w:p>
        </w:tc>
        <w:tc>
          <w:tcPr>
            <w:tcW w:w="1520" w:type="dxa"/>
            <w:vAlign w:val="bottom"/>
            <w:tcBorders>
              <w:bottom w:val="single" w:sz="8" w:color="008055"/>
            </w:tcBorders>
          </w:tcPr>
          <w:p>
            <w:pPr>
              <w:jc w:val="right"/>
              <w:spacing w:after="0"/>
              <w:rPr>
                <w:sz w:val="20"/>
                <w:szCs w:val="20"/>
                <w:color w:val="auto"/>
              </w:rPr>
            </w:pPr>
            <w:r>
              <w:rPr>
                <w:rFonts w:ascii="Arial" w:cs="Arial" w:eastAsia="Arial" w:hAnsi="Arial"/>
                <w:sz w:val="13"/>
                <w:szCs w:val="13"/>
                <w:color w:val="auto"/>
              </w:rPr>
              <w:t>7,903,661</w:t>
            </w:r>
          </w:p>
        </w:tc>
        <w:tc>
          <w:tcPr>
            <w:tcW w:w="520" w:type="dxa"/>
            <w:vAlign w:val="bottom"/>
            <w:tcBorders>
              <w:bottom w:val="single" w:sz="8" w:color="008055"/>
              <w:right w:val="single" w:sz="8" w:color="008055"/>
            </w:tcBorders>
          </w:tcPr>
          <w:p>
            <w:pPr>
              <w:spacing w:after="0"/>
              <w:rPr>
                <w:sz w:val="16"/>
                <w:szCs w:val="16"/>
                <w:color w:val="auto"/>
              </w:rPr>
            </w:pPr>
          </w:p>
        </w:tc>
        <w:tc>
          <w:tcPr>
            <w:tcW w:w="1900" w:type="dxa"/>
            <w:vAlign w:val="bottom"/>
            <w:tcBorders>
              <w:bottom w:val="single" w:sz="8" w:color="008256"/>
              <w:right w:val="single" w:sz="8" w:color="008256"/>
            </w:tcBorders>
          </w:tcPr>
          <w:p>
            <w:pPr>
              <w:jc w:val="right"/>
              <w:ind w:right="16"/>
              <w:spacing w:after="0"/>
              <w:rPr>
                <w:sz w:val="20"/>
                <w:szCs w:val="20"/>
                <w:color w:val="auto"/>
              </w:rPr>
            </w:pPr>
            <w:r>
              <w:rPr>
                <w:rFonts w:ascii="Arial" w:cs="Arial" w:eastAsia="Arial" w:hAnsi="Arial"/>
                <w:sz w:val="13"/>
                <w:szCs w:val="13"/>
                <w:color w:val="auto"/>
              </w:rPr>
              <w:t>$12.40</w:t>
            </w:r>
          </w:p>
        </w:tc>
        <w:tc>
          <w:tcPr>
            <w:tcW w:w="1960" w:type="dxa"/>
            <w:vAlign w:val="bottom"/>
            <w:tcBorders>
              <w:bottom w:val="single" w:sz="8" w:color="008256"/>
            </w:tcBorders>
          </w:tcPr>
          <w:p>
            <w:pPr>
              <w:jc w:val="right"/>
              <w:spacing w:after="0"/>
              <w:rPr>
                <w:sz w:val="20"/>
                <w:szCs w:val="20"/>
                <w:color w:val="auto"/>
              </w:rPr>
            </w:pPr>
            <w:r>
              <w:rPr>
                <w:rFonts w:ascii="Arial" w:cs="Arial" w:eastAsia="Arial" w:hAnsi="Arial"/>
                <w:sz w:val="13"/>
                <w:szCs w:val="13"/>
                <w:color w:val="auto"/>
              </w:rPr>
              <w:t>14,890,646</w:t>
            </w:r>
          </w:p>
        </w:tc>
      </w:tr>
    </w:tbl>
    <w:p>
      <w:pPr>
        <w:spacing w:after="0" w:line="57" w:lineRule="exact"/>
        <w:rPr>
          <w:sz w:val="20"/>
          <w:szCs w:val="20"/>
          <w:color w:val="auto"/>
        </w:rPr>
      </w:pPr>
    </w:p>
    <w:p>
      <w:pPr>
        <w:ind w:left="200" w:right="240" w:hanging="195"/>
        <w:spacing w:after="0" w:line="271" w:lineRule="auto"/>
        <w:tabs>
          <w:tab w:leader="none" w:pos="190" w:val="left"/>
        </w:tabs>
        <w:numPr>
          <w:ilvl w:val="0"/>
          <w:numId w:val="25"/>
        </w:numPr>
        <w:rPr>
          <w:rFonts w:ascii="Arial" w:cs="Arial" w:eastAsia="Arial" w:hAnsi="Arial"/>
          <w:sz w:val="11"/>
          <w:szCs w:val="11"/>
          <w:i w:val="1"/>
          <w:iCs w:val="1"/>
          <w:color w:val="auto"/>
        </w:rPr>
      </w:pPr>
      <w:r>
        <w:rPr>
          <w:rFonts w:ascii="Arial" w:cs="Arial" w:eastAsia="Arial" w:hAnsi="Arial"/>
          <w:sz w:val="11"/>
          <w:szCs w:val="11"/>
          <w:i w:val="1"/>
          <w:iCs w:val="1"/>
          <w:color w:val="auto"/>
        </w:rPr>
        <w:t>Includes outstanding awards under the Company's (i) 2012 Equity Incentive Plan, which was terminated effective November 3, 2021 and under which awards are no longer made, and (ii) 2021 Equity Incentive Plan, as amended.</w:t>
      </w:r>
    </w:p>
    <w:p>
      <w:pPr>
        <w:ind w:left="200" w:right="720" w:hanging="195"/>
        <w:spacing w:after="0" w:line="261" w:lineRule="auto"/>
        <w:tabs>
          <w:tab w:leader="none" w:pos="190" w:val="left"/>
        </w:tabs>
        <w:numPr>
          <w:ilvl w:val="0"/>
          <w:numId w:val="25"/>
        </w:numPr>
        <w:rPr>
          <w:rFonts w:ascii="Arial" w:cs="Arial" w:eastAsia="Arial" w:hAnsi="Arial"/>
          <w:sz w:val="11"/>
          <w:szCs w:val="11"/>
          <w:i w:val="1"/>
          <w:iCs w:val="1"/>
          <w:color w:val="auto"/>
        </w:rPr>
      </w:pPr>
      <w:r>
        <w:rPr>
          <w:rFonts w:ascii="Arial" w:cs="Arial" w:eastAsia="Arial" w:hAnsi="Arial"/>
          <w:sz w:val="11"/>
          <w:szCs w:val="11"/>
          <w:i w:val="1"/>
          <w:iCs w:val="1"/>
          <w:color w:val="auto"/>
        </w:rPr>
        <w:t>Comprised of (i) 3,455,851 RSUs, (ii) 3,062,766 stock options, (iii) 27,281 PSUs at target, and (iv) 220,096 PSOs at target. On March 18, 2025, the performance levels for fiscal year 2024 were certified by the Compensation Committee and 164% of outstanding target PSUs and PSOs were earned, resulting in 44,740 of total PSUs granted and 212,327 of total PSOs granted.</w:t>
      </w:r>
    </w:p>
    <w:p>
      <w:pPr>
        <w:ind w:left="180" w:hanging="175"/>
        <w:spacing w:after="0"/>
        <w:tabs>
          <w:tab w:leader="none" w:pos="180" w:val="left"/>
        </w:tabs>
        <w:numPr>
          <w:ilvl w:val="0"/>
          <w:numId w:val="25"/>
        </w:numPr>
        <w:rPr>
          <w:rFonts w:ascii="Arial" w:cs="Arial" w:eastAsia="Arial" w:hAnsi="Arial"/>
          <w:sz w:val="11"/>
          <w:szCs w:val="11"/>
          <w:i w:val="1"/>
          <w:iCs w:val="1"/>
          <w:color w:val="auto"/>
        </w:rPr>
      </w:pPr>
      <w:r>
        <w:rPr>
          <w:rFonts w:ascii="Arial" w:cs="Arial" w:eastAsia="Arial" w:hAnsi="Arial"/>
          <w:sz w:val="11"/>
          <w:szCs w:val="11"/>
          <w:i w:val="1"/>
          <w:iCs w:val="1"/>
          <w:color w:val="auto"/>
        </w:rPr>
        <w:t>The weighted-average exercise price relates to outstanding stock options only. RSU and PSU awards have no exercise price.</w:t>
      </w:r>
    </w:p>
    <w:p>
      <w:pPr>
        <w:ind w:left="180" w:hanging="175"/>
        <w:spacing w:after="0"/>
        <w:tabs>
          <w:tab w:leader="none" w:pos="180" w:val="left"/>
        </w:tabs>
        <w:numPr>
          <w:ilvl w:val="0"/>
          <w:numId w:val="25"/>
        </w:numPr>
        <w:rPr>
          <w:rFonts w:ascii="Arial" w:cs="Arial" w:eastAsia="Arial" w:hAnsi="Arial"/>
          <w:sz w:val="11"/>
          <w:szCs w:val="11"/>
          <w:i w:val="1"/>
          <w:iCs w:val="1"/>
          <w:color w:val="auto"/>
        </w:rPr>
      </w:pPr>
      <w:r>
        <w:rPr>
          <w:rFonts w:ascii="Arial" w:cs="Arial" w:eastAsia="Arial" w:hAnsi="Arial"/>
          <w:sz w:val="11"/>
          <w:szCs w:val="11"/>
          <w:i w:val="1"/>
          <w:iCs w:val="1"/>
          <w:color w:val="auto"/>
        </w:rPr>
        <w:t>Includes (i) 13,641,701 shares available under the 2021 Equity Incentive Plan, as amended and (ii) 1,248,945 shares available under the 2021 Employee Stock Purchase Plan.</w:t>
      </w:r>
    </w:p>
    <w:p>
      <w:pPr>
        <w:spacing w:after="0" w:line="11" w:lineRule="exact"/>
        <w:rPr>
          <w:rFonts w:ascii="Arial" w:cs="Arial" w:eastAsia="Arial" w:hAnsi="Arial"/>
          <w:sz w:val="11"/>
          <w:szCs w:val="11"/>
          <w:i w:val="1"/>
          <w:iCs w:val="1"/>
          <w:color w:val="auto"/>
        </w:rPr>
      </w:pPr>
    </w:p>
    <w:p>
      <w:pPr>
        <w:ind w:left="200" w:hanging="195"/>
        <w:spacing w:after="0" w:line="269" w:lineRule="auto"/>
        <w:tabs>
          <w:tab w:leader="none" w:pos="190" w:val="left"/>
        </w:tabs>
        <w:numPr>
          <w:ilvl w:val="0"/>
          <w:numId w:val="25"/>
        </w:numPr>
        <w:rPr>
          <w:rFonts w:ascii="Arial" w:cs="Arial" w:eastAsia="Arial" w:hAnsi="Arial"/>
          <w:sz w:val="11"/>
          <w:szCs w:val="11"/>
          <w:i w:val="1"/>
          <w:iCs w:val="1"/>
          <w:color w:val="auto"/>
        </w:rPr>
      </w:pPr>
      <w:r>
        <w:rPr>
          <w:rFonts w:ascii="Arial" w:cs="Arial" w:eastAsia="Arial" w:hAnsi="Arial"/>
          <w:sz w:val="11"/>
          <w:szCs w:val="11"/>
          <w:i w:val="1"/>
          <w:iCs w:val="1"/>
          <w:color w:val="auto"/>
        </w:rPr>
        <w:t>These awards were issued under the Company's 2022 Inducement Equity Incentive Plan (Inducement Plan), adopted in connection with the Company's acquisition of OTB. The Inducement Plan was adopted by the Compensation Committee effective July 11, 2022 and reserved 1,998,531 shares of Class A common stock to be used exclusively for the grant of awards to individuals that were not previously employees or directors of the Company, as an inducement to the individual's entry into employment with the Company within the meaning of Nasdaq Listing Rule 5635(c)(4). A total of 1,998,531 RSUs were awarded to those individuals employed at OTB who were offered employment with the Company following the acquisition of OTB.</w:t>
      </w:r>
    </w:p>
    <w:p>
      <w:pPr>
        <w:spacing w:after="0" w:line="130" w:lineRule="exact"/>
        <w:rPr>
          <w:sz w:val="20"/>
          <w:szCs w:val="20"/>
          <w:color w:val="auto"/>
        </w:rPr>
      </w:pPr>
    </w:p>
    <w:p>
      <w:pPr>
        <w:ind w:right="80"/>
        <w:spacing w:after="0" w:line="283" w:lineRule="auto"/>
        <w:rPr>
          <w:sz w:val="20"/>
          <w:szCs w:val="20"/>
          <w:color w:val="auto"/>
        </w:rPr>
      </w:pPr>
      <w:r>
        <w:rPr>
          <w:rFonts w:ascii="Arial" w:cs="Arial" w:eastAsia="Arial" w:hAnsi="Arial"/>
          <w:sz w:val="13"/>
          <w:szCs w:val="13"/>
          <w:color w:val="auto"/>
        </w:rPr>
        <w:t>For additional information regarding our equity compensation plans, please refer to Note 10–Stockholders’ Equity of the consolidated financial statements included in the Company’s Annual Report on Form 10-K for the year ended December 31, 2024.</w:t>
      </w:r>
    </w:p>
    <w:p>
      <w:pPr>
        <w:spacing w:after="0" w:line="197" w:lineRule="exact"/>
        <w:rPr>
          <w:sz w:val="20"/>
          <w:szCs w:val="20"/>
          <w:color w:val="auto"/>
        </w:rPr>
      </w:pPr>
    </w:p>
    <w:p>
      <w:pPr>
        <w:spacing w:after="0"/>
        <w:rPr>
          <w:sz w:val="20"/>
          <w:szCs w:val="20"/>
          <w:color w:val="auto"/>
        </w:rPr>
      </w:pPr>
      <w:r>
        <w:rPr>
          <w:rFonts w:ascii="Arial" w:cs="Arial" w:eastAsia="Arial" w:hAnsi="Arial"/>
          <w:sz w:val="34"/>
          <w:szCs w:val="34"/>
          <w:b w:val="1"/>
          <w:bCs w:val="1"/>
          <w:color w:val="auto"/>
        </w:rPr>
        <w:t>Transactions with Related Persons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Related Person Transactions Policy and Transactions with Related Persons</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color w:val="auto"/>
        </w:rPr>
        <w:t>Our Board has adopted a Related Person Transaction Policy that sets forth the process by which our Audit Committee will identify, review, consider and approve or ratify transactions involving</w:t>
      </w:r>
    </w:p>
    <w:p>
      <w:pPr>
        <w:spacing w:after="0" w:line="11" w:lineRule="exact"/>
        <w:rPr>
          <w:sz w:val="20"/>
          <w:szCs w:val="20"/>
          <w:color w:val="auto"/>
        </w:rPr>
      </w:pPr>
    </w:p>
    <w:p>
      <w:pPr>
        <w:spacing w:after="0"/>
        <w:rPr>
          <w:sz w:val="20"/>
          <w:szCs w:val="20"/>
          <w:color w:val="auto"/>
        </w:rPr>
      </w:pPr>
      <w:r>
        <w:rPr>
          <w:rFonts w:ascii="Arial" w:cs="Arial" w:eastAsia="Arial" w:hAnsi="Arial"/>
          <w:sz w:val="12"/>
          <w:szCs w:val="12"/>
          <w:color w:val="auto"/>
        </w:rPr>
        <w:t>NerdWallet and any related person. A related person transaction is defined as a transaction, arrangement or relationship (or any series of similar transactions, arrangements or relationships) in which</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NerdWallet and any related person are, were or will be participants in which the amount involved exceeds $120,000.</w:t>
      </w:r>
    </w:p>
    <w:p>
      <w:pPr>
        <w:spacing w:after="0" w:line="161" w:lineRule="exact"/>
        <w:rPr>
          <w:sz w:val="20"/>
          <w:szCs w:val="20"/>
          <w:color w:val="auto"/>
        </w:rPr>
      </w:pPr>
    </w:p>
    <w:p>
      <w:pPr>
        <w:ind w:right="60"/>
        <w:spacing w:after="0" w:line="254" w:lineRule="auto"/>
        <w:rPr>
          <w:sz w:val="20"/>
          <w:szCs w:val="20"/>
          <w:color w:val="auto"/>
        </w:rPr>
      </w:pPr>
      <w:r>
        <w:rPr>
          <w:rFonts w:ascii="Arial" w:cs="Arial" w:eastAsia="Arial" w:hAnsi="Arial"/>
          <w:sz w:val="13"/>
          <w:szCs w:val="13"/>
          <w:color w:val="auto"/>
        </w:rPr>
        <w:t>Our Audit Committee will consider all the relevant facts and circumstances deemed relevant by and available to the Audit Committee, including, but not limited to (a) the risks, costs, and benefits to NerdWallet, (b) the impact on a director’s independence in the event the Related Person is a director, immediate family member of a director, or an entity with which a director is affiliated, (c) the terms of the transaction, (d) the availability of other sources for comparable services or products and (e) the terms available to or from, as the case may be, unrelated third parties or to or from employees generally. The Audit Committee will approve only those related person transactions that, in light of known circumstances, are in, or are consistent with, the best interests of NerdWallet and its stockholders, as the Audit Committee determines in the good faith exercise of its discretion.</w:t>
      </w:r>
    </w:p>
    <w:p>
      <w:pPr>
        <w:spacing w:after="0" w:line="143" w:lineRule="exact"/>
        <w:rPr>
          <w:sz w:val="20"/>
          <w:szCs w:val="20"/>
          <w:color w:val="auto"/>
        </w:rPr>
      </w:pPr>
    </w:p>
    <w:p>
      <w:pPr>
        <w:ind w:right="280"/>
        <w:spacing w:after="0" w:line="266" w:lineRule="auto"/>
        <w:rPr>
          <w:sz w:val="20"/>
          <w:szCs w:val="20"/>
          <w:color w:val="auto"/>
        </w:rPr>
      </w:pPr>
      <w:r>
        <w:rPr>
          <w:rFonts w:ascii="Arial" w:cs="Arial" w:eastAsia="Arial" w:hAnsi="Arial"/>
          <w:sz w:val="13"/>
          <w:szCs w:val="13"/>
          <w:color w:val="auto"/>
        </w:rPr>
        <w:t>We require each of our directors and executive officers to complete an annual directors’ and officers’ questionnaire that elicits information about related person transactions. This process helps our Board determine whether any such related person transaction impairs the independence of a director or presents a conflict of interest on the part of a director, employee or officer.</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In 2024, there were no related person transactions and there are not currently any proposed related person transactions that would require disclosure under the SEC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322580</wp:posOffset>
            </wp:positionV>
            <wp:extent cx="7161530" cy="2895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1530" cy="289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 xml:space="preserve">34 </w:t>
      </w:r>
      <w:r>
        <w:rPr>
          <w:rFonts w:ascii="Arial" w:cs="Arial" w:eastAsia="Arial" w:hAnsi="Arial"/>
          <w:sz w:val="13"/>
          <w:szCs w:val="13"/>
          <w:color w:val="auto"/>
        </w:rPr>
        <w:t>PROXY STATEMENT 2025</w:t>
      </w:r>
    </w:p>
    <w:p>
      <w:pPr>
        <w:sectPr>
          <w:pgSz w:w="11900" w:h="16838" w:orient="portrait"/>
          <w:cols w:equalWidth="0" w:num="1">
            <w:col w:w="11260"/>
          </w:cols>
          <w:pgMar w:left="300" w:top="171" w:right="339" w:bottom="1440" w:gutter="0" w:footer="0" w:header="0"/>
        </w:sectPr>
      </w:pPr>
    </w:p>
    <w:bookmarkStart w:id="39" w:name="page40"/>
    <w:bookmarkEnd w:id="39"/>
    <w:p>
      <w:pPr>
        <w:ind w:left="300"/>
        <w:spacing w:after="0"/>
        <w:rPr>
          <w:sz w:val="20"/>
          <w:szCs w:val="20"/>
          <w:color w:val="auto"/>
        </w:rPr>
      </w:pPr>
      <w:r>
        <w:rPr>
          <w:rFonts w:ascii="Arial" w:cs="Arial" w:eastAsia="Arial" w:hAnsi="Arial"/>
          <w:sz w:val="13"/>
          <w:szCs w:val="13"/>
          <w:b w:val="1"/>
          <w:bCs w:val="1"/>
          <w:color w:val="00482F"/>
        </w:rPr>
        <w:drawing>
          <wp:anchor simplePos="0" relativeHeight="251657728" behindDoc="1" locked="0" layoutInCell="0" allowOverlap="1">
            <wp:simplePos x="0" y="0"/>
            <wp:positionH relativeFrom="page">
              <wp:posOffset>328295</wp:posOffset>
            </wp:positionH>
            <wp:positionV relativeFrom="page">
              <wp:posOffset>102235</wp:posOffset>
            </wp:positionV>
            <wp:extent cx="2876550" cy="147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876550" cy="147955"/>
                    </a:xfrm>
                    <a:prstGeom prst="rect">
                      <a:avLst/>
                    </a:prstGeom>
                    <a:noFill/>
                  </pic:spPr>
                </pic:pic>
              </a:graphicData>
            </a:graphic>
          </wp:anchor>
        </w:drawing>
        <w:t>COMPENSATION RECOVERY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34"/>
          <w:szCs w:val="34"/>
          <w:b w:val="1"/>
          <w:bCs w:val="1"/>
          <w:color w:val="auto"/>
        </w:rPr>
        <w:t>Compensation Recovery</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Recovery Policy</w:t>
      </w:r>
    </w:p>
    <w:p>
      <w:pPr>
        <w:spacing w:after="0" w:line="213" w:lineRule="exact"/>
        <w:rPr>
          <w:sz w:val="20"/>
          <w:szCs w:val="20"/>
          <w:color w:val="auto"/>
        </w:rPr>
      </w:pPr>
    </w:p>
    <w:p>
      <w:pPr>
        <w:spacing w:after="0" w:line="248" w:lineRule="auto"/>
        <w:rPr>
          <w:sz w:val="20"/>
          <w:szCs w:val="20"/>
          <w:color w:val="auto"/>
        </w:rPr>
      </w:pPr>
      <w:r>
        <w:rPr>
          <w:rFonts w:ascii="Arial" w:cs="Arial" w:eastAsia="Arial" w:hAnsi="Arial"/>
          <w:sz w:val="13"/>
          <w:szCs w:val="13"/>
          <w:color w:val="auto"/>
        </w:rPr>
        <w:t>As required pursuant to the listing standards of the Nasdaq Listing Rules, Rule 10D under the Exchange Act, and Rule 10D-1 under the Exchange Act, the Compensation Committee of the Board of Directors has adopted a Compensation Recovery Policy, effective October 2, 2023, which requires the Company to recover compensation erroneously awarded to any current or former Section 16 officer in the event of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The Compensation Recovery Policy requires the Company to recover the incremental portion of the incentive-based compensation received by such officer within the applicable recovery period in excess of the amount that would have been paid or payable based on the restated financial results (without regard to any taxes paid), other than in limited circumstances in which an exception to such recovery applies.</w:t>
      </w:r>
    </w:p>
    <w:p>
      <w:pPr>
        <w:spacing w:after="0" w:line="181" w:lineRule="exact"/>
        <w:rPr>
          <w:sz w:val="20"/>
          <w:szCs w:val="20"/>
          <w:color w:val="auto"/>
        </w:rPr>
      </w:pPr>
    </w:p>
    <w:p>
      <w:pPr>
        <w:spacing w:after="0"/>
        <w:rPr>
          <w:sz w:val="20"/>
          <w:szCs w:val="20"/>
          <w:color w:val="auto"/>
        </w:rPr>
      </w:pPr>
      <w:r>
        <w:rPr>
          <w:rFonts w:ascii="Arial" w:cs="Arial" w:eastAsia="Arial" w:hAnsi="Arial"/>
          <w:sz w:val="12"/>
          <w:szCs w:val="12"/>
          <w:color w:val="auto"/>
        </w:rPr>
        <w:t>For additional information regarding our Compensation Recovery Policy, please refer to Exhibit 97.1 included in the Company’s Annual Report on Form 10-K for the year ended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201930</wp:posOffset>
            </wp:positionV>
            <wp:extent cx="7161530" cy="28956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1530" cy="28956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11080"/>
        <w:spacing w:after="0"/>
        <w:rPr>
          <w:sz w:val="20"/>
          <w:szCs w:val="20"/>
          <w:color w:val="auto"/>
        </w:rPr>
      </w:pPr>
      <w:r>
        <w:rPr>
          <w:rFonts w:ascii="Arial" w:cs="Arial" w:eastAsia="Arial" w:hAnsi="Arial"/>
          <w:sz w:val="13"/>
          <w:szCs w:val="13"/>
          <w:b w:val="1"/>
          <w:bCs w:val="1"/>
          <w:color w:val="auto"/>
        </w:rPr>
        <w:t>35</w:t>
      </w:r>
    </w:p>
    <w:p>
      <w:pPr>
        <w:sectPr>
          <w:pgSz w:w="11900" w:h="16838" w:orient="portrait"/>
          <w:cols w:equalWidth="0" w:num="1">
            <w:col w:w="11240"/>
          </w:cols>
          <w:pgMar w:left="300" w:top="171" w:right="359" w:bottom="1440" w:gutter="0" w:footer="0" w:header="0"/>
        </w:sectPr>
      </w:pPr>
    </w:p>
    <w:bookmarkStart w:id="40" w:name="page41"/>
    <w:bookmarkEnd w:id="40"/>
    <w:p>
      <w:pPr>
        <w:ind w:left="300"/>
        <w:spacing w:after="0"/>
        <w:rPr>
          <w:sz w:val="20"/>
          <w:szCs w:val="20"/>
          <w:color w:val="auto"/>
        </w:rPr>
      </w:pPr>
      <w:r>
        <w:rPr>
          <w:rFonts w:ascii="Arial" w:cs="Arial" w:eastAsia="Arial" w:hAnsi="Arial"/>
          <w:sz w:val="13"/>
          <w:szCs w:val="13"/>
          <w:b w:val="1"/>
          <w:bCs w:val="1"/>
          <w:color w:val="00482F"/>
        </w:rPr>
        <w:drawing>
          <wp:anchor simplePos="0" relativeHeight="251657728" behindDoc="1" locked="0" layoutInCell="0" allowOverlap="1">
            <wp:simplePos x="0" y="0"/>
            <wp:positionH relativeFrom="page">
              <wp:posOffset>328295</wp:posOffset>
            </wp:positionH>
            <wp:positionV relativeFrom="page">
              <wp:posOffset>102235</wp:posOffset>
            </wp:positionV>
            <wp:extent cx="2876550" cy="147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876550" cy="147955"/>
                    </a:xfrm>
                    <a:prstGeom prst="rect">
                      <a:avLst/>
                    </a:prstGeom>
                    <a:noFill/>
                  </pic:spPr>
                </pic:pic>
              </a:graphicData>
            </a:graphic>
          </wp:anchor>
        </w:drawing>
        <w:t>STOCK OWNERSHIP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34"/>
          <w:szCs w:val="34"/>
          <w:b w:val="1"/>
          <w:bCs w:val="1"/>
          <w:color w:val="auto"/>
        </w:rPr>
        <w:t>Stock Ownership Information</w:t>
      </w:r>
    </w:p>
    <w:p>
      <w:pPr>
        <w:spacing w:after="0" w:line="2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Security Ownership of Certain Beneficial Owners and Management</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sets forth the beneficial ownership of our common stock as of March 24, 2025, the record date for the 2025 Annual Meeting, by:</w:t>
      </w:r>
    </w:p>
    <w:p>
      <w:pPr>
        <w:spacing w:after="0" w:line="169" w:lineRule="exact"/>
        <w:rPr>
          <w:sz w:val="20"/>
          <w:szCs w:val="20"/>
          <w:color w:val="auto"/>
        </w:rPr>
      </w:pPr>
    </w:p>
    <w:p>
      <w:pPr>
        <w:ind w:left="260" w:hanging="128"/>
        <w:spacing w:after="0"/>
        <w:tabs>
          <w:tab w:leader="none" w:pos="260" w:val="left"/>
        </w:tabs>
        <w:numPr>
          <w:ilvl w:val="0"/>
          <w:numId w:val="26"/>
        </w:numPr>
        <w:rPr>
          <w:rFonts w:ascii="Arial" w:cs="Arial" w:eastAsia="Arial" w:hAnsi="Arial"/>
          <w:sz w:val="13"/>
          <w:szCs w:val="13"/>
          <w:color w:val="auto"/>
        </w:rPr>
      </w:pPr>
      <w:r>
        <w:rPr>
          <w:rFonts w:ascii="Arial" w:cs="Arial" w:eastAsia="Arial" w:hAnsi="Arial"/>
          <w:sz w:val="13"/>
          <w:szCs w:val="13"/>
          <w:color w:val="auto"/>
        </w:rPr>
        <w:t>each person, or group of affiliated persons, who we know to beneficially own more than 5% of any class of our capital stock;</w:t>
      </w:r>
    </w:p>
    <w:p>
      <w:pPr>
        <w:spacing w:after="0" w:line="179" w:lineRule="exact"/>
        <w:rPr>
          <w:rFonts w:ascii="Arial" w:cs="Arial" w:eastAsia="Arial" w:hAnsi="Arial"/>
          <w:sz w:val="13"/>
          <w:szCs w:val="13"/>
          <w:color w:val="auto"/>
        </w:rPr>
      </w:pPr>
    </w:p>
    <w:p>
      <w:pPr>
        <w:ind w:left="260" w:hanging="128"/>
        <w:spacing w:after="0"/>
        <w:tabs>
          <w:tab w:leader="none" w:pos="260" w:val="left"/>
        </w:tabs>
        <w:numPr>
          <w:ilvl w:val="0"/>
          <w:numId w:val="26"/>
        </w:numPr>
        <w:rPr>
          <w:rFonts w:ascii="Arial" w:cs="Arial" w:eastAsia="Arial" w:hAnsi="Arial"/>
          <w:sz w:val="13"/>
          <w:szCs w:val="13"/>
          <w:color w:val="auto"/>
        </w:rPr>
      </w:pPr>
      <w:r>
        <w:rPr>
          <w:rFonts w:ascii="Arial" w:cs="Arial" w:eastAsia="Arial" w:hAnsi="Arial"/>
          <w:sz w:val="13"/>
          <w:szCs w:val="13"/>
          <w:color w:val="auto"/>
        </w:rPr>
        <w:t>each of our Named Executive Officers;</w:t>
      </w:r>
    </w:p>
    <w:p>
      <w:pPr>
        <w:spacing w:after="0" w:line="168" w:lineRule="exact"/>
        <w:rPr>
          <w:rFonts w:ascii="Arial" w:cs="Arial" w:eastAsia="Arial" w:hAnsi="Arial"/>
          <w:sz w:val="13"/>
          <w:szCs w:val="13"/>
          <w:color w:val="auto"/>
        </w:rPr>
      </w:pPr>
    </w:p>
    <w:p>
      <w:pPr>
        <w:ind w:left="260" w:hanging="128"/>
        <w:spacing w:after="0"/>
        <w:tabs>
          <w:tab w:leader="none" w:pos="260" w:val="left"/>
        </w:tabs>
        <w:numPr>
          <w:ilvl w:val="0"/>
          <w:numId w:val="26"/>
        </w:numPr>
        <w:rPr>
          <w:rFonts w:ascii="Arial" w:cs="Arial" w:eastAsia="Arial" w:hAnsi="Arial"/>
          <w:sz w:val="13"/>
          <w:szCs w:val="13"/>
          <w:color w:val="auto"/>
        </w:rPr>
      </w:pPr>
      <w:r>
        <w:rPr>
          <w:rFonts w:ascii="Arial" w:cs="Arial" w:eastAsia="Arial" w:hAnsi="Arial"/>
          <w:sz w:val="13"/>
          <w:szCs w:val="13"/>
          <w:color w:val="auto"/>
        </w:rPr>
        <w:t>each of our Directors; and</w:t>
      </w:r>
    </w:p>
    <w:p>
      <w:pPr>
        <w:spacing w:after="0" w:line="168" w:lineRule="exact"/>
        <w:rPr>
          <w:rFonts w:ascii="Arial" w:cs="Arial" w:eastAsia="Arial" w:hAnsi="Arial"/>
          <w:sz w:val="13"/>
          <w:szCs w:val="13"/>
          <w:color w:val="auto"/>
        </w:rPr>
      </w:pPr>
    </w:p>
    <w:p>
      <w:pPr>
        <w:ind w:left="260" w:hanging="128"/>
        <w:spacing w:after="0"/>
        <w:tabs>
          <w:tab w:leader="none" w:pos="260" w:val="left"/>
        </w:tabs>
        <w:numPr>
          <w:ilvl w:val="0"/>
          <w:numId w:val="26"/>
        </w:numPr>
        <w:rPr>
          <w:rFonts w:ascii="Arial" w:cs="Arial" w:eastAsia="Arial" w:hAnsi="Arial"/>
          <w:sz w:val="13"/>
          <w:szCs w:val="13"/>
          <w:color w:val="auto"/>
        </w:rPr>
      </w:pPr>
      <w:r>
        <w:rPr>
          <w:rFonts w:ascii="Arial" w:cs="Arial" w:eastAsia="Arial" w:hAnsi="Arial"/>
          <w:sz w:val="13"/>
          <w:szCs w:val="13"/>
          <w:color w:val="auto"/>
        </w:rPr>
        <w:t>all of our Executive Officers and Directors as a group.</w:t>
      </w:r>
    </w:p>
    <w:p>
      <w:pPr>
        <w:spacing w:after="0" w:line="179" w:lineRule="exact"/>
        <w:rPr>
          <w:sz w:val="20"/>
          <w:szCs w:val="20"/>
          <w:color w:val="auto"/>
        </w:rPr>
      </w:pPr>
    </w:p>
    <w:p>
      <w:pPr>
        <w:ind w:right="520"/>
        <w:spacing w:after="0" w:line="266" w:lineRule="auto"/>
        <w:rPr>
          <w:sz w:val="20"/>
          <w:szCs w:val="20"/>
          <w:color w:val="auto"/>
        </w:rPr>
      </w:pPr>
      <w:r>
        <w:rPr>
          <w:rFonts w:ascii="Arial" w:cs="Arial" w:eastAsia="Arial" w:hAnsi="Arial"/>
          <w:sz w:val="13"/>
          <w:szCs w:val="13"/>
          <w:color w:val="auto"/>
        </w:rPr>
        <w:t>The numbers of shares of common stock and percentages of ownership and combined voting power set forth below are based on 74,492,046 shares of common stock issued and outstanding, consisting of 42,806,394 shares of Class A common stock and 31,685,652 shares of Class B common stock as of March 24, 2025.</w:t>
      </w:r>
    </w:p>
    <w:p>
      <w:pPr>
        <w:spacing w:after="0" w:line="146" w:lineRule="exact"/>
        <w:rPr>
          <w:sz w:val="20"/>
          <w:szCs w:val="20"/>
          <w:color w:val="auto"/>
        </w:rPr>
      </w:pPr>
    </w:p>
    <w:p>
      <w:pPr>
        <w:ind w:right="40"/>
        <w:spacing w:after="0" w:line="253" w:lineRule="auto"/>
        <w:rPr>
          <w:sz w:val="20"/>
          <w:szCs w:val="20"/>
          <w:color w:val="auto"/>
        </w:rPr>
      </w:pPr>
      <w:r>
        <w:rPr>
          <w:rFonts w:ascii="Arial" w:cs="Arial" w:eastAsia="Arial" w:hAnsi="Arial"/>
          <w:sz w:val="13"/>
          <w:szCs w:val="13"/>
          <w:color w:val="auto"/>
        </w:rPr>
        <w:t>The amounts of common stock beneficially owned are reported on the basis of the regulations of the SEC governing the determination of beneficial ownership of securities. Under these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a beneficial owner of any securities of which that person has a right to acquire beneficial ownership within 60 days of March 24, 2025. Under these rules, more than one person may be deemed to be a beneficial owner of the same securities.</w:t>
      </w:r>
    </w:p>
    <w:p>
      <w:pPr>
        <w:spacing w:after="0" w:line="144"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Except as otherwise indicated and subject to applicable community property laws, each owner has sole voting and investment power with respect to the securities listed. Unless otherwise indicated, the address for each beneficial owner listed below is 4150 N. Drinkwater Blvd., Suite 200, Scottsdale, Arizona 85251.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301625</wp:posOffset>
            </wp:positionV>
            <wp:extent cx="7161530" cy="2895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1530" cy="289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 xml:space="preserve">36 </w:t>
      </w:r>
      <w:r>
        <w:rPr>
          <w:rFonts w:ascii="Arial" w:cs="Arial" w:eastAsia="Arial" w:hAnsi="Arial"/>
          <w:sz w:val="13"/>
          <w:szCs w:val="13"/>
          <w:color w:val="auto"/>
        </w:rPr>
        <w:t>PROXY STATEMENT 2025</w:t>
      </w:r>
    </w:p>
    <w:p>
      <w:pPr>
        <w:sectPr>
          <w:pgSz w:w="11900" w:h="16838" w:orient="portrait"/>
          <w:cols w:equalWidth="0" w:num="1">
            <w:col w:w="11280"/>
          </w:cols>
          <w:pgMar w:left="300" w:top="171" w:right="319" w:bottom="1440" w:gutter="0" w:footer="0" w:header="0"/>
        </w:sectPr>
      </w:pPr>
    </w:p>
    <w:bookmarkStart w:id="41" w:name="page42"/>
    <w:bookmarkEnd w:id="41"/>
    <w:p>
      <w:pPr>
        <w:ind w:left="300"/>
        <w:spacing w:after="0"/>
        <w:rPr>
          <w:sz w:val="20"/>
          <w:szCs w:val="20"/>
          <w:color w:val="auto"/>
        </w:rPr>
      </w:pPr>
      <w:r>
        <w:rPr>
          <w:rFonts w:ascii="Arial" w:cs="Arial" w:eastAsia="Arial" w:hAnsi="Arial"/>
          <w:sz w:val="13"/>
          <w:szCs w:val="13"/>
          <w:b w:val="1"/>
          <w:bCs w:val="1"/>
          <w:color w:val="00482F"/>
        </w:rPr>
        <w:drawing>
          <wp:anchor simplePos="0" relativeHeight="251657728" behindDoc="1" locked="0" layoutInCell="0" allowOverlap="1">
            <wp:simplePos x="0" y="0"/>
            <wp:positionH relativeFrom="page">
              <wp:posOffset>328295</wp:posOffset>
            </wp:positionH>
            <wp:positionV relativeFrom="page">
              <wp:posOffset>102235</wp:posOffset>
            </wp:positionV>
            <wp:extent cx="2876550" cy="147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2876550" cy="147955"/>
                    </a:xfrm>
                    <a:prstGeom prst="rect">
                      <a:avLst/>
                    </a:prstGeom>
                    <a:noFill/>
                  </pic:spPr>
                </pic:pic>
              </a:graphicData>
            </a:graphic>
          </wp:anchor>
        </w:drawing>
        <w:t>STOCK OWNERSHIP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900" w:type="dxa"/>
            <w:vAlign w:val="bottom"/>
            <w:tcBorders>
              <w:top w:val="single" w:sz="8" w:color="008256"/>
              <w:bottom w:val="single" w:sz="8" w:color="008256"/>
              <w:right w:val="single" w:sz="8" w:color="008256"/>
            </w:tcBorders>
          </w:tcPr>
          <w:p>
            <w:pPr>
              <w:spacing w:after="0"/>
              <w:rPr>
                <w:sz w:val="16"/>
                <w:szCs w:val="16"/>
                <w:color w:val="auto"/>
              </w:rPr>
            </w:pPr>
          </w:p>
        </w:tc>
        <w:tc>
          <w:tcPr>
            <w:tcW w:w="1460" w:type="dxa"/>
            <w:vAlign w:val="bottom"/>
            <w:tcBorders>
              <w:top w:val="single" w:sz="8" w:color="008256"/>
              <w:bottom w:val="single" w:sz="8" w:color="008256"/>
            </w:tcBorders>
          </w:tcPr>
          <w:p>
            <w:pPr>
              <w:spacing w:after="0"/>
              <w:rPr>
                <w:sz w:val="16"/>
                <w:szCs w:val="16"/>
                <w:color w:val="auto"/>
              </w:rPr>
            </w:pPr>
          </w:p>
        </w:tc>
        <w:tc>
          <w:tcPr>
            <w:tcW w:w="3160" w:type="dxa"/>
            <w:vAlign w:val="bottom"/>
            <w:tcBorders>
              <w:top w:val="single" w:sz="8" w:color="008256"/>
              <w:bottom w:val="single" w:sz="8" w:color="008256"/>
            </w:tcBorders>
            <w:gridSpan w:val="4"/>
          </w:tcPr>
          <w:p>
            <w:pPr>
              <w:ind w:left="460"/>
              <w:spacing w:after="0"/>
              <w:rPr>
                <w:sz w:val="20"/>
                <w:szCs w:val="20"/>
                <w:color w:val="auto"/>
              </w:rPr>
            </w:pPr>
            <w:r>
              <w:rPr>
                <w:rFonts w:ascii="Arial" w:cs="Arial" w:eastAsia="Arial" w:hAnsi="Arial"/>
                <w:sz w:val="11"/>
                <w:szCs w:val="11"/>
                <w:b w:val="1"/>
                <w:bCs w:val="1"/>
                <w:color w:val="auto"/>
              </w:rPr>
              <w:t>Shares Beneficially Owned</w:t>
            </w:r>
          </w:p>
        </w:tc>
        <w:tc>
          <w:tcPr>
            <w:tcW w:w="700" w:type="dxa"/>
            <w:vAlign w:val="bottom"/>
            <w:tcBorders>
              <w:top w:val="single" w:sz="8" w:color="008256"/>
              <w:bottom w:val="single" w:sz="8" w:color="008256"/>
              <w:right w:val="single" w:sz="8" w:color="008256"/>
            </w:tcBorders>
          </w:tcPr>
          <w:p>
            <w:pPr>
              <w:spacing w:after="0"/>
              <w:rPr>
                <w:sz w:val="16"/>
                <w:szCs w:val="16"/>
                <w:color w:val="auto"/>
              </w:rPr>
            </w:pPr>
          </w:p>
        </w:tc>
        <w:tc>
          <w:tcPr>
            <w:tcW w:w="1060" w:type="dxa"/>
            <w:vAlign w:val="bottom"/>
            <w:tcBorders>
              <w:top w:val="single" w:sz="8" w:color="008256"/>
              <w:bottom w:val="single" w:sz="8" w:color="008256"/>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4900" w:type="dxa"/>
            <w:vAlign w:val="bottom"/>
            <w:tcBorders>
              <w:right w:val="single" w:sz="8" w:color="008256"/>
            </w:tcBorders>
          </w:tcPr>
          <w:p>
            <w:pPr>
              <w:spacing w:after="0"/>
              <w:rPr>
                <w:sz w:val="12"/>
                <w:szCs w:val="12"/>
                <w:color w:val="auto"/>
              </w:rPr>
            </w:pPr>
          </w:p>
        </w:tc>
        <w:tc>
          <w:tcPr>
            <w:tcW w:w="14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Borders>
              <w:right w:val="single" w:sz="8" w:color="008256"/>
            </w:tcBorders>
          </w:tcPr>
          <w:p>
            <w:pPr>
              <w:spacing w:after="0"/>
              <w:rPr>
                <w:sz w:val="12"/>
                <w:szCs w:val="12"/>
                <w:color w:val="auto"/>
              </w:rPr>
            </w:pPr>
          </w:p>
        </w:tc>
        <w:tc>
          <w:tcPr>
            <w:tcW w:w="1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Borders>
              <w:right w:val="single" w:sz="8" w:color="008256"/>
            </w:tcBorders>
          </w:tcPr>
          <w:p>
            <w:pPr>
              <w:spacing w:after="0"/>
              <w:rPr>
                <w:sz w:val="12"/>
                <w:szCs w:val="12"/>
                <w:color w:val="auto"/>
              </w:rPr>
            </w:pP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w w:val="98"/>
              </w:rPr>
              <w:t>% of Total</w:t>
            </w:r>
          </w:p>
        </w:tc>
        <w:tc>
          <w:tcPr>
            <w:tcW w:w="0" w:type="dxa"/>
            <w:vAlign w:val="bottom"/>
          </w:tcPr>
          <w:p>
            <w:pPr>
              <w:spacing w:after="0"/>
              <w:rPr>
                <w:sz w:val="1"/>
                <w:szCs w:val="1"/>
                <w:color w:val="auto"/>
              </w:rPr>
            </w:pPr>
          </w:p>
        </w:tc>
      </w:tr>
      <w:tr>
        <w:trPr>
          <w:trHeight w:val="135"/>
        </w:trPr>
        <w:tc>
          <w:tcPr>
            <w:tcW w:w="4900" w:type="dxa"/>
            <w:vAlign w:val="bottom"/>
            <w:tcBorders>
              <w:right w:val="single" w:sz="8" w:color="008256"/>
            </w:tcBorders>
          </w:tcPr>
          <w:p>
            <w:pPr>
              <w:spacing w:after="0"/>
              <w:rPr>
                <w:sz w:val="11"/>
                <w:szCs w:val="11"/>
                <w:color w:val="auto"/>
              </w:rPr>
            </w:pPr>
          </w:p>
        </w:tc>
        <w:tc>
          <w:tcPr>
            <w:tcW w:w="1980" w:type="dxa"/>
            <w:vAlign w:val="bottom"/>
            <w:gridSpan w:val="2"/>
            <w:vMerge w:val="restart"/>
          </w:tcPr>
          <w:p>
            <w:pPr>
              <w:ind w:left="680"/>
              <w:spacing w:after="0"/>
              <w:rPr>
                <w:sz w:val="20"/>
                <w:szCs w:val="20"/>
                <w:color w:val="auto"/>
              </w:rPr>
            </w:pPr>
            <w:r>
              <w:rPr>
                <w:rFonts w:ascii="Arial" w:cs="Arial" w:eastAsia="Arial" w:hAnsi="Arial"/>
                <w:sz w:val="11"/>
                <w:szCs w:val="11"/>
                <w:b w:val="1"/>
                <w:bCs w:val="1"/>
                <w:color w:val="auto"/>
              </w:rPr>
              <w:t>Class A Common Stock</w:t>
            </w:r>
          </w:p>
        </w:tc>
        <w:tc>
          <w:tcPr>
            <w:tcW w:w="680" w:type="dxa"/>
            <w:vAlign w:val="bottom"/>
            <w:tcBorders>
              <w:right w:val="single" w:sz="8" w:color="008256"/>
            </w:tcBorders>
          </w:tcPr>
          <w:p>
            <w:pPr>
              <w:spacing w:after="0"/>
              <w:rPr>
                <w:sz w:val="11"/>
                <w:szCs w:val="11"/>
                <w:color w:val="auto"/>
              </w:rPr>
            </w:pPr>
          </w:p>
        </w:tc>
        <w:tc>
          <w:tcPr>
            <w:tcW w:w="1960" w:type="dxa"/>
            <w:vAlign w:val="bottom"/>
            <w:gridSpan w:val="2"/>
            <w:vMerge w:val="restart"/>
          </w:tcPr>
          <w:p>
            <w:pPr>
              <w:ind w:left="680"/>
              <w:spacing w:after="0"/>
              <w:rPr>
                <w:sz w:val="20"/>
                <w:szCs w:val="20"/>
                <w:color w:val="auto"/>
              </w:rPr>
            </w:pPr>
            <w:r>
              <w:rPr>
                <w:rFonts w:ascii="Arial" w:cs="Arial" w:eastAsia="Arial" w:hAnsi="Arial"/>
                <w:sz w:val="11"/>
                <w:szCs w:val="11"/>
                <w:b w:val="1"/>
                <w:bCs w:val="1"/>
                <w:color w:val="auto"/>
              </w:rPr>
              <w:t>Class B Common Stock</w:t>
            </w:r>
          </w:p>
        </w:tc>
        <w:tc>
          <w:tcPr>
            <w:tcW w:w="700" w:type="dxa"/>
            <w:vAlign w:val="bottom"/>
            <w:tcBorders>
              <w:right w:val="single" w:sz="8" w:color="008256"/>
            </w:tcBorders>
          </w:tcPr>
          <w:p>
            <w:pPr>
              <w:spacing w:after="0"/>
              <w:rPr>
                <w:sz w:val="11"/>
                <w:szCs w:val="11"/>
                <w:color w:val="auto"/>
              </w:rPr>
            </w:pP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w w:val="99"/>
              </w:rPr>
              <w:t>Voting</w:t>
            </w:r>
          </w:p>
        </w:tc>
        <w:tc>
          <w:tcPr>
            <w:tcW w:w="0" w:type="dxa"/>
            <w:vAlign w:val="bottom"/>
          </w:tcPr>
          <w:p>
            <w:pPr>
              <w:spacing w:after="0"/>
              <w:rPr>
                <w:sz w:val="1"/>
                <w:szCs w:val="1"/>
                <w:color w:val="auto"/>
              </w:rPr>
            </w:pPr>
          </w:p>
        </w:tc>
      </w:tr>
      <w:tr>
        <w:trPr>
          <w:trHeight w:val="157"/>
        </w:trPr>
        <w:tc>
          <w:tcPr>
            <w:tcW w:w="4900" w:type="dxa"/>
            <w:vAlign w:val="bottom"/>
            <w:tcBorders>
              <w:bottom w:val="single" w:sz="8" w:color="008256"/>
              <w:right w:val="single" w:sz="8" w:color="008256"/>
            </w:tcBorders>
          </w:tcPr>
          <w:p>
            <w:pPr>
              <w:spacing w:after="0"/>
              <w:rPr>
                <w:sz w:val="13"/>
                <w:szCs w:val="13"/>
                <w:color w:val="auto"/>
              </w:rPr>
            </w:pPr>
          </w:p>
        </w:tc>
        <w:tc>
          <w:tcPr>
            <w:tcW w:w="1980" w:type="dxa"/>
            <w:vAlign w:val="bottom"/>
            <w:tcBorders>
              <w:bottom w:val="single" w:sz="8" w:color="008256"/>
            </w:tcBorders>
            <w:gridSpan w:val="2"/>
            <w:vMerge w:val="continue"/>
          </w:tcPr>
          <w:p>
            <w:pPr>
              <w:spacing w:after="0"/>
              <w:rPr>
                <w:sz w:val="13"/>
                <w:szCs w:val="13"/>
                <w:color w:val="auto"/>
              </w:rPr>
            </w:pPr>
          </w:p>
        </w:tc>
        <w:tc>
          <w:tcPr>
            <w:tcW w:w="680" w:type="dxa"/>
            <w:vAlign w:val="bottom"/>
            <w:tcBorders>
              <w:bottom w:val="single" w:sz="8" w:color="008256"/>
              <w:right w:val="single" w:sz="8" w:color="008256"/>
            </w:tcBorders>
          </w:tcPr>
          <w:p>
            <w:pPr>
              <w:spacing w:after="0"/>
              <w:rPr>
                <w:sz w:val="13"/>
                <w:szCs w:val="13"/>
                <w:color w:val="auto"/>
              </w:rPr>
            </w:pPr>
          </w:p>
        </w:tc>
        <w:tc>
          <w:tcPr>
            <w:tcW w:w="1960" w:type="dxa"/>
            <w:vAlign w:val="bottom"/>
            <w:tcBorders>
              <w:bottom w:val="single" w:sz="8" w:color="008256"/>
            </w:tcBorders>
            <w:gridSpan w:val="2"/>
            <w:vMerge w:val="continue"/>
          </w:tcPr>
          <w:p>
            <w:pPr>
              <w:spacing w:after="0"/>
              <w:rPr>
                <w:sz w:val="13"/>
                <w:szCs w:val="13"/>
                <w:color w:val="auto"/>
              </w:rPr>
            </w:pPr>
          </w:p>
        </w:tc>
        <w:tc>
          <w:tcPr>
            <w:tcW w:w="700" w:type="dxa"/>
            <w:vAlign w:val="bottom"/>
            <w:tcBorders>
              <w:bottom w:val="single" w:sz="8" w:color="008256"/>
              <w:right w:val="single" w:sz="8" w:color="008256"/>
            </w:tcBorders>
          </w:tcPr>
          <w:p>
            <w:pPr>
              <w:spacing w:after="0"/>
              <w:rPr>
                <w:sz w:val="13"/>
                <w:szCs w:val="13"/>
                <w:color w:val="auto"/>
              </w:rPr>
            </w:pPr>
          </w:p>
        </w:tc>
        <w:tc>
          <w:tcPr>
            <w:tcW w:w="1060" w:type="dxa"/>
            <w:vAlign w:val="bottom"/>
            <w:tcBorders>
              <w:bottom w:val="single" w:sz="8" w:color="008256"/>
            </w:tcBorders>
          </w:tcPr>
          <w:p>
            <w:pPr>
              <w:jc w:val="center"/>
              <w:spacing w:after="0" w:line="157" w:lineRule="exact"/>
              <w:rPr>
                <w:sz w:val="20"/>
                <w:szCs w:val="20"/>
                <w:color w:val="auto"/>
              </w:rPr>
            </w:pPr>
            <w:r>
              <w:rPr>
                <w:rFonts w:ascii="Arial" w:cs="Arial" w:eastAsia="Arial" w:hAnsi="Arial"/>
                <w:sz w:val="11"/>
                <w:szCs w:val="11"/>
                <w:b w:val="1"/>
                <w:bCs w:val="1"/>
                <w:color w:val="auto"/>
                <w:w w:val="98"/>
              </w:rPr>
              <w:t>Power</w:t>
            </w:r>
            <w:r>
              <w:rPr>
                <w:rFonts w:ascii="Arial" w:cs="Arial" w:eastAsia="Arial" w:hAnsi="Arial"/>
                <w:sz w:val="14"/>
                <w:szCs w:val="14"/>
                <w:b w:val="1"/>
                <w:bCs w:val="1"/>
                <w:color w:val="auto"/>
                <w:w w:val="98"/>
                <w:vertAlign w:val="superscript"/>
              </w:rPr>
              <w:t>(1)</w:t>
            </w:r>
          </w:p>
        </w:tc>
        <w:tc>
          <w:tcPr>
            <w:tcW w:w="0" w:type="dxa"/>
            <w:vAlign w:val="bottom"/>
          </w:tcPr>
          <w:p>
            <w:pPr>
              <w:spacing w:after="0"/>
              <w:rPr>
                <w:sz w:val="1"/>
                <w:szCs w:val="1"/>
                <w:color w:val="auto"/>
              </w:rPr>
            </w:pPr>
          </w:p>
        </w:tc>
      </w:tr>
      <w:tr>
        <w:trPr>
          <w:trHeight w:val="165"/>
        </w:trPr>
        <w:tc>
          <w:tcPr>
            <w:tcW w:w="4900" w:type="dxa"/>
            <w:vAlign w:val="bottom"/>
            <w:tcBorders>
              <w:bottom w:val="single" w:sz="8" w:color="008256"/>
              <w:right w:val="single" w:sz="8" w:color="008256"/>
            </w:tcBorders>
          </w:tcPr>
          <w:p>
            <w:pPr>
              <w:ind w:left="80"/>
              <w:spacing w:after="0"/>
              <w:rPr>
                <w:sz w:val="20"/>
                <w:szCs w:val="20"/>
                <w:color w:val="auto"/>
              </w:rPr>
            </w:pPr>
            <w:r>
              <w:rPr>
                <w:rFonts w:ascii="Arial" w:cs="Arial" w:eastAsia="Arial" w:hAnsi="Arial"/>
                <w:sz w:val="11"/>
                <w:szCs w:val="11"/>
                <w:b w:val="1"/>
                <w:bCs w:val="1"/>
                <w:color w:val="auto"/>
              </w:rPr>
              <w:t>Name of Beneficial Owner</w:t>
            </w:r>
          </w:p>
        </w:tc>
        <w:tc>
          <w:tcPr>
            <w:tcW w:w="1460" w:type="dxa"/>
            <w:vAlign w:val="bottom"/>
            <w:tcBorders>
              <w:bottom w:val="single" w:sz="8" w:color="008256"/>
              <w:right w:val="single" w:sz="8" w:color="008256"/>
            </w:tcBorders>
          </w:tcPr>
          <w:p>
            <w:pPr>
              <w:jc w:val="right"/>
              <w:ind w:right="497"/>
              <w:spacing w:after="0"/>
              <w:rPr>
                <w:sz w:val="20"/>
                <w:szCs w:val="20"/>
                <w:color w:val="auto"/>
              </w:rPr>
            </w:pPr>
            <w:r>
              <w:rPr>
                <w:rFonts w:ascii="Arial" w:cs="Arial" w:eastAsia="Arial" w:hAnsi="Arial"/>
                <w:sz w:val="11"/>
                <w:szCs w:val="11"/>
                <w:b w:val="1"/>
                <w:bCs w:val="1"/>
                <w:color w:val="auto"/>
              </w:rPr>
              <w:t>Shares</w:t>
            </w:r>
          </w:p>
        </w:tc>
        <w:tc>
          <w:tcPr>
            <w:tcW w:w="520" w:type="dxa"/>
            <w:vAlign w:val="bottom"/>
            <w:tcBorders>
              <w:bottom w:val="single" w:sz="8" w:color="008256"/>
            </w:tcBorders>
          </w:tcPr>
          <w:p>
            <w:pPr>
              <w:spacing w:after="0"/>
              <w:rPr>
                <w:sz w:val="14"/>
                <w:szCs w:val="14"/>
                <w:color w:val="auto"/>
              </w:rPr>
            </w:pPr>
          </w:p>
        </w:tc>
        <w:tc>
          <w:tcPr>
            <w:tcW w:w="680" w:type="dxa"/>
            <w:vAlign w:val="bottom"/>
            <w:tcBorders>
              <w:bottom w:val="single" w:sz="8" w:color="008256"/>
              <w:right w:val="single" w:sz="8" w:color="008256"/>
            </w:tcBorders>
          </w:tcPr>
          <w:p>
            <w:pPr>
              <w:jc w:val="center"/>
              <w:ind w:right="477"/>
              <w:spacing w:after="0"/>
              <w:rPr>
                <w:sz w:val="20"/>
                <w:szCs w:val="20"/>
                <w:color w:val="auto"/>
              </w:rPr>
            </w:pPr>
            <w:r>
              <w:rPr>
                <w:rFonts w:ascii="Arial" w:cs="Arial" w:eastAsia="Arial" w:hAnsi="Arial"/>
                <w:sz w:val="11"/>
                <w:szCs w:val="11"/>
                <w:b w:val="1"/>
                <w:bCs w:val="1"/>
                <w:color w:val="auto"/>
              </w:rPr>
              <w:t>%</w:t>
            </w:r>
          </w:p>
        </w:tc>
        <w:tc>
          <w:tcPr>
            <w:tcW w:w="1440" w:type="dxa"/>
            <w:vAlign w:val="bottom"/>
            <w:tcBorders>
              <w:bottom w:val="single" w:sz="8" w:color="008256"/>
              <w:right w:val="single" w:sz="8" w:color="008256"/>
            </w:tcBorders>
          </w:tcPr>
          <w:p>
            <w:pPr>
              <w:jc w:val="right"/>
              <w:ind w:right="480"/>
              <w:spacing w:after="0"/>
              <w:rPr>
                <w:sz w:val="20"/>
                <w:szCs w:val="20"/>
                <w:color w:val="auto"/>
              </w:rPr>
            </w:pPr>
            <w:r>
              <w:rPr>
                <w:rFonts w:ascii="Arial" w:cs="Arial" w:eastAsia="Arial" w:hAnsi="Arial"/>
                <w:sz w:val="11"/>
                <w:szCs w:val="11"/>
                <w:b w:val="1"/>
                <w:bCs w:val="1"/>
                <w:color w:val="auto"/>
              </w:rPr>
              <w:t>Shares</w:t>
            </w:r>
          </w:p>
        </w:tc>
        <w:tc>
          <w:tcPr>
            <w:tcW w:w="520" w:type="dxa"/>
            <w:vAlign w:val="bottom"/>
            <w:tcBorders>
              <w:bottom w:val="single" w:sz="8" w:color="008256"/>
            </w:tcBorders>
          </w:tcPr>
          <w:p>
            <w:pPr>
              <w:spacing w:after="0"/>
              <w:rPr>
                <w:sz w:val="14"/>
                <w:szCs w:val="14"/>
                <w:color w:val="auto"/>
              </w:rPr>
            </w:pPr>
          </w:p>
        </w:tc>
        <w:tc>
          <w:tcPr>
            <w:tcW w:w="700" w:type="dxa"/>
            <w:vAlign w:val="bottom"/>
            <w:tcBorders>
              <w:bottom w:val="single" w:sz="8" w:color="008256"/>
              <w:right w:val="single" w:sz="8" w:color="008256"/>
            </w:tcBorders>
          </w:tcPr>
          <w:p>
            <w:pPr>
              <w:jc w:val="right"/>
              <w:ind w:right="519"/>
              <w:spacing w:after="0"/>
              <w:rPr>
                <w:sz w:val="20"/>
                <w:szCs w:val="20"/>
                <w:color w:val="auto"/>
              </w:rPr>
            </w:pPr>
            <w:r>
              <w:rPr>
                <w:rFonts w:ascii="Arial" w:cs="Arial" w:eastAsia="Arial" w:hAnsi="Arial"/>
                <w:sz w:val="11"/>
                <w:szCs w:val="11"/>
                <w:b w:val="1"/>
                <w:bCs w:val="1"/>
                <w:color w:val="auto"/>
              </w:rPr>
              <w:t>%</w:t>
            </w:r>
          </w:p>
        </w:tc>
        <w:tc>
          <w:tcPr>
            <w:tcW w:w="1060" w:type="dxa"/>
            <w:vAlign w:val="bottom"/>
            <w:tcBorders>
              <w:bottom w:val="single" w:sz="8" w:color="008256"/>
            </w:tcBorders>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4900" w:type="dxa"/>
            <w:vAlign w:val="bottom"/>
            <w:tcBorders>
              <w:right w:val="single" w:sz="8" w:color="008256"/>
            </w:tcBorders>
            <w:shd w:val="clear" w:color="auto" w:fill="E6F4EF"/>
          </w:tcPr>
          <w:p>
            <w:pPr>
              <w:ind w:left="80"/>
              <w:spacing w:after="0"/>
              <w:rPr>
                <w:sz w:val="20"/>
                <w:szCs w:val="20"/>
                <w:color w:val="auto"/>
              </w:rPr>
            </w:pPr>
            <w:r>
              <w:rPr>
                <w:rFonts w:ascii="Arial" w:cs="Arial" w:eastAsia="Arial" w:hAnsi="Arial"/>
                <w:sz w:val="13"/>
                <w:szCs w:val="13"/>
                <w:b w:val="1"/>
                <w:bCs w:val="1"/>
                <w:color w:val="auto"/>
              </w:rPr>
              <w:t>5% Stockholders:</w:t>
            </w:r>
          </w:p>
        </w:tc>
        <w:tc>
          <w:tcPr>
            <w:tcW w:w="1460" w:type="dxa"/>
            <w:vAlign w:val="bottom"/>
            <w:tcBorders>
              <w:right w:val="single" w:sz="8" w:color="008256"/>
            </w:tcBorders>
            <w:shd w:val="clear" w:color="auto" w:fill="E6F4EF"/>
          </w:tcPr>
          <w:p>
            <w:pPr>
              <w:spacing w:after="0"/>
              <w:rPr>
                <w:sz w:val="16"/>
                <w:szCs w:val="16"/>
                <w:color w:val="auto"/>
              </w:rPr>
            </w:pPr>
          </w:p>
        </w:tc>
        <w:tc>
          <w:tcPr>
            <w:tcW w:w="520" w:type="dxa"/>
            <w:vAlign w:val="bottom"/>
            <w:shd w:val="clear" w:color="auto" w:fill="E6F4EF"/>
          </w:tcPr>
          <w:p>
            <w:pPr>
              <w:spacing w:after="0"/>
              <w:rPr>
                <w:sz w:val="16"/>
                <w:szCs w:val="16"/>
                <w:color w:val="auto"/>
              </w:rPr>
            </w:pPr>
          </w:p>
        </w:tc>
        <w:tc>
          <w:tcPr>
            <w:tcW w:w="680" w:type="dxa"/>
            <w:vAlign w:val="bottom"/>
            <w:tcBorders>
              <w:right w:val="single" w:sz="8" w:color="008256"/>
            </w:tcBorders>
            <w:shd w:val="clear" w:color="auto" w:fill="E6F4EF"/>
          </w:tcPr>
          <w:p>
            <w:pPr>
              <w:spacing w:after="0"/>
              <w:rPr>
                <w:sz w:val="16"/>
                <w:szCs w:val="16"/>
                <w:color w:val="auto"/>
              </w:rPr>
            </w:pPr>
          </w:p>
        </w:tc>
        <w:tc>
          <w:tcPr>
            <w:tcW w:w="1440" w:type="dxa"/>
            <w:vAlign w:val="bottom"/>
            <w:tcBorders>
              <w:right w:val="single" w:sz="8" w:color="008256"/>
            </w:tcBorders>
            <w:shd w:val="clear" w:color="auto" w:fill="E6F4EF"/>
          </w:tcPr>
          <w:p>
            <w:pPr>
              <w:spacing w:after="0"/>
              <w:rPr>
                <w:sz w:val="16"/>
                <w:szCs w:val="16"/>
                <w:color w:val="auto"/>
              </w:rPr>
            </w:pPr>
          </w:p>
        </w:tc>
        <w:tc>
          <w:tcPr>
            <w:tcW w:w="520" w:type="dxa"/>
            <w:vAlign w:val="bottom"/>
            <w:shd w:val="clear" w:color="auto" w:fill="E6F4EF"/>
          </w:tcPr>
          <w:p>
            <w:pPr>
              <w:spacing w:after="0"/>
              <w:rPr>
                <w:sz w:val="16"/>
                <w:szCs w:val="16"/>
                <w:color w:val="auto"/>
              </w:rPr>
            </w:pPr>
          </w:p>
        </w:tc>
        <w:tc>
          <w:tcPr>
            <w:tcW w:w="700" w:type="dxa"/>
            <w:vAlign w:val="bottom"/>
            <w:tcBorders>
              <w:right w:val="single" w:sz="8" w:color="008256"/>
            </w:tcBorders>
            <w:shd w:val="clear" w:color="auto" w:fill="E6F4EF"/>
          </w:tcPr>
          <w:p>
            <w:pPr>
              <w:spacing w:after="0"/>
              <w:rPr>
                <w:sz w:val="16"/>
                <w:szCs w:val="16"/>
                <w:color w:val="auto"/>
              </w:rPr>
            </w:pPr>
          </w:p>
        </w:tc>
        <w:tc>
          <w:tcPr>
            <w:tcW w:w="1060" w:type="dxa"/>
            <w:vAlign w:val="bottom"/>
            <w:shd w:val="clear" w:color="auto" w:fill="E6F4E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900" w:type="dxa"/>
            <w:vAlign w:val="bottom"/>
            <w:tcBorders>
              <w:right w:val="single" w:sz="8" w:color="008256"/>
            </w:tcBorders>
          </w:tcPr>
          <w:p>
            <w:pPr>
              <w:ind w:left="280"/>
              <w:spacing w:after="0"/>
              <w:rPr>
                <w:sz w:val="20"/>
                <w:szCs w:val="20"/>
                <w:color w:val="auto"/>
              </w:rPr>
            </w:pPr>
            <w:r>
              <w:rPr>
                <w:rFonts w:ascii="Arial" w:cs="Arial" w:eastAsia="Arial" w:hAnsi="Arial"/>
                <w:sz w:val="13"/>
                <w:szCs w:val="13"/>
                <w:b w:val="1"/>
                <w:bCs w:val="1"/>
                <w:color w:val="auto"/>
              </w:rPr>
              <w:t>Topline Capital Management, LLC</w:t>
            </w:r>
            <w:r>
              <w:rPr>
                <w:rFonts w:ascii="Arial" w:cs="Arial" w:eastAsia="Arial" w:hAnsi="Arial"/>
                <w:sz w:val="16"/>
                <w:szCs w:val="16"/>
                <w:b w:val="1"/>
                <w:bCs w:val="1"/>
                <w:color w:val="auto"/>
                <w:vertAlign w:val="superscript"/>
              </w:rPr>
              <w:t>(2)</w:t>
            </w:r>
          </w:p>
        </w:tc>
        <w:tc>
          <w:tcPr>
            <w:tcW w:w="1460" w:type="dxa"/>
            <w:vAlign w:val="bottom"/>
            <w:tcBorders>
              <w:right w:val="single" w:sz="8" w:color="008256"/>
            </w:tcBorders>
          </w:tcPr>
          <w:p>
            <w:pPr>
              <w:jc w:val="right"/>
              <w:ind w:right="377"/>
              <w:spacing w:after="0"/>
              <w:rPr>
                <w:sz w:val="20"/>
                <w:szCs w:val="20"/>
                <w:color w:val="auto"/>
              </w:rPr>
            </w:pPr>
            <w:r>
              <w:rPr>
                <w:rFonts w:ascii="Arial" w:cs="Arial" w:eastAsia="Arial" w:hAnsi="Arial"/>
                <w:sz w:val="13"/>
                <w:szCs w:val="13"/>
                <w:color w:val="auto"/>
              </w:rPr>
              <w:t>5,294,343</w:t>
            </w:r>
          </w:p>
        </w:tc>
        <w:tc>
          <w:tcPr>
            <w:tcW w:w="520" w:type="dxa"/>
            <w:vAlign w:val="bottom"/>
          </w:tcPr>
          <w:p>
            <w:pPr>
              <w:spacing w:after="0"/>
              <w:rPr>
                <w:sz w:val="16"/>
                <w:szCs w:val="16"/>
                <w:color w:val="auto"/>
              </w:rPr>
            </w:pPr>
          </w:p>
        </w:tc>
        <w:tc>
          <w:tcPr>
            <w:tcW w:w="680" w:type="dxa"/>
            <w:vAlign w:val="bottom"/>
            <w:tcBorders>
              <w:right w:val="single" w:sz="8" w:color="008256"/>
            </w:tcBorders>
          </w:tcPr>
          <w:p>
            <w:pPr>
              <w:jc w:val="right"/>
              <w:spacing w:after="0"/>
              <w:rPr>
                <w:sz w:val="20"/>
                <w:szCs w:val="20"/>
                <w:color w:val="auto"/>
              </w:rPr>
            </w:pPr>
            <w:r>
              <w:rPr>
                <w:rFonts w:ascii="Arial" w:cs="Arial" w:eastAsia="Arial" w:hAnsi="Arial"/>
                <w:sz w:val="13"/>
                <w:szCs w:val="13"/>
                <w:color w:val="auto"/>
              </w:rPr>
              <w:t>12.37 %</w:t>
            </w:r>
          </w:p>
        </w:tc>
        <w:tc>
          <w:tcPr>
            <w:tcW w:w="1440" w:type="dxa"/>
            <w:vAlign w:val="bottom"/>
            <w:tcBorders>
              <w:right w:val="single" w:sz="8" w:color="008256"/>
            </w:tcBorders>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Borders>
              <w:right w:val="single" w:sz="8" w:color="008256"/>
            </w:tcBorders>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1.47 %</w:t>
            </w:r>
          </w:p>
        </w:tc>
        <w:tc>
          <w:tcPr>
            <w:tcW w:w="0" w:type="dxa"/>
            <w:vAlign w:val="bottom"/>
          </w:tcPr>
          <w:p>
            <w:pPr>
              <w:spacing w:after="0"/>
              <w:rPr>
                <w:sz w:val="1"/>
                <w:szCs w:val="1"/>
                <w:color w:val="auto"/>
              </w:rPr>
            </w:pPr>
          </w:p>
        </w:tc>
      </w:tr>
      <w:tr>
        <w:trPr>
          <w:trHeight w:val="191"/>
        </w:trPr>
        <w:tc>
          <w:tcPr>
            <w:tcW w:w="4900" w:type="dxa"/>
            <w:vAlign w:val="bottom"/>
            <w:tcBorders>
              <w:right w:val="single" w:sz="8" w:color="008256"/>
            </w:tcBorders>
            <w:shd w:val="clear" w:color="auto" w:fill="E6F4EF"/>
          </w:tcPr>
          <w:p>
            <w:pPr>
              <w:ind w:left="280"/>
              <w:spacing w:after="0"/>
              <w:rPr>
                <w:sz w:val="20"/>
                <w:szCs w:val="20"/>
                <w:color w:val="auto"/>
              </w:rPr>
            </w:pPr>
            <w:r>
              <w:rPr>
                <w:rFonts w:ascii="Arial" w:cs="Arial" w:eastAsia="Arial" w:hAnsi="Arial"/>
                <w:sz w:val="13"/>
                <w:szCs w:val="13"/>
                <w:b w:val="1"/>
                <w:bCs w:val="1"/>
                <w:color w:val="auto"/>
              </w:rPr>
              <w:t>Innovius Sirius Capital I, L.P.</w:t>
            </w:r>
            <w:r>
              <w:rPr>
                <w:rFonts w:ascii="Arial" w:cs="Arial" w:eastAsia="Arial" w:hAnsi="Arial"/>
                <w:sz w:val="16"/>
                <w:szCs w:val="16"/>
                <w:b w:val="1"/>
                <w:bCs w:val="1"/>
                <w:color w:val="auto"/>
                <w:vertAlign w:val="superscript"/>
              </w:rPr>
              <w:t>(3)</w:t>
            </w:r>
          </w:p>
        </w:tc>
        <w:tc>
          <w:tcPr>
            <w:tcW w:w="1460" w:type="dxa"/>
            <w:vAlign w:val="bottom"/>
            <w:tcBorders>
              <w:right w:val="single" w:sz="8" w:color="008256"/>
            </w:tcBorders>
            <w:shd w:val="clear" w:color="auto" w:fill="E6F4EF"/>
          </w:tcPr>
          <w:p>
            <w:pPr>
              <w:jc w:val="right"/>
              <w:ind w:right="377"/>
              <w:spacing w:after="0"/>
              <w:rPr>
                <w:sz w:val="20"/>
                <w:szCs w:val="20"/>
                <w:color w:val="auto"/>
              </w:rPr>
            </w:pPr>
            <w:r>
              <w:rPr>
                <w:rFonts w:ascii="Arial" w:cs="Arial" w:eastAsia="Arial" w:hAnsi="Arial"/>
                <w:sz w:val="13"/>
                <w:szCs w:val="13"/>
                <w:color w:val="auto"/>
              </w:rPr>
              <w:t>5,209,366</w:t>
            </w:r>
          </w:p>
        </w:tc>
        <w:tc>
          <w:tcPr>
            <w:tcW w:w="520" w:type="dxa"/>
            <w:vAlign w:val="bottom"/>
            <w:shd w:val="clear" w:color="auto" w:fill="E6F4EF"/>
          </w:tcPr>
          <w:p>
            <w:pPr>
              <w:spacing w:after="0"/>
              <w:rPr>
                <w:sz w:val="16"/>
                <w:szCs w:val="16"/>
                <w:color w:val="auto"/>
              </w:rPr>
            </w:pPr>
          </w:p>
        </w:tc>
        <w:tc>
          <w:tcPr>
            <w:tcW w:w="680" w:type="dxa"/>
            <w:vAlign w:val="bottom"/>
            <w:tcBorders>
              <w:right w:val="single" w:sz="8" w:color="008256"/>
            </w:tcBorders>
            <w:shd w:val="clear" w:color="auto" w:fill="E6F4EF"/>
          </w:tcPr>
          <w:p>
            <w:pPr>
              <w:jc w:val="right"/>
              <w:spacing w:after="0"/>
              <w:rPr>
                <w:sz w:val="20"/>
                <w:szCs w:val="20"/>
                <w:color w:val="auto"/>
              </w:rPr>
            </w:pPr>
            <w:r>
              <w:rPr>
                <w:rFonts w:ascii="Arial" w:cs="Arial" w:eastAsia="Arial" w:hAnsi="Arial"/>
                <w:sz w:val="13"/>
                <w:szCs w:val="13"/>
                <w:color w:val="auto"/>
              </w:rPr>
              <w:t>12.17 %</w:t>
            </w:r>
          </w:p>
        </w:tc>
        <w:tc>
          <w:tcPr>
            <w:tcW w:w="1440" w:type="dxa"/>
            <w:vAlign w:val="bottom"/>
            <w:tcBorders>
              <w:right w:val="single" w:sz="8" w:color="008256"/>
            </w:tcBorders>
            <w:shd w:val="clear" w:color="auto" w:fill="E6F4EF"/>
          </w:tcPr>
          <w:p>
            <w:pPr>
              <w:spacing w:after="0"/>
              <w:rPr>
                <w:sz w:val="16"/>
                <w:szCs w:val="16"/>
                <w:color w:val="auto"/>
              </w:rPr>
            </w:pPr>
          </w:p>
        </w:tc>
        <w:tc>
          <w:tcPr>
            <w:tcW w:w="520" w:type="dxa"/>
            <w:vAlign w:val="bottom"/>
            <w:shd w:val="clear" w:color="auto" w:fill="E6F4EF"/>
          </w:tcPr>
          <w:p>
            <w:pPr>
              <w:spacing w:after="0"/>
              <w:rPr>
                <w:sz w:val="16"/>
                <w:szCs w:val="16"/>
                <w:color w:val="auto"/>
              </w:rPr>
            </w:pPr>
          </w:p>
        </w:tc>
        <w:tc>
          <w:tcPr>
            <w:tcW w:w="700" w:type="dxa"/>
            <w:vAlign w:val="bottom"/>
            <w:tcBorders>
              <w:right w:val="single" w:sz="8" w:color="008256"/>
            </w:tcBorders>
            <w:shd w:val="clear" w:color="auto" w:fill="E6F4EF"/>
          </w:tcPr>
          <w:p>
            <w:pPr>
              <w:spacing w:after="0"/>
              <w:rPr>
                <w:sz w:val="16"/>
                <w:szCs w:val="16"/>
                <w:color w:val="auto"/>
              </w:rPr>
            </w:pPr>
          </w:p>
        </w:tc>
        <w:tc>
          <w:tcPr>
            <w:tcW w:w="1060" w:type="dxa"/>
            <w:vAlign w:val="bottom"/>
            <w:shd w:val="clear" w:color="auto" w:fill="E6F4EF"/>
          </w:tcPr>
          <w:p>
            <w:pPr>
              <w:jc w:val="right"/>
              <w:spacing w:after="0"/>
              <w:rPr>
                <w:sz w:val="20"/>
                <w:szCs w:val="20"/>
                <w:color w:val="auto"/>
              </w:rPr>
            </w:pPr>
            <w:r>
              <w:rPr>
                <w:rFonts w:ascii="Arial" w:cs="Arial" w:eastAsia="Arial" w:hAnsi="Arial"/>
                <w:sz w:val="13"/>
                <w:szCs w:val="13"/>
                <w:color w:val="auto"/>
              </w:rPr>
              <w:t>1.45 %</w:t>
            </w:r>
          </w:p>
        </w:tc>
        <w:tc>
          <w:tcPr>
            <w:tcW w:w="0" w:type="dxa"/>
            <w:vAlign w:val="bottom"/>
          </w:tcPr>
          <w:p>
            <w:pPr>
              <w:spacing w:after="0"/>
              <w:rPr>
                <w:sz w:val="1"/>
                <w:szCs w:val="1"/>
                <w:color w:val="auto"/>
              </w:rPr>
            </w:pPr>
          </w:p>
        </w:tc>
      </w:tr>
      <w:tr>
        <w:trPr>
          <w:trHeight w:val="191"/>
        </w:trPr>
        <w:tc>
          <w:tcPr>
            <w:tcW w:w="4900" w:type="dxa"/>
            <w:vAlign w:val="bottom"/>
            <w:tcBorders>
              <w:right w:val="single" w:sz="8" w:color="008256"/>
            </w:tcBorders>
          </w:tcPr>
          <w:p>
            <w:pPr>
              <w:ind w:left="280"/>
              <w:spacing w:after="0"/>
              <w:rPr>
                <w:sz w:val="20"/>
                <w:szCs w:val="20"/>
                <w:color w:val="auto"/>
              </w:rPr>
            </w:pPr>
            <w:r>
              <w:rPr>
                <w:rFonts w:ascii="Arial" w:cs="Arial" w:eastAsia="Arial" w:hAnsi="Arial"/>
                <w:sz w:val="13"/>
                <w:szCs w:val="13"/>
                <w:b w:val="1"/>
                <w:bCs w:val="1"/>
                <w:color w:val="auto"/>
              </w:rPr>
              <w:t>The Vanguard Group</w:t>
            </w:r>
            <w:r>
              <w:rPr>
                <w:rFonts w:ascii="Arial" w:cs="Arial" w:eastAsia="Arial" w:hAnsi="Arial"/>
                <w:sz w:val="16"/>
                <w:szCs w:val="16"/>
                <w:b w:val="1"/>
                <w:bCs w:val="1"/>
                <w:color w:val="auto"/>
                <w:vertAlign w:val="superscript"/>
              </w:rPr>
              <w:t>(4)</w:t>
            </w:r>
          </w:p>
        </w:tc>
        <w:tc>
          <w:tcPr>
            <w:tcW w:w="1460" w:type="dxa"/>
            <w:vAlign w:val="bottom"/>
            <w:tcBorders>
              <w:right w:val="single" w:sz="8" w:color="008256"/>
            </w:tcBorders>
          </w:tcPr>
          <w:p>
            <w:pPr>
              <w:jc w:val="right"/>
              <w:ind w:right="377"/>
              <w:spacing w:after="0"/>
              <w:rPr>
                <w:sz w:val="20"/>
                <w:szCs w:val="20"/>
                <w:color w:val="auto"/>
              </w:rPr>
            </w:pPr>
            <w:r>
              <w:rPr>
                <w:rFonts w:ascii="Arial" w:cs="Arial" w:eastAsia="Arial" w:hAnsi="Arial"/>
                <w:sz w:val="13"/>
                <w:szCs w:val="13"/>
                <w:color w:val="auto"/>
              </w:rPr>
              <w:t>3,829,918</w:t>
            </w:r>
          </w:p>
        </w:tc>
        <w:tc>
          <w:tcPr>
            <w:tcW w:w="520" w:type="dxa"/>
            <w:vAlign w:val="bottom"/>
          </w:tcPr>
          <w:p>
            <w:pPr>
              <w:spacing w:after="0"/>
              <w:rPr>
                <w:sz w:val="16"/>
                <w:szCs w:val="16"/>
                <w:color w:val="auto"/>
              </w:rPr>
            </w:pPr>
          </w:p>
        </w:tc>
        <w:tc>
          <w:tcPr>
            <w:tcW w:w="680" w:type="dxa"/>
            <w:vAlign w:val="bottom"/>
            <w:tcBorders>
              <w:right w:val="single" w:sz="8" w:color="008256"/>
            </w:tcBorders>
          </w:tcPr>
          <w:p>
            <w:pPr>
              <w:jc w:val="right"/>
              <w:spacing w:after="0"/>
              <w:rPr>
                <w:sz w:val="20"/>
                <w:szCs w:val="20"/>
                <w:color w:val="auto"/>
              </w:rPr>
            </w:pPr>
            <w:r>
              <w:rPr>
                <w:rFonts w:ascii="Arial" w:cs="Arial" w:eastAsia="Arial" w:hAnsi="Arial"/>
                <w:sz w:val="13"/>
                <w:szCs w:val="13"/>
                <w:color w:val="auto"/>
              </w:rPr>
              <w:t>8.95 %</w:t>
            </w:r>
          </w:p>
        </w:tc>
        <w:tc>
          <w:tcPr>
            <w:tcW w:w="1440" w:type="dxa"/>
            <w:vAlign w:val="bottom"/>
            <w:tcBorders>
              <w:right w:val="single" w:sz="8" w:color="008256"/>
            </w:tcBorders>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Borders>
              <w:right w:val="single" w:sz="8" w:color="008256"/>
            </w:tcBorders>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1.06 %</w:t>
            </w:r>
          </w:p>
        </w:tc>
        <w:tc>
          <w:tcPr>
            <w:tcW w:w="0" w:type="dxa"/>
            <w:vAlign w:val="bottom"/>
          </w:tcPr>
          <w:p>
            <w:pPr>
              <w:spacing w:after="0"/>
              <w:rPr>
                <w:sz w:val="1"/>
                <w:szCs w:val="1"/>
                <w:color w:val="auto"/>
              </w:rPr>
            </w:pPr>
          </w:p>
        </w:tc>
      </w:tr>
      <w:tr>
        <w:trPr>
          <w:trHeight w:val="191"/>
        </w:trPr>
        <w:tc>
          <w:tcPr>
            <w:tcW w:w="4900" w:type="dxa"/>
            <w:vAlign w:val="bottom"/>
            <w:tcBorders>
              <w:right w:val="single" w:sz="8" w:color="008256"/>
            </w:tcBorders>
            <w:shd w:val="clear" w:color="auto" w:fill="E6F4EF"/>
          </w:tcPr>
          <w:p>
            <w:pPr>
              <w:ind w:left="280"/>
              <w:spacing w:after="0"/>
              <w:rPr>
                <w:sz w:val="20"/>
                <w:szCs w:val="20"/>
                <w:color w:val="auto"/>
              </w:rPr>
            </w:pPr>
            <w:r>
              <w:rPr>
                <w:rFonts w:ascii="Arial" w:cs="Arial" w:eastAsia="Arial" w:hAnsi="Arial"/>
                <w:sz w:val="13"/>
                <w:szCs w:val="13"/>
                <w:b w:val="1"/>
                <w:bCs w:val="1"/>
                <w:color w:val="auto"/>
              </w:rPr>
              <w:t>T. Rowe Price Investment Management, Inc.</w:t>
            </w:r>
            <w:r>
              <w:rPr>
                <w:rFonts w:ascii="Arial" w:cs="Arial" w:eastAsia="Arial" w:hAnsi="Arial"/>
                <w:sz w:val="16"/>
                <w:szCs w:val="16"/>
                <w:b w:val="1"/>
                <w:bCs w:val="1"/>
                <w:color w:val="auto"/>
                <w:vertAlign w:val="superscript"/>
              </w:rPr>
              <w:t>(5)</w:t>
            </w:r>
          </w:p>
        </w:tc>
        <w:tc>
          <w:tcPr>
            <w:tcW w:w="1460" w:type="dxa"/>
            <w:vAlign w:val="bottom"/>
            <w:tcBorders>
              <w:right w:val="single" w:sz="8" w:color="008256"/>
            </w:tcBorders>
            <w:shd w:val="clear" w:color="auto" w:fill="E6F4EF"/>
          </w:tcPr>
          <w:p>
            <w:pPr>
              <w:jc w:val="right"/>
              <w:ind w:right="377"/>
              <w:spacing w:after="0"/>
              <w:rPr>
                <w:sz w:val="20"/>
                <w:szCs w:val="20"/>
                <w:color w:val="auto"/>
              </w:rPr>
            </w:pPr>
            <w:r>
              <w:rPr>
                <w:rFonts w:ascii="Arial" w:cs="Arial" w:eastAsia="Arial" w:hAnsi="Arial"/>
                <w:sz w:val="13"/>
                <w:szCs w:val="13"/>
                <w:color w:val="auto"/>
              </w:rPr>
              <w:t>2,725,877</w:t>
            </w:r>
          </w:p>
        </w:tc>
        <w:tc>
          <w:tcPr>
            <w:tcW w:w="520" w:type="dxa"/>
            <w:vAlign w:val="bottom"/>
            <w:shd w:val="clear" w:color="auto" w:fill="E6F4EF"/>
          </w:tcPr>
          <w:p>
            <w:pPr>
              <w:spacing w:after="0"/>
              <w:rPr>
                <w:sz w:val="16"/>
                <w:szCs w:val="16"/>
                <w:color w:val="auto"/>
              </w:rPr>
            </w:pPr>
          </w:p>
        </w:tc>
        <w:tc>
          <w:tcPr>
            <w:tcW w:w="680" w:type="dxa"/>
            <w:vAlign w:val="bottom"/>
            <w:tcBorders>
              <w:right w:val="single" w:sz="8" w:color="008256"/>
            </w:tcBorders>
            <w:shd w:val="clear" w:color="auto" w:fill="E6F4EF"/>
          </w:tcPr>
          <w:p>
            <w:pPr>
              <w:jc w:val="right"/>
              <w:spacing w:after="0"/>
              <w:rPr>
                <w:sz w:val="20"/>
                <w:szCs w:val="20"/>
                <w:color w:val="auto"/>
              </w:rPr>
            </w:pPr>
            <w:r>
              <w:rPr>
                <w:rFonts w:ascii="Arial" w:cs="Arial" w:eastAsia="Arial" w:hAnsi="Arial"/>
                <w:sz w:val="13"/>
                <w:szCs w:val="13"/>
                <w:color w:val="auto"/>
              </w:rPr>
              <w:t>6.37 %</w:t>
            </w:r>
          </w:p>
        </w:tc>
        <w:tc>
          <w:tcPr>
            <w:tcW w:w="1440" w:type="dxa"/>
            <w:vAlign w:val="bottom"/>
            <w:tcBorders>
              <w:right w:val="single" w:sz="8" w:color="008256"/>
            </w:tcBorders>
            <w:shd w:val="clear" w:color="auto" w:fill="E6F4EF"/>
          </w:tcPr>
          <w:p>
            <w:pPr>
              <w:spacing w:after="0"/>
              <w:rPr>
                <w:sz w:val="16"/>
                <w:szCs w:val="16"/>
                <w:color w:val="auto"/>
              </w:rPr>
            </w:pPr>
          </w:p>
        </w:tc>
        <w:tc>
          <w:tcPr>
            <w:tcW w:w="520" w:type="dxa"/>
            <w:vAlign w:val="bottom"/>
            <w:shd w:val="clear" w:color="auto" w:fill="E6F4EF"/>
          </w:tcPr>
          <w:p>
            <w:pPr>
              <w:spacing w:after="0"/>
              <w:rPr>
                <w:sz w:val="16"/>
                <w:szCs w:val="16"/>
                <w:color w:val="auto"/>
              </w:rPr>
            </w:pPr>
          </w:p>
        </w:tc>
        <w:tc>
          <w:tcPr>
            <w:tcW w:w="700" w:type="dxa"/>
            <w:vAlign w:val="bottom"/>
            <w:tcBorders>
              <w:right w:val="single" w:sz="8" w:color="008256"/>
            </w:tcBorders>
            <w:shd w:val="clear" w:color="auto" w:fill="E6F4EF"/>
          </w:tcPr>
          <w:p>
            <w:pPr>
              <w:spacing w:after="0"/>
              <w:rPr>
                <w:sz w:val="16"/>
                <w:szCs w:val="16"/>
                <w:color w:val="auto"/>
              </w:rPr>
            </w:pPr>
          </w:p>
        </w:tc>
        <w:tc>
          <w:tcPr>
            <w:tcW w:w="1060" w:type="dxa"/>
            <w:vAlign w:val="bottom"/>
            <w:shd w:val="clear" w:color="auto" w:fill="E6F4EF"/>
          </w:tcPr>
          <w:p>
            <w:pPr>
              <w:jc w:val="center"/>
              <w:spacing w:after="0"/>
              <w:rPr>
                <w:sz w:val="20"/>
                <w:szCs w:val="20"/>
                <w:color w:val="auto"/>
              </w:rPr>
            </w:pPr>
            <w:r>
              <w:rPr>
                <w:rFonts w:ascii="Arial" w:cs="Arial" w:eastAsia="Arial" w:hAnsi="Arial"/>
                <w:sz w:val="13"/>
                <w:szCs w:val="13"/>
                <w:color w:val="auto"/>
                <w:w w:val="78"/>
              </w:rPr>
              <w:t>*</w:t>
            </w:r>
          </w:p>
        </w:tc>
        <w:tc>
          <w:tcPr>
            <w:tcW w:w="0" w:type="dxa"/>
            <w:vAlign w:val="bottom"/>
          </w:tcPr>
          <w:p>
            <w:pPr>
              <w:spacing w:after="0"/>
              <w:rPr>
                <w:sz w:val="1"/>
                <w:szCs w:val="1"/>
                <w:color w:val="auto"/>
              </w:rPr>
            </w:pPr>
          </w:p>
        </w:tc>
      </w:tr>
      <w:tr>
        <w:trPr>
          <w:trHeight w:val="191"/>
        </w:trPr>
        <w:tc>
          <w:tcPr>
            <w:tcW w:w="4900" w:type="dxa"/>
            <w:vAlign w:val="bottom"/>
            <w:tcBorders>
              <w:right w:val="single" w:sz="8" w:color="008256"/>
            </w:tcBorders>
          </w:tcPr>
          <w:p>
            <w:pPr>
              <w:ind w:left="280"/>
              <w:spacing w:after="0"/>
              <w:rPr>
                <w:sz w:val="20"/>
                <w:szCs w:val="20"/>
                <w:color w:val="auto"/>
              </w:rPr>
            </w:pPr>
            <w:r>
              <w:rPr>
                <w:rFonts w:ascii="Arial" w:cs="Arial" w:eastAsia="Arial" w:hAnsi="Arial"/>
                <w:sz w:val="13"/>
                <w:szCs w:val="13"/>
                <w:b w:val="1"/>
                <w:bCs w:val="1"/>
                <w:color w:val="auto"/>
              </w:rPr>
              <w:t>BlackRock, Inc.</w:t>
            </w:r>
            <w:r>
              <w:rPr>
                <w:rFonts w:ascii="Arial" w:cs="Arial" w:eastAsia="Arial" w:hAnsi="Arial"/>
                <w:sz w:val="16"/>
                <w:szCs w:val="16"/>
                <w:b w:val="1"/>
                <w:bCs w:val="1"/>
                <w:color w:val="auto"/>
                <w:vertAlign w:val="superscript"/>
              </w:rPr>
              <w:t>(6)</w:t>
            </w:r>
          </w:p>
        </w:tc>
        <w:tc>
          <w:tcPr>
            <w:tcW w:w="1460" w:type="dxa"/>
            <w:vAlign w:val="bottom"/>
            <w:tcBorders>
              <w:right w:val="single" w:sz="8" w:color="008256"/>
            </w:tcBorders>
          </w:tcPr>
          <w:p>
            <w:pPr>
              <w:jc w:val="right"/>
              <w:ind w:right="377"/>
              <w:spacing w:after="0"/>
              <w:rPr>
                <w:sz w:val="20"/>
                <w:szCs w:val="20"/>
                <w:color w:val="auto"/>
              </w:rPr>
            </w:pPr>
            <w:r>
              <w:rPr>
                <w:rFonts w:ascii="Arial" w:cs="Arial" w:eastAsia="Arial" w:hAnsi="Arial"/>
                <w:sz w:val="13"/>
                <w:szCs w:val="13"/>
                <w:color w:val="auto"/>
              </w:rPr>
              <w:t>2,538,168</w:t>
            </w:r>
          </w:p>
        </w:tc>
        <w:tc>
          <w:tcPr>
            <w:tcW w:w="520" w:type="dxa"/>
            <w:vAlign w:val="bottom"/>
          </w:tcPr>
          <w:p>
            <w:pPr>
              <w:spacing w:after="0"/>
              <w:rPr>
                <w:sz w:val="16"/>
                <w:szCs w:val="16"/>
                <w:color w:val="auto"/>
              </w:rPr>
            </w:pPr>
          </w:p>
        </w:tc>
        <w:tc>
          <w:tcPr>
            <w:tcW w:w="680" w:type="dxa"/>
            <w:vAlign w:val="bottom"/>
            <w:tcBorders>
              <w:right w:val="single" w:sz="8" w:color="008256"/>
            </w:tcBorders>
          </w:tcPr>
          <w:p>
            <w:pPr>
              <w:jc w:val="right"/>
              <w:spacing w:after="0"/>
              <w:rPr>
                <w:sz w:val="20"/>
                <w:szCs w:val="20"/>
                <w:color w:val="auto"/>
              </w:rPr>
            </w:pPr>
            <w:r>
              <w:rPr>
                <w:rFonts w:ascii="Arial" w:cs="Arial" w:eastAsia="Arial" w:hAnsi="Arial"/>
                <w:sz w:val="13"/>
                <w:szCs w:val="13"/>
                <w:color w:val="auto"/>
              </w:rPr>
              <w:t>5.93 %</w:t>
            </w:r>
          </w:p>
        </w:tc>
        <w:tc>
          <w:tcPr>
            <w:tcW w:w="1440" w:type="dxa"/>
            <w:vAlign w:val="bottom"/>
            <w:tcBorders>
              <w:right w:val="single" w:sz="8" w:color="008256"/>
            </w:tcBorders>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Borders>
              <w:right w:val="single" w:sz="8" w:color="008256"/>
            </w:tcBorders>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w w:val="78"/>
              </w:rPr>
              <w:t>*</w:t>
            </w:r>
          </w:p>
        </w:tc>
        <w:tc>
          <w:tcPr>
            <w:tcW w:w="0" w:type="dxa"/>
            <w:vAlign w:val="bottom"/>
          </w:tcPr>
          <w:p>
            <w:pPr>
              <w:spacing w:after="0"/>
              <w:rPr>
                <w:sz w:val="1"/>
                <w:szCs w:val="1"/>
                <w:color w:val="auto"/>
              </w:rPr>
            </w:pPr>
          </w:p>
        </w:tc>
      </w:tr>
      <w:tr>
        <w:trPr>
          <w:trHeight w:val="191"/>
        </w:trPr>
        <w:tc>
          <w:tcPr>
            <w:tcW w:w="4900" w:type="dxa"/>
            <w:vAlign w:val="bottom"/>
            <w:tcBorders>
              <w:right w:val="single" w:sz="8" w:color="008256"/>
            </w:tcBorders>
            <w:shd w:val="clear" w:color="auto" w:fill="E6F4EF"/>
          </w:tcPr>
          <w:p>
            <w:pPr>
              <w:ind w:left="280"/>
              <w:spacing w:after="0"/>
              <w:rPr>
                <w:sz w:val="20"/>
                <w:szCs w:val="20"/>
                <w:color w:val="auto"/>
              </w:rPr>
            </w:pPr>
            <w:r>
              <w:rPr>
                <w:rFonts w:ascii="Arial" w:cs="Arial" w:eastAsia="Arial" w:hAnsi="Arial"/>
                <w:sz w:val="13"/>
                <w:szCs w:val="13"/>
                <w:b w:val="1"/>
                <w:bCs w:val="1"/>
                <w:color w:val="auto"/>
              </w:rPr>
              <w:t>FMR LLC</w:t>
            </w:r>
            <w:r>
              <w:rPr>
                <w:rFonts w:ascii="Arial" w:cs="Arial" w:eastAsia="Arial" w:hAnsi="Arial"/>
                <w:sz w:val="16"/>
                <w:szCs w:val="16"/>
                <w:b w:val="1"/>
                <w:bCs w:val="1"/>
                <w:color w:val="auto"/>
                <w:vertAlign w:val="superscript"/>
              </w:rPr>
              <w:t>(7)</w:t>
            </w:r>
          </w:p>
        </w:tc>
        <w:tc>
          <w:tcPr>
            <w:tcW w:w="1460" w:type="dxa"/>
            <w:vAlign w:val="bottom"/>
            <w:tcBorders>
              <w:right w:val="single" w:sz="8" w:color="008256"/>
            </w:tcBorders>
            <w:shd w:val="clear" w:color="auto" w:fill="E6F4EF"/>
          </w:tcPr>
          <w:p>
            <w:pPr>
              <w:jc w:val="right"/>
              <w:ind w:right="377"/>
              <w:spacing w:after="0"/>
              <w:rPr>
                <w:sz w:val="20"/>
                <w:szCs w:val="20"/>
                <w:color w:val="auto"/>
              </w:rPr>
            </w:pPr>
            <w:r>
              <w:rPr>
                <w:rFonts w:ascii="Arial" w:cs="Arial" w:eastAsia="Arial" w:hAnsi="Arial"/>
                <w:sz w:val="13"/>
                <w:szCs w:val="13"/>
                <w:color w:val="auto"/>
              </w:rPr>
              <w:t>1,330,494</w:t>
            </w:r>
          </w:p>
        </w:tc>
        <w:tc>
          <w:tcPr>
            <w:tcW w:w="520" w:type="dxa"/>
            <w:vAlign w:val="bottom"/>
            <w:shd w:val="clear" w:color="auto" w:fill="E6F4EF"/>
          </w:tcPr>
          <w:p>
            <w:pPr>
              <w:spacing w:after="0"/>
              <w:rPr>
                <w:sz w:val="16"/>
                <w:szCs w:val="16"/>
                <w:color w:val="auto"/>
              </w:rPr>
            </w:pPr>
          </w:p>
        </w:tc>
        <w:tc>
          <w:tcPr>
            <w:tcW w:w="680" w:type="dxa"/>
            <w:vAlign w:val="bottom"/>
            <w:tcBorders>
              <w:right w:val="single" w:sz="8" w:color="008256"/>
            </w:tcBorders>
            <w:shd w:val="clear" w:color="auto" w:fill="E6F4EF"/>
          </w:tcPr>
          <w:p>
            <w:pPr>
              <w:jc w:val="right"/>
              <w:spacing w:after="0"/>
              <w:rPr>
                <w:sz w:val="20"/>
                <w:szCs w:val="20"/>
                <w:color w:val="auto"/>
              </w:rPr>
            </w:pPr>
            <w:r>
              <w:rPr>
                <w:rFonts w:ascii="Arial" w:cs="Arial" w:eastAsia="Arial" w:hAnsi="Arial"/>
                <w:sz w:val="13"/>
                <w:szCs w:val="13"/>
                <w:color w:val="auto"/>
              </w:rPr>
              <w:t>3.11 %</w:t>
            </w:r>
          </w:p>
        </w:tc>
        <w:tc>
          <w:tcPr>
            <w:tcW w:w="1440" w:type="dxa"/>
            <w:vAlign w:val="bottom"/>
            <w:tcBorders>
              <w:right w:val="single" w:sz="8" w:color="008256"/>
            </w:tcBorders>
            <w:shd w:val="clear" w:color="auto" w:fill="E6F4EF"/>
          </w:tcPr>
          <w:p>
            <w:pPr>
              <w:spacing w:after="0"/>
              <w:rPr>
                <w:sz w:val="16"/>
                <w:szCs w:val="16"/>
                <w:color w:val="auto"/>
              </w:rPr>
            </w:pPr>
          </w:p>
        </w:tc>
        <w:tc>
          <w:tcPr>
            <w:tcW w:w="520" w:type="dxa"/>
            <w:vAlign w:val="bottom"/>
            <w:shd w:val="clear" w:color="auto" w:fill="E6F4EF"/>
          </w:tcPr>
          <w:p>
            <w:pPr>
              <w:spacing w:after="0"/>
              <w:rPr>
                <w:sz w:val="16"/>
                <w:szCs w:val="16"/>
                <w:color w:val="auto"/>
              </w:rPr>
            </w:pPr>
          </w:p>
        </w:tc>
        <w:tc>
          <w:tcPr>
            <w:tcW w:w="700" w:type="dxa"/>
            <w:vAlign w:val="bottom"/>
            <w:tcBorders>
              <w:right w:val="single" w:sz="8" w:color="008256"/>
            </w:tcBorders>
            <w:shd w:val="clear" w:color="auto" w:fill="E6F4EF"/>
          </w:tcPr>
          <w:p>
            <w:pPr>
              <w:spacing w:after="0"/>
              <w:rPr>
                <w:sz w:val="16"/>
                <w:szCs w:val="16"/>
                <w:color w:val="auto"/>
              </w:rPr>
            </w:pPr>
          </w:p>
        </w:tc>
        <w:tc>
          <w:tcPr>
            <w:tcW w:w="1060" w:type="dxa"/>
            <w:vAlign w:val="bottom"/>
            <w:shd w:val="clear" w:color="auto" w:fill="E6F4EF"/>
          </w:tcPr>
          <w:p>
            <w:pPr>
              <w:jc w:val="center"/>
              <w:spacing w:after="0"/>
              <w:rPr>
                <w:sz w:val="20"/>
                <w:szCs w:val="20"/>
                <w:color w:val="auto"/>
              </w:rPr>
            </w:pPr>
            <w:r>
              <w:rPr>
                <w:rFonts w:ascii="Arial" w:cs="Arial" w:eastAsia="Arial" w:hAnsi="Arial"/>
                <w:sz w:val="13"/>
                <w:szCs w:val="13"/>
                <w:color w:val="auto"/>
                <w:w w:val="78"/>
              </w:rPr>
              <w:t>*</w:t>
            </w:r>
          </w:p>
        </w:tc>
        <w:tc>
          <w:tcPr>
            <w:tcW w:w="0" w:type="dxa"/>
            <w:vAlign w:val="bottom"/>
          </w:tcPr>
          <w:p>
            <w:pPr>
              <w:spacing w:after="0"/>
              <w:rPr>
                <w:sz w:val="1"/>
                <w:szCs w:val="1"/>
                <w:color w:val="auto"/>
              </w:rPr>
            </w:pPr>
          </w:p>
        </w:tc>
      </w:tr>
      <w:tr>
        <w:trPr>
          <w:trHeight w:val="187"/>
        </w:trPr>
        <w:tc>
          <w:tcPr>
            <w:tcW w:w="4900" w:type="dxa"/>
            <w:vAlign w:val="bottom"/>
            <w:tcBorders>
              <w:right w:val="single" w:sz="8" w:color="008256"/>
            </w:tcBorders>
          </w:tcPr>
          <w:p>
            <w:pPr>
              <w:ind w:left="80"/>
              <w:spacing w:after="0"/>
              <w:rPr>
                <w:sz w:val="20"/>
                <w:szCs w:val="20"/>
                <w:color w:val="auto"/>
              </w:rPr>
            </w:pPr>
            <w:r>
              <w:rPr>
                <w:rFonts w:ascii="Arial" w:cs="Arial" w:eastAsia="Arial" w:hAnsi="Arial"/>
                <w:sz w:val="13"/>
                <w:szCs w:val="13"/>
                <w:b w:val="1"/>
                <w:bCs w:val="1"/>
                <w:color w:val="auto"/>
              </w:rPr>
              <w:t>Directors and Named Executive Officers:</w:t>
            </w:r>
          </w:p>
        </w:tc>
        <w:tc>
          <w:tcPr>
            <w:tcW w:w="1460" w:type="dxa"/>
            <w:vAlign w:val="bottom"/>
            <w:tcBorders>
              <w:right w:val="single" w:sz="8" w:color="008256"/>
            </w:tcBorders>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tcBorders>
              <w:right w:val="single" w:sz="8" w:color="008256"/>
            </w:tcBorders>
          </w:tcPr>
          <w:p>
            <w:pPr>
              <w:spacing w:after="0"/>
              <w:rPr>
                <w:sz w:val="16"/>
                <w:szCs w:val="16"/>
                <w:color w:val="auto"/>
              </w:rPr>
            </w:pPr>
          </w:p>
        </w:tc>
        <w:tc>
          <w:tcPr>
            <w:tcW w:w="1440" w:type="dxa"/>
            <w:vAlign w:val="bottom"/>
            <w:tcBorders>
              <w:right w:val="single" w:sz="8" w:color="008256"/>
            </w:tcBorders>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Borders>
              <w:right w:val="single" w:sz="8" w:color="008256"/>
            </w:tcBorders>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900" w:type="dxa"/>
            <w:vAlign w:val="bottom"/>
            <w:tcBorders>
              <w:right w:val="single" w:sz="8" w:color="008256"/>
            </w:tcBorders>
            <w:shd w:val="clear" w:color="auto" w:fill="E6F4EF"/>
          </w:tcPr>
          <w:p>
            <w:pPr>
              <w:ind w:left="280"/>
              <w:spacing w:after="0"/>
              <w:rPr>
                <w:sz w:val="20"/>
                <w:szCs w:val="20"/>
                <w:color w:val="auto"/>
              </w:rPr>
            </w:pPr>
            <w:r>
              <w:rPr>
                <w:rFonts w:ascii="Arial" w:cs="Arial" w:eastAsia="Arial" w:hAnsi="Arial"/>
                <w:sz w:val="13"/>
                <w:szCs w:val="13"/>
                <w:b w:val="1"/>
                <w:bCs w:val="1"/>
                <w:color w:val="auto"/>
              </w:rPr>
              <w:t>Tim Chen</w:t>
            </w:r>
            <w:r>
              <w:rPr>
                <w:rFonts w:ascii="Arial" w:cs="Arial" w:eastAsia="Arial" w:hAnsi="Arial"/>
                <w:sz w:val="16"/>
                <w:szCs w:val="16"/>
                <w:b w:val="1"/>
                <w:bCs w:val="1"/>
                <w:color w:val="auto"/>
                <w:vertAlign w:val="superscript"/>
              </w:rPr>
              <w:t>(8)</w:t>
            </w:r>
          </w:p>
        </w:tc>
        <w:tc>
          <w:tcPr>
            <w:tcW w:w="1460" w:type="dxa"/>
            <w:vAlign w:val="bottom"/>
            <w:tcBorders>
              <w:right w:val="single" w:sz="8" w:color="008256"/>
            </w:tcBorders>
            <w:shd w:val="clear" w:color="auto" w:fill="E6F4EF"/>
          </w:tcPr>
          <w:p>
            <w:pPr>
              <w:jc w:val="right"/>
              <w:ind w:right="377"/>
              <w:spacing w:after="0"/>
              <w:rPr>
                <w:sz w:val="20"/>
                <w:szCs w:val="20"/>
                <w:color w:val="auto"/>
              </w:rPr>
            </w:pPr>
            <w:r>
              <w:rPr>
                <w:rFonts w:ascii="Arial" w:cs="Arial" w:eastAsia="Arial" w:hAnsi="Arial"/>
                <w:sz w:val="13"/>
                <w:szCs w:val="13"/>
                <w:color w:val="auto"/>
              </w:rPr>
              <w:t>1,311,709</w:t>
            </w:r>
          </w:p>
        </w:tc>
        <w:tc>
          <w:tcPr>
            <w:tcW w:w="520" w:type="dxa"/>
            <w:vAlign w:val="bottom"/>
            <w:shd w:val="clear" w:color="auto" w:fill="E6F4EF"/>
          </w:tcPr>
          <w:p>
            <w:pPr>
              <w:spacing w:after="0"/>
              <w:rPr>
                <w:sz w:val="16"/>
                <w:szCs w:val="16"/>
                <w:color w:val="auto"/>
              </w:rPr>
            </w:pPr>
          </w:p>
        </w:tc>
        <w:tc>
          <w:tcPr>
            <w:tcW w:w="680" w:type="dxa"/>
            <w:vAlign w:val="bottom"/>
            <w:tcBorders>
              <w:right w:val="single" w:sz="8" w:color="008256"/>
            </w:tcBorders>
            <w:shd w:val="clear" w:color="auto" w:fill="E6F4EF"/>
          </w:tcPr>
          <w:p>
            <w:pPr>
              <w:jc w:val="right"/>
              <w:spacing w:after="0"/>
              <w:rPr>
                <w:sz w:val="20"/>
                <w:szCs w:val="20"/>
                <w:color w:val="auto"/>
              </w:rPr>
            </w:pPr>
            <w:r>
              <w:rPr>
                <w:rFonts w:ascii="Arial" w:cs="Arial" w:eastAsia="Arial" w:hAnsi="Arial"/>
                <w:sz w:val="13"/>
                <w:szCs w:val="13"/>
                <w:color w:val="auto"/>
              </w:rPr>
              <w:t>3.06 %</w:t>
            </w:r>
          </w:p>
        </w:tc>
        <w:tc>
          <w:tcPr>
            <w:tcW w:w="1440" w:type="dxa"/>
            <w:vAlign w:val="bottom"/>
            <w:tcBorders>
              <w:right w:val="single" w:sz="8" w:color="008256"/>
            </w:tcBorders>
            <w:shd w:val="clear" w:color="auto" w:fill="E6F4EF"/>
          </w:tcPr>
          <w:p>
            <w:pPr>
              <w:jc w:val="right"/>
              <w:spacing w:after="0"/>
              <w:rPr>
                <w:sz w:val="20"/>
                <w:szCs w:val="20"/>
                <w:color w:val="auto"/>
              </w:rPr>
            </w:pPr>
            <w:r>
              <w:rPr>
                <w:rFonts w:ascii="Arial" w:cs="Arial" w:eastAsia="Arial" w:hAnsi="Arial"/>
                <w:sz w:val="13"/>
                <w:szCs w:val="13"/>
                <w:color w:val="auto"/>
              </w:rPr>
              <w:t>31,685,652</w:t>
            </w:r>
          </w:p>
        </w:tc>
        <w:tc>
          <w:tcPr>
            <w:tcW w:w="520" w:type="dxa"/>
            <w:vAlign w:val="bottom"/>
            <w:shd w:val="clear" w:color="auto" w:fill="E6F4EF"/>
          </w:tcPr>
          <w:p>
            <w:pPr>
              <w:spacing w:after="0"/>
              <w:rPr>
                <w:sz w:val="16"/>
                <w:szCs w:val="16"/>
                <w:color w:val="auto"/>
              </w:rPr>
            </w:pPr>
          </w:p>
        </w:tc>
        <w:tc>
          <w:tcPr>
            <w:tcW w:w="700" w:type="dxa"/>
            <w:vAlign w:val="bottom"/>
            <w:tcBorders>
              <w:right w:val="single" w:sz="8" w:color="008256"/>
            </w:tcBorders>
            <w:shd w:val="clear" w:color="auto" w:fill="E6F4EF"/>
          </w:tcPr>
          <w:p>
            <w:pPr>
              <w:jc w:val="right"/>
              <w:spacing w:after="0"/>
              <w:rPr>
                <w:sz w:val="20"/>
                <w:szCs w:val="20"/>
                <w:color w:val="auto"/>
              </w:rPr>
            </w:pPr>
            <w:r>
              <w:rPr>
                <w:rFonts w:ascii="Arial" w:cs="Arial" w:eastAsia="Arial" w:hAnsi="Arial"/>
                <w:sz w:val="13"/>
                <w:szCs w:val="13"/>
                <w:color w:val="auto"/>
              </w:rPr>
              <w:t>100 %</w:t>
            </w:r>
          </w:p>
        </w:tc>
        <w:tc>
          <w:tcPr>
            <w:tcW w:w="1060" w:type="dxa"/>
            <w:vAlign w:val="bottom"/>
            <w:shd w:val="clear" w:color="auto" w:fill="E6F4EF"/>
          </w:tcPr>
          <w:p>
            <w:pPr>
              <w:jc w:val="right"/>
              <w:spacing w:after="0"/>
              <w:rPr>
                <w:sz w:val="20"/>
                <w:szCs w:val="20"/>
                <w:color w:val="auto"/>
              </w:rPr>
            </w:pPr>
            <w:r>
              <w:rPr>
                <w:rFonts w:ascii="Arial" w:cs="Arial" w:eastAsia="Arial" w:hAnsi="Arial"/>
                <w:sz w:val="13"/>
                <w:szCs w:val="13"/>
                <w:color w:val="auto"/>
              </w:rPr>
              <w:t>88.46 %</w:t>
            </w:r>
          </w:p>
        </w:tc>
        <w:tc>
          <w:tcPr>
            <w:tcW w:w="0" w:type="dxa"/>
            <w:vAlign w:val="bottom"/>
          </w:tcPr>
          <w:p>
            <w:pPr>
              <w:spacing w:after="0"/>
              <w:rPr>
                <w:sz w:val="1"/>
                <w:szCs w:val="1"/>
                <w:color w:val="auto"/>
              </w:rPr>
            </w:pPr>
          </w:p>
        </w:tc>
      </w:tr>
      <w:tr>
        <w:trPr>
          <w:trHeight w:val="191"/>
        </w:trPr>
        <w:tc>
          <w:tcPr>
            <w:tcW w:w="4900" w:type="dxa"/>
            <w:vAlign w:val="bottom"/>
            <w:tcBorders>
              <w:right w:val="single" w:sz="8" w:color="008256"/>
            </w:tcBorders>
          </w:tcPr>
          <w:p>
            <w:pPr>
              <w:ind w:left="280"/>
              <w:spacing w:after="0"/>
              <w:rPr>
                <w:sz w:val="20"/>
                <w:szCs w:val="20"/>
                <w:color w:val="auto"/>
              </w:rPr>
            </w:pPr>
            <w:r>
              <w:rPr>
                <w:rFonts w:ascii="Arial" w:cs="Arial" w:eastAsia="Arial" w:hAnsi="Arial"/>
                <w:sz w:val="13"/>
                <w:szCs w:val="13"/>
                <w:b w:val="1"/>
                <w:bCs w:val="1"/>
                <w:color w:val="auto"/>
              </w:rPr>
              <w:t>Lauren StClair</w:t>
            </w:r>
            <w:r>
              <w:rPr>
                <w:rFonts w:ascii="Arial" w:cs="Arial" w:eastAsia="Arial" w:hAnsi="Arial"/>
                <w:sz w:val="16"/>
                <w:szCs w:val="16"/>
                <w:b w:val="1"/>
                <w:bCs w:val="1"/>
                <w:color w:val="auto"/>
                <w:vertAlign w:val="superscript"/>
              </w:rPr>
              <w:t>(9)</w:t>
            </w:r>
          </w:p>
        </w:tc>
        <w:tc>
          <w:tcPr>
            <w:tcW w:w="1460" w:type="dxa"/>
            <w:vAlign w:val="bottom"/>
            <w:tcBorders>
              <w:right w:val="single" w:sz="8" w:color="008256"/>
            </w:tcBorders>
          </w:tcPr>
          <w:p>
            <w:pPr>
              <w:jc w:val="right"/>
              <w:ind w:right="377"/>
              <w:spacing w:after="0"/>
              <w:rPr>
                <w:sz w:val="20"/>
                <w:szCs w:val="20"/>
                <w:color w:val="auto"/>
              </w:rPr>
            </w:pPr>
            <w:r>
              <w:rPr>
                <w:rFonts w:ascii="Arial" w:cs="Arial" w:eastAsia="Arial" w:hAnsi="Arial"/>
                <w:sz w:val="13"/>
                <w:szCs w:val="13"/>
                <w:color w:val="auto"/>
              </w:rPr>
              <w:t>636,459</w:t>
            </w:r>
          </w:p>
        </w:tc>
        <w:tc>
          <w:tcPr>
            <w:tcW w:w="520" w:type="dxa"/>
            <w:vAlign w:val="bottom"/>
          </w:tcPr>
          <w:p>
            <w:pPr>
              <w:spacing w:after="0"/>
              <w:rPr>
                <w:sz w:val="16"/>
                <w:szCs w:val="16"/>
                <w:color w:val="auto"/>
              </w:rPr>
            </w:pPr>
          </w:p>
        </w:tc>
        <w:tc>
          <w:tcPr>
            <w:tcW w:w="680" w:type="dxa"/>
            <w:vAlign w:val="bottom"/>
            <w:tcBorders>
              <w:right w:val="single" w:sz="8" w:color="008256"/>
            </w:tcBorders>
          </w:tcPr>
          <w:p>
            <w:pPr>
              <w:jc w:val="right"/>
              <w:spacing w:after="0"/>
              <w:rPr>
                <w:sz w:val="20"/>
                <w:szCs w:val="20"/>
                <w:color w:val="auto"/>
              </w:rPr>
            </w:pPr>
            <w:r>
              <w:rPr>
                <w:rFonts w:ascii="Arial" w:cs="Arial" w:eastAsia="Arial" w:hAnsi="Arial"/>
                <w:sz w:val="13"/>
                <w:szCs w:val="13"/>
                <w:color w:val="auto"/>
              </w:rPr>
              <w:t>1.49 %</w:t>
            </w:r>
          </w:p>
        </w:tc>
        <w:tc>
          <w:tcPr>
            <w:tcW w:w="1440" w:type="dxa"/>
            <w:vAlign w:val="bottom"/>
            <w:tcBorders>
              <w:right w:val="single" w:sz="8" w:color="008256"/>
            </w:tcBorders>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Borders>
              <w:right w:val="single" w:sz="8" w:color="008256"/>
            </w:tcBorders>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w w:val="78"/>
              </w:rPr>
              <w:t>*</w:t>
            </w:r>
          </w:p>
        </w:tc>
        <w:tc>
          <w:tcPr>
            <w:tcW w:w="0" w:type="dxa"/>
            <w:vAlign w:val="bottom"/>
          </w:tcPr>
          <w:p>
            <w:pPr>
              <w:spacing w:after="0"/>
              <w:rPr>
                <w:sz w:val="1"/>
                <w:szCs w:val="1"/>
                <w:color w:val="auto"/>
              </w:rPr>
            </w:pPr>
          </w:p>
        </w:tc>
      </w:tr>
      <w:tr>
        <w:trPr>
          <w:trHeight w:val="191"/>
        </w:trPr>
        <w:tc>
          <w:tcPr>
            <w:tcW w:w="4900" w:type="dxa"/>
            <w:vAlign w:val="bottom"/>
            <w:tcBorders>
              <w:right w:val="single" w:sz="8" w:color="008256"/>
            </w:tcBorders>
            <w:shd w:val="clear" w:color="auto" w:fill="E6F4EF"/>
          </w:tcPr>
          <w:p>
            <w:pPr>
              <w:ind w:left="280"/>
              <w:spacing w:after="0"/>
              <w:rPr>
                <w:sz w:val="20"/>
                <w:szCs w:val="20"/>
                <w:color w:val="auto"/>
              </w:rPr>
            </w:pPr>
            <w:r>
              <w:rPr>
                <w:rFonts w:ascii="Arial" w:cs="Arial" w:eastAsia="Arial" w:hAnsi="Arial"/>
                <w:sz w:val="13"/>
                <w:szCs w:val="13"/>
                <w:b w:val="1"/>
                <w:bCs w:val="1"/>
                <w:color w:val="auto"/>
              </w:rPr>
              <w:t>Sam Yount</w:t>
            </w:r>
            <w:r>
              <w:rPr>
                <w:rFonts w:ascii="Arial" w:cs="Arial" w:eastAsia="Arial" w:hAnsi="Arial"/>
                <w:sz w:val="16"/>
                <w:szCs w:val="16"/>
                <w:b w:val="1"/>
                <w:bCs w:val="1"/>
                <w:color w:val="auto"/>
                <w:vertAlign w:val="superscript"/>
              </w:rPr>
              <w:t>(10)</w:t>
            </w:r>
          </w:p>
        </w:tc>
        <w:tc>
          <w:tcPr>
            <w:tcW w:w="1460" w:type="dxa"/>
            <w:vAlign w:val="bottom"/>
            <w:tcBorders>
              <w:right w:val="single" w:sz="8" w:color="008256"/>
            </w:tcBorders>
            <w:shd w:val="clear" w:color="auto" w:fill="E6F4EF"/>
          </w:tcPr>
          <w:p>
            <w:pPr>
              <w:jc w:val="right"/>
              <w:ind w:right="377"/>
              <w:spacing w:after="0"/>
              <w:rPr>
                <w:sz w:val="20"/>
                <w:szCs w:val="20"/>
                <w:color w:val="auto"/>
              </w:rPr>
            </w:pPr>
            <w:r>
              <w:rPr>
                <w:rFonts w:ascii="Arial" w:cs="Arial" w:eastAsia="Arial" w:hAnsi="Arial"/>
                <w:sz w:val="13"/>
                <w:szCs w:val="13"/>
                <w:color w:val="auto"/>
              </w:rPr>
              <w:t>624,296</w:t>
            </w:r>
          </w:p>
        </w:tc>
        <w:tc>
          <w:tcPr>
            <w:tcW w:w="520" w:type="dxa"/>
            <w:vAlign w:val="bottom"/>
            <w:shd w:val="clear" w:color="auto" w:fill="E6F4EF"/>
          </w:tcPr>
          <w:p>
            <w:pPr>
              <w:spacing w:after="0"/>
              <w:rPr>
                <w:sz w:val="16"/>
                <w:szCs w:val="16"/>
                <w:color w:val="auto"/>
              </w:rPr>
            </w:pPr>
          </w:p>
        </w:tc>
        <w:tc>
          <w:tcPr>
            <w:tcW w:w="680" w:type="dxa"/>
            <w:vAlign w:val="bottom"/>
            <w:tcBorders>
              <w:right w:val="single" w:sz="8" w:color="008256"/>
            </w:tcBorders>
            <w:shd w:val="clear" w:color="auto" w:fill="E6F4EF"/>
          </w:tcPr>
          <w:p>
            <w:pPr>
              <w:jc w:val="right"/>
              <w:spacing w:after="0"/>
              <w:rPr>
                <w:sz w:val="20"/>
                <w:szCs w:val="20"/>
                <w:color w:val="auto"/>
              </w:rPr>
            </w:pPr>
            <w:r>
              <w:rPr>
                <w:rFonts w:ascii="Arial" w:cs="Arial" w:eastAsia="Arial" w:hAnsi="Arial"/>
                <w:sz w:val="13"/>
                <w:szCs w:val="13"/>
                <w:color w:val="auto"/>
              </w:rPr>
              <w:t>1.46 %</w:t>
            </w:r>
          </w:p>
        </w:tc>
        <w:tc>
          <w:tcPr>
            <w:tcW w:w="1440" w:type="dxa"/>
            <w:vAlign w:val="bottom"/>
            <w:tcBorders>
              <w:right w:val="single" w:sz="8" w:color="008256"/>
            </w:tcBorders>
            <w:shd w:val="clear" w:color="auto" w:fill="E6F4EF"/>
          </w:tcPr>
          <w:p>
            <w:pPr>
              <w:spacing w:after="0"/>
              <w:rPr>
                <w:sz w:val="16"/>
                <w:szCs w:val="16"/>
                <w:color w:val="auto"/>
              </w:rPr>
            </w:pPr>
          </w:p>
        </w:tc>
        <w:tc>
          <w:tcPr>
            <w:tcW w:w="520" w:type="dxa"/>
            <w:vAlign w:val="bottom"/>
            <w:shd w:val="clear" w:color="auto" w:fill="E6F4EF"/>
          </w:tcPr>
          <w:p>
            <w:pPr>
              <w:spacing w:after="0"/>
              <w:rPr>
                <w:sz w:val="16"/>
                <w:szCs w:val="16"/>
                <w:color w:val="auto"/>
              </w:rPr>
            </w:pPr>
          </w:p>
        </w:tc>
        <w:tc>
          <w:tcPr>
            <w:tcW w:w="700" w:type="dxa"/>
            <w:vAlign w:val="bottom"/>
            <w:tcBorders>
              <w:right w:val="single" w:sz="8" w:color="008256"/>
            </w:tcBorders>
            <w:shd w:val="clear" w:color="auto" w:fill="E6F4EF"/>
          </w:tcPr>
          <w:p>
            <w:pPr>
              <w:spacing w:after="0"/>
              <w:rPr>
                <w:sz w:val="16"/>
                <w:szCs w:val="16"/>
                <w:color w:val="auto"/>
              </w:rPr>
            </w:pPr>
          </w:p>
        </w:tc>
        <w:tc>
          <w:tcPr>
            <w:tcW w:w="1060" w:type="dxa"/>
            <w:vAlign w:val="bottom"/>
            <w:shd w:val="clear" w:color="auto" w:fill="E6F4EF"/>
          </w:tcPr>
          <w:p>
            <w:pPr>
              <w:jc w:val="center"/>
              <w:spacing w:after="0"/>
              <w:rPr>
                <w:sz w:val="20"/>
                <w:szCs w:val="20"/>
                <w:color w:val="auto"/>
              </w:rPr>
            </w:pPr>
            <w:r>
              <w:rPr>
                <w:rFonts w:ascii="Arial" w:cs="Arial" w:eastAsia="Arial" w:hAnsi="Arial"/>
                <w:sz w:val="13"/>
                <w:szCs w:val="13"/>
                <w:color w:val="auto"/>
                <w:w w:val="78"/>
              </w:rPr>
              <w:t>*</w:t>
            </w:r>
          </w:p>
        </w:tc>
        <w:tc>
          <w:tcPr>
            <w:tcW w:w="0" w:type="dxa"/>
            <w:vAlign w:val="bottom"/>
          </w:tcPr>
          <w:p>
            <w:pPr>
              <w:spacing w:after="0"/>
              <w:rPr>
                <w:sz w:val="1"/>
                <w:szCs w:val="1"/>
                <w:color w:val="auto"/>
              </w:rPr>
            </w:pPr>
          </w:p>
        </w:tc>
      </w:tr>
      <w:tr>
        <w:trPr>
          <w:trHeight w:val="187"/>
        </w:trPr>
        <w:tc>
          <w:tcPr>
            <w:tcW w:w="4900" w:type="dxa"/>
            <w:vAlign w:val="bottom"/>
            <w:tcBorders>
              <w:right w:val="single" w:sz="8" w:color="008256"/>
            </w:tcBorders>
          </w:tcPr>
          <w:p>
            <w:pPr>
              <w:ind w:left="280"/>
              <w:spacing w:after="0"/>
              <w:rPr>
                <w:sz w:val="20"/>
                <w:szCs w:val="20"/>
                <w:color w:val="auto"/>
              </w:rPr>
            </w:pPr>
            <w:r>
              <w:rPr>
                <w:rFonts w:ascii="Arial" w:cs="Arial" w:eastAsia="Arial" w:hAnsi="Arial"/>
                <w:sz w:val="13"/>
                <w:szCs w:val="13"/>
                <w:b w:val="1"/>
                <w:bCs w:val="1"/>
                <w:color w:val="auto"/>
              </w:rPr>
              <w:t>John Lee</w:t>
            </w:r>
          </w:p>
        </w:tc>
        <w:tc>
          <w:tcPr>
            <w:tcW w:w="1460" w:type="dxa"/>
            <w:vAlign w:val="bottom"/>
            <w:tcBorders>
              <w:right w:val="single" w:sz="8" w:color="008256"/>
            </w:tcBorders>
          </w:tcPr>
          <w:p>
            <w:pPr>
              <w:jc w:val="right"/>
              <w:ind w:right="377"/>
              <w:spacing w:after="0"/>
              <w:rPr>
                <w:sz w:val="20"/>
                <w:szCs w:val="20"/>
                <w:color w:val="auto"/>
              </w:rPr>
            </w:pPr>
            <w:r>
              <w:rPr>
                <w:rFonts w:ascii="Arial" w:cs="Arial" w:eastAsia="Arial" w:hAnsi="Arial"/>
                <w:sz w:val="13"/>
                <w:szCs w:val="13"/>
                <w:color w:val="auto"/>
              </w:rPr>
              <w:t>—</w:t>
            </w:r>
          </w:p>
        </w:tc>
        <w:tc>
          <w:tcPr>
            <w:tcW w:w="520" w:type="dxa"/>
            <w:vAlign w:val="bottom"/>
          </w:tcPr>
          <w:p>
            <w:pPr>
              <w:spacing w:after="0"/>
              <w:rPr>
                <w:sz w:val="16"/>
                <w:szCs w:val="16"/>
                <w:color w:val="auto"/>
              </w:rPr>
            </w:pPr>
          </w:p>
        </w:tc>
        <w:tc>
          <w:tcPr>
            <w:tcW w:w="680" w:type="dxa"/>
            <w:vAlign w:val="bottom"/>
            <w:tcBorders>
              <w:right w:val="single" w:sz="8" w:color="008256"/>
            </w:tcBorders>
          </w:tcPr>
          <w:p>
            <w:pPr>
              <w:jc w:val="center"/>
              <w:ind w:right="477"/>
              <w:spacing w:after="0"/>
              <w:rPr>
                <w:sz w:val="20"/>
                <w:szCs w:val="20"/>
                <w:color w:val="auto"/>
              </w:rPr>
            </w:pPr>
            <w:r>
              <w:rPr>
                <w:rFonts w:ascii="Arial" w:cs="Arial" w:eastAsia="Arial" w:hAnsi="Arial"/>
                <w:sz w:val="13"/>
                <w:szCs w:val="13"/>
                <w:color w:val="auto"/>
              </w:rPr>
              <w:t>*</w:t>
            </w:r>
          </w:p>
        </w:tc>
        <w:tc>
          <w:tcPr>
            <w:tcW w:w="1440" w:type="dxa"/>
            <w:vAlign w:val="bottom"/>
            <w:tcBorders>
              <w:right w:val="single" w:sz="8" w:color="008256"/>
            </w:tcBorders>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Borders>
              <w:right w:val="single" w:sz="8" w:color="008256"/>
            </w:tcBorders>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w w:val="78"/>
              </w:rPr>
              <w:t>*</w:t>
            </w:r>
          </w:p>
        </w:tc>
        <w:tc>
          <w:tcPr>
            <w:tcW w:w="0" w:type="dxa"/>
            <w:vAlign w:val="bottom"/>
          </w:tcPr>
          <w:p>
            <w:pPr>
              <w:spacing w:after="0"/>
              <w:rPr>
                <w:sz w:val="1"/>
                <w:szCs w:val="1"/>
                <w:color w:val="auto"/>
              </w:rPr>
            </w:pPr>
          </w:p>
        </w:tc>
      </w:tr>
      <w:tr>
        <w:trPr>
          <w:trHeight w:val="195"/>
        </w:trPr>
        <w:tc>
          <w:tcPr>
            <w:tcW w:w="4900" w:type="dxa"/>
            <w:vAlign w:val="bottom"/>
            <w:tcBorders>
              <w:right w:val="single" w:sz="8" w:color="008256"/>
            </w:tcBorders>
            <w:shd w:val="clear" w:color="auto" w:fill="E6F4EF"/>
          </w:tcPr>
          <w:p>
            <w:pPr>
              <w:ind w:left="280"/>
              <w:spacing w:after="0"/>
              <w:rPr>
                <w:sz w:val="20"/>
                <w:szCs w:val="20"/>
                <w:color w:val="auto"/>
              </w:rPr>
            </w:pPr>
            <w:r>
              <w:rPr>
                <w:rFonts w:ascii="Arial" w:cs="Arial" w:eastAsia="Arial" w:hAnsi="Arial"/>
                <w:sz w:val="13"/>
                <w:szCs w:val="13"/>
                <w:b w:val="1"/>
                <w:bCs w:val="1"/>
                <w:color w:val="auto"/>
              </w:rPr>
              <w:t>Jennifer Ceran</w:t>
            </w:r>
            <w:r>
              <w:rPr>
                <w:rFonts w:ascii="Arial" w:cs="Arial" w:eastAsia="Arial" w:hAnsi="Arial"/>
                <w:sz w:val="16"/>
                <w:szCs w:val="16"/>
                <w:b w:val="1"/>
                <w:bCs w:val="1"/>
                <w:color w:val="auto"/>
                <w:vertAlign w:val="superscript"/>
              </w:rPr>
              <w:t>(11)</w:t>
            </w:r>
          </w:p>
        </w:tc>
        <w:tc>
          <w:tcPr>
            <w:tcW w:w="1460" w:type="dxa"/>
            <w:vAlign w:val="bottom"/>
            <w:tcBorders>
              <w:right w:val="single" w:sz="8" w:color="008256"/>
            </w:tcBorders>
            <w:shd w:val="clear" w:color="auto" w:fill="E6F4EF"/>
          </w:tcPr>
          <w:p>
            <w:pPr>
              <w:jc w:val="right"/>
              <w:ind w:right="377"/>
              <w:spacing w:after="0"/>
              <w:rPr>
                <w:sz w:val="20"/>
                <w:szCs w:val="20"/>
                <w:color w:val="auto"/>
              </w:rPr>
            </w:pPr>
            <w:r>
              <w:rPr>
                <w:rFonts w:ascii="Arial" w:cs="Arial" w:eastAsia="Arial" w:hAnsi="Arial"/>
                <w:sz w:val="13"/>
                <w:szCs w:val="13"/>
                <w:color w:val="auto"/>
              </w:rPr>
              <w:t>156,099</w:t>
            </w:r>
          </w:p>
        </w:tc>
        <w:tc>
          <w:tcPr>
            <w:tcW w:w="520" w:type="dxa"/>
            <w:vAlign w:val="bottom"/>
            <w:shd w:val="clear" w:color="auto" w:fill="E6F4EF"/>
          </w:tcPr>
          <w:p>
            <w:pPr>
              <w:spacing w:after="0"/>
              <w:rPr>
                <w:sz w:val="16"/>
                <w:szCs w:val="16"/>
                <w:color w:val="auto"/>
              </w:rPr>
            </w:pPr>
          </w:p>
        </w:tc>
        <w:tc>
          <w:tcPr>
            <w:tcW w:w="680" w:type="dxa"/>
            <w:vAlign w:val="bottom"/>
            <w:tcBorders>
              <w:right w:val="single" w:sz="8" w:color="008256"/>
            </w:tcBorders>
            <w:shd w:val="clear" w:color="auto" w:fill="E6F4EF"/>
          </w:tcPr>
          <w:p>
            <w:pPr>
              <w:jc w:val="center"/>
              <w:ind w:right="477"/>
              <w:spacing w:after="0"/>
              <w:rPr>
                <w:sz w:val="20"/>
                <w:szCs w:val="20"/>
                <w:color w:val="auto"/>
              </w:rPr>
            </w:pPr>
            <w:r>
              <w:rPr>
                <w:rFonts w:ascii="Arial" w:cs="Arial" w:eastAsia="Arial" w:hAnsi="Arial"/>
                <w:sz w:val="13"/>
                <w:szCs w:val="13"/>
                <w:color w:val="auto"/>
              </w:rPr>
              <w:t>*</w:t>
            </w:r>
          </w:p>
        </w:tc>
        <w:tc>
          <w:tcPr>
            <w:tcW w:w="1440" w:type="dxa"/>
            <w:vAlign w:val="bottom"/>
            <w:tcBorders>
              <w:right w:val="single" w:sz="8" w:color="008256"/>
            </w:tcBorders>
            <w:shd w:val="clear" w:color="auto" w:fill="E6F4EF"/>
          </w:tcPr>
          <w:p>
            <w:pPr>
              <w:spacing w:after="0"/>
              <w:rPr>
                <w:sz w:val="16"/>
                <w:szCs w:val="16"/>
                <w:color w:val="auto"/>
              </w:rPr>
            </w:pPr>
          </w:p>
        </w:tc>
        <w:tc>
          <w:tcPr>
            <w:tcW w:w="520" w:type="dxa"/>
            <w:vAlign w:val="bottom"/>
            <w:shd w:val="clear" w:color="auto" w:fill="E6F4EF"/>
          </w:tcPr>
          <w:p>
            <w:pPr>
              <w:spacing w:after="0"/>
              <w:rPr>
                <w:sz w:val="16"/>
                <w:szCs w:val="16"/>
                <w:color w:val="auto"/>
              </w:rPr>
            </w:pPr>
          </w:p>
        </w:tc>
        <w:tc>
          <w:tcPr>
            <w:tcW w:w="700" w:type="dxa"/>
            <w:vAlign w:val="bottom"/>
            <w:tcBorders>
              <w:right w:val="single" w:sz="8" w:color="008256"/>
            </w:tcBorders>
            <w:shd w:val="clear" w:color="auto" w:fill="E6F4EF"/>
          </w:tcPr>
          <w:p>
            <w:pPr>
              <w:spacing w:after="0"/>
              <w:rPr>
                <w:sz w:val="16"/>
                <w:szCs w:val="16"/>
                <w:color w:val="auto"/>
              </w:rPr>
            </w:pPr>
          </w:p>
        </w:tc>
        <w:tc>
          <w:tcPr>
            <w:tcW w:w="1060" w:type="dxa"/>
            <w:vAlign w:val="bottom"/>
            <w:shd w:val="clear" w:color="auto" w:fill="E6F4EF"/>
          </w:tcPr>
          <w:p>
            <w:pPr>
              <w:jc w:val="center"/>
              <w:spacing w:after="0"/>
              <w:rPr>
                <w:sz w:val="20"/>
                <w:szCs w:val="20"/>
                <w:color w:val="auto"/>
              </w:rPr>
            </w:pPr>
            <w:r>
              <w:rPr>
                <w:rFonts w:ascii="Arial" w:cs="Arial" w:eastAsia="Arial" w:hAnsi="Arial"/>
                <w:sz w:val="13"/>
                <w:szCs w:val="13"/>
                <w:color w:val="auto"/>
                <w:w w:val="78"/>
              </w:rPr>
              <w:t>*</w:t>
            </w:r>
          </w:p>
        </w:tc>
        <w:tc>
          <w:tcPr>
            <w:tcW w:w="0" w:type="dxa"/>
            <w:vAlign w:val="bottom"/>
          </w:tcPr>
          <w:p>
            <w:pPr>
              <w:spacing w:after="0"/>
              <w:rPr>
                <w:sz w:val="1"/>
                <w:szCs w:val="1"/>
                <w:color w:val="auto"/>
              </w:rPr>
            </w:pPr>
          </w:p>
        </w:tc>
      </w:tr>
      <w:tr>
        <w:trPr>
          <w:trHeight w:val="191"/>
        </w:trPr>
        <w:tc>
          <w:tcPr>
            <w:tcW w:w="4900" w:type="dxa"/>
            <w:vAlign w:val="bottom"/>
            <w:tcBorders>
              <w:right w:val="single" w:sz="8" w:color="008256"/>
            </w:tcBorders>
          </w:tcPr>
          <w:p>
            <w:pPr>
              <w:ind w:left="280"/>
              <w:spacing w:after="0"/>
              <w:rPr>
                <w:sz w:val="20"/>
                <w:szCs w:val="20"/>
                <w:color w:val="auto"/>
              </w:rPr>
            </w:pPr>
            <w:r>
              <w:rPr>
                <w:rFonts w:ascii="Arial" w:cs="Arial" w:eastAsia="Arial" w:hAnsi="Arial"/>
                <w:sz w:val="13"/>
                <w:szCs w:val="13"/>
                <w:b w:val="1"/>
                <w:bCs w:val="1"/>
                <w:color w:val="auto"/>
              </w:rPr>
              <w:t>Lynne Laube</w:t>
            </w:r>
            <w:r>
              <w:rPr>
                <w:rFonts w:ascii="Arial" w:cs="Arial" w:eastAsia="Arial" w:hAnsi="Arial"/>
                <w:sz w:val="16"/>
                <w:szCs w:val="16"/>
                <w:b w:val="1"/>
                <w:bCs w:val="1"/>
                <w:color w:val="auto"/>
                <w:vertAlign w:val="superscript"/>
              </w:rPr>
              <w:t>(12)</w:t>
            </w:r>
          </w:p>
        </w:tc>
        <w:tc>
          <w:tcPr>
            <w:tcW w:w="1460" w:type="dxa"/>
            <w:vAlign w:val="bottom"/>
            <w:tcBorders>
              <w:right w:val="single" w:sz="8" w:color="008256"/>
            </w:tcBorders>
          </w:tcPr>
          <w:p>
            <w:pPr>
              <w:jc w:val="right"/>
              <w:ind w:right="377"/>
              <w:spacing w:after="0"/>
              <w:rPr>
                <w:sz w:val="20"/>
                <w:szCs w:val="20"/>
                <w:color w:val="auto"/>
              </w:rPr>
            </w:pPr>
            <w:r>
              <w:rPr>
                <w:rFonts w:ascii="Arial" w:cs="Arial" w:eastAsia="Arial" w:hAnsi="Arial"/>
                <w:sz w:val="13"/>
                <w:szCs w:val="13"/>
                <w:color w:val="auto"/>
              </w:rPr>
              <w:t>161,996</w:t>
            </w:r>
          </w:p>
        </w:tc>
        <w:tc>
          <w:tcPr>
            <w:tcW w:w="520" w:type="dxa"/>
            <w:vAlign w:val="bottom"/>
          </w:tcPr>
          <w:p>
            <w:pPr>
              <w:spacing w:after="0"/>
              <w:rPr>
                <w:sz w:val="16"/>
                <w:szCs w:val="16"/>
                <w:color w:val="auto"/>
              </w:rPr>
            </w:pPr>
          </w:p>
        </w:tc>
        <w:tc>
          <w:tcPr>
            <w:tcW w:w="680" w:type="dxa"/>
            <w:vAlign w:val="bottom"/>
            <w:tcBorders>
              <w:right w:val="single" w:sz="8" w:color="008256"/>
            </w:tcBorders>
          </w:tcPr>
          <w:p>
            <w:pPr>
              <w:jc w:val="center"/>
              <w:ind w:right="477"/>
              <w:spacing w:after="0"/>
              <w:rPr>
                <w:sz w:val="20"/>
                <w:szCs w:val="20"/>
                <w:color w:val="auto"/>
              </w:rPr>
            </w:pPr>
            <w:r>
              <w:rPr>
                <w:rFonts w:ascii="Arial" w:cs="Arial" w:eastAsia="Arial" w:hAnsi="Arial"/>
                <w:sz w:val="13"/>
                <w:szCs w:val="13"/>
                <w:color w:val="auto"/>
              </w:rPr>
              <w:t>*</w:t>
            </w:r>
          </w:p>
        </w:tc>
        <w:tc>
          <w:tcPr>
            <w:tcW w:w="1440" w:type="dxa"/>
            <w:vAlign w:val="bottom"/>
            <w:tcBorders>
              <w:right w:val="single" w:sz="8" w:color="008256"/>
            </w:tcBorders>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Borders>
              <w:right w:val="single" w:sz="8" w:color="008256"/>
            </w:tcBorders>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w w:val="78"/>
              </w:rPr>
              <w:t>*</w:t>
            </w:r>
          </w:p>
        </w:tc>
        <w:tc>
          <w:tcPr>
            <w:tcW w:w="0" w:type="dxa"/>
            <w:vAlign w:val="bottom"/>
          </w:tcPr>
          <w:p>
            <w:pPr>
              <w:spacing w:after="0"/>
              <w:rPr>
                <w:sz w:val="1"/>
                <w:szCs w:val="1"/>
                <w:color w:val="auto"/>
              </w:rPr>
            </w:pPr>
          </w:p>
        </w:tc>
      </w:tr>
      <w:tr>
        <w:trPr>
          <w:trHeight w:val="191"/>
        </w:trPr>
        <w:tc>
          <w:tcPr>
            <w:tcW w:w="4900" w:type="dxa"/>
            <w:vAlign w:val="bottom"/>
            <w:tcBorders>
              <w:right w:val="single" w:sz="8" w:color="008256"/>
            </w:tcBorders>
            <w:shd w:val="clear" w:color="auto" w:fill="E6F4EF"/>
          </w:tcPr>
          <w:p>
            <w:pPr>
              <w:ind w:left="280"/>
              <w:spacing w:after="0"/>
              <w:rPr>
                <w:sz w:val="20"/>
                <w:szCs w:val="20"/>
                <w:color w:val="auto"/>
              </w:rPr>
            </w:pPr>
            <w:r>
              <w:rPr>
                <w:rFonts w:ascii="Arial" w:cs="Arial" w:eastAsia="Arial" w:hAnsi="Arial"/>
                <w:sz w:val="13"/>
                <w:szCs w:val="13"/>
                <w:b w:val="1"/>
                <w:bCs w:val="1"/>
                <w:color w:val="auto"/>
              </w:rPr>
              <w:t>Kenneth T. McBride</w:t>
            </w:r>
            <w:r>
              <w:rPr>
                <w:rFonts w:ascii="Arial" w:cs="Arial" w:eastAsia="Arial" w:hAnsi="Arial"/>
                <w:sz w:val="16"/>
                <w:szCs w:val="16"/>
                <w:b w:val="1"/>
                <w:bCs w:val="1"/>
                <w:color w:val="auto"/>
                <w:vertAlign w:val="superscript"/>
              </w:rPr>
              <w:t>(13)</w:t>
            </w:r>
          </w:p>
        </w:tc>
        <w:tc>
          <w:tcPr>
            <w:tcW w:w="1460" w:type="dxa"/>
            <w:vAlign w:val="bottom"/>
            <w:tcBorders>
              <w:right w:val="single" w:sz="8" w:color="008256"/>
            </w:tcBorders>
            <w:shd w:val="clear" w:color="auto" w:fill="E6F4EF"/>
          </w:tcPr>
          <w:p>
            <w:pPr>
              <w:jc w:val="right"/>
              <w:ind w:right="377"/>
              <w:spacing w:after="0"/>
              <w:rPr>
                <w:sz w:val="20"/>
                <w:szCs w:val="20"/>
                <w:color w:val="auto"/>
              </w:rPr>
            </w:pPr>
            <w:r>
              <w:rPr>
                <w:rFonts w:ascii="Arial" w:cs="Arial" w:eastAsia="Arial" w:hAnsi="Arial"/>
                <w:sz w:val="13"/>
                <w:szCs w:val="13"/>
                <w:color w:val="auto"/>
              </w:rPr>
              <w:t>52,895</w:t>
            </w:r>
          </w:p>
        </w:tc>
        <w:tc>
          <w:tcPr>
            <w:tcW w:w="520" w:type="dxa"/>
            <w:vAlign w:val="bottom"/>
            <w:shd w:val="clear" w:color="auto" w:fill="E6F4EF"/>
          </w:tcPr>
          <w:p>
            <w:pPr>
              <w:spacing w:after="0"/>
              <w:rPr>
                <w:sz w:val="16"/>
                <w:szCs w:val="16"/>
                <w:color w:val="auto"/>
              </w:rPr>
            </w:pPr>
          </w:p>
        </w:tc>
        <w:tc>
          <w:tcPr>
            <w:tcW w:w="680" w:type="dxa"/>
            <w:vAlign w:val="bottom"/>
            <w:tcBorders>
              <w:right w:val="single" w:sz="8" w:color="008256"/>
            </w:tcBorders>
            <w:shd w:val="clear" w:color="auto" w:fill="E6F4EF"/>
          </w:tcPr>
          <w:p>
            <w:pPr>
              <w:jc w:val="center"/>
              <w:ind w:right="477"/>
              <w:spacing w:after="0"/>
              <w:rPr>
                <w:sz w:val="20"/>
                <w:szCs w:val="20"/>
                <w:color w:val="auto"/>
              </w:rPr>
            </w:pPr>
            <w:r>
              <w:rPr>
                <w:rFonts w:ascii="Arial" w:cs="Arial" w:eastAsia="Arial" w:hAnsi="Arial"/>
                <w:sz w:val="13"/>
                <w:szCs w:val="13"/>
                <w:color w:val="auto"/>
              </w:rPr>
              <w:t>*</w:t>
            </w:r>
          </w:p>
        </w:tc>
        <w:tc>
          <w:tcPr>
            <w:tcW w:w="1440" w:type="dxa"/>
            <w:vAlign w:val="bottom"/>
            <w:tcBorders>
              <w:right w:val="single" w:sz="8" w:color="008256"/>
            </w:tcBorders>
            <w:shd w:val="clear" w:color="auto" w:fill="E6F4EF"/>
          </w:tcPr>
          <w:p>
            <w:pPr>
              <w:spacing w:after="0"/>
              <w:rPr>
                <w:sz w:val="16"/>
                <w:szCs w:val="16"/>
                <w:color w:val="auto"/>
              </w:rPr>
            </w:pPr>
          </w:p>
        </w:tc>
        <w:tc>
          <w:tcPr>
            <w:tcW w:w="520" w:type="dxa"/>
            <w:vAlign w:val="bottom"/>
            <w:shd w:val="clear" w:color="auto" w:fill="E6F4EF"/>
          </w:tcPr>
          <w:p>
            <w:pPr>
              <w:spacing w:after="0"/>
              <w:rPr>
                <w:sz w:val="16"/>
                <w:szCs w:val="16"/>
                <w:color w:val="auto"/>
              </w:rPr>
            </w:pPr>
          </w:p>
        </w:tc>
        <w:tc>
          <w:tcPr>
            <w:tcW w:w="700" w:type="dxa"/>
            <w:vAlign w:val="bottom"/>
            <w:tcBorders>
              <w:right w:val="single" w:sz="8" w:color="008256"/>
            </w:tcBorders>
            <w:shd w:val="clear" w:color="auto" w:fill="E6F4EF"/>
          </w:tcPr>
          <w:p>
            <w:pPr>
              <w:spacing w:after="0"/>
              <w:rPr>
                <w:sz w:val="16"/>
                <w:szCs w:val="16"/>
                <w:color w:val="auto"/>
              </w:rPr>
            </w:pPr>
          </w:p>
        </w:tc>
        <w:tc>
          <w:tcPr>
            <w:tcW w:w="1060" w:type="dxa"/>
            <w:vAlign w:val="bottom"/>
            <w:shd w:val="clear" w:color="auto" w:fill="E6F4EF"/>
          </w:tcPr>
          <w:p>
            <w:pPr>
              <w:jc w:val="center"/>
              <w:spacing w:after="0"/>
              <w:rPr>
                <w:sz w:val="20"/>
                <w:szCs w:val="20"/>
                <w:color w:val="auto"/>
              </w:rPr>
            </w:pPr>
            <w:r>
              <w:rPr>
                <w:rFonts w:ascii="Arial" w:cs="Arial" w:eastAsia="Arial" w:hAnsi="Arial"/>
                <w:sz w:val="13"/>
                <w:szCs w:val="13"/>
                <w:color w:val="auto"/>
                <w:w w:val="78"/>
              </w:rPr>
              <w:t>*</w:t>
            </w:r>
          </w:p>
        </w:tc>
        <w:tc>
          <w:tcPr>
            <w:tcW w:w="0" w:type="dxa"/>
            <w:vAlign w:val="bottom"/>
          </w:tcPr>
          <w:p>
            <w:pPr>
              <w:spacing w:after="0"/>
              <w:rPr>
                <w:sz w:val="1"/>
                <w:szCs w:val="1"/>
                <w:color w:val="auto"/>
              </w:rPr>
            </w:pPr>
          </w:p>
        </w:tc>
      </w:tr>
      <w:tr>
        <w:trPr>
          <w:trHeight w:val="191"/>
        </w:trPr>
        <w:tc>
          <w:tcPr>
            <w:tcW w:w="4900" w:type="dxa"/>
            <w:vAlign w:val="bottom"/>
            <w:tcBorders>
              <w:right w:val="single" w:sz="8" w:color="008256"/>
            </w:tcBorders>
          </w:tcPr>
          <w:p>
            <w:pPr>
              <w:ind w:left="280"/>
              <w:spacing w:after="0"/>
              <w:rPr>
                <w:sz w:val="20"/>
                <w:szCs w:val="20"/>
                <w:color w:val="auto"/>
              </w:rPr>
            </w:pPr>
            <w:r>
              <w:rPr>
                <w:rFonts w:ascii="Arial" w:cs="Arial" w:eastAsia="Arial" w:hAnsi="Arial"/>
                <w:sz w:val="13"/>
                <w:szCs w:val="13"/>
                <w:b w:val="1"/>
                <w:bCs w:val="1"/>
                <w:color w:val="auto"/>
              </w:rPr>
              <w:t>Maurice Taylor</w:t>
            </w:r>
            <w:r>
              <w:rPr>
                <w:rFonts w:ascii="Arial" w:cs="Arial" w:eastAsia="Arial" w:hAnsi="Arial"/>
                <w:sz w:val="16"/>
                <w:szCs w:val="16"/>
                <w:b w:val="1"/>
                <w:bCs w:val="1"/>
                <w:color w:val="auto"/>
                <w:vertAlign w:val="superscript"/>
              </w:rPr>
              <w:t>(14)</w:t>
            </w:r>
          </w:p>
        </w:tc>
        <w:tc>
          <w:tcPr>
            <w:tcW w:w="1460" w:type="dxa"/>
            <w:vAlign w:val="bottom"/>
            <w:tcBorders>
              <w:right w:val="single" w:sz="8" w:color="008256"/>
            </w:tcBorders>
          </w:tcPr>
          <w:p>
            <w:pPr>
              <w:jc w:val="right"/>
              <w:ind w:right="377"/>
              <w:spacing w:after="0"/>
              <w:rPr>
                <w:sz w:val="20"/>
                <w:szCs w:val="20"/>
                <w:color w:val="auto"/>
              </w:rPr>
            </w:pPr>
            <w:r>
              <w:rPr>
                <w:rFonts w:ascii="Arial" w:cs="Arial" w:eastAsia="Arial" w:hAnsi="Arial"/>
                <w:sz w:val="13"/>
                <w:szCs w:val="13"/>
                <w:color w:val="auto"/>
              </w:rPr>
              <w:t>35,751</w:t>
            </w:r>
          </w:p>
        </w:tc>
        <w:tc>
          <w:tcPr>
            <w:tcW w:w="520" w:type="dxa"/>
            <w:vAlign w:val="bottom"/>
          </w:tcPr>
          <w:p>
            <w:pPr>
              <w:spacing w:after="0"/>
              <w:rPr>
                <w:sz w:val="16"/>
                <w:szCs w:val="16"/>
                <w:color w:val="auto"/>
              </w:rPr>
            </w:pPr>
          </w:p>
        </w:tc>
        <w:tc>
          <w:tcPr>
            <w:tcW w:w="680" w:type="dxa"/>
            <w:vAlign w:val="bottom"/>
            <w:tcBorders>
              <w:right w:val="single" w:sz="8" w:color="008256"/>
            </w:tcBorders>
          </w:tcPr>
          <w:p>
            <w:pPr>
              <w:jc w:val="center"/>
              <w:ind w:right="477"/>
              <w:spacing w:after="0"/>
              <w:rPr>
                <w:sz w:val="20"/>
                <w:szCs w:val="20"/>
                <w:color w:val="auto"/>
              </w:rPr>
            </w:pPr>
            <w:r>
              <w:rPr>
                <w:rFonts w:ascii="Arial" w:cs="Arial" w:eastAsia="Arial" w:hAnsi="Arial"/>
                <w:sz w:val="13"/>
                <w:szCs w:val="13"/>
                <w:color w:val="auto"/>
              </w:rPr>
              <w:t>*</w:t>
            </w:r>
          </w:p>
        </w:tc>
        <w:tc>
          <w:tcPr>
            <w:tcW w:w="1440" w:type="dxa"/>
            <w:vAlign w:val="bottom"/>
            <w:tcBorders>
              <w:right w:val="single" w:sz="8" w:color="008256"/>
            </w:tcBorders>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Borders>
              <w:right w:val="single" w:sz="8" w:color="008256"/>
            </w:tcBorders>
          </w:tcPr>
          <w:p>
            <w:pPr>
              <w:spacing w:after="0"/>
              <w:rPr>
                <w:sz w:val="16"/>
                <w:szCs w:val="16"/>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w w:val="78"/>
              </w:rPr>
              <w:t>*</w:t>
            </w:r>
          </w:p>
        </w:tc>
        <w:tc>
          <w:tcPr>
            <w:tcW w:w="0" w:type="dxa"/>
            <w:vAlign w:val="bottom"/>
          </w:tcPr>
          <w:p>
            <w:pPr>
              <w:spacing w:after="0"/>
              <w:rPr>
                <w:sz w:val="1"/>
                <w:szCs w:val="1"/>
                <w:color w:val="auto"/>
              </w:rPr>
            </w:pPr>
          </w:p>
        </w:tc>
      </w:tr>
      <w:tr>
        <w:trPr>
          <w:trHeight w:val="159"/>
        </w:trPr>
        <w:tc>
          <w:tcPr>
            <w:tcW w:w="4900" w:type="dxa"/>
            <w:vAlign w:val="bottom"/>
            <w:tcBorders>
              <w:right w:val="single" w:sz="8" w:color="008256"/>
            </w:tcBorders>
            <w:shd w:val="clear" w:color="auto" w:fill="E6F4EF"/>
          </w:tcPr>
          <w:p>
            <w:pPr>
              <w:ind w:left="80"/>
              <w:spacing w:after="0"/>
              <w:rPr>
                <w:sz w:val="20"/>
                <w:szCs w:val="20"/>
                <w:color w:val="auto"/>
              </w:rPr>
            </w:pPr>
            <w:r>
              <w:rPr>
                <w:rFonts w:ascii="Arial" w:cs="Arial" w:eastAsia="Arial" w:hAnsi="Arial"/>
                <w:sz w:val="13"/>
                <w:szCs w:val="13"/>
                <w:b w:val="1"/>
                <w:bCs w:val="1"/>
                <w:color w:val="auto"/>
              </w:rPr>
              <w:t>All directors and executive officers as a group</w:t>
            </w:r>
          </w:p>
        </w:tc>
        <w:tc>
          <w:tcPr>
            <w:tcW w:w="1460" w:type="dxa"/>
            <w:vAlign w:val="bottom"/>
            <w:tcBorders>
              <w:right w:val="single" w:sz="8" w:color="008256"/>
            </w:tcBorders>
            <w:vMerge w:val="restart"/>
            <w:shd w:val="clear" w:color="auto" w:fill="E6F4EF"/>
          </w:tcPr>
          <w:p>
            <w:pPr>
              <w:jc w:val="right"/>
              <w:ind w:right="157"/>
              <w:spacing w:after="0"/>
              <w:rPr>
                <w:sz w:val="20"/>
                <w:szCs w:val="20"/>
                <w:color w:val="auto"/>
              </w:rPr>
            </w:pPr>
            <w:r>
              <w:rPr>
                <w:rFonts w:ascii="Arial" w:cs="Arial" w:eastAsia="Arial" w:hAnsi="Arial"/>
                <w:sz w:val="13"/>
                <w:szCs w:val="13"/>
                <w:color w:val="auto"/>
              </w:rPr>
              <w:t xml:space="preserve">2,979,205 </w:t>
            </w:r>
            <w:r>
              <w:rPr>
                <w:rFonts w:ascii="Arial" w:cs="Arial" w:eastAsia="Arial" w:hAnsi="Arial"/>
                <w:sz w:val="8"/>
                <w:szCs w:val="8"/>
                <w:color w:val="auto"/>
              </w:rPr>
              <w:t>(15)</w:t>
            </w:r>
          </w:p>
        </w:tc>
        <w:tc>
          <w:tcPr>
            <w:tcW w:w="520" w:type="dxa"/>
            <w:vAlign w:val="bottom"/>
            <w:shd w:val="clear" w:color="auto" w:fill="E6F4EF"/>
          </w:tcPr>
          <w:p>
            <w:pPr>
              <w:spacing w:after="0"/>
              <w:rPr>
                <w:sz w:val="13"/>
                <w:szCs w:val="13"/>
                <w:color w:val="auto"/>
              </w:rPr>
            </w:pPr>
          </w:p>
        </w:tc>
        <w:tc>
          <w:tcPr>
            <w:tcW w:w="680" w:type="dxa"/>
            <w:vAlign w:val="bottom"/>
            <w:tcBorders>
              <w:right w:val="single" w:sz="8" w:color="008256"/>
            </w:tcBorders>
            <w:vMerge w:val="restart"/>
            <w:shd w:val="clear" w:color="auto" w:fill="E6F4EF"/>
          </w:tcPr>
          <w:p>
            <w:pPr>
              <w:jc w:val="right"/>
              <w:spacing w:after="0"/>
              <w:rPr>
                <w:sz w:val="20"/>
                <w:szCs w:val="20"/>
                <w:color w:val="auto"/>
              </w:rPr>
            </w:pPr>
            <w:r>
              <w:rPr>
                <w:rFonts w:ascii="Arial" w:cs="Arial" w:eastAsia="Arial" w:hAnsi="Arial"/>
                <w:sz w:val="13"/>
                <w:szCs w:val="13"/>
                <w:color w:val="auto"/>
              </w:rPr>
              <w:t>6.96 %</w:t>
            </w:r>
          </w:p>
        </w:tc>
        <w:tc>
          <w:tcPr>
            <w:tcW w:w="1440" w:type="dxa"/>
            <w:vAlign w:val="bottom"/>
            <w:tcBorders>
              <w:right w:val="single" w:sz="8" w:color="008256"/>
            </w:tcBorders>
            <w:vMerge w:val="restart"/>
            <w:shd w:val="clear" w:color="auto" w:fill="E6F4EF"/>
          </w:tcPr>
          <w:p>
            <w:pPr>
              <w:jc w:val="right"/>
              <w:spacing w:after="0"/>
              <w:rPr>
                <w:sz w:val="20"/>
                <w:szCs w:val="20"/>
                <w:color w:val="auto"/>
              </w:rPr>
            </w:pPr>
            <w:r>
              <w:rPr>
                <w:rFonts w:ascii="Arial" w:cs="Arial" w:eastAsia="Arial" w:hAnsi="Arial"/>
                <w:sz w:val="13"/>
                <w:szCs w:val="13"/>
                <w:color w:val="auto"/>
              </w:rPr>
              <w:t>31,685,652</w:t>
            </w:r>
          </w:p>
        </w:tc>
        <w:tc>
          <w:tcPr>
            <w:tcW w:w="520" w:type="dxa"/>
            <w:vAlign w:val="bottom"/>
            <w:shd w:val="clear" w:color="auto" w:fill="E6F4EF"/>
          </w:tcPr>
          <w:p>
            <w:pPr>
              <w:spacing w:after="0"/>
              <w:rPr>
                <w:sz w:val="13"/>
                <w:szCs w:val="13"/>
                <w:color w:val="auto"/>
              </w:rPr>
            </w:pPr>
          </w:p>
        </w:tc>
        <w:tc>
          <w:tcPr>
            <w:tcW w:w="700" w:type="dxa"/>
            <w:vAlign w:val="bottom"/>
            <w:tcBorders>
              <w:right w:val="single" w:sz="8" w:color="008256"/>
            </w:tcBorders>
            <w:vMerge w:val="restart"/>
            <w:shd w:val="clear" w:color="auto" w:fill="E6F4EF"/>
          </w:tcPr>
          <w:p>
            <w:pPr>
              <w:jc w:val="right"/>
              <w:spacing w:after="0"/>
              <w:rPr>
                <w:sz w:val="20"/>
                <w:szCs w:val="20"/>
                <w:color w:val="auto"/>
              </w:rPr>
            </w:pPr>
            <w:r>
              <w:rPr>
                <w:rFonts w:ascii="Arial" w:cs="Arial" w:eastAsia="Arial" w:hAnsi="Arial"/>
                <w:sz w:val="13"/>
                <w:szCs w:val="13"/>
                <w:color w:val="auto"/>
              </w:rPr>
              <w:t>100 %</w:t>
            </w:r>
          </w:p>
        </w:tc>
        <w:tc>
          <w:tcPr>
            <w:tcW w:w="1060" w:type="dxa"/>
            <w:vAlign w:val="bottom"/>
            <w:vMerge w:val="restart"/>
            <w:shd w:val="clear" w:color="auto" w:fill="E6F4EF"/>
          </w:tcPr>
          <w:p>
            <w:pPr>
              <w:jc w:val="right"/>
              <w:spacing w:after="0"/>
              <w:rPr>
                <w:sz w:val="20"/>
                <w:szCs w:val="20"/>
                <w:color w:val="auto"/>
              </w:rPr>
            </w:pPr>
            <w:r>
              <w:rPr>
                <w:rFonts w:ascii="Arial" w:cs="Arial" w:eastAsia="Arial" w:hAnsi="Arial"/>
                <w:sz w:val="13"/>
                <w:szCs w:val="13"/>
                <w:color w:val="auto"/>
              </w:rPr>
              <w:t>88.93 %</w:t>
            </w:r>
          </w:p>
        </w:tc>
        <w:tc>
          <w:tcPr>
            <w:tcW w:w="0" w:type="dxa"/>
            <w:vAlign w:val="bottom"/>
          </w:tcPr>
          <w:p>
            <w:pPr>
              <w:spacing w:after="0"/>
              <w:rPr>
                <w:sz w:val="1"/>
                <w:szCs w:val="1"/>
                <w:color w:val="auto"/>
              </w:rPr>
            </w:pPr>
          </w:p>
        </w:tc>
      </w:tr>
      <w:tr>
        <w:trPr>
          <w:trHeight w:val="93"/>
        </w:trPr>
        <w:tc>
          <w:tcPr>
            <w:tcW w:w="4900" w:type="dxa"/>
            <w:vAlign w:val="bottom"/>
            <w:tcBorders>
              <w:right w:val="single" w:sz="8" w:color="008256"/>
            </w:tcBorders>
            <w:vMerge w:val="restart"/>
            <w:shd w:val="clear" w:color="auto" w:fill="E6F4EF"/>
          </w:tcPr>
          <w:p>
            <w:pPr>
              <w:ind w:left="80"/>
              <w:spacing w:after="0"/>
              <w:rPr>
                <w:sz w:val="20"/>
                <w:szCs w:val="20"/>
                <w:color w:val="auto"/>
              </w:rPr>
            </w:pPr>
            <w:r>
              <w:rPr>
                <w:rFonts w:ascii="Arial" w:cs="Arial" w:eastAsia="Arial" w:hAnsi="Arial"/>
                <w:sz w:val="13"/>
                <w:szCs w:val="13"/>
                <w:b w:val="1"/>
                <w:bCs w:val="1"/>
                <w:color w:val="auto"/>
              </w:rPr>
              <w:t>(8 persons)</w:t>
            </w:r>
          </w:p>
        </w:tc>
        <w:tc>
          <w:tcPr>
            <w:tcW w:w="1460" w:type="dxa"/>
            <w:vAlign w:val="bottom"/>
            <w:tcBorders>
              <w:right w:val="single" w:sz="8" w:color="008256"/>
            </w:tcBorders>
            <w:vMerge w:val="continue"/>
            <w:shd w:val="clear" w:color="auto" w:fill="E6F4EF"/>
          </w:tcPr>
          <w:p>
            <w:pPr>
              <w:spacing w:after="0"/>
              <w:rPr>
                <w:sz w:val="8"/>
                <w:szCs w:val="8"/>
                <w:color w:val="auto"/>
              </w:rPr>
            </w:pPr>
          </w:p>
        </w:tc>
        <w:tc>
          <w:tcPr>
            <w:tcW w:w="520" w:type="dxa"/>
            <w:vAlign w:val="bottom"/>
            <w:shd w:val="clear" w:color="auto" w:fill="E6F4EF"/>
          </w:tcPr>
          <w:p>
            <w:pPr>
              <w:spacing w:after="0"/>
              <w:rPr>
                <w:sz w:val="8"/>
                <w:szCs w:val="8"/>
                <w:color w:val="auto"/>
              </w:rPr>
            </w:pPr>
          </w:p>
        </w:tc>
        <w:tc>
          <w:tcPr>
            <w:tcW w:w="680" w:type="dxa"/>
            <w:vAlign w:val="bottom"/>
            <w:tcBorders>
              <w:right w:val="single" w:sz="8" w:color="008256"/>
            </w:tcBorders>
            <w:vMerge w:val="continue"/>
            <w:shd w:val="clear" w:color="auto" w:fill="E6F4EF"/>
          </w:tcPr>
          <w:p>
            <w:pPr>
              <w:spacing w:after="0"/>
              <w:rPr>
                <w:sz w:val="8"/>
                <w:szCs w:val="8"/>
                <w:color w:val="auto"/>
              </w:rPr>
            </w:pPr>
          </w:p>
        </w:tc>
        <w:tc>
          <w:tcPr>
            <w:tcW w:w="1440" w:type="dxa"/>
            <w:vAlign w:val="bottom"/>
            <w:tcBorders>
              <w:right w:val="single" w:sz="8" w:color="008256"/>
            </w:tcBorders>
            <w:vMerge w:val="continue"/>
            <w:shd w:val="clear" w:color="auto" w:fill="E6F4EF"/>
          </w:tcPr>
          <w:p>
            <w:pPr>
              <w:spacing w:after="0"/>
              <w:rPr>
                <w:sz w:val="8"/>
                <w:szCs w:val="8"/>
                <w:color w:val="auto"/>
              </w:rPr>
            </w:pPr>
          </w:p>
        </w:tc>
        <w:tc>
          <w:tcPr>
            <w:tcW w:w="520" w:type="dxa"/>
            <w:vAlign w:val="bottom"/>
            <w:shd w:val="clear" w:color="auto" w:fill="E6F4EF"/>
          </w:tcPr>
          <w:p>
            <w:pPr>
              <w:spacing w:after="0"/>
              <w:rPr>
                <w:sz w:val="8"/>
                <w:szCs w:val="8"/>
                <w:color w:val="auto"/>
              </w:rPr>
            </w:pPr>
          </w:p>
        </w:tc>
        <w:tc>
          <w:tcPr>
            <w:tcW w:w="700" w:type="dxa"/>
            <w:vAlign w:val="bottom"/>
            <w:tcBorders>
              <w:right w:val="single" w:sz="8" w:color="008256"/>
            </w:tcBorders>
            <w:vMerge w:val="continue"/>
            <w:shd w:val="clear" w:color="auto" w:fill="E6F4EF"/>
          </w:tcPr>
          <w:p>
            <w:pPr>
              <w:spacing w:after="0"/>
              <w:rPr>
                <w:sz w:val="8"/>
                <w:szCs w:val="8"/>
                <w:color w:val="auto"/>
              </w:rPr>
            </w:pPr>
          </w:p>
        </w:tc>
        <w:tc>
          <w:tcPr>
            <w:tcW w:w="1060" w:type="dxa"/>
            <w:vAlign w:val="bottom"/>
            <w:vMerge w:val="continue"/>
            <w:shd w:val="clear" w:color="auto" w:fill="E6F4EF"/>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4900" w:type="dxa"/>
            <w:vAlign w:val="bottom"/>
            <w:tcBorders>
              <w:bottom w:val="single" w:sz="8" w:color="008256"/>
              <w:right w:val="single" w:sz="8" w:color="008256"/>
            </w:tcBorders>
            <w:vMerge w:val="continue"/>
            <w:shd w:val="clear" w:color="auto" w:fill="E6F4EF"/>
          </w:tcPr>
          <w:p>
            <w:pPr>
              <w:spacing w:after="0"/>
              <w:rPr>
                <w:sz w:val="7"/>
                <w:szCs w:val="7"/>
                <w:color w:val="auto"/>
              </w:rPr>
            </w:pPr>
          </w:p>
        </w:tc>
        <w:tc>
          <w:tcPr>
            <w:tcW w:w="1460" w:type="dxa"/>
            <w:vAlign w:val="bottom"/>
            <w:tcBorders>
              <w:bottom w:val="single" w:sz="8" w:color="008256"/>
              <w:right w:val="single" w:sz="8" w:color="008256"/>
            </w:tcBorders>
            <w:shd w:val="clear" w:color="auto" w:fill="E6F4EF"/>
          </w:tcPr>
          <w:p>
            <w:pPr>
              <w:spacing w:after="0"/>
              <w:rPr>
                <w:sz w:val="7"/>
                <w:szCs w:val="7"/>
                <w:color w:val="auto"/>
              </w:rPr>
            </w:pPr>
          </w:p>
        </w:tc>
        <w:tc>
          <w:tcPr>
            <w:tcW w:w="520" w:type="dxa"/>
            <w:vAlign w:val="bottom"/>
            <w:tcBorders>
              <w:bottom w:val="single" w:sz="8" w:color="008256"/>
            </w:tcBorders>
            <w:shd w:val="clear" w:color="auto" w:fill="E6F4EF"/>
          </w:tcPr>
          <w:p>
            <w:pPr>
              <w:spacing w:after="0"/>
              <w:rPr>
                <w:sz w:val="7"/>
                <w:szCs w:val="7"/>
                <w:color w:val="auto"/>
              </w:rPr>
            </w:pPr>
          </w:p>
        </w:tc>
        <w:tc>
          <w:tcPr>
            <w:tcW w:w="680" w:type="dxa"/>
            <w:vAlign w:val="bottom"/>
            <w:tcBorders>
              <w:bottom w:val="single" w:sz="8" w:color="008256"/>
              <w:right w:val="single" w:sz="8" w:color="008256"/>
            </w:tcBorders>
            <w:shd w:val="clear" w:color="auto" w:fill="E6F4EF"/>
          </w:tcPr>
          <w:p>
            <w:pPr>
              <w:spacing w:after="0"/>
              <w:rPr>
                <w:sz w:val="7"/>
                <w:szCs w:val="7"/>
                <w:color w:val="auto"/>
              </w:rPr>
            </w:pPr>
          </w:p>
        </w:tc>
        <w:tc>
          <w:tcPr>
            <w:tcW w:w="1440" w:type="dxa"/>
            <w:vAlign w:val="bottom"/>
            <w:tcBorders>
              <w:bottom w:val="single" w:sz="8" w:color="008256"/>
              <w:right w:val="single" w:sz="8" w:color="008256"/>
            </w:tcBorders>
            <w:shd w:val="clear" w:color="auto" w:fill="E6F4EF"/>
          </w:tcPr>
          <w:p>
            <w:pPr>
              <w:spacing w:after="0"/>
              <w:rPr>
                <w:sz w:val="7"/>
                <w:szCs w:val="7"/>
                <w:color w:val="auto"/>
              </w:rPr>
            </w:pPr>
          </w:p>
        </w:tc>
        <w:tc>
          <w:tcPr>
            <w:tcW w:w="520" w:type="dxa"/>
            <w:vAlign w:val="bottom"/>
            <w:tcBorders>
              <w:bottom w:val="single" w:sz="8" w:color="008256"/>
            </w:tcBorders>
            <w:shd w:val="clear" w:color="auto" w:fill="E6F4EF"/>
          </w:tcPr>
          <w:p>
            <w:pPr>
              <w:spacing w:after="0"/>
              <w:rPr>
                <w:sz w:val="7"/>
                <w:szCs w:val="7"/>
                <w:color w:val="auto"/>
              </w:rPr>
            </w:pPr>
          </w:p>
        </w:tc>
        <w:tc>
          <w:tcPr>
            <w:tcW w:w="700" w:type="dxa"/>
            <w:vAlign w:val="bottom"/>
            <w:tcBorders>
              <w:bottom w:val="single" w:sz="8" w:color="008256"/>
              <w:right w:val="single" w:sz="8" w:color="008256"/>
            </w:tcBorders>
            <w:shd w:val="clear" w:color="auto" w:fill="E6F4EF"/>
          </w:tcPr>
          <w:p>
            <w:pPr>
              <w:spacing w:after="0"/>
              <w:rPr>
                <w:sz w:val="7"/>
                <w:szCs w:val="7"/>
                <w:color w:val="auto"/>
              </w:rPr>
            </w:pPr>
          </w:p>
        </w:tc>
        <w:tc>
          <w:tcPr>
            <w:tcW w:w="1060" w:type="dxa"/>
            <w:vAlign w:val="bottom"/>
            <w:tcBorders>
              <w:bottom w:val="single" w:sz="8" w:color="008256"/>
            </w:tcBorders>
            <w:shd w:val="clear" w:color="auto" w:fill="E6F4EF"/>
          </w:tcPr>
          <w:p>
            <w:pPr>
              <w:spacing w:after="0"/>
              <w:rPr>
                <w:sz w:val="7"/>
                <w:szCs w:val="7"/>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 Less than 1%</w:t>
      </w:r>
    </w:p>
    <w:p>
      <w:pPr>
        <w:spacing w:after="0" w:line="11" w:lineRule="exact"/>
        <w:rPr>
          <w:sz w:val="20"/>
          <w:szCs w:val="20"/>
          <w:color w:val="auto"/>
        </w:rPr>
      </w:pPr>
    </w:p>
    <w:p>
      <w:pPr>
        <w:ind w:left="260" w:right="120" w:hanging="255"/>
        <w:spacing w:after="0" w:line="261" w:lineRule="auto"/>
        <w:tabs>
          <w:tab w:leader="none" w:pos="249" w:val="left"/>
        </w:tabs>
        <w:numPr>
          <w:ilvl w:val="0"/>
          <w:numId w:val="27"/>
        </w:numPr>
        <w:rPr>
          <w:rFonts w:ascii="Arial" w:cs="Arial" w:eastAsia="Arial" w:hAnsi="Arial"/>
          <w:sz w:val="11"/>
          <w:szCs w:val="11"/>
          <w:i w:val="1"/>
          <w:iCs w:val="1"/>
          <w:color w:val="auto"/>
        </w:rPr>
      </w:pPr>
      <w:r>
        <w:rPr>
          <w:rFonts w:ascii="Arial" w:cs="Arial" w:eastAsia="Arial" w:hAnsi="Arial"/>
          <w:sz w:val="11"/>
          <w:szCs w:val="11"/>
          <w:i w:val="1"/>
          <w:iCs w:val="1"/>
          <w:color w:val="auto"/>
        </w:rPr>
        <w:t>Percentage of total voting power represents voting power with respect to all shares of the Company’s Class A common stock and Class B common stock, together as a single class. Holders of Class A common stock are entitled to one vote per share, and holders of Class B common stock are entitled to ten votes per share.</w:t>
      </w:r>
    </w:p>
    <w:p>
      <w:pPr>
        <w:ind w:left="260" w:hanging="255"/>
        <w:spacing w:after="0" w:line="255" w:lineRule="auto"/>
        <w:tabs>
          <w:tab w:leader="none" w:pos="249" w:val="left"/>
        </w:tabs>
        <w:numPr>
          <w:ilvl w:val="0"/>
          <w:numId w:val="27"/>
        </w:numPr>
        <w:rPr>
          <w:rFonts w:ascii="Arial" w:cs="Arial" w:eastAsia="Arial" w:hAnsi="Arial"/>
          <w:sz w:val="11"/>
          <w:szCs w:val="11"/>
          <w:i w:val="1"/>
          <w:iCs w:val="1"/>
          <w:color w:val="auto"/>
        </w:rPr>
      </w:pPr>
      <w:r>
        <w:rPr>
          <w:rFonts w:ascii="Arial" w:cs="Arial" w:eastAsia="Arial" w:hAnsi="Arial"/>
          <w:sz w:val="11"/>
          <w:szCs w:val="11"/>
          <w:i w:val="1"/>
          <w:iCs w:val="1"/>
          <w:color w:val="auto"/>
        </w:rPr>
        <w:t>Based on information reported by Topline Capital Management, LLC on Schedule 13G/A filed with the SEC on November 7, 2024. The sole general partner of Topline Capital Management LLC is Topline Capital Partners, LP. The sole managing member of Topline Capital Management, LLC is Collin McBirney. Mr. McBirney disclaims beneficial ownership of these securities except to the extent of his respective pecuniary interest therein. The address for this entity is: 544 Euclid Street, Santa Monica, CA 90402.</w:t>
      </w:r>
    </w:p>
    <w:p>
      <w:pPr>
        <w:jc w:val="both"/>
        <w:ind w:left="260" w:right="100" w:hanging="255"/>
        <w:spacing w:after="0" w:line="261" w:lineRule="auto"/>
        <w:tabs>
          <w:tab w:leader="none" w:pos="249" w:val="left"/>
        </w:tabs>
        <w:numPr>
          <w:ilvl w:val="0"/>
          <w:numId w:val="27"/>
        </w:numPr>
        <w:rPr>
          <w:rFonts w:ascii="Arial" w:cs="Arial" w:eastAsia="Arial" w:hAnsi="Arial"/>
          <w:sz w:val="11"/>
          <w:szCs w:val="11"/>
          <w:i w:val="1"/>
          <w:iCs w:val="1"/>
          <w:color w:val="auto"/>
        </w:rPr>
      </w:pPr>
      <w:r>
        <w:rPr>
          <w:rFonts w:ascii="Arial" w:cs="Arial" w:eastAsia="Arial" w:hAnsi="Arial"/>
          <w:sz w:val="11"/>
          <w:szCs w:val="11"/>
          <w:i w:val="1"/>
          <w:iCs w:val="1"/>
          <w:color w:val="auto"/>
        </w:rPr>
        <w:t>Based on information reported by Innovius Capital Sirius I, L.P. on Schedule 13G filed with the SEC on February 14, 2022. The sole general partner of Innovius Capital Sirius I, L.P. is Innovius Capital GP I, LLC. The sole managing director of Innovius Capital GP I, LLC is Justin Moore. Mr. Moore disclaims beneficial ownership of these securities except to the extent of his respective pecuniary interest therein. The address for this entity is: 2443 Fillmore Street, #380-14279, San Francisco, CA 94115.</w:t>
      </w:r>
    </w:p>
    <w:p>
      <w:pPr>
        <w:spacing w:after="0" w:line="1" w:lineRule="exact"/>
        <w:rPr>
          <w:rFonts w:ascii="Arial" w:cs="Arial" w:eastAsia="Arial" w:hAnsi="Arial"/>
          <w:sz w:val="11"/>
          <w:szCs w:val="11"/>
          <w:i w:val="1"/>
          <w:iCs w:val="1"/>
          <w:color w:val="auto"/>
        </w:rPr>
      </w:pPr>
    </w:p>
    <w:p>
      <w:pPr>
        <w:ind w:left="260" w:right="460" w:hanging="255"/>
        <w:spacing w:after="0" w:line="251" w:lineRule="auto"/>
        <w:tabs>
          <w:tab w:leader="none" w:pos="249" w:val="left"/>
        </w:tabs>
        <w:numPr>
          <w:ilvl w:val="0"/>
          <w:numId w:val="27"/>
        </w:numPr>
        <w:rPr>
          <w:rFonts w:ascii="Arial" w:cs="Arial" w:eastAsia="Arial" w:hAnsi="Arial"/>
          <w:sz w:val="11"/>
          <w:szCs w:val="11"/>
          <w:i w:val="1"/>
          <w:iCs w:val="1"/>
          <w:color w:val="auto"/>
        </w:rPr>
      </w:pPr>
      <w:r>
        <w:rPr>
          <w:rFonts w:ascii="Arial" w:cs="Arial" w:eastAsia="Arial" w:hAnsi="Arial"/>
          <w:sz w:val="11"/>
          <w:szCs w:val="11"/>
          <w:i w:val="1"/>
          <w:iCs w:val="1"/>
          <w:color w:val="auto"/>
        </w:rPr>
        <w:t>Based on information reported by The Vanguard Group on Schedule 13G filed with the SEC on January 31, 2025. The Vanguard Group reported that it has shared voting power with respect to 66,504 shares, sole dispositive power with respect to 3,727,124 shares, and shared dispositive power with respect to 102,794 shares. The address for this entity is: 100 Vanguard Blvd., Malvern, PA 19355.</w:t>
      </w:r>
    </w:p>
    <w:p>
      <w:pPr>
        <w:ind w:left="260" w:right="260" w:hanging="255"/>
        <w:spacing w:after="0" w:line="261" w:lineRule="auto"/>
        <w:tabs>
          <w:tab w:leader="none" w:pos="249" w:val="left"/>
        </w:tabs>
        <w:numPr>
          <w:ilvl w:val="0"/>
          <w:numId w:val="27"/>
        </w:numPr>
        <w:rPr>
          <w:rFonts w:ascii="Arial" w:cs="Arial" w:eastAsia="Arial" w:hAnsi="Arial"/>
          <w:sz w:val="11"/>
          <w:szCs w:val="11"/>
          <w:i w:val="1"/>
          <w:iCs w:val="1"/>
          <w:color w:val="auto"/>
        </w:rPr>
      </w:pPr>
      <w:r>
        <w:rPr>
          <w:rFonts w:ascii="Arial" w:cs="Arial" w:eastAsia="Arial" w:hAnsi="Arial"/>
          <w:sz w:val="11"/>
          <w:szCs w:val="11"/>
          <w:i w:val="1"/>
          <w:iCs w:val="1"/>
          <w:color w:val="auto"/>
        </w:rPr>
        <w:t>Based on information reported by T. Rowe Price Investment Management, Inc. on Schedule 13G filed with the SEC on November 14, 2024. T. Rowe Price Investment Management, Inc. reported that it has sole voting power with respect to 2,707,266 shares and sole dispositive power with respect to 2,725,877 shares. The address for this entity is: 101 E. Pratt Street, Baltimore, MD 21201.</w:t>
      </w:r>
    </w:p>
    <w:p>
      <w:pPr>
        <w:ind w:left="260" w:right="240" w:hanging="255"/>
        <w:spacing w:after="0" w:line="261" w:lineRule="auto"/>
        <w:tabs>
          <w:tab w:leader="none" w:pos="249" w:val="left"/>
        </w:tabs>
        <w:numPr>
          <w:ilvl w:val="0"/>
          <w:numId w:val="27"/>
        </w:numPr>
        <w:rPr>
          <w:rFonts w:ascii="Arial" w:cs="Arial" w:eastAsia="Arial" w:hAnsi="Arial"/>
          <w:sz w:val="11"/>
          <w:szCs w:val="11"/>
          <w:i w:val="1"/>
          <w:iCs w:val="1"/>
          <w:color w:val="auto"/>
        </w:rPr>
      </w:pPr>
      <w:r>
        <w:rPr>
          <w:rFonts w:ascii="Arial" w:cs="Arial" w:eastAsia="Arial" w:hAnsi="Arial"/>
          <w:sz w:val="11"/>
          <w:szCs w:val="11"/>
          <w:i w:val="1"/>
          <w:iCs w:val="1"/>
          <w:color w:val="auto"/>
        </w:rPr>
        <w:t>Based on information reported by BlackRock, Inc. on Schedule 13G filed with the SEC on January 29, 2024. BlackRock, Inc. reported that it has sole voting power with respect to 2,496,936 shares and sole dispositive power with respect to 2,538,168 shares. The address for this entity is: 50 Hudson Yards, New York, NY 10001.</w:t>
      </w:r>
    </w:p>
    <w:p>
      <w:pPr>
        <w:ind w:left="260" w:right="500" w:hanging="255"/>
        <w:spacing w:after="0" w:line="251" w:lineRule="auto"/>
        <w:tabs>
          <w:tab w:leader="none" w:pos="249" w:val="left"/>
        </w:tabs>
        <w:numPr>
          <w:ilvl w:val="0"/>
          <w:numId w:val="27"/>
        </w:numPr>
        <w:rPr>
          <w:rFonts w:ascii="Arial" w:cs="Arial" w:eastAsia="Arial" w:hAnsi="Arial"/>
          <w:sz w:val="11"/>
          <w:szCs w:val="11"/>
          <w:i w:val="1"/>
          <w:iCs w:val="1"/>
          <w:color w:val="auto"/>
        </w:rPr>
      </w:pPr>
      <w:r>
        <w:rPr>
          <w:rFonts w:ascii="Arial" w:cs="Arial" w:eastAsia="Arial" w:hAnsi="Arial"/>
          <w:sz w:val="11"/>
          <w:szCs w:val="11"/>
          <w:i w:val="1"/>
          <w:iCs w:val="1"/>
          <w:color w:val="auto"/>
        </w:rPr>
        <w:t>Based on information reported by FMR LLC and Abigail P. Johnson on Schedule 13G/A filed with the SEC on November 12, 2024. FMR LLC reported that it has sole voting power over 1,329,921 shares and sole dispositive power with respect to 1,330,494 shares. The address for this entity is: 245 Summer Street, Boston, Massachusetts 02210.</w:t>
      </w:r>
    </w:p>
    <w:p>
      <w:pPr>
        <w:ind w:left="260" w:right="20" w:hanging="255"/>
        <w:spacing w:after="0" w:line="262" w:lineRule="auto"/>
        <w:tabs>
          <w:tab w:leader="none" w:pos="249" w:val="left"/>
        </w:tabs>
        <w:numPr>
          <w:ilvl w:val="0"/>
          <w:numId w:val="27"/>
        </w:numPr>
        <w:rPr>
          <w:rFonts w:ascii="Arial" w:cs="Arial" w:eastAsia="Arial" w:hAnsi="Arial"/>
          <w:sz w:val="11"/>
          <w:szCs w:val="11"/>
          <w:i w:val="1"/>
          <w:iCs w:val="1"/>
          <w:color w:val="auto"/>
        </w:rPr>
      </w:pPr>
      <w:r>
        <w:rPr>
          <w:rFonts w:ascii="Arial" w:cs="Arial" w:eastAsia="Arial" w:hAnsi="Arial"/>
          <w:sz w:val="11"/>
          <w:szCs w:val="11"/>
          <w:i w:val="1"/>
          <w:iCs w:val="1"/>
          <w:color w:val="auto"/>
        </w:rPr>
        <w:t>Class A common stock holdings consist of: (i) 422,477 shares of Class A common stock and (ii) 889,232 shares of Class A common stock issuable upon exercise of stock options vested and vesting within 60 days of March 24, 2025. Class B common stock holdings consist of (i) 18,967,348 shares of Class B common stock held by Tim Chen as Trustee of The Tim Chen Revocable Trust u/a/d 3/11/2016, (ii) 3,741,387 shares of Class B common stock held by Tim Chen as Trustee of The Seed Investor 2022 Annuity Trust u/a/d 6/3/2022, (iii) 1,319,561 shares of Class B common stock held by Tim Chen as Trustee of The Seed Investor Irrevocable Remainder Trust II u/a/d 8/19/2019, (iv) 1,319,560 shares of Class B common stock held by Tim Chen as Trustee of The Seed Investor Irrevocable Remainder Trust II-B u/a/d 8/19/2019, (v) 1,468,573 shares of Class B common stock held by The Bryn Mawr Trust Company of Delaware as Trustee of The Seed Investor Irrevocable Trust A u/a/d 10/14/2023, (vi) 1,468,573 shares of Class B common stock held by The Bryn Mawr Trust Company of Delaware as Trustee of The Seed Investor Irrevocable Trust B u/a/d 10/14/2023, (vii) 1,468,574 shares of Class B common stock held by The Bryn Mawr Trust Company of Delaware as Trustee of The Seed Investor Irrevocable Trust C u/a/d 10/14/2023, (viii) 966,038 shares of Class B common stock held by The Bryn Mawr Trust Company of Delaware as Trustee of The Seed Investor Exempt Trust A u/a/d 10/14/2023 and (ix) 966,038 shares of Class B common stock held by The Bryn Mawr Trust Company of Delaware as Trustee of The Seed Investor Exempt Trust B u/a/d 10/14/2023.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161530" cy="2895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1530" cy="289560"/>
                    </a:xfrm>
                    <a:prstGeom prst="rect">
                      <a:avLst/>
                    </a:prstGeom>
                    <a:noFill/>
                  </pic:spPr>
                </pic:pic>
              </a:graphicData>
            </a:graphic>
          </wp:anchor>
        </w:drawing>
      </w:r>
    </w:p>
    <w:p>
      <w:pPr>
        <w:spacing w:after="0" w:line="200" w:lineRule="exact"/>
        <w:rPr>
          <w:sz w:val="20"/>
          <w:szCs w:val="20"/>
          <w:color w:val="auto"/>
        </w:rPr>
      </w:pPr>
    </w:p>
    <w:p>
      <w:pPr>
        <w:spacing w:after="0" w:line="337" w:lineRule="exact"/>
        <w:rPr>
          <w:sz w:val="20"/>
          <w:szCs w:val="20"/>
          <w:color w:val="auto"/>
        </w:rPr>
      </w:pPr>
    </w:p>
    <w:p>
      <w:pPr>
        <w:ind w:left="11080"/>
        <w:spacing w:after="0"/>
        <w:rPr>
          <w:sz w:val="20"/>
          <w:szCs w:val="20"/>
          <w:color w:val="auto"/>
        </w:rPr>
      </w:pPr>
      <w:r>
        <w:rPr>
          <w:rFonts w:ascii="Arial" w:cs="Arial" w:eastAsia="Arial" w:hAnsi="Arial"/>
          <w:sz w:val="13"/>
          <w:szCs w:val="13"/>
          <w:b w:val="1"/>
          <w:bCs w:val="1"/>
          <w:color w:val="auto"/>
        </w:rPr>
        <w:t>37</w:t>
      </w:r>
    </w:p>
    <w:p>
      <w:pPr>
        <w:sectPr>
          <w:pgSz w:w="11900" w:h="16838" w:orient="portrait"/>
          <w:cols w:equalWidth="0" w:num="1">
            <w:col w:w="11280"/>
          </w:cols>
          <w:pgMar w:left="300" w:top="171" w:right="319" w:bottom="1440" w:gutter="0" w:footer="0" w:header="0"/>
        </w:sectPr>
      </w:pPr>
    </w:p>
    <w:bookmarkStart w:id="42" w:name="page43"/>
    <w:bookmarkEnd w:id="42"/>
    <w:p>
      <w:pPr>
        <w:ind w:left="300"/>
        <w:spacing w:after="0"/>
        <w:rPr>
          <w:sz w:val="20"/>
          <w:szCs w:val="20"/>
          <w:color w:val="auto"/>
        </w:rPr>
      </w:pPr>
      <w:r>
        <w:rPr>
          <w:rFonts w:ascii="Arial" w:cs="Arial" w:eastAsia="Arial" w:hAnsi="Arial"/>
          <w:sz w:val="13"/>
          <w:szCs w:val="13"/>
          <w:b w:val="1"/>
          <w:bCs w:val="1"/>
          <w:color w:val="00482F"/>
        </w:rPr>
        <w:drawing>
          <wp:anchor simplePos="0" relativeHeight="251657728" behindDoc="1" locked="0" layoutInCell="0" allowOverlap="1">
            <wp:simplePos x="0" y="0"/>
            <wp:positionH relativeFrom="page">
              <wp:posOffset>328295</wp:posOffset>
            </wp:positionH>
            <wp:positionV relativeFrom="page">
              <wp:posOffset>102235</wp:posOffset>
            </wp:positionV>
            <wp:extent cx="2876550" cy="147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876550" cy="147955"/>
                    </a:xfrm>
                    <a:prstGeom prst="rect">
                      <a:avLst/>
                    </a:prstGeom>
                    <a:noFill/>
                  </pic:spPr>
                </pic:pic>
              </a:graphicData>
            </a:graphic>
          </wp:anchor>
        </w:drawing>
        <w:t>STOCK OWNERSHIP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60" w:right="20"/>
        <w:spacing w:after="0" w:line="261" w:lineRule="auto"/>
        <w:rPr>
          <w:sz w:val="20"/>
          <w:szCs w:val="20"/>
          <w:color w:val="auto"/>
        </w:rPr>
      </w:pPr>
      <w:r>
        <w:rPr>
          <w:rFonts w:ascii="Arial" w:cs="Arial" w:eastAsia="Arial" w:hAnsi="Arial"/>
          <w:sz w:val="11"/>
          <w:szCs w:val="11"/>
          <w:i w:val="1"/>
          <w:iCs w:val="1"/>
          <w:color w:val="auto"/>
        </w:rPr>
        <w:t>Special Trustee of The Seed Investor Irrevocable Remainder Trust II u/a/d 8/19/2019, The Seed Investor Irrevocable Remainder Trust II-B u/a/d 8/19/2019, and The Seed Investor 2022 Annuity Trust u/a/d 6/3/2022, Jessica Davis Mills, has the sole voting power over the shares held in such trusts; provided that Mr. Chen, as Grantor, may remove and replace the Special Trustee at any time. The Trustee of The Seed Investor Irrevocable Trust A u/a/d 10/14/2023, The Seed Investor Irrevocable Trust B u/a/d 10/14/2023, The Seed Investor Irrevocable Trust C u/a/d 10/14/2023, The Seed Investor Exempt Trust A u/a/d 10/14/2023, and The Seed Investor Exempt Trust B u/a/d 10/14/2023 is The Bryn Mawr Trust Company of Delaware; Jessica Davis Mills, is the Trust Protector; and Tim Chen is the Grantor, Investment Advisor and Remover. Jessica Davis Mills has the sole voting power over the shares held in such trusts; provided that Mr. Chen, as Remover, may remove and replace the Trust Protector at any time.</w:t>
      </w:r>
    </w:p>
    <w:p>
      <w:pPr>
        <w:spacing w:after="0" w:line="1" w:lineRule="exact"/>
        <w:rPr>
          <w:sz w:val="20"/>
          <w:szCs w:val="20"/>
          <w:color w:val="auto"/>
        </w:rPr>
      </w:pPr>
    </w:p>
    <w:p>
      <w:pPr>
        <w:ind w:left="260" w:right="60" w:hanging="255"/>
        <w:spacing w:after="0" w:line="256" w:lineRule="auto"/>
        <w:tabs>
          <w:tab w:leader="none" w:pos="249" w:val="left"/>
        </w:tabs>
        <w:numPr>
          <w:ilvl w:val="0"/>
          <w:numId w:val="28"/>
        </w:numPr>
        <w:rPr>
          <w:rFonts w:ascii="Arial" w:cs="Arial" w:eastAsia="Arial" w:hAnsi="Arial"/>
          <w:sz w:val="11"/>
          <w:szCs w:val="11"/>
          <w:i w:val="1"/>
          <w:iCs w:val="1"/>
          <w:color w:val="auto"/>
        </w:rPr>
      </w:pPr>
      <w:r>
        <w:rPr>
          <w:rFonts w:ascii="Arial" w:cs="Arial" w:eastAsia="Arial" w:hAnsi="Arial"/>
          <w:sz w:val="11"/>
          <w:szCs w:val="11"/>
          <w:i w:val="1"/>
          <w:iCs w:val="1"/>
          <w:color w:val="auto"/>
        </w:rPr>
        <w:t>Consists of (i) 172,784 shares of Class A common stock and (ii) fully vested options to purchase an aggregate of 307,604 shares of the Company's Class A common stock, which were granted subject to an early exercise provision and which shares were immediately exercisable, and (iii) 156,071 shares of Class A common stock issuable upon exercise of stock options vested as of March 24, 2025. Upon Ms. StClair's resignation from the Company effective March 7, 2025, all unvested options and RSUs were immediately forfeited, while any vested options remain exercisable for a period of 90 days following the date of resignation, after which any unexercised options will be forfeited</w:t>
      </w:r>
    </w:p>
    <w:p>
      <w:pPr>
        <w:spacing w:after="0" w:line="1" w:lineRule="exact"/>
        <w:rPr>
          <w:rFonts w:ascii="Arial" w:cs="Arial" w:eastAsia="Arial" w:hAnsi="Arial"/>
          <w:sz w:val="11"/>
          <w:szCs w:val="11"/>
          <w:i w:val="1"/>
          <w:iCs w:val="1"/>
          <w:color w:val="auto"/>
        </w:rPr>
      </w:pPr>
    </w:p>
    <w:p>
      <w:pPr>
        <w:ind w:left="260" w:hanging="255"/>
        <w:spacing w:after="0"/>
        <w:tabs>
          <w:tab w:leader="none" w:pos="260" w:val="left"/>
        </w:tabs>
        <w:numPr>
          <w:ilvl w:val="0"/>
          <w:numId w:val="28"/>
        </w:numPr>
        <w:rPr>
          <w:rFonts w:ascii="Arial" w:cs="Arial" w:eastAsia="Arial" w:hAnsi="Arial"/>
          <w:sz w:val="11"/>
          <w:szCs w:val="11"/>
          <w:i w:val="1"/>
          <w:iCs w:val="1"/>
          <w:color w:val="auto"/>
        </w:rPr>
      </w:pPr>
      <w:r>
        <w:rPr>
          <w:rFonts w:ascii="Arial" w:cs="Arial" w:eastAsia="Arial" w:hAnsi="Arial"/>
          <w:sz w:val="11"/>
          <w:szCs w:val="11"/>
          <w:i w:val="1"/>
          <w:iCs w:val="1"/>
          <w:color w:val="auto"/>
        </w:rPr>
        <w:t>Consists of (i) 618,771 shares of Class A common stock and (ii) 5,525 shares of Class A common stock issuable upon exercise of stock options vesting within 60 days of March 24, 2025.</w:t>
      </w:r>
    </w:p>
    <w:p>
      <w:pPr>
        <w:spacing w:after="0" w:line="11" w:lineRule="exact"/>
        <w:rPr>
          <w:rFonts w:ascii="Arial" w:cs="Arial" w:eastAsia="Arial" w:hAnsi="Arial"/>
          <w:sz w:val="11"/>
          <w:szCs w:val="11"/>
          <w:i w:val="1"/>
          <w:iCs w:val="1"/>
          <w:color w:val="auto"/>
        </w:rPr>
      </w:pPr>
    </w:p>
    <w:p>
      <w:pPr>
        <w:ind w:left="260" w:right="160" w:hanging="255"/>
        <w:spacing w:after="0" w:line="261" w:lineRule="auto"/>
        <w:tabs>
          <w:tab w:leader="none" w:pos="251" w:val="left"/>
        </w:tabs>
        <w:numPr>
          <w:ilvl w:val="0"/>
          <w:numId w:val="28"/>
        </w:numPr>
        <w:rPr>
          <w:rFonts w:ascii="Arial" w:cs="Arial" w:eastAsia="Arial" w:hAnsi="Arial"/>
          <w:sz w:val="11"/>
          <w:szCs w:val="11"/>
          <w:i w:val="1"/>
          <w:iCs w:val="1"/>
          <w:color w:val="auto"/>
        </w:rPr>
      </w:pPr>
      <w:r>
        <w:rPr>
          <w:rFonts w:ascii="Arial" w:cs="Arial" w:eastAsia="Arial" w:hAnsi="Arial"/>
          <w:sz w:val="11"/>
          <w:szCs w:val="11"/>
          <w:i w:val="1"/>
          <w:iCs w:val="1"/>
          <w:color w:val="auto"/>
        </w:rPr>
        <w:t>Consists of (i) 25,038 shares of Class A common stock, (ii) a fully vested option to purchase an aggregate of 120,000— shares of the Company’s Class A common stock, which was granted subject to an early exercise provision and which shares were immediately exercisable, and (iii) 11,061 shares of Class A common stock issuable upon the vesting of RSUs vesting within 60 days of March 24, 2025.</w:t>
      </w:r>
    </w:p>
    <w:p>
      <w:pPr>
        <w:ind w:left="260" w:right="300" w:hanging="255"/>
        <w:spacing w:after="0" w:line="251" w:lineRule="auto"/>
        <w:tabs>
          <w:tab w:leader="none" w:pos="259" w:val="left"/>
        </w:tabs>
        <w:numPr>
          <w:ilvl w:val="0"/>
          <w:numId w:val="28"/>
        </w:numPr>
        <w:rPr>
          <w:rFonts w:ascii="Arial" w:cs="Arial" w:eastAsia="Arial" w:hAnsi="Arial"/>
          <w:sz w:val="11"/>
          <w:szCs w:val="11"/>
          <w:i w:val="1"/>
          <w:iCs w:val="1"/>
          <w:color w:val="auto"/>
        </w:rPr>
      </w:pPr>
      <w:r>
        <w:rPr>
          <w:rFonts w:ascii="Arial" w:cs="Arial" w:eastAsia="Arial" w:hAnsi="Arial"/>
          <w:sz w:val="11"/>
          <w:szCs w:val="11"/>
          <w:i w:val="1"/>
          <w:iCs w:val="1"/>
          <w:color w:val="auto"/>
        </w:rPr>
        <w:t>Consists of (i) 30,935 shares of Class A common stock, (ii) a fully vested option to purchase an aggregate of 120,000 shares of the Company's Class A common stock, which was granted subject to an early exercise provision and which shares were immediately exercisable, and (iii) 11,061 shares of Class A common stock issuable upon the vesting of RSUs vesting within 60 days of March 24, 2025.</w:t>
      </w:r>
    </w:p>
    <w:p>
      <w:pPr>
        <w:ind w:left="260" w:hanging="255"/>
        <w:spacing w:after="0"/>
        <w:tabs>
          <w:tab w:leader="none" w:pos="260" w:val="left"/>
        </w:tabs>
        <w:numPr>
          <w:ilvl w:val="0"/>
          <w:numId w:val="28"/>
        </w:numPr>
        <w:rPr>
          <w:rFonts w:ascii="Arial" w:cs="Arial" w:eastAsia="Arial" w:hAnsi="Arial"/>
          <w:sz w:val="11"/>
          <w:szCs w:val="11"/>
          <w:i w:val="1"/>
          <w:iCs w:val="1"/>
          <w:color w:val="auto"/>
        </w:rPr>
      </w:pPr>
      <w:r>
        <w:rPr>
          <w:rFonts w:ascii="Arial" w:cs="Arial" w:eastAsia="Arial" w:hAnsi="Arial"/>
          <w:sz w:val="11"/>
          <w:szCs w:val="11"/>
          <w:i w:val="1"/>
          <w:iCs w:val="1"/>
          <w:color w:val="auto"/>
        </w:rPr>
        <w:t>Consists of (i) 32,929 shares of Class A common stock and (ii) 19,966 shares of Class A common stock issuable upon the vesting of RSUs vesting within 60 days of March 24, 2025.</w:t>
      </w:r>
    </w:p>
    <w:p>
      <w:pPr>
        <w:spacing w:after="0" w:line="11" w:lineRule="exact"/>
        <w:rPr>
          <w:rFonts w:ascii="Arial" w:cs="Arial" w:eastAsia="Arial" w:hAnsi="Arial"/>
          <w:sz w:val="11"/>
          <w:szCs w:val="11"/>
          <w:i w:val="1"/>
          <w:iCs w:val="1"/>
          <w:color w:val="auto"/>
        </w:rPr>
      </w:pPr>
    </w:p>
    <w:p>
      <w:pPr>
        <w:ind w:left="260" w:hanging="255"/>
        <w:spacing w:after="0"/>
        <w:tabs>
          <w:tab w:leader="none" w:pos="260" w:val="left"/>
        </w:tabs>
        <w:numPr>
          <w:ilvl w:val="0"/>
          <w:numId w:val="28"/>
        </w:numPr>
        <w:rPr>
          <w:rFonts w:ascii="Arial" w:cs="Arial" w:eastAsia="Arial" w:hAnsi="Arial"/>
          <w:sz w:val="11"/>
          <w:szCs w:val="11"/>
          <w:i w:val="1"/>
          <w:iCs w:val="1"/>
          <w:color w:val="auto"/>
        </w:rPr>
      </w:pPr>
      <w:r>
        <w:rPr>
          <w:rFonts w:ascii="Arial" w:cs="Arial" w:eastAsia="Arial" w:hAnsi="Arial"/>
          <w:sz w:val="11"/>
          <w:szCs w:val="11"/>
          <w:i w:val="1"/>
          <w:iCs w:val="1"/>
          <w:color w:val="auto"/>
        </w:rPr>
        <w:t>Consists of (i) 24,690 shares of Class A common stock and (ii) 11,061 shares of Class A common stock issuable upon the vesting of RSUs vesting within 60 days of March 24, 2025.</w:t>
      </w:r>
    </w:p>
    <w:p>
      <w:pPr>
        <w:spacing w:after="0" w:line="11" w:lineRule="exact"/>
        <w:rPr>
          <w:rFonts w:ascii="Arial" w:cs="Arial" w:eastAsia="Arial" w:hAnsi="Arial"/>
          <w:sz w:val="11"/>
          <w:szCs w:val="11"/>
          <w:i w:val="1"/>
          <w:iCs w:val="1"/>
          <w:color w:val="auto"/>
        </w:rPr>
      </w:pPr>
    </w:p>
    <w:p>
      <w:pPr>
        <w:ind w:left="260" w:right="140" w:hanging="255"/>
        <w:spacing w:after="0" w:line="251" w:lineRule="auto"/>
        <w:tabs>
          <w:tab w:leader="none" w:pos="259" w:val="left"/>
        </w:tabs>
        <w:numPr>
          <w:ilvl w:val="0"/>
          <w:numId w:val="28"/>
        </w:numPr>
        <w:rPr>
          <w:rFonts w:ascii="Arial" w:cs="Arial" w:eastAsia="Arial" w:hAnsi="Arial"/>
          <w:sz w:val="11"/>
          <w:szCs w:val="11"/>
          <w:i w:val="1"/>
          <w:iCs w:val="1"/>
          <w:color w:val="auto"/>
        </w:rPr>
      </w:pPr>
      <w:r>
        <w:rPr>
          <w:rFonts w:ascii="Arial" w:cs="Arial" w:eastAsia="Arial" w:hAnsi="Arial"/>
          <w:sz w:val="11"/>
          <w:szCs w:val="11"/>
          <w:i w:val="1"/>
          <w:iCs w:val="1"/>
          <w:color w:val="auto"/>
        </w:rPr>
        <w:t>Consists of (i) 1,327,624 shares of Class A common stock, (ii) fully vested options to purchase an aggregate of 547,604 shares of the Company's Class A common stock, which were granted subject to an early exercise provision and which shares were immediately exercisable, (iii) 1,050,828 shares of Class A common stock issuable upon exercise of stock options vested and vesting within 60 days of March 24, 2025, and</w:t>
      </w:r>
    </w:p>
    <w:p>
      <w:pPr>
        <w:ind w:left="260"/>
        <w:spacing w:after="0"/>
        <w:rPr>
          <w:rFonts w:ascii="Arial" w:cs="Arial" w:eastAsia="Arial" w:hAnsi="Arial"/>
          <w:sz w:val="11"/>
          <w:szCs w:val="11"/>
          <w:i w:val="1"/>
          <w:iCs w:val="1"/>
          <w:color w:val="auto"/>
        </w:rPr>
      </w:pPr>
      <w:r>
        <w:rPr>
          <w:rFonts w:ascii="Arial" w:cs="Arial" w:eastAsia="Arial" w:hAnsi="Arial"/>
          <w:sz w:val="11"/>
          <w:szCs w:val="11"/>
          <w:i w:val="1"/>
          <w:iCs w:val="1"/>
          <w:color w:val="auto"/>
        </w:rPr>
        <w:t>(iii) 53,149 shares of Class A common stock issuable upon the vesting of RSUs vesting within 60 days of March 24, 2025.</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Delinquent Section 16(a) Reports</w:t>
      </w:r>
    </w:p>
    <w:p>
      <w:pPr>
        <w:spacing w:after="0" w:line="192" w:lineRule="exact"/>
        <w:rPr>
          <w:sz w:val="20"/>
          <w:szCs w:val="20"/>
          <w:color w:val="auto"/>
        </w:rPr>
      </w:pPr>
    </w:p>
    <w:p>
      <w:pPr>
        <w:spacing w:after="0" w:line="249" w:lineRule="auto"/>
        <w:rPr>
          <w:sz w:val="20"/>
          <w:szCs w:val="20"/>
          <w:color w:val="auto"/>
        </w:rPr>
      </w:pPr>
      <w:r>
        <w:rPr>
          <w:rFonts w:ascii="Arial" w:cs="Arial" w:eastAsia="Arial" w:hAnsi="Arial"/>
          <w:sz w:val="13"/>
          <w:szCs w:val="13"/>
          <w:color w:val="auto"/>
        </w:rPr>
        <w:t>Section 16(a) of the Exchange Act requires our executive officers, directors, and beneficial owners of more than 10% of our common stock to file stock ownership reports and reports of changes in ownership with the SEC. Based on a review of those reports and written representations from the reporting persons, we believe that during fiscal year 2024 and the period thereafter through the date of this proxy statement, all Section 16(a) filing requirements were reported on a timely basis, except for one Form 4 each, filed on September 6, 2024, for Tim Chen, Lauren StClair and Samuel Yount, all of which were to report shares withheld to cover applicable taxes upon the vesting of restricted stock units which occurred on September 3, 2024. These late filings were the result of an administrative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309245</wp:posOffset>
            </wp:positionV>
            <wp:extent cx="7161530" cy="2895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1530" cy="289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 xml:space="preserve">38 </w:t>
      </w:r>
      <w:r>
        <w:rPr>
          <w:rFonts w:ascii="Arial" w:cs="Arial" w:eastAsia="Arial" w:hAnsi="Arial"/>
          <w:sz w:val="13"/>
          <w:szCs w:val="13"/>
          <w:color w:val="auto"/>
        </w:rPr>
        <w:t>PROXY STATEMENT 2025</w:t>
      </w:r>
    </w:p>
    <w:p>
      <w:pPr>
        <w:sectPr>
          <w:pgSz w:w="11900" w:h="16838" w:orient="portrait"/>
          <w:cols w:equalWidth="0" w:num="1">
            <w:col w:w="11260"/>
          </w:cols>
          <w:pgMar w:left="300" w:top="171" w:right="339" w:bottom="1440" w:gutter="0" w:footer="0" w:header="0"/>
        </w:sectPr>
      </w:pPr>
    </w:p>
    <w:bookmarkStart w:id="43" w:name="page44"/>
    <w:bookmarkEnd w:id="43"/>
    <w:p>
      <w:pPr>
        <w:ind w:left="8120"/>
        <w:spacing w:after="0"/>
        <w:rPr>
          <w:sz w:val="20"/>
          <w:szCs w:val="20"/>
          <w:color w:val="auto"/>
        </w:rPr>
      </w:pPr>
      <w:r>
        <w:rPr>
          <w:rFonts w:ascii="Arial" w:cs="Arial" w:eastAsia="Arial" w:hAnsi="Arial"/>
          <w:sz w:val="13"/>
          <w:szCs w:val="13"/>
          <w:b w:val="1"/>
          <w:bCs w:val="1"/>
          <w:color w:val="00482F"/>
        </w:rPr>
        <w:drawing>
          <wp:anchor simplePos="0" relativeHeight="251657728" behindDoc="1" locked="0" layoutInCell="0" allowOverlap="1">
            <wp:simplePos x="0" y="0"/>
            <wp:positionH relativeFrom="page">
              <wp:posOffset>5293995</wp:posOffset>
            </wp:positionH>
            <wp:positionV relativeFrom="page">
              <wp:posOffset>102235</wp:posOffset>
            </wp:positionV>
            <wp:extent cx="1933575" cy="147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933575" cy="147955"/>
                    </a:xfrm>
                    <a:prstGeom prst="rect">
                      <a:avLst/>
                    </a:prstGeom>
                    <a:noFill/>
                  </pic:spPr>
                </pic:pic>
              </a:graphicData>
            </a:graphic>
          </wp:anchor>
        </w:drawing>
        <w:t>AUDIT COMMITTEE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34"/>
          <w:szCs w:val="34"/>
          <w:b w:val="1"/>
          <w:bCs w:val="1"/>
          <w:color w:val="auto"/>
        </w:rPr>
        <w:t>Audit Committee Report</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Responsibilities of Oversight</w:t>
      </w:r>
    </w:p>
    <w:p>
      <w:pPr>
        <w:spacing w:after="0" w:line="192" w:lineRule="exact"/>
        <w:rPr>
          <w:sz w:val="20"/>
          <w:szCs w:val="20"/>
          <w:color w:val="auto"/>
        </w:rPr>
      </w:pPr>
    </w:p>
    <w:p>
      <w:pPr>
        <w:spacing w:after="0"/>
        <w:rPr>
          <w:sz w:val="20"/>
          <w:szCs w:val="20"/>
          <w:color w:val="auto"/>
        </w:rPr>
      </w:pPr>
      <w:r>
        <w:rPr>
          <w:rFonts w:ascii="Arial" w:cs="Arial" w:eastAsia="Arial" w:hAnsi="Arial"/>
          <w:sz w:val="13"/>
          <w:szCs w:val="13"/>
          <w:color w:val="auto"/>
        </w:rPr>
        <w:t>On behalf of our Board, our Audit Committee provides independent oversight of:</w:t>
      </w:r>
    </w:p>
    <w:p>
      <w:pPr>
        <w:spacing w:after="0" w:line="169" w:lineRule="exact"/>
        <w:rPr>
          <w:sz w:val="20"/>
          <w:szCs w:val="20"/>
          <w:color w:val="auto"/>
        </w:rPr>
      </w:pPr>
    </w:p>
    <w:p>
      <w:pPr>
        <w:ind w:left="260" w:hanging="128"/>
        <w:spacing w:after="0"/>
        <w:tabs>
          <w:tab w:leader="none" w:pos="26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reliability and integrity of the Company’s accounting policies and financial statements;</w:t>
      </w:r>
    </w:p>
    <w:p>
      <w:pPr>
        <w:spacing w:after="0" w:line="179" w:lineRule="exact"/>
        <w:rPr>
          <w:rFonts w:ascii="Arial" w:cs="Arial" w:eastAsia="Arial" w:hAnsi="Arial"/>
          <w:sz w:val="13"/>
          <w:szCs w:val="13"/>
          <w:color w:val="auto"/>
        </w:rPr>
      </w:pPr>
    </w:p>
    <w:p>
      <w:pPr>
        <w:ind w:left="260" w:hanging="128"/>
        <w:spacing w:after="0"/>
        <w:tabs>
          <w:tab w:leader="none" w:pos="26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Company’s compliance with legal and regulatory requirements;</w:t>
      </w:r>
    </w:p>
    <w:p>
      <w:pPr>
        <w:spacing w:after="0" w:line="168" w:lineRule="exact"/>
        <w:rPr>
          <w:rFonts w:ascii="Arial" w:cs="Arial" w:eastAsia="Arial" w:hAnsi="Arial"/>
          <w:sz w:val="13"/>
          <w:szCs w:val="13"/>
          <w:color w:val="auto"/>
        </w:rPr>
      </w:pPr>
    </w:p>
    <w:p>
      <w:pPr>
        <w:ind w:left="260" w:hanging="128"/>
        <w:spacing w:after="0"/>
        <w:tabs>
          <w:tab w:leader="none" w:pos="26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qualifications, scope of work, performance and independence of Deloitte &amp; Touche LLP (Deloitte), the Company’s independent registered public accounting firm;</w:t>
      </w:r>
    </w:p>
    <w:p>
      <w:pPr>
        <w:spacing w:after="0" w:line="168" w:lineRule="exact"/>
        <w:rPr>
          <w:rFonts w:ascii="Arial" w:cs="Arial" w:eastAsia="Arial" w:hAnsi="Arial"/>
          <w:sz w:val="13"/>
          <w:szCs w:val="13"/>
          <w:color w:val="auto"/>
        </w:rPr>
      </w:pPr>
    </w:p>
    <w:p>
      <w:pPr>
        <w:ind w:left="260" w:hanging="128"/>
        <w:spacing w:after="0"/>
        <w:tabs>
          <w:tab w:leader="none" w:pos="26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performance of the Company’s internal audit function and its system of internal controls;</w:t>
      </w:r>
    </w:p>
    <w:p>
      <w:pPr>
        <w:spacing w:after="0" w:line="179" w:lineRule="exact"/>
        <w:rPr>
          <w:rFonts w:ascii="Arial" w:cs="Arial" w:eastAsia="Arial" w:hAnsi="Arial"/>
          <w:sz w:val="13"/>
          <w:szCs w:val="13"/>
          <w:color w:val="auto"/>
        </w:rPr>
      </w:pPr>
    </w:p>
    <w:p>
      <w:pPr>
        <w:ind w:left="260" w:hanging="128"/>
        <w:spacing w:after="0"/>
        <w:tabs>
          <w:tab w:leader="none" w:pos="260" w:val="left"/>
        </w:tabs>
        <w:numPr>
          <w:ilvl w:val="0"/>
          <w:numId w:val="29"/>
        </w:numPr>
        <w:rPr>
          <w:rFonts w:ascii="Arial" w:cs="Arial" w:eastAsia="Arial" w:hAnsi="Arial"/>
          <w:sz w:val="13"/>
          <w:szCs w:val="13"/>
          <w:color w:val="auto"/>
        </w:rPr>
      </w:pPr>
      <w:r>
        <w:rPr>
          <w:rFonts w:ascii="Arial" w:cs="Arial" w:eastAsia="Arial" w:hAnsi="Arial"/>
          <w:sz w:val="13"/>
          <w:szCs w:val="13"/>
          <w:color w:val="auto"/>
        </w:rPr>
        <w:t>Compliance with the Code of Business Conduct and implementation and effectiveness of the Company’s compliance and ethics programs;</w:t>
      </w:r>
    </w:p>
    <w:p>
      <w:pPr>
        <w:spacing w:after="0" w:line="168" w:lineRule="exact"/>
        <w:rPr>
          <w:rFonts w:ascii="Arial" w:cs="Arial" w:eastAsia="Arial" w:hAnsi="Arial"/>
          <w:sz w:val="13"/>
          <w:szCs w:val="13"/>
          <w:color w:val="auto"/>
        </w:rPr>
      </w:pPr>
    </w:p>
    <w:p>
      <w:pPr>
        <w:ind w:left="260" w:hanging="128"/>
        <w:spacing w:after="0"/>
        <w:tabs>
          <w:tab w:leader="none" w:pos="26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Company’s major financial risk exposures, and management’s risk assessment and risk management policies; and</w:t>
      </w:r>
    </w:p>
    <w:p>
      <w:pPr>
        <w:spacing w:after="0" w:line="179" w:lineRule="exact"/>
        <w:rPr>
          <w:rFonts w:ascii="Arial" w:cs="Arial" w:eastAsia="Arial" w:hAnsi="Arial"/>
          <w:sz w:val="13"/>
          <w:szCs w:val="13"/>
          <w:color w:val="auto"/>
        </w:rPr>
      </w:pPr>
    </w:p>
    <w:p>
      <w:pPr>
        <w:ind w:left="260" w:hanging="128"/>
        <w:spacing w:after="0"/>
        <w:tabs>
          <w:tab w:leader="none" w:pos="260" w:val="left"/>
        </w:tabs>
        <w:numPr>
          <w:ilvl w:val="0"/>
          <w:numId w:val="29"/>
        </w:numPr>
        <w:rPr>
          <w:rFonts w:ascii="Arial" w:cs="Arial" w:eastAsia="Arial" w:hAnsi="Arial"/>
          <w:sz w:val="13"/>
          <w:szCs w:val="13"/>
          <w:color w:val="auto"/>
        </w:rPr>
      </w:pPr>
      <w:r>
        <w:rPr>
          <w:rFonts w:ascii="Arial" w:cs="Arial" w:eastAsia="Arial" w:hAnsi="Arial"/>
          <w:sz w:val="13"/>
          <w:szCs w:val="13"/>
          <w:color w:val="auto"/>
        </w:rPr>
        <w:t>The Company’s cybersecurity matters.</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Required Communications with Audit Committee</w:t>
      </w:r>
    </w:p>
    <w:p>
      <w:pPr>
        <w:spacing w:after="0" w:line="181" w:lineRule="exact"/>
        <w:rPr>
          <w:sz w:val="20"/>
          <w:szCs w:val="20"/>
          <w:color w:val="auto"/>
        </w:rPr>
      </w:pPr>
    </w:p>
    <w:p>
      <w:pPr>
        <w:jc w:val="both"/>
        <w:ind w:right="420"/>
        <w:spacing w:after="0" w:line="261" w:lineRule="auto"/>
        <w:rPr>
          <w:sz w:val="20"/>
          <w:szCs w:val="20"/>
          <w:color w:val="auto"/>
        </w:rPr>
      </w:pPr>
      <w:r>
        <w:rPr>
          <w:rFonts w:ascii="Arial" w:cs="Arial" w:eastAsia="Arial" w:hAnsi="Arial"/>
          <w:sz w:val="13"/>
          <w:szCs w:val="13"/>
          <w:color w:val="auto"/>
        </w:rPr>
        <w:t>As part of its oversight of the Company’s Annual Report on Form 10-K for the year ended December 31, 2024, our Audit Committee reviewed and discussed with management and Deloitte the Company’s audited consolidated financial statements and related footnotes for the year ended December 31, 2024 and Deloitte’s report on those financial statements. Our Audit Committee has discussed with Deloitte the matters required to be discussed by the applicable requirements of the Public Company Accounting Oversight Board (PCAOB) and the SEC.</w:t>
      </w:r>
    </w:p>
    <w:p>
      <w:pPr>
        <w:spacing w:after="0" w:line="138" w:lineRule="exact"/>
        <w:rPr>
          <w:sz w:val="20"/>
          <w:szCs w:val="20"/>
          <w:color w:val="auto"/>
        </w:rPr>
      </w:pPr>
    </w:p>
    <w:p>
      <w:pPr>
        <w:ind w:right="220"/>
        <w:spacing w:after="0" w:line="254" w:lineRule="auto"/>
        <w:rPr>
          <w:sz w:val="20"/>
          <w:szCs w:val="20"/>
          <w:color w:val="auto"/>
        </w:rPr>
      </w:pPr>
      <w:r>
        <w:rPr>
          <w:rFonts w:ascii="Arial" w:cs="Arial" w:eastAsia="Arial" w:hAnsi="Arial"/>
          <w:sz w:val="13"/>
          <w:szCs w:val="13"/>
          <w:color w:val="auto"/>
        </w:rPr>
        <w:t>These required communications included Deloitte’s perspective on the quality (not merely the acceptability) of the Company’s accounting principles, the reasonableness of significant estimates and judgments made by management, and the disclosures in the audited consolidated financial statements, including the disclosures relating to critical accounting policies and critical audit matters addressed in Deloitte’s audit report. Our Audit Committee also received the written disclosures and a letter from Deloitte required by the applicable requirements of the PCAOB regarding Deloitte’s communications with our Audit Committee concerning independence. Our Audit Committee has discussed with Deloitte its independence with respect to the Company and has considered whether Deloitte’s provision of non-audit services is compatible with its independence.</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Audit Committee Recommendation</w:t>
      </w:r>
    </w:p>
    <w:p>
      <w:pPr>
        <w:spacing w:after="0" w:line="192" w:lineRule="exact"/>
        <w:rPr>
          <w:sz w:val="20"/>
          <w:szCs w:val="20"/>
          <w:color w:val="auto"/>
        </w:rPr>
      </w:pPr>
    </w:p>
    <w:p>
      <w:pPr>
        <w:ind w:right="140"/>
        <w:spacing w:after="0" w:line="261" w:lineRule="auto"/>
        <w:rPr>
          <w:sz w:val="20"/>
          <w:szCs w:val="20"/>
          <w:color w:val="auto"/>
        </w:rPr>
      </w:pPr>
      <w:r>
        <w:rPr>
          <w:rFonts w:ascii="Arial" w:cs="Arial" w:eastAsia="Arial" w:hAnsi="Arial"/>
          <w:sz w:val="13"/>
          <w:szCs w:val="13"/>
          <w:color w:val="auto"/>
        </w:rPr>
        <w:t>Based upon these reviews and discussions, our Audit Committee recommended to our Board that the Company’s audited consolidated financial statements be included in the Annual Report on Form 10-K for the year ended December 31, 2024 to be filed with the SEC. Our Audit Committee also appointed Deloitte to serve as the Company’s independent registered public accounting firm for the year ending December 31, 2025.</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color w:val="auto"/>
        </w:rPr>
        <w:t>This report has been furnished by the members of our Audit Committee of our Board:</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Audit Committee</w:t>
      </w:r>
    </w:p>
    <w:p>
      <w:pPr>
        <w:spacing w:after="0" w:line="185" w:lineRule="exact"/>
        <w:rPr>
          <w:sz w:val="20"/>
          <w:szCs w:val="20"/>
          <w:color w:val="auto"/>
        </w:rPr>
      </w:pPr>
    </w:p>
    <w:p>
      <w:pPr>
        <w:spacing w:after="0"/>
        <w:rPr>
          <w:sz w:val="20"/>
          <w:szCs w:val="20"/>
          <w:color w:val="auto"/>
        </w:rPr>
      </w:pPr>
      <w:r>
        <w:rPr>
          <w:rFonts w:ascii="Arial" w:cs="Arial" w:eastAsia="Arial" w:hAnsi="Arial"/>
          <w:sz w:val="13"/>
          <w:szCs w:val="13"/>
          <w:color w:val="auto"/>
        </w:rPr>
        <w:t>Jennifer E. Ceran (Chair)</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Kenneth T. McBride</w:t>
      </w:r>
    </w:p>
    <w:p>
      <w:pPr>
        <w:spacing w:after="0" w:line="31" w:lineRule="exact"/>
        <w:rPr>
          <w:sz w:val="20"/>
          <w:szCs w:val="20"/>
          <w:color w:val="auto"/>
        </w:rPr>
      </w:pPr>
    </w:p>
    <w:p>
      <w:pPr>
        <w:spacing w:after="0"/>
        <w:rPr>
          <w:sz w:val="20"/>
          <w:szCs w:val="20"/>
          <w:color w:val="auto"/>
        </w:rPr>
      </w:pPr>
      <w:r>
        <w:rPr>
          <w:rFonts w:ascii="Arial" w:cs="Arial" w:eastAsia="Arial" w:hAnsi="Arial"/>
          <w:sz w:val="13"/>
          <w:szCs w:val="13"/>
          <w:color w:val="auto"/>
        </w:rPr>
        <w:t>Maurice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161530" cy="2895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1530" cy="28956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39</w:t>
      </w:r>
    </w:p>
    <w:p>
      <w:pPr>
        <w:sectPr>
          <w:pgSz w:w="11900" w:h="16838" w:orient="portrait"/>
          <w:cols w:equalWidth="0" w:num="1">
            <w:col w:w="11240"/>
          </w:cols>
          <w:pgMar w:left="300" w:top="171" w:right="359" w:bottom="1440" w:gutter="0" w:footer="0" w:header="0"/>
        </w:sectPr>
      </w:pPr>
    </w:p>
    <w:bookmarkStart w:id="44" w:name="page45"/>
    <w:bookmarkEnd w:id="44"/>
    <w:p>
      <w:pPr>
        <w:ind w:left="300"/>
        <w:spacing w:after="0"/>
        <w:rPr>
          <w:sz w:val="20"/>
          <w:szCs w:val="20"/>
          <w:color w:val="auto"/>
        </w:rPr>
      </w:pPr>
      <w:r>
        <w:rPr>
          <w:rFonts w:ascii="Arial" w:cs="Arial" w:eastAsia="Arial" w:hAnsi="Arial"/>
          <w:sz w:val="13"/>
          <w:szCs w:val="13"/>
          <w:b w:val="1"/>
          <w:bCs w:val="1"/>
          <w:color w:val="00482F"/>
        </w:rPr>
        <w:drawing>
          <wp:anchor simplePos="0" relativeHeight="251657728" behindDoc="1" locked="0" layoutInCell="0" allowOverlap="1">
            <wp:simplePos x="0" y="0"/>
            <wp:positionH relativeFrom="page">
              <wp:posOffset>328295</wp:posOffset>
            </wp:positionH>
            <wp:positionV relativeFrom="page">
              <wp:posOffset>102235</wp:posOffset>
            </wp:positionV>
            <wp:extent cx="1933575" cy="147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933575" cy="147955"/>
                    </a:xfrm>
                    <a:prstGeom prst="rect">
                      <a:avLst/>
                    </a:prstGeom>
                    <a:noFill/>
                  </pic:spPr>
                </pic:pic>
              </a:graphicData>
            </a:graphic>
          </wp:anchor>
        </w:drawing>
        <w:t>AUDIT COMMITTEE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34"/>
          <w:szCs w:val="34"/>
          <w:b w:val="1"/>
          <w:bCs w:val="1"/>
          <w:color w:val="auto"/>
        </w:rPr>
        <w:t>Audit Committee Matters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Pre-Approval Policies and Procedures</w:t>
      </w:r>
    </w:p>
    <w:p>
      <w:pPr>
        <w:spacing w:after="0" w:line="192" w:lineRule="exact"/>
        <w:rPr>
          <w:sz w:val="20"/>
          <w:szCs w:val="20"/>
          <w:color w:val="auto"/>
        </w:rPr>
      </w:pPr>
    </w:p>
    <w:p>
      <w:pPr>
        <w:ind w:right="140"/>
        <w:spacing w:after="0" w:line="261" w:lineRule="auto"/>
        <w:rPr>
          <w:sz w:val="20"/>
          <w:szCs w:val="20"/>
          <w:color w:val="auto"/>
        </w:rPr>
      </w:pPr>
      <w:r>
        <w:rPr>
          <w:rFonts w:ascii="Arial" w:cs="Arial" w:eastAsia="Arial" w:hAnsi="Arial"/>
          <w:sz w:val="13"/>
          <w:szCs w:val="13"/>
          <w:color w:val="auto"/>
        </w:rPr>
        <w:t>Our Audit Committee has the sole authority to review in advance, and pre-approve (which may be pursuant to pre-approval policies and procedures) all audit and non-audit services to be provided by the Company’s independent auditors and to approve all related fees and other terms of engagement to ensure that the provision of these services do not impair the independence of the Company’s independent audit firm from the Company and its subsidiaries.</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color w:val="auto"/>
        </w:rPr>
        <w:t>All of the services rendered by Deloitte to the Company and its subsidiaries during 2024 were pre-approved by our Audit Committee.</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Independent Registered Public Accounting Firm Fees</w:t>
      </w:r>
    </w:p>
    <w:p>
      <w:pPr>
        <w:spacing w:after="0" w:line="192" w:lineRule="exact"/>
        <w:rPr>
          <w:sz w:val="20"/>
          <w:szCs w:val="20"/>
          <w:color w:val="auto"/>
        </w:rPr>
      </w:pPr>
    </w:p>
    <w:p>
      <w:pPr>
        <w:jc w:val="both"/>
        <w:ind w:right="140"/>
        <w:spacing w:after="0" w:line="261" w:lineRule="auto"/>
        <w:rPr>
          <w:sz w:val="20"/>
          <w:szCs w:val="20"/>
          <w:color w:val="auto"/>
        </w:rPr>
      </w:pPr>
      <w:r>
        <w:rPr>
          <w:rFonts w:ascii="Arial" w:cs="Arial" w:eastAsia="Arial" w:hAnsi="Arial"/>
          <w:sz w:val="13"/>
          <w:szCs w:val="13"/>
          <w:color w:val="auto"/>
        </w:rPr>
        <w:t>Our Audit Committee retained Deloitte to audit the Company’s consolidated financial statements as of and for the years ended December 31, 2024 and 2023. The following table provides information regarding fees billed by Deloitte (i.e., Deloitte &amp; Touche LLP) and other member firms of Deloitte Touche Tohmatsu Limited and their respective affiliates for the fiscal years ended December 31, 2024 and 2023, inclusive of out-of-pocket expenses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200" w:type="dxa"/>
            <w:vAlign w:val="bottom"/>
            <w:tcBorders>
              <w:top w:val="single" w:sz="8" w:color="008256"/>
              <w:right w:val="single" w:sz="8" w:color="008256"/>
            </w:tcBorders>
          </w:tcPr>
          <w:p>
            <w:pPr>
              <w:spacing w:after="0"/>
              <w:rPr>
                <w:sz w:val="14"/>
                <w:szCs w:val="14"/>
                <w:color w:val="auto"/>
              </w:rPr>
            </w:pPr>
          </w:p>
        </w:tc>
        <w:tc>
          <w:tcPr>
            <w:tcW w:w="660" w:type="dxa"/>
            <w:vAlign w:val="bottom"/>
            <w:tcBorders>
              <w:top w:val="single" w:sz="8" w:color="008256"/>
            </w:tcBorders>
          </w:tcPr>
          <w:p>
            <w:pPr>
              <w:jc w:val="right"/>
              <w:spacing w:after="0"/>
              <w:rPr>
                <w:sz w:val="20"/>
                <w:szCs w:val="20"/>
                <w:color w:val="auto"/>
              </w:rPr>
            </w:pPr>
            <w:r>
              <w:rPr>
                <w:rFonts w:ascii="Arial" w:cs="Arial" w:eastAsia="Arial" w:hAnsi="Arial"/>
                <w:sz w:val="13"/>
                <w:szCs w:val="13"/>
                <w:b w:val="1"/>
                <w:bCs w:val="1"/>
                <w:color w:val="auto"/>
              </w:rPr>
              <w:t>2024</w:t>
            </w:r>
          </w:p>
        </w:tc>
        <w:tc>
          <w:tcPr>
            <w:tcW w:w="400" w:type="dxa"/>
            <w:vAlign w:val="bottom"/>
            <w:tcBorders>
              <w:top w:val="single" w:sz="8" w:color="008256"/>
              <w:right w:val="single" w:sz="8" w:color="008256"/>
            </w:tcBorders>
          </w:tcPr>
          <w:p>
            <w:pPr>
              <w:spacing w:after="0"/>
              <w:rPr>
                <w:sz w:val="14"/>
                <w:szCs w:val="14"/>
                <w:color w:val="auto"/>
              </w:rPr>
            </w:pPr>
          </w:p>
        </w:tc>
        <w:tc>
          <w:tcPr>
            <w:tcW w:w="1020" w:type="dxa"/>
            <w:vAlign w:val="bottom"/>
            <w:tcBorders>
              <w:top w:val="single" w:sz="8" w:color="008256"/>
            </w:tcBorders>
          </w:tcPr>
          <w:p>
            <w:pPr>
              <w:jc w:val="right"/>
              <w:ind w:right="316"/>
              <w:spacing w:after="0"/>
              <w:rPr>
                <w:sz w:val="20"/>
                <w:szCs w:val="20"/>
                <w:color w:val="auto"/>
              </w:rPr>
            </w:pPr>
            <w:r>
              <w:rPr>
                <w:rFonts w:ascii="Arial" w:cs="Arial" w:eastAsia="Arial" w:hAnsi="Arial"/>
                <w:sz w:val="13"/>
                <w:szCs w:val="13"/>
                <w:b w:val="1"/>
                <w:bCs w:val="1"/>
                <w:color w:val="auto"/>
              </w:rPr>
              <w:t>2023</w:t>
            </w:r>
          </w:p>
        </w:tc>
      </w:tr>
      <w:tr>
        <w:trPr>
          <w:trHeight w:val="184"/>
        </w:trPr>
        <w:tc>
          <w:tcPr>
            <w:tcW w:w="9200" w:type="dxa"/>
            <w:vAlign w:val="bottom"/>
            <w:tcBorders>
              <w:right w:val="single" w:sz="8" w:color="008256"/>
            </w:tcBorders>
          </w:tcPr>
          <w:p>
            <w:pPr>
              <w:ind w:left="80"/>
              <w:spacing w:after="0"/>
              <w:rPr>
                <w:sz w:val="20"/>
                <w:szCs w:val="20"/>
                <w:color w:val="auto"/>
              </w:rPr>
            </w:pPr>
            <w:r>
              <w:rPr>
                <w:rFonts w:ascii="Arial" w:cs="Arial" w:eastAsia="Arial" w:hAnsi="Arial"/>
                <w:sz w:val="13"/>
                <w:szCs w:val="13"/>
                <w:b w:val="1"/>
                <w:bCs w:val="1"/>
                <w:color w:val="auto"/>
              </w:rPr>
              <w:t>Type of Service</w:t>
            </w:r>
          </w:p>
        </w:tc>
        <w:tc>
          <w:tcPr>
            <w:tcW w:w="6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400" w:type="dxa"/>
            <w:vAlign w:val="bottom"/>
            <w:tcBorders>
              <w:right w:val="single" w:sz="8" w:color="008256"/>
            </w:tcBorders>
          </w:tcPr>
          <w:p>
            <w:pPr>
              <w:spacing w:after="0"/>
              <w:rPr>
                <w:sz w:val="15"/>
                <w:szCs w:val="15"/>
                <w:color w:val="auto"/>
              </w:rPr>
            </w:pPr>
          </w:p>
        </w:tc>
        <w:tc>
          <w:tcPr>
            <w:tcW w:w="1020" w:type="dxa"/>
            <w:vAlign w:val="bottom"/>
          </w:tcPr>
          <w:p>
            <w:pPr>
              <w:jc w:val="right"/>
              <w:ind w:right="376"/>
              <w:spacing w:after="0"/>
              <w:rPr>
                <w:sz w:val="20"/>
                <w:szCs w:val="20"/>
                <w:color w:val="auto"/>
              </w:rPr>
            </w:pPr>
            <w:r>
              <w:rPr>
                <w:rFonts w:ascii="Arial" w:cs="Arial" w:eastAsia="Arial" w:hAnsi="Arial"/>
                <w:sz w:val="13"/>
                <w:szCs w:val="13"/>
                <w:b w:val="1"/>
                <w:bCs w:val="1"/>
                <w:color w:val="auto"/>
              </w:rPr>
              <w:t>($)</w:t>
            </w:r>
          </w:p>
        </w:tc>
      </w:tr>
      <w:tr>
        <w:trPr>
          <w:trHeight w:val="198"/>
        </w:trPr>
        <w:tc>
          <w:tcPr>
            <w:tcW w:w="9200" w:type="dxa"/>
            <w:vAlign w:val="bottom"/>
            <w:tcBorders>
              <w:bottom w:val="single" w:sz="8" w:color="008256"/>
              <w:right w:val="single" w:sz="8" w:color="008256"/>
            </w:tcBorders>
          </w:tcPr>
          <w:p>
            <w:pPr>
              <w:spacing w:after="0"/>
              <w:rPr>
                <w:sz w:val="17"/>
                <w:szCs w:val="17"/>
                <w:color w:val="auto"/>
              </w:rPr>
            </w:pPr>
          </w:p>
        </w:tc>
        <w:tc>
          <w:tcPr>
            <w:tcW w:w="660" w:type="dxa"/>
            <w:vAlign w:val="bottom"/>
            <w:tcBorders>
              <w:bottom w:val="single" w:sz="8" w:color="008256"/>
            </w:tcBorders>
          </w:tcPr>
          <w:p>
            <w:pPr>
              <w:spacing w:after="0"/>
              <w:rPr>
                <w:sz w:val="17"/>
                <w:szCs w:val="17"/>
                <w:color w:val="auto"/>
              </w:rPr>
            </w:pPr>
          </w:p>
        </w:tc>
        <w:tc>
          <w:tcPr>
            <w:tcW w:w="400" w:type="dxa"/>
            <w:vAlign w:val="bottom"/>
            <w:tcBorders>
              <w:bottom w:val="single" w:sz="8" w:color="008256"/>
              <w:right w:val="single" w:sz="8" w:color="008256"/>
            </w:tcBorders>
          </w:tcPr>
          <w:p>
            <w:pPr>
              <w:spacing w:after="0"/>
              <w:rPr>
                <w:sz w:val="17"/>
                <w:szCs w:val="17"/>
                <w:color w:val="auto"/>
              </w:rPr>
            </w:pPr>
          </w:p>
        </w:tc>
        <w:tc>
          <w:tcPr>
            <w:tcW w:w="1020" w:type="dxa"/>
            <w:vAlign w:val="bottom"/>
            <w:tcBorders>
              <w:bottom w:val="single" w:sz="8" w:color="008256"/>
            </w:tcBorders>
          </w:tcPr>
          <w:p>
            <w:pPr>
              <w:spacing w:after="0"/>
              <w:rPr>
                <w:sz w:val="17"/>
                <w:szCs w:val="17"/>
                <w:color w:val="auto"/>
              </w:rPr>
            </w:pPr>
          </w:p>
        </w:tc>
      </w:tr>
      <w:tr>
        <w:trPr>
          <w:trHeight w:val="182"/>
        </w:trPr>
        <w:tc>
          <w:tcPr>
            <w:tcW w:w="9200" w:type="dxa"/>
            <w:vAlign w:val="bottom"/>
            <w:tcBorders>
              <w:right w:val="single" w:sz="8" w:color="008256"/>
            </w:tcBorders>
          </w:tcPr>
          <w:p>
            <w:pPr>
              <w:ind w:left="80"/>
              <w:spacing w:after="0" w:line="181" w:lineRule="exact"/>
              <w:rPr>
                <w:sz w:val="20"/>
                <w:szCs w:val="20"/>
                <w:color w:val="auto"/>
              </w:rPr>
            </w:pPr>
            <w:r>
              <w:rPr>
                <w:rFonts w:ascii="Arial" w:cs="Arial" w:eastAsia="Arial" w:hAnsi="Arial"/>
                <w:sz w:val="13"/>
                <w:szCs w:val="13"/>
                <w:color w:val="auto"/>
              </w:rPr>
              <w:t>Audit Fees</w:t>
            </w:r>
            <w:r>
              <w:rPr>
                <w:rFonts w:ascii="Arial" w:cs="Arial" w:eastAsia="Arial" w:hAnsi="Arial"/>
                <w:sz w:val="16"/>
                <w:szCs w:val="16"/>
                <w:color w:val="auto"/>
                <w:vertAlign w:val="superscript"/>
              </w:rPr>
              <w:t>(1)</w:t>
            </w:r>
          </w:p>
        </w:tc>
        <w:tc>
          <w:tcPr>
            <w:tcW w:w="660" w:type="dxa"/>
            <w:vAlign w:val="bottom"/>
          </w:tcPr>
          <w:p>
            <w:pPr>
              <w:spacing w:after="0"/>
              <w:rPr>
                <w:sz w:val="15"/>
                <w:szCs w:val="15"/>
                <w:color w:val="auto"/>
              </w:rPr>
            </w:pPr>
          </w:p>
        </w:tc>
        <w:tc>
          <w:tcPr>
            <w:tcW w:w="400" w:type="dxa"/>
            <w:vAlign w:val="bottom"/>
            <w:tcBorders>
              <w:right w:val="single" w:sz="8" w:color="008256"/>
            </w:tcBorders>
          </w:tcPr>
          <w:p>
            <w:pPr>
              <w:jc w:val="right"/>
              <w:ind w:right="16"/>
              <w:spacing w:after="0"/>
              <w:rPr>
                <w:sz w:val="20"/>
                <w:szCs w:val="20"/>
                <w:color w:val="auto"/>
              </w:rPr>
            </w:pPr>
            <w:r>
              <w:rPr>
                <w:rFonts w:ascii="Arial" w:cs="Arial" w:eastAsia="Arial" w:hAnsi="Arial"/>
                <w:sz w:val="13"/>
                <w:szCs w:val="13"/>
                <w:color w:val="auto"/>
                <w:w w:val="92"/>
              </w:rPr>
              <w:t>1,853</w:t>
            </w:r>
          </w:p>
        </w:tc>
        <w:tc>
          <w:tcPr>
            <w:tcW w:w="1020" w:type="dxa"/>
            <w:vAlign w:val="bottom"/>
          </w:tcPr>
          <w:p>
            <w:pPr>
              <w:jc w:val="right"/>
              <w:spacing w:after="0"/>
              <w:rPr>
                <w:sz w:val="20"/>
                <w:szCs w:val="20"/>
                <w:color w:val="auto"/>
              </w:rPr>
            </w:pPr>
            <w:r>
              <w:rPr>
                <w:rFonts w:ascii="Arial" w:cs="Arial" w:eastAsia="Arial" w:hAnsi="Arial"/>
                <w:sz w:val="13"/>
                <w:szCs w:val="13"/>
                <w:color w:val="auto"/>
              </w:rPr>
              <w:t>1,763</w:t>
            </w:r>
          </w:p>
        </w:tc>
      </w:tr>
      <w:tr>
        <w:trPr>
          <w:trHeight w:val="191"/>
        </w:trPr>
        <w:tc>
          <w:tcPr>
            <w:tcW w:w="9200" w:type="dxa"/>
            <w:vAlign w:val="bottom"/>
            <w:tcBorders>
              <w:right w:val="single" w:sz="8" w:color="008256"/>
            </w:tcBorders>
            <w:shd w:val="clear" w:color="auto" w:fill="E6F4EF"/>
          </w:tcPr>
          <w:p>
            <w:pPr>
              <w:ind w:left="80"/>
              <w:spacing w:after="0"/>
              <w:rPr>
                <w:sz w:val="20"/>
                <w:szCs w:val="20"/>
                <w:color w:val="auto"/>
              </w:rPr>
            </w:pPr>
            <w:r>
              <w:rPr>
                <w:rFonts w:ascii="Arial" w:cs="Arial" w:eastAsia="Arial" w:hAnsi="Arial"/>
                <w:sz w:val="13"/>
                <w:szCs w:val="13"/>
                <w:color w:val="auto"/>
              </w:rPr>
              <w:t>Audit-Related Fees</w:t>
            </w:r>
            <w:r>
              <w:rPr>
                <w:rFonts w:ascii="Arial" w:cs="Arial" w:eastAsia="Arial" w:hAnsi="Arial"/>
                <w:sz w:val="16"/>
                <w:szCs w:val="16"/>
                <w:color w:val="auto"/>
                <w:vertAlign w:val="superscript"/>
              </w:rPr>
              <w:t>(2)</w:t>
            </w:r>
          </w:p>
        </w:tc>
        <w:tc>
          <w:tcPr>
            <w:tcW w:w="660" w:type="dxa"/>
            <w:vAlign w:val="bottom"/>
            <w:shd w:val="clear" w:color="auto" w:fill="E6F4EF"/>
          </w:tcPr>
          <w:p>
            <w:pPr>
              <w:spacing w:after="0"/>
              <w:rPr>
                <w:sz w:val="16"/>
                <w:szCs w:val="16"/>
                <w:color w:val="auto"/>
              </w:rPr>
            </w:pPr>
          </w:p>
        </w:tc>
        <w:tc>
          <w:tcPr>
            <w:tcW w:w="400" w:type="dxa"/>
            <w:vAlign w:val="bottom"/>
            <w:tcBorders>
              <w:right w:val="single" w:sz="8" w:color="008256"/>
            </w:tcBorders>
            <w:shd w:val="clear" w:color="auto" w:fill="E6F4EF"/>
          </w:tcPr>
          <w:p>
            <w:pPr>
              <w:jc w:val="right"/>
              <w:ind w:right="16"/>
              <w:spacing w:after="0"/>
              <w:rPr>
                <w:sz w:val="20"/>
                <w:szCs w:val="20"/>
                <w:color w:val="auto"/>
              </w:rPr>
            </w:pPr>
            <w:r>
              <w:rPr>
                <w:rFonts w:ascii="Arial" w:cs="Arial" w:eastAsia="Arial" w:hAnsi="Arial"/>
                <w:sz w:val="13"/>
                <w:szCs w:val="13"/>
                <w:color w:val="auto"/>
              </w:rPr>
              <w:t>—</w:t>
            </w:r>
          </w:p>
        </w:tc>
        <w:tc>
          <w:tcPr>
            <w:tcW w:w="1020" w:type="dxa"/>
            <w:vAlign w:val="bottom"/>
            <w:shd w:val="clear" w:color="auto" w:fill="E6F4EF"/>
          </w:tcPr>
          <w:p>
            <w:pPr>
              <w:jc w:val="right"/>
              <w:spacing w:after="0"/>
              <w:rPr>
                <w:sz w:val="20"/>
                <w:szCs w:val="20"/>
                <w:color w:val="auto"/>
              </w:rPr>
            </w:pPr>
            <w:r>
              <w:rPr>
                <w:rFonts w:ascii="Arial" w:cs="Arial" w:eastAsia="Arial" w:hAnsi="Arial"/>
                <w:sz w:val="13"/>
                <w:szCs w:val="13"/>
                <w:color w:val="auto"/>
              </w:rPr>
              <w:t>—</w:t>
            </w:r>
          </w:p>
        </w:tc>
      </w:tr>
      <w:tr>
        <w:trPr>
          <w:trHeight w:val="191"/>
        </w:trPr>
        <w:tc>
          <w:tcPr>
            <w:tcW w:w="9200" w:type="dxa"/>
            <w:vAlign w:val="bottom"/>
            <w:tcBorders>
              <w:right w:val="single" w:sz="8" w:color="008256"/>
            </w:tcBorders>
          </w:tcPr>
          <w:p>
            <w:pPr>
              <w:ind w:left="80"/>
              <w:spacing w:after="0"/>
              <w:rPr>
                <w:sz w:val="20"/>
                <w:szCs w:val="20"/>
                <w:color w:val="auto"/>
              </w:rPr>
            </w:pPr>
            <w:r>
              <w:rPr>
                <w:rFonts w:ascii="Arial" w:cs="Arial" w:eastAsia="Arial" w:hAnsi="Arial"/>
                <w:sz w:val="13"/>
                <w:szCs w:val="13"/>
                <w:color w:val="auto"/>
              </w:rPr>
              <w:t>Tax Fees</w:t>
            </w:r>
            <w:r>
              <w:rPr>
                <w:rFonts w:ascii="Arial" w:cs="Arial" w:eastAsia="Arial" w:hAnsi="Arial"/>
                <w:sz w:val="16"/>
                <w:szCs w:val="16"/>
                <w:color w:val="auto"/>
                <w:vertAlign w:val="superscript"/>
              </w:rPr>
              <w:t>(3)</w:t>
            </w:r>
          </w:p>
        </w:tc>
        <w:tc>
          <w:tcPr>
            <w:tcW w:w="660" w:type="dxa"/>
            <w:vAlign w:val="bottom"/>
          </w:tcPr>
          <w:p>
            <w:pPr>
              <w:spacing w:after="0"/>
              <w:rPr>
                <w:sz w:val="16"/>
                <w:szCs w:val="16"/>
                <w:color w:val="auto"/>
              </w:rPr>
            </w:pPr>
          </w:p>
        </w:tc>
        <w:tc>
          <w:tcPr>
            <w:tcW w:w="400" w:type="dxa"/>
            <w:vAlign w:val="bottom"/>
            <w:tcBorders>
              <w:right w:val="single" w:sz="8" w:color="008256"/>
            </w:tcBorders>
          </w:tcPr>
          <w:p>
            <w:pPr>
              <w:jc w:val="right"/>
              <w:ind w:right="16"/>
              <w:spacing w:after="0"/>
              <w:rPr>
                <w:sz w:val="20"/>
                <w:szCs w:val="20"/>
                <w:color w:val="auto"/>
              </w:rPr>
            </w:pPr>
            <w:r>
              <w:rPr>
                <w:rFonts w:ascii="Arial" w:cs="Arial" w:eastAsia="Arial" w:hAnsi="Arial"/>
                <w:sz w:val="13"/>
                <w:szCs w:val="13"/>
                <w:color w:val="auto"/>
              </w:rPr>
              <w:t>268</w:t>
            </w:r>
          </w:p>
        </w:tc>
        <w:tc>
          <w:tcPr>
            <w:tcW w:w="1020" w:type="dxa"/>
            <w:vAlign w:val="bottom"/>
          </w:tcPr>
          <w:p>
            <w:pPr>
              <w:jc w:val="right"/>
              <w:spacing w:after="0"/>
              <w:rPr>
                <w:sz w:val="20"/>
                <w:szCs w:val="20"/>
                <w:color w:val="auto"/>
              </w:rPr>
            </w:pPr>
            <w:r>
              <w:rPr>
                <w:rFonts w:ascii="Arial" w:cs="Arial" w:eastAsia="Arial" w:hAnsi="Arial"/>
                <w:sz w:val="13"/>
                <w:szCs w:val="13"/>
                <w:color w:val="auto"/>
              </w:rPr>
              <w:t>432</w:t>
            </w:r>
          </w:p>
        </w:tc>
      </w:tr>
      <w:tr>
        <w:trPr>
          <w:trHeight w:val="191"/>
        </w:trPr>
        <w:tc>
          <w:tcPr>
            <w:tcW w:w="9200" w:type="dxa"/>
            <w:vAlign w:val="bottom"/>
            <w:tcBorders>
              <w:right w:val="single" w:sz="8" w:color="008256"/>
            </w:tcBorders>
            <w:shd w:val="clear" w:color="auto" w:fill="E6F4EF"/>
          </w:tcPr>
          <w:p>
            <w:pPr>
              <w:ind w:left="80"/>
              <w:spacing w:after="0"/>
              <w:rPr>
                <w:sz w:val="20"/>
                <w:szCs w:val="20"/>
                <w:color w:val="auto"/>
              </w:rPr>
            </w:pPr>
            <w:r>
              <w:rPr>
                <w:rFonts w:ascii="Arial" w:cs="Arial" w:eastAsia="Arial" w:hAnsi="Arial"/>
                <w:sz w:val="13"/>
                <w:szCs w:val="13"/>
                <w:color w:val="auto"/>
              </w:rPr>
              <w:t>All Other Fees</w:t>
            </w:r>
            <w:r>
              <w:rPr>
                <w:rFonts w:ascii="Arial" w:cs="Arial" w:eastAsia="Arial" w:hAnsi="Arial"/>
                <w:sz w:val="16"/>
                <w:szCs w:val="16"/>
                <w:color w:val="auto"/>
                <w:vertAlign w:val="superscript"/>
              </w:rPr>
              <w:t>(4)</w:t>
            </w:r>
          </w:p>
        </w:tc>
        <w:tc>
          <w:tcPr>
            <w:tcW w:w="660" w:type="dxa"/>
            <w:vAlign w:val="bottom"/>
            <w:shd w:val="clear" w:color="auto" w:fill="E6F4EF"/>
          </w:tcPr>
          <w:p>
            <w:pPr>
              <w:spacing w:after="0"/>
              <w:rPr>
                <w:sz w:val="16"/>
                <w:szCs w:val="16"/>
                <w:color w:val="auto"/>
              </w:rPr>
            </w:pPr>
          </w:p>
        </w:tc>
        <w:tc>
          <w:tcPr>
            <w:tcW w:w="400" w:type="dxa"/>
            <w:vAlign w:val="bottom"/>
            <w:tcBorders>
              <w:right w:val="single" w:sz="8" w:color="008256"/>
            </w:tcBorders>
            <w:shd w:val="clear" w:color="auto" w:fill="E6F4EF"/>
          </w:tcPr>
          <w:p>
            <w:pPr>
              <w:jc w:val="right"/>
              <w:ind w:right="16"/>
              <w:spacing w:after="0"/>
              <w:rPr>
                <w:sz w:val="20"/>
                <w:szCs w:val="20"/>
                <w:color w:val="auto"/>
              </w:rPr>
            </w:pPr>
            <w:r>
              <w:rPr>
                <w:rFonts w:ascii="Arial" w:cs="Arial" w:eastAsia="Arial" w:hAnsi="Arial"/>
                <w:sz w:val="13"/>
                <w:szCs w:val="13"/>
                <w:color w:val="auto"/>
              </w:rPr>
              <w:t>4</w:t>
            </w:r>
          </w:p>
        </w:tc>
        <w:tc>
          <w:tcPr>
            <w:tcW w:w="1020" w:type="dxa"/>
            <w:vAlign w:val="bottom"/>
            <w:shd w:val="clear" w:color="auto" w:fill="E6F4EF"/>
          </w:tcPr>
          <w:p>
            <w:pPr>
              <w:jc w:val="right"/>
              <w:spacing w:after="0"/>
              <w:rPr>
                <w:sz w:val="20"/>
                <w:szCs w:val="20"/>
                <w:color w:val="auto"/>
              </w:rPr>
            </w:pPr>
            <w:r>
              <w:rPr>
                <w:rFonts w:ascii="Arial" w:cs="Arial" w:eastAsia="Arial" w:hAnsi="Arial"/>
                <w:sz w:val="13"/>
                <w:szCs w:val="13"/>
                <w:color w:val="auto"/>
              </w:rPr>
              <w:t>4</w:t>
            </w:r>
          </w:p>
        </w:tc>
      </w:tr>
      <w:tr>
        <w:trPr>
          <w:trHeight w:val="184"/>
        </w:trPr>
        <w:tc>
          <w:tcPr>
            <w:tcW w:w="9200" w:type="dxa"/>
            <w:vAlign w:val="bottom"/>
            <w:tcBorders>
              <w:bottom w:val="single" w:sz="8" w:color="008256"/>
              <w:right w:val="single" w:sz="8" w:color="008256"/>
            </w:tcBorders>
          </w:tcPr>
          <w:p>
            <w:pPr>
              <w:ind w:left="80"/>
              <w:spacing w:after="0"/>
              <w:rPr>
                <w:sz w:val="20"/>
                <w:szCs w:val="20"/>
                <w:color w:val="auto"/>
              </w:rPr>
            </w:pPr>
            <w:r>
              <w:rPr>
                <w:rFonts w:ascii="Arial" w:cs="Arial" w:eastAsia="Arial" w:hAnsi="Arial"/>
                <w:sz w:val="13"/>
                <w:szCs w:val="13"/>
                <w:color w:val="auto"/>
              </w:rPr>
              <w:t>Total</w:t>
            </w:r>
          </w:p>
        </w:tc>
        <w:tc>
          <w:tcPr>
            <w:tcW w:w="660" w:type="dxa"/>
            <w:vAlign w:val="bottom"/>
            <w:tcBorders>
              <w:bottom w:val="single" w:sz="8" w:color="008256"/>
            </w:tcBorders>
          </w:tcPr>
          <w:p>
            <w:pPr>
              <w:spacing w:after="0"/>
              <w:rPr>
                <w:sz w:val="16"/>
                <w:szCs w:val="16"/>
                <w:color w:val="auto"/>
              </w:rPr>
            </w:pPr>
          </w:p>
        </w:tc>
        <w:tc>
          <w:tcPr>
            <w:tcW w:w="400" w:type="dxa"/>
            <w:vAlign w:val="bottom"/>
            <w:tcBorders>
              <w:bottom w:val="single" w:sz="8" w:color="008256"/>
              <w:right w:val="single" w:sz="8" w:color="008256"/>
            </w:tcBorders>
          </w:tcPr>
          <w:p>
            <w:pPr>
              <w:jc w:val="right"/>
              <w:ind w:right="16"/>
              <w:spacing w:after="0"/>
              <w:rPr>
                <w:sz w:val="20"/>
                <w:szCs w:val="20"/>
                <w:color w:val="auto"/>
              </w:rPr>
            </w:pPr>
            <w:r>
              <w:rPr>
                <w:rFonts w:ascii="Arial" w:cs="Arial" w:eastAsia="Arial" w:hAnsi="Arial"/>
                <w:sz w:val="13"/>
                <w:szCs w:val="13"/>
                <w:color w:val="auto"/>
                <w:w w:val="92"/>
              </w:rPr>
              <w:t>2,125</w:t>
            </w:r>
          </w:p>
        </w:tc>
        <w:tc>
          <w:tcPr>
            <w:tcW w:w="1020" w:type="dxa"/>
            <w:vAlign w:val="bottom"/>
            <w:tcBorders>
              <w:bottom w:val="single" w:sz="8" w:color="008256"/>
            </w:tcBorders>
          </w:tcPr>
          <w:p>
            <w:pPr>
              <w:jc w:val="right"/>
              <w:spacing w:after="0"/>
              <w:rPr>
                <w:sz w:val="20"/>
                <w:szCs w:val="20"/>
                <w:color w:val="auto"/>
              </w:rPr>
            </w:pPr>
            <w:r>
              <w:rPr>
                <w:rFonts w:ascii="Arial" w:cs="Arial" w:eastAsia="Arial" w:hAnsi="Arial"/>
                <w:sz w:val="13"/>
                <w:szCs w:val="13"/>
                <w:color w:val="auto"/>
              </w:rPr>
              <w:t>2,199</w:t>
            </w:r>
          </w:p>
        </w:tc>
      </w:tr>
    </w:tbl>
    <w:p>
      <w:pPr>
        <w:spacing w:after="0" w:line="68" w:lineRule="exact"/>
        <w:rPr>
          <w:sz w:val="20"/>
          <w:szCs w:val="20"/>
          <w:color w:val="auto"/>
        </w:rPr>
      </w:pPr>
    </w:p>
    <w:p>
      <w:pPr>
        <w:ind w:left="200" w:right="220" w:hanging="195"/>
        <w:spacing w:after="0" w:line="261" w:lineRule="auto"/>
        <w:tabs>
          <w:tab w:leader="none" w:pos="190" w:val="left"/>
        </w:tabs>
        <w:numPr>
          <w:ilvl w:val="0"/>
          <w:numId w:val="30"/>
        </w:numPr>
        <w:rPr>
          <w:rFonts w:ascii="Arial" w:cs="Arial" w:eastAsia="Arial" w:hAnsi="Arial"/>
          <w:sz w:val="11"/>
          <w:szCs w:val="11"/>
          <w:i w:val="1"/>
          <w:iCs w:val="1"/>
          <w:color w:val="auto"/>
        </w:rPr>
      </w:pPr>
      <w:r>
        <w:rPr>
          <w:rFonts w:ascii="Arial" w:cs="Arial" w:eastAsia="Arial" w:hAnsi="Arial"/>
          <w:sz w:val="11"/>
          <w:szCs w:val="11"/>
          <w:i w:val="1"/>
          <w:iCs w:val="1"/>
          <w:color w:val="auto"/>
        </w:rPr>
        <w:t>Audit Fees for professional services associated with the annual audit of our consolidated financial statements, the reviews of our quarterly condensed consolidated financial statements and the issuance of consents and comfort letters in connection with registration statement filings with the SEC.</w:t>
      </w:r>
    </w:p>
    <w:p>
      <w:pPr>
        <w:ind w:left="200" w:right="160" w:hanging="195"/>
        <w:spacing w:after="0" w:line="261" w:lineRule="auto"/>
        <w:tabs>
          <w:tab w:leader="none" w:pos="190" w:val="left"/>
        </w:tabs>
        <w:numPr>
          <w:ilvl w:val="0"/>
          <w:numId w:val="30"/>
        </w:numPr>
        <w:rPr>
          <w:rFonts w:ascii="Arial" w:cs="Arial" w:eastAsia="Arial" w:hAnsi="Arial"/>
          <w:sz w:val="11"/>
          <w:szCs w:val="11"/>
          <w:i w:val="1"/>
          <w:iCs w:val="1"/>
          <w:color w:val="auto"/>
        </w:rPr>
      </w:pPr>
      <w:r>
        <w:rPr>
          <w:rFonts w:ascii="Arial" w:cs="Arial" w:eastAsia="Arial" w:hAnsi="Arial"/>
          <w:sz w:val="11"/>
          <w:szCs w:val="11"/>
          <w:i w:val="1"/>
          <w:iCs w:val="1"/>
          <w:color w:val="auto"/>
        </w:rPr>
        <w:t>Audit-Related Fees consist of fees billed for assurance and related services that are reasonably related to the performance of the audit or review of our consolidated financial statements and are not reported under “Audit Fees.”</w:t>
      </w:r>
    </w:p>
    <w:p>
      <w:pPr>
        <w:ind w:left="180" w:hanging="175"/>
        <w:spacing w:after="0"/>
        <w:tabs>
          <w:tab w:leader="none" w:pos="180" w:val="left"/>
        </w:tabs>
        <w:numPr>
          <w:ilvl w:val="0"/>
          <w:numId w:val="30"/>
        </w:numPr>
        <w:rPr>
          <w:rFonts w:ascii="Arial" w:cs="Arial" w:eastAsia="Arial" w:hAnsi="Arial"/>
          <w:sz w:val="11"/>
          <w:szCs w:val="11"/>
          <w:i w:val="1"/>
          <w:iCs w:val="1"/>
          <w:color w:val="auto"/>
        </w:rPr>
      </w:pPr>
      <w:r>
        <w:rPr>
          <w:rFonts w:ascii="Arial" w:cs="Arial" w:eastAsia="Arial" w:hAnsi="Arial"/>
          <w:sz w:val="11"/>
          <w:szCs w:val="11"/>
          <w:i w:val="1"/>
          <w:iCs w:val="1"/>
          <w:color w:val="auto"/>
        </w:rPr>
        <w:t>Tax Fees represent fees relating to tax compliance and consulting matters.</w:t>
      </w:r>
    </w:p>
    <w:p>
      <w:pPr>
        <w:spacing w:after="0" w:line="11" w:lineRule="exact"/>
        <w:rPr>
          <w:rFonts w:ascii="Arial" w:cs="Arial" w:eastAsia="Arial" w:hAnsi="Arial"/>
          <w:sz w:val="11"/>
          <w:szCs w:val="11"/>
          <w:i w:val="1"/>
          <w:iCs w:val="1"/>
          <w:color w:val="auto"/>
        </w:rPr>
      </w:pPr>
    </w:p>
    <w:p>
      <w:pPr>
        <w:ind w:left="180" w:hanging="175"/>
        <w:spacing w:after="0"/>
        <w:tabs>
          <w:tab w:leader="none" w:pos="180" w:val="left"/>
        </w:tabs>
        <w:numPr>
          <w:ilvl w:val="0"/>
          <w:numId w:val="30"/>
        </w:numPr>
        <w:rPr>
          <w:rFonts w:ascii="Arial" w:cs="Arial" w:eastAsia="Arial" w:hAnsi="Arial"/>
          <w:sz w:val="11"/>
          <w:szCs w:val="11"/>
          <w:i w:val="1"/>
          <w:iCs w:val="1"/>
          <w:color w:val="auto"/>
        </w:rPr>
      </w:pPr>
      <w:r>
        <w:rPr>
          <w:rFonts w:ascii="Arial" w:cs="Arial" w:eastAsia="Arial" w:hAnsi="Arial"/>
          <w:sz w:val="11"/>
          <w:szCs w:val="11"/>
          <w:i w:val="1"/>
          <w:iCs w:val="1"/>
          <w:color w:val="auto"/>
        </w:rPr>
        <w:t>All Other Fees represent fees for services other than those included above, including access to accounting research software applications and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314960</wp:posOffset>
            </wp:positionV>
            <wp:extent cx="7161530" cy="2895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1530" cy="289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 xml:space="preserve">40 </w:t>
      </w:r>
      <w:r>
        <w:rPr>
          <w:rFonts w:ascii="Arial" w:cs="Arial" w:eastAsia="Arial" w:hAnsi="Arial"/>
          <w:sz w:val="13"/>
          <w:szCs w:val="13"/>
          <w:color w:val="auto"/>
        </w:rPr>
        <w:t>PROXY STATEMENT 2025</w:t>
      </w:r>
    </w:p>
    <w:p>
      <w:pPr>
        <w:sectPr>
          <w:pgSz w:w="11900" w:h="16838" w:orient="portrait"/>
          <w:cols w:equalWidth="0" w:num="1">
            <w:col w:w="11280"/>
          </w:cols>
          <w:pgMar w:left="300" w:top="171" w:right="319" w:bottom="1440" w:gutter="0" w:footer="0" w:header="0"/>
        </w:sectPr>
      </w:pPr>
    </w:p>
    <w:bookmarkStart w:id="45" w:name="page46"/>
    <w:bookmarkEnd w:id="45"/>
    <w:p>
      <w:pPr>
        <w:ind w:left="5920"/>
        <w:spacing w:after="0"/>
        <w:rPr>
          <w:sz w:val="20"/>
          <w:szCs w:val="20"/>
          <w:color w:val="auto"/>
        </w:rPr>
      </w:pPr>
      <w:r>
        <w:rPr>
          <w:rFonts w:ascii="Arial" w:cs="Arial" w:eastAsia="Arial" w:hAnsi="Arial"/>
          <w:sz w:val="13"/>
          <w:szCs w:val="13"/>
          <w:b w:val="1"/>
          <w:bCs w:val="1"/>
          <w:color w:val="00482F"/>
        </w:rPr>
        <w:drawing>
          <wp:anchor simplePos="0" relativeHeight="251657728" behindDoc="1" locked="0" layoutInCell="0" allowOverlap="1">
            <wp:simplePos x="0" y="0"/>
            <wp:positionH relativeFrom="page">
              <wp:posOffset>3905885</wp:posOffset>
            </wp:positionH>
            <wp:positionV relativeFrom="page">
              <wp:posOffset>102235</wp:posOffset>
            </wp:positionV>
            <wp:extent cx="3321685" cy="2495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3321685" cy="249555"/>
                    </a:xfrm>
                    <a:prstGeom prst="rect">
                      <a:avLst/>
                    </a:prstGeom>
                    <a:noFill/>
                  </pic:spPr>
                </pic:pic>
              </a:graphicData>
            </a:graphic>
          </wp:anchor>
        </w:drawing>
        <w:t>PROPOSAL NO. 2: RATIFICATION OF APPOINTMENT OF INDEPENDENT</w:t>
      </w:r>
    </w:p>
    <w:p>
      <w:pPr>
        <w:spacing w:after="0" w:line="11" w:lineRule="exact"/>
        <w:rPr>
          <w:sz w:val="20"/>
          <w:szCs w:val="20"/>
          <w:color w:val="auto"/>
        </w:rPr>
      </w:pPr>
    </w:p>
    <w:p>
      <w:pPr>
        <w:ind w:left="5920"/>
        <w:spacing w:after="0"/>
        <w:rPr>
          <w:sz w:val="20"/>
          <w:szCs w:val="20"/>
          <w:color w:val="auto"/>
        </w:rPr>
      </w:pPr>
      <w:r>
        <w:rPr>
          <w:rFonts w:ascii="Arial" w:cs="Arial" w:eastAsia="Arial" w:hAnsi="Arial"/>
          <w:sz w:val="13"/>
          <w:szCs w:val="13"/>
          <w:b w:val="1"/>
          <w:bCs w:val="1"/>
          <w:color w:val="00482F"/>
        </w:rPr>
        <w:t>REGISTERED PUBLIC ACCOUNTING FIRM FOR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540"/>
        <w:spacing w:after="0" w:line="294" w:lineRule="auto"/>
        <w:rPr>
          <w:sz w:val="20"/>
          <w:szCs w:val="20"/>
          <w:color w:val="auto"/>
        </w:rPr>
      </w:pPr>
      <w:r>
        <w:rPr>
          <w:rFonts w:ascii="Arial" w:cs="Arial" w:eastAsia="Arial" w:hAnsi="Arial"/>
          <w:sz w:val="34"/>
          <w:szCs w:val="34"/>
          <w:b w:val="1"/>
          <w:bCs w:val="1"/>
          <w:color w:val="auto"/>
        </w:rPr>
        <w:t>Proposal No. 2—Ratification of Appointment of Independent Registered Public Accounting Firm for 2025</w:t>
      </w:r>
    </w:p>
    <w:p>
      <w:pPr>
        <w:spacing w:after="0" w:line="41" w:lineRule="exact"/>
        <w:rPr>
          <w:sz w:val="20"/>
          <w:szCs w:val="20"/>
          <w:color w:val="auto"/>
        </w:rPr>
      </w:pPr>
    </w:p>
    <w:p>
      <w:pPr>
        <w:ind w:right="40"/>
        <w:spacing w:after="0" w:line="261" w:lineRule="auto"/>
        <w:rPr>
          <w:sz w:val="20"/>
          <w:szCs w:val="20"/>
          <w:color w:val="auto"/>
        </w:rPr>
      </w:pPr>
      <w:r>
        <w:rPr>
          <w:rFonts w:ascii="Arial" w:cs="Arial" w:eastAsia="Arial" w:hAnsi="Arial"/>
          <w:sz w:val="13"/>
          <w:szCs w:val="13"/>
          <w:color w:val="auto"/>
        </w:rPr>
        <w:t>Our Audit Committee has unanimously reappointed Deloitte as the independent registered public accounting firm to audit the Company’s consolidated financial statements for the year ended December 31, 2025. Although stockholder approval is not required for such appointment, our Audit Committee will take the outcome of the vote on this proposal into consideration when appointing our independent registered public accounting firm in the future.</w:t>
      </w:r>
    </w:p>
    <w:p>
      <w:pPr>
        <w:spacing w:after="0" w:line="138" w:lineRule="exact"/>
        <w:rPr>
          <w:sz w:val="20"/>
          <w:szCs w:val="20"/>
          <w:color w:val="auto"/>
        </w:rPr>
      </w:pPr>
    </w:p>
    <w:p>
      <w:pPr>
        <w:ind w:right="100"/>
        <w:spacing w:after="0" w:line="266" w:lineRule="auto"/>
        <w:rPr>
          <w:sz w:val="20"/>
          <w:szCs w:val="20"/>
          <w:color w:val="auto"/>
        </w:rPr>
      </w:pPr>
      <w:r>
        <w:rPr>
          <w:rFonts w:ascii="Arial" w:cs="Arial" w:eastAsia="Arial" w:hAnsi="Arial"/>
          <w:sz w:val="13"/>
          <w:szCs w:val="13"/>
          <w:color w:val="auto"/>
        </w:rPr>
        <w:t>Deloitte served as the Company’s independent registered public accounting firm during 2024 and, in that capacity, rendered a report on the Company’s consolidated financial statements as of and for the year ended December 31, 2024. Deloitte has served as the independent auditor of the Company since 2015.</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Support for Recommendation</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color w:val="auto"/>
        </w:rPr>
        <w:t>In determining that retaining Deloitte for 2025 was in the best interests of the Company and its stockholders, our Audit Committee reviewed:</w:t>
      </w:r>
    </w:p>
    <w:p>
      <w:pPr>
        <w:spacing w:after="0" w:line="179" w:lineRule="exact"/>
        <w:rPr>
          <w:sz w:val="20"/>
          <w:szCs w:val="20"/>
          <w:color w:val="auto"/>
        </w:rPr>
      </w:pPr>
    </w:p>
    <w:p>
      <w:pPr>
        <w:ind w:left="120" w:hanging="115"/>
        <w:spacing w:after="0"/>
        <w:tabs>
          <w:tab w:leader="none" w:pos="120" w:val="left"/>
        </w:tabs>
        <w:numPr>
          <w:ilvl w:val="0"/>
          <w:numId w:val="31"/>
        </w:numPr>
        <w:rPr>
          <w:rFonts w:ascii="Arial" w:cs="Arial" w:eastAsia="Arial" w:hAnsi="Arial"/>
          <w:sz w:val="13"/>
          <w:szCs w:val="13"/>
          <w:color w:val="auto"/>
        </w:rPr>
      </w:pPr>
      <w:r>
        <w:rPr>
          <w:rFonts w:ascii="Arial" w:cs="Arial" w:eastAsia="Arial" w:hAnsi="Arial"/>
          <w:sz w:val="13"/>
          <w:szCs w:val="13"/>
          <w:color w:val="auto"/>
        </w:rPr>
        <w:t>Deloitte’s performance on the Company’s audit and non-audit work for the year ended December 31, 2024 and recent prior years, and management’s assessment of such performance;</w:t>
      </w:r>
    </w:p>
    <w:p>
      <w:pPr>
        <w:spacing w:after="0" w:line="168" w:lineRule="exact"/>
        <w:rPr>
          <w:rFonts w:ascii="Arial" w:cs="Arial" w:eastAsia="Arial" w:hAnsi="Arial"/>
          <w:sz w:val="13"/>
          <w:szCs w:val="13"/>
          <w:color w:val="auto"/>
        </w:rPr>
      </w:pPr>
    </w:p>
    <w:p>
      <w:pPr>
        <w:ind w:left="120" w:hanging="115"/>
        <w:spacing w:after="0"/>
        <w:tabs>
          <w:tab w:leader="none" w:pos="120" w:val="left"/>
        </w:tabs>
        <w:numPr>
          <w:ilvl w:val="0"/>
          <w:numId w:val="31"/>
        </w:numPr>
        <w:rPr>
          <w:rFonts w:ascii="Arial" w:cs="Arial" w:eastAsia="Arial" w:hAnsi="Arial"/>
          <w:sz w:val="12"/>
          <w:szCs w:val="12"/>
          <w:color w:val="auto"/>
        </w:rPr>
      </w:pPr>
      <w:r>
        <w:rPr>
          <w:rFonts w:ascii="Arial" w:cs="Arial" w:eastAsia="Arial" w:hAnsi="Arial"/>
          <w:sz w:val="12"/>
          <w:szCs w:val="12"/>
          <w:color w:val="auto"/>
        </w:rPr>
        <w:t>Deloitte’s qualifications, independence, capabilities and expertise, evident through its audit planning and reports, industry knowledge, resources and staffing, objectivity and professional skepticism;</w:t>
      </w:r>
    </w:p>
    <w:p>
      <w:pPr>
        <w:spacing w:after="0" w:line="180" w:lineRule="exact"/>
        <w:rPr>
          <w:rFonts w:ascii="Arial" w:cs="Arial" w:eastAsia="Arial" w:hAnsi="Arial"/>
          <w:sz w:val="12"/>
          <w:szCs w:val="12"/>
          <w:color w:val="auto"/>
        </w:rPr>
      </w:pPr>
    </w:p>
    <w:p>
      <w:pPr>
        <w:ind w:left="120" w:hanging="115"/>
        <w:spacing w:after="0"/>
        <w:tabs>
          <w:tab w:leader="none" w:pos="120" w:val="left"/>
        </w:tabs>
        <w:numPr>
          <w:ilvl w:val="0"/>
          <w:numId w:val="31"/>
        </w:numPr>
        <w:rPr>
          <w:rFonts w:ascii="Arial" w:cs="Arial" w:eastAsia="Arial" w:hAnsi="Arial"/>
          <w:sz w:val="13"/>
          <w:szCs w:val="13"/>
          <w:color w:val="auto"/>
        </w:rPr>
      </w:pPr>
      <w:r>
        <w:rPr>
          <w:rFonts w:ascii="Arial" w:cs="Arial" w:eastAsia="Arial" w:hAnsi="Arial"/>
          <w:sz w:val="13"/>
          <w:szCs w:val="13"/>
          <w:color w:val="auto"/>
        </w:rPr>
        <w:t>External data on audit quality and performance, including results of recent PCAOB reports on Deloitte and peer firms and improvements made from period to period;</w:t>
      </w:r>
    </w:p>
    <w:p>
      <w:pPr>
        <w:spacing w:after="0" w:line="179" w:lineRule="exact"/>
        <w:rPr>
          <w:rFonts w:ascii="Arial" w:cs="Arial" w:eastAsia="Arial" w:hAnsi="Arial"/>
          <w:sz w:val="13"/>
          <w:szCs w:val="13"/>
          <w:color w:val="auto"/>
        </w:rPr>
      </w:pPr>
    </w:p>
    <w:p>
      <w:pPr>
        <w:ind w:left="140" w:hanging="135"/>
        <w:spacing w:after="0" w:line="266" w:lineRule="auto"/>
        <w:tabs>
          <w:tab w:leader="none" w:pos="131"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terms of the audit engagement, including the reasonableness of audit and non-audit fees charged considering the breadth and complexity of services provided, as well as the efficiency achieved in performing such services;</w:t>
      </w:r>
    </w:p>
    <w:p>
      <w:pPr>
        <w:spacing w:after="0" w:line="135" w:lineRule="exact"/>
        <w:rPr>
          <w:rFonts w:ascii="Arial" w:cs="Arial" w:eastAsia="Arial" w:hAnsi="Arial"/>
          <w:sz w:val="13"/>
          <w:szCs w:val="13"/>
          <w:color w:val="auto"/>
        </w:rPr>
      </w:pPr>
    </w:p>
    <w:p>
      <w:pPr>
        <w:ind w:left="120" w:hanging="115"/>
        <w:spacing w:after="0"/>
        <w:tabs>
          <w:tab w:leader="none" w:pos="12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quality of Deloitte’s communications to and interactions with our Audit Committee at meetings and our Audit Committee Chair between meetings; and</w:t>
      </w:r>
    </w:p>
    <w:p>
      <w:pPr>
        <w:spacing w:after="0" w:line="179" w:lineRule="exact"/>
        <w:rPr>
          <w:rFonts w:ascii="Arial" w:cs="Arial" w:eastAsia="Arial" w:hAnsi="Arial"/>
          <w:sz w:val="13"/>
          <w:szCs w:val="13"/>
          <w:color w:val="auto"/>
        </w:rPr>
      </w:pPr>
    </w:p>
    <w:p>
      <w:pPr>
        <w:ind w:left="120" w:hanging="115"/>
        <w:spacing w:after="0"/>
        <w:tabs>
          <w:tab w:leader="none" w:pos="12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benefits of having a long-tenured auditor and the institutional knowledge gained from prior years of engagement.</w:t>
      </w:r>
    </w:p>
    <w:p>
      <w:pPr>
        <w:spacing w:after="0" w:line="169" w:lineRule="exact"/>
        <w:rPr>
          <w:sz w:val="20"/>
          <w:szCs w:val="20"/>
          <w:color w:val="auto"/>
        </w:rPr>
      </w:pPr>
    </w:p>
    <w:p>
      <w:pPr>
        <w:spacing w:after="0" w:line="283" w:lineRule="auto"/>
        <w:rPr>
          <w:sz w:val="20"/>
          <w:szCs w:val="20"/>
          <w:color w:val="auto"/>
        </w:rPr>
      </w:pPr>
      <w:r>
        <w:rPr>
          <w:rFonts w:ascii="Arial" w:cs="Arial" w:eastAsia="Arial" w:hAnsi="Arial"/>
          <w:sz w:val="13"/>
          <w:szCs w:val="13"/>
          <w:color w:val="auto"/>
        </w:rPr>
        <w:t>In accordance with SEC rules, the maximum number of consecutive years of service for lead and concurring review audit partners for public companies is five years. During 2024, the Audit Committee, after consultation with management, approved the appointment of a new lead audit partner effective for the audit for the year ending December 31, 2025.</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Non-Binding Vote</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3"/>
          <w:szCs w:val="13"/>
          <w:color w:val="auto"/>
        </w:rPr>
        <w:t>Our Audit Committee is responsible for selecting the Company’s independent registered public accounting firm, and stockholder approval is not required to appoint Deloitte as our independent registered public accounting firm. However, our Audit Committee will take the outcome of the vote on this proposal into consideration when appointing our independent registered public accounting firm in the future. Our Audit Committee may retain another independent registered public accounting firm at any time if it concludes that such change would be in the best interest of the Company’s stockholders, even if the stockholders approve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176530</wp:posOffset>
            </wp:positionV>
            <wp:extent cx="7161530" cy="28956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1530" cy="28956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11080"/>
        <w:spacing w:after="0"/>
        <w:rPr>
          <w:sz w:val="20"/>
          <w:szCs w:val="20"/>
          <w:color w:val="auto"/>
        </w:rPr>
      </w:pPr>
      <w:r>
        <w:rPr>
          <w:rFonts w:ascii="Arial" w:cs="Arial" w:eastAsia="Arial" w:hAnsi="Arial"/>
          <w:sz w:val="13"/>
          <w:szCs w:val="13"/>
          <w:b w:val="1"/>
          <w:bCs w:val="1"/>
          <w:color w:val="auto"/>
        </w:rPr>
        <w:t>41</w:t>
      </w:r>
    </w:p>
    <w:p>
      <w:pPr>
        <w:sectPr>
          <w:pgSz w:w="11900" w:h="16838" w:orient="portrait"/>
          <w:cols w:equalWidth="0" w:num="1">
            <w:col w:w="11240"/>
          </w:cols>
          <w:pgMar w:left="300" w:top="171" w:right="359" w:bottom="1440" w:gutter="0" w:footer="0" w:header="0"/>
        </w:sectPr>
      </w:pPr>
    </w:p>
    <w:bookmarkStart w:id="46" w:name="page47"/>
    <w:bookmarkEnd w:id="46"/>
    <w:p>
      <w:pPr>
        <w:ind w:left="300"/>
        <w:spacing w:after="0"/>
        <w:rPr>
          <w:sz w:val="20"/>
          <w:szCs w:val="20"/>
          <w:color w:val="auto"/>
        </w:rPr>
      </w:pPr>
      <w:r>
        <w:rPr>
          <w:rFonts w:ascii="Arial" w:cs="Arial" w:eastAsia="Arial" w:hAnsi="Arial"/>
          <w:sz w:val="13"/>
          <w:szCs w:val="13"/>
          <w:b w:val="1"/>
          <w:bCs w:val="1"/>
          <w:color w:val="00482F"/>
        </w:rPr>
        <w:drawing>
          <wp:anchor simplePos="0" relativeHeight="251657728" behindDoc="1" locked="0" layoutInCell="0" allowOverlap="1">
            <wp:simplePos x="0" y="0"/>
            <wp:positionH relativeFrom="page">
              <wp:posOffset>328295</wp:posOffset>
            </wp:positionH>
            <wp:positionV relativeFrom="page">
              <wp:posOffset>102235</wp:posOffset>
            </wp:positionV>
            <wp:extent cx="3321685" cy="2495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21685" cy="249555"/>
                    </a:xfrm>
                    <a:prstGeom prst="rect">
                      <a:avLst/>
                    </a:prstGeom>
                    <a:noFill/>
                  </pic:spPr>
                </pic:pic>
              </a:graphicData>
            </a:graphic>
          </wp:anchor>
        </w:drawing>
        <w:t>PROPOSAL NO. 2: RATIFICATION OF APPOINTMENT OF INDEPENDENT</w:t>
      </w:r>
    </w:p>
    <w:p>
      <w:pPr>
        <w:spacing w:after="0" w:line="11" w:lineRule="exact"/>
        <w:rPr>
          <w:sz w:val="20"/>
          <w:szCs w:val="20"/>
          <w:color w:val="auto"/>
        </w:rPr>
      </w:pPr>
    </w:p>
    <w:p>
      <w:pPr>
        <w:ind w:left="300"/>
        <w:spacing w:after="0"/>
        <w:rPr>
          <w:sz w:val="20"/>
          <w:szCs w:val="20"/>
          <w:color w:val="auto"/>
        </w:rPr>
      </w:pPr>
      <w:r>
        <w:rPr>
          <w:rFonts w:ascii="Arial" w:cs="Arial" w:eastAsia="Arial" w:hAnsi="Arial"/>
          <w:sz w:val="13"/>
          <w:szCs w:val="13"/>
          <w:b w:val="1"/>
          <w:bCs w:val="1"/>
          <w:color w:val="00482F"/>
        </w:rPr>
        <w:t>REGISTERED PUBLIC ACCOUNTING FIRM FOR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Inquiries of Deloitte &amp; Touche LLP at Annual Meeting</w:t>
      </w:r>
    </w:p>
    <w:p>
      <w:pPr>
        <w:spacing w:after="0" w:line="181" w:lineRule="exact"/>
        <w:rPr>
          <w:sz w:val="20"/>
          <w:szCs w:val="20"/>
          <w:color w:val="auto"/>
        </w:rPr>
      </w:pPr>
    </w:p>
    <w:p>
      <w:pPr>
        <w:spacing w:after="0"/>
        <w:rPr>
          <w:sz w:val="20"/>
          <w:szCs w:val="20"/>
          <w:color w:val="auto"/>
        </w:rPr>
      </w:pPr>
      <w:r>
        <w:rPr>
          <w:rFonts w:ascii="Arial" w:cs="Arial" w:eastAsia="Arial" w:hAnsi="Arial"/>
          <w:sz w:val="12"/>
          <w:szCs w:val="12"/>
          <w:color w:val="auto"/>
        </w:rPr>
        <w:t>We expect representatives from Deloitte will be present at the 2025 Annual Meeting. They will be available to respond to appropriate questions and may make a statement if they so desire.</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Recommendation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121920</wp:posOffset>
            </wp:positionV>
            <wp:extent cx="4850765" cy="11722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850765" cy="11722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1880235</wp:posOffset>
            </wp:positionV>
            <wp:extent cx="7161530" cy="2895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61530" cy="289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 xml:space="preserve">42 </w:t>
      </w:r>
      <w:r>
        <w:rPr>
          <w:rFonts w:ascii="Arial" w:cs="Arial" w:eastAsia="Arial" w:hAnsi="Arial"/>
          <w:sz w:val="13"/>
          <w:szCs w:val="13"/>
          <w:color w:val="auto"/>
        </w:rPr>
        <w:t>PROXY STATEMENT 2025</w:t>
      </w:r>
    </w:p>
    <w:p>
      <w:pPr>
        <w:sectPr>
          <w:pgSz w:w="11900" w:h="16838" w:orient="portrait"/>
          <w:cols w:equalWidth="0" w:num="1">
            <w:col w:w="10560"/>
          </w:cols>
          <w:pgMar w:left="300" w:top="171" w:right="1039" w:bottom="1440" w:gutter="0" w:footer="0" w:header="0"/>
        </w:sectPr>
      </w:pPr>
    </w:p>
    <w:bookmarkStart w:id="47" w:name="page48"/>
    <w:bookmarkEnd w:id="47"/>
    <w:p>
      <w:pPr>
        <w:ind w:left="5920"/>
        <w:spacing w:after="0"/>
        <w:rPr>
          <w:sz w:val="20"/>
          <w:szCs w:val="20"/>
          <w:color w:val="auto"/>
        </w:rPr>
      </w:pPr>
      <w:r>
        <w:rPr>
          <w:rFonts w:ascii="Arial" w:cs="Arial" w:eastAsia="Arial" w:hAnsi="Arial"/>
          <w:sz w:val="13"/>
          <w:szCs w:val="13"/>
          <w:b w:val="1"/>
          <w:bCs w:val="1"/>
          <w:color w:val="00482F"/>
        </w:rPr>
        <w:drawing>
          <wp:anchor simplePos="0" relativeHeight="251657728" behindDoc="1" locked="0" layoutInCell="0" allowOverlap="1">
            <wp:simplePos x="0" y="0"/>
            <wp:positionH relativeFrom="page">
              <wp:posOffset>3905885</wp:posOffset>
            </wp:positionH>
            <wp:positionV relativeFrom="page">
              <wp:posOffset>102235</wp:posOffset>
            </wp:positionV>
            <wp:extent cx="3321685" cy="2495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21685" cy="249555"/>
                    </a:xfrm>
                    <a:prstGeom prst="rect">
                      <a:avLst/>
                    </a:prstGeom>
                    <a:noFill/>
                  </pic:spPr>
                </pic:pic>
              </a:graphicData>
            </a:graphic>
          </wp:anchor>
        </w:drawing>
        <w:t>QUESTIONS AND ANSWERS ABOUT THE PROXY MATERIALS AND 2025 ANNUAL</w:t>
      </w:r>
    </w:p>
    <w:p>
      <w:pPr>
        <w:spacing w:after="0" w:line="11" w:lineRule="exact"/>
        <w:rPr>
          <w:sz w:val="20"/>
          <w:szCs w:val="20"/>
          <w:color w:val="auto"/>
        </w:rPr>
      </w:pPr>
    </w:p>
    <w:p>
      <w:pPr>
        <w:ind w:left="5920"/>
        <w:spacing w:after="0"/>
        <w:rPr>
          <w:sz w:val="20"/>
          <w:szCs w:val="20"/>
          <w:color w:val="auto"/>
        </w:rPr>
      </w:pPr>
      <w:r>
        <w:rPr>
          <w:rFonts w:ascii="Arial" w:cs="Arial" w:eastAsia="Arial" w:hAnsi="Arial"/>
          <w:sz w:val="13"/>
          <w:szCs w:val="13"/>
          <w:b w:val="1"/>
          <w:bCs w:val="1"/>
          <w:color w:val="00482F"/>
        </w:rPr>
        <w:t>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360"/>
        <w:spacing w:after="0" w:line="294" w:lineRule="auto"/>
        <w:rPr>
          <w:sz w:val="20"/>
          <w:szCs w:val="20"/>
          <w:color w:val="auto"/>
        </w:rPr>
      </w:pPr>
      <w:r>
        <w:rPr>
          <w:rFonts w:ascii="Arial" w:cs="Arial" w:eastAsia="Arial" w:hAnsi="Arial"/>
          <w:sz w:val="34"/>
          <w:szCs w:val="34"/>
          <w:b w:val="1"/>
          <w:bCs w:val="1"/>
          <w:color w:val="auto"/>
        </w:rPr>
        <w:t>Questions and Answers about the Proxy Materials and 2025 Annual Meeting</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Why Am I Receiving These Materials?</w:t>
      </w:r>
    </w:p>
    <w:p>
      <w:pPr>
        <w:spacing w:after="0" w:line="181" w:lineRule="exact"/>
        <w:rPr>
          <w:sz w:val="20"/>
          <w:szCs w:val="20"/>
          <w:color w:val="auto"/>
        </w:rPr>
      </w:pPr>
    </w:p>
    <w:p>
      <w:pPr>
        <w:ind w:right="60"/>
        <w:spacing w:after="0" w:line="254" w:lineRule="auto"/>
        <w:rPr>
          <w:sz w:val="20"/>
          <w:szCs w:val="20"/>
          <w:color w:val="auto"/>
        </w:rPr>
      </w:pPr>
      <w:r>
        <w:rPr>
          <w:rFonts w:ascii="Arial" w:cs="Arial" w:eastAsia="Arial" w:hAnsi="Arial"/>
          <w:sz w:val="13"/>
          <w:szCs w:val="13"/>
          <w:color w:val="auto"/>
        </w:rPr>
        <w:t>You have received this proxy statement and related materials because at the close of business on the record date, you owned shares of the Company’s common stock and our Board is soliciting your proxy to vote your shares of common stock at the Annual Meeting. We will bear all costs of this proxy solicitation, including the cost of preparing, printing, and delivering materials, the cost of the proxy solicitation, and the expenses of brokers, fiduciaries, and other nominees who forward proxy materials to stockholders. In addition, our officers or other employees may, without additional compensation, solicit proxies in person or by telephone or the internet. The Annual Meeting will be held virtually via live webcast on Wednesday, May 21, 2025, at 10:00 a.m., Pacific Time. To attend the meeting, please register in advance at www.proxydocs.com/NRDS. You will need the control number provided on the Notice of Internet Availability of Proxy Materials.</w:t>
      </w:r>
    </w:p>
    <w:p>
      <w:pPr>
        <w:spacing w:after="0" w:line="143" w:lineRule="exact"/>
        <w:rPr>
          <w:sz w:val="20"/>
          <w:szCs w:val="20"/>
          <w:color w:val="auto"/>
        </w:rPr>
      </w:pPr>
    </w:p>
    <w:p>
      <w:pPr>
        <w:ind w:right="320"/>
        <w:spacing w:after="0" w:line="283" w:lineRule="auto"/>
        <w:rPr>
          <w:sz w:val="20"/>
          <w:szCs w:val="20"/>
          <w:color w:val="auto"/>
        </w:rPr>
      </w:pPr>
      <w:r>
        <w:rPr>
          <w:rFonts w:ascii="Arial" w:cs="Arial" w:eastAsia="Arial" w:hAnsi="Arial"/>
          <w:sz w:val="13"/>
          <w:szCs w:val="13"/>
          <w:color w:val="auto"/>
        </w:rPr>
        <w:t>On the day of the Annual Meeting, May 21, 2025, stockholders may begin to log in to the virtual-only Annual Meeting 15 minutes prior to the Annual Meeting. You do not need to attend the Annual Meeting to vote. Even if you plan to attend the Annual Meeting, please submit your vote in advance as instructed in this proxy statement.</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Will the Virtual Meeting Format Impact Stockholder Viewing and Participation at the 2025 Annual Meeting?</w:t>
      </w:r>
    </w:p>
    <w:p>
      <w:pPr>
        <w:spacing w:after="0" w:line="181" w:lineRule="exact"/>
        <w:rPr>
          <w:sz w:val="20"/>
          <w:szCs w:val="20"/>
          <w:color w:val="auto"/>
        </w:rPr>
      </w:pPr>
    </w:p>
    <w:p>
      <w:pPr>
        <w:spacing w:after="0" w:line="250" w:lineRule="auto"/>
        <w:rPr>
          <w:sz w:val="20"/>
          <w:szCs w:val="20"/>
          <w:color w:val="auto"/>
        </w:rPr>
      </w:pPr>
      <w:r>
        <w:rPr>
          <w:rFonts w:ascii="Arial" w:cs="Arial" w:eastAsia="Arial" w:hAnsi="Arial"/>
          <w:sz w:val="13"/>
          <w:szCs w:val="13"/>
          <w:color w:val="auto"/>
        </w:rPr>
        <w:t>The virtual meeting format for the Annual Meeting will enable participation by our stockholders from anywhere in the world at little to no cost, which we believe enhances stockholder access to the Annual Meeting and communication with management and the Board. We have structured the virtual Annual Meeting to afford stockholders an opportunity to participate as they would in an in-person meeting. In order to attend the Annual Meeting, you must pre-register at www.proxydocs.com/NRDS. Upon completing your registration, you will receive further instructions via email, including a unique link that will allow you access to the Annual Meeting and to vote and submit questions. We will answer any timely submitted and relevant questions on a matter to be voted on at the Annual Meeting before voting is closed on the matter. Following adjournment of the formal business of the Annual Meeting, we will address appropriate questions from stockholders regarding the Company as time allows.</w:t>
      </w:r>
    </w:p>
    <w:p>
      <w:pPr>
        <w:spacing w:after="0" w:line="158" w:lineRule="exact"/>
        <w:rPr>
          <w:sz w:val="20"/>
          <w:szCs w:val="20"/>
          <w:color w:val="auto"/>
        </w:rPr>
      </w:pPr>
    </w:p>
    <w:p>
      <w:pPr>
        <w:ind w:right="120"/>
        <w:spacing w:after="0" w:line="252" w:lineRule="auto"/>
        <w:rPr>
          <w:sz w:val="20"/>
          <w:szCs w:val="20"/>
          <w:color w:val="auto"/>
        </w:rPr>
      </w:pPr>
      <w:r>
        <w:rPr>
          <w:rFonts w:ascii="Arial" w:cs="Arial" w:eastAsia="Arial" w:hAnsi="Arial"/>
          <w:sz w:val="13"/>
          <w:szCs w:val="13"/>
          <w:color w:val="auto"/>
        </w:rPr>
        <w:t xml:space="preserve">The Company requests that stockholders submit questions in advance of the Annual Meeting by sending questions to </w:t>
      </w:r>
      <w:r>
        <w:rPr>
          <w:rFonts w:ascii="Arial" w:cs="Arial" w:eastAsia="Arial" w:hAnsi="Arial"/>
          <w:sz w:val="13"/>
          <w:szCs w:val="13"/>
          <w:u w:val="single" w:color="auto"/>
          <w:color w:val="auto"/>
        </w:rPr>
        <w:t>generalcounsel@nerdwallet.com</w:t>
      </w:r>
      <w:r>
        <w:rPr>
          <w:rFonts w:ascii="Arial" w:cs="Arial" w:eastAsia="Arial" w:hAnsi="Arial"/>
          <w:sz w:val="13"/>
          <w:szCs w:val="13"/>
          <w:color w:val="auto"/>
        </w:rPr>
        <w:t>. During the Annual Meeting, questions relating to the proposals may be submitted in the field provided on the virtual meeting website at or before the time the questions are to be discussed. If we receive substantially similar questions, we may group those questions together and provide a single response to avoid repetition.</w:t>
      </w:r>
    </w:p>
    <w:p>
      <w:pPr>
        <w:spacing w:after="0" w:line="155"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 xml:space="preserve">While we will try to answer as many appropriate questions as we can during the time allotted for questions during the Annual Meeting, we may not have the time to respond to all questions submitted. If we are unable to answer all questions, stockholders may submit questions after the Annual Meeting to </w:t>
      </w:r>
      <w:r>
        <w:rPr>
          <w:rFonts w:ascii="Arial" w:cs="Arial" w:eastAsia="Arial" w:hAnsi="Arial"/>
          <w:sz w:val="13"/>
          <w:szCs w:val="13"/>
          <w:u w:val="single" w:color="auto"/>
          <w:color w:val="auto"/>
        </w:rPr>
        <w:t>generalcounsel@nerdwallet.com</w:t>
      </w:r>
      <w:r>
        <w:rPr>
          <w:rFonts w:ascii="Arial" w:cs="Arial" w:eastAsia="Arial" w:hAnsi="Arial"/>
          <w:sz w:val="13"/>
          <w:szCs w:val="13"/>
          <w:color w:val="auto"/>
        </w:rPr>
        <w:t>.</w:t>
      </w:r>
    </w:p>
    <w:p>
      <w:pPr>
        <w:spacing w:after="0" w:line="146" w:lineRule="exact"/>
        <w:rPr>
          <w:sz w:val="20"/>
          <w:szCs w:val="20"/>
          <w:color w:val="auto"/>
        </w:rPr>
      </w:pPr>
    </w:p>
    <w:p>
      <w:pPr>
        <w:ind w:right="80"/>
        <w:spacing w:after="0" w:line="309" w:lineRule="auto"/>
        <w:rPr>
          <w:sz w:val="20"/>
          <w:szCs w:val="20"/>
          <w:color w:val="auto"/>
        </w:rPr>
      </w:pPr>
      <w:r>
        <w:rPr>
          <w:rFonts w:ascii="Arial" w:cs="Arial" w:eastAsia="Arial" w:hAnsi="Arial"/>
          <w:sz w:val="12"/>
          <w:szCs w:val="12"/>
          <w:color w:val="auto"/>
        </w:rPr>
        <w:t>Additional information regarding the rules and procedures for how the Company will run the Annual Meeting and stockholder participation in the Annual Meeting will be provided in our meeting rules of conduct, which stockholders can view during the meeting at the virtual meeting website. The rules of conduct are designed to allow us to conduct an orderly meeting in fairness to all stockholders.</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Is A Notice of Internet Availability of Proxy Materials?</w:t>
      </w:r>
    </w:p>
    <w:p>
      <w:pPr>
        <w:spacing w:after="0" w:line="192" w:lineRule="exact"/>
        <w:rPr>
          <w:sz w:val="20"/>
          <w:szCs w:val="20"/>
          <w:color w:val="auto"/>
        </w:rPr>
      </w:pPr>
    </w:p>
    <w:p>
      <w:pPr>
        <w:ind w:right="80"/>
        <w:spacing w:after="0" w:line="249" w:lineRule="auto"/>
        <w:rPr>
          <w:sz w:val="20"/>
          <w:szCs w:val="20"/>
          <w:color w:val="auto"/>
        </w:rPr>
      </w:pPr>
      <w:r>
        <w:rPr>
          <w:rFonts w:ascii="Arial" w:cs="Arial" w:eastAsia="Arial" w:hAnsi="Arial"/>
          <w:sz w:val="13"/>
          <w:szCs w:val="13"/>
          <w:color w:val="auto"/>
        </w:rPr>
        <w:t>We are pleased to take advantage of SEC rules that allow us to furnish our proxy materials, including this Proxy Statement, over the Internet. As a result, we are mailing to most of our stockholders a Notice of Internet Availability of Proxy Materials (the “Notice”) instead of a paper copy of the Proxy Materials. The Notice contains instructions on how to access those documents over the Internet and how to submit your proxy via the Internet. The Notice also contains instructions on how to request a paper copy of the Proxy Materials. All stockholders who do not receive the Notice will receive a paper copy of the Proxy Materials by mail or an electronic copy of the Proxy Materials by email. This process allows us to provide our stockholders with the information they need in a timely manner, while reducing the environmental impact and lowering the costs of printing and distributing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187960</wp:posOffset>
            </wp:positionV>
            <wp:extent cx="7161530" cy="2895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61530" cy="28956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11080"/>
        <w:spacing w:after="0"/>
        <w:rPr>
          <w:sz w:val="20"/>
          <w:szCs w:val="20"/>
          <w:color w:val="auto"/>
        </w:rPr>
      </w:pPr>
      <w:r>
        <w:rPr>
          <w:rFonts w:ascii="Arial" w:cs="Arial" w:eastAsia="Arial" w:hAnsi="Arial"/>
          <w:sz w:val="13"/>
          <w:szCs w:val="13"/>
          <w:b w:val="1"/>
          <w:bCs w:val="1"/>
          <w:color w:val="auto"/>
        </w:rPr>
        <w:t>43</w:t>
      </w:r>
    </w:p>
    <w:p>
      <w:pPr>
        <w:sectPr>
          <w:pgSz w:w="11900" w:h="16838" w:orient="portrait"/>
          <w:cols w:equalWidth="0" w:num="1">
            <w:col w:w="11260"/>
          </w:cols>
          <w:pgMar w:left="300" w:top="171" w:right="339" w:bottom="1440" w:gutter="0" w:footer="0" w:header="0"/>
        </w:sectPr>
      </w:pPr>
    </w:p>
    <w:bookmarkStart w:id="48" w:name="page49"/>
    <w:bookmarkEnd w:id="48"/>
    <w:p>
      <w:pPr>
        <w:ind w:left="300"/>
        <w:spacing w:after="0"/>
        <w:rPr>
          <w:sz w:val="20"/>
          <w:szCs w:val="20"/>
          <w:color w:val="auto"/>
        </w:rPr>
      </w:pPr>
      <w:r>
        <w:rPr>
          <w:rFonts w:ascii="Arial" w:cs="Arial" w:eastAsia="Arial" w:hAnsi="Arial"/>
          <w:sz w:val="13"/>
          <w:szCs w:val="13"/>
          <w:b w:val="1"/>
          <w:bCs w:val="1"/>
          <w:color w:val="00482F"/>
        </w:rPr>
        <w:drawing>
          <wp:anchor simplePos="0" relativeHeight="251657728" behindDoc="1" locked="0" layoutInCell="0" allowOverlap="1">
            <wp:simplePos x="0" y="0"/>
            <wp:positionH relativeFrom="page">
              <wp:posOffset>328295</wp:posOffset>
            </wp:positionH>
            <wp:positionV relativeFrom="page">
              <wp:posOffset>102235</wp:posOffset>
            </wp:positionV>
            <wp:extent cx="3321685" cy="2495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21685" cy="249555"/>
                    </a:xfrm>
                    <a:prstGeom prst="rect">
                      <a:avLst/>
                    </a:prstGeom>
                    <a:noFill/>
                  </pic:spPr>
                </pic:pic>
              </a:graphicData>
            </a:graphic>
          </wp:anchor>
        </w:drawing>
        <w:t>QUESTIONS AND ANSWERS ABOUT THE PROXY MATERIALS AND 2025 ANNUAL</w:t>
      </w:r>
    </w:p>
    <w:p>
      <w:pPr>
        <w:spacing w:after="0" w:line="11" w:lineRule="exact"/>
        <w:rPr>
          <w:sz w:val="20"/>
          <w:szCs w:val="20"/>
          <w:color w:val="auto"/>
        </w:rPr>
      </w:pPr>
    </w:p>
    <w:p>
      <w:pPr>
        <w:ind w:left="300"/>
        <w:spacing w:after="0"/>
        <w:rPr>
          <w:sz w:val="20"/>
          <w:szCs w:val="20"/>
          <w:color w:val="auto"/>
        </w:rPr>
      </w:pPr>
      <w:r>
        <w:rPr>
          <w:rFonts w:ascii="Arial" w:cs="Arial" w:eastAsia="Arial" w:hAnsi="Arial"/>
          <w:sz w:val="13"/>
          <w:szCs w:val="13"/>
          <w:b w:val="1"/>
          <w:bCs w:val="1"/>
          <w:color w:val="00482F"/>
        </w:rPr>
        <w:t>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100"/>
        <w:spacing w:after="0" w:line="266" w:lineRule="auto"/>
        <w:rPr>
          <w:sz w:val="20"/>
          <w:szCs w:val="20"/>
          <w:color w:val="auto"/>
        </w:rPr>
      </w:pPr>
      <w:r>
        <w:rPr>
          <w:rFonts w:ascii="Arial" w:cs="Arial" w:eastAsia="Arial" w:hAnsi="Arial"/>
          <w:sz w:val="13"/>
          <w:szCs w:val="13"/>
          <w:color w:val="auto"/>
        </w:rPr>
        <w:t>The Notice of Internet Availability of Proxy Materials only identifies the items to be voted on at the Annual Meeting. You cannot vote by marking the Notice of Internet Availability of Proxy Materials and returning it.</w:t>
      </w:r>
    </w:p>
    <w:p>
      <w:pPr>
        <w:spacing w:after="0" w:line="146" w:lineRule="exact"/>
        <w:rPr>
          <w:sz w:val="20"/>
          <w:szCs w:val="20"/>
          <w:color w:val="auto"/>
        </w:rPr>
      </w:pPr>
    </w:p>
    <w:p>
      <w:pPr>
        <w:ind w:right="80"/>
        <w:spacing w:after="0" w:line="261" w:lineRule="auto"/>
        <w:rPr>
          <w:sz w:val="20"/>
          <w:szCs w:val="20"/>
          <w:color w:val="auto"/>
        </w:rPr>
      </w:pPr>
      <w:r>
        <w:rPr>
          <w:rFonts w:ascii="Arial" w:cs="Arial" w:eastAsia="Arial" w:hAnsi="Arial"/>
          <w:sz w:val="13"/>
          <w:szCs w:val="13"/>
          <w:color w:val="auto"/>
        </w:rPr>
        <w:t>If you hold your shares in street name, the brokerage firm, bank or other holder of record who is considered the stockholder of record will forward a notice that directs beneficial owners of our common stock to the website where they can access our proxy materials to each beneficial stockholder. Such brokerage firm, bank or other holder of record also will provide each beneficial owner with instructions on how to request a paper or e-mail copy of our proxy materials.</w:t>
      </w:r>
    </w:p>
    <w:p>
      <w:pPr>
        <w:spacing w:after="0" w:line="138" w:lineRule="exact"/>
        <w:rPr>
          <w:sz w:val="20"/>
          <w:szCs w:val="20"/>
          <w:color w:val="auto"/>
        </w:rPr>
      </w:pPr>
    </w:p>
    <w:p>
      <w:pPr>
        <w:spacing w:after="0" w:line="266" w:lineRule="auto"/>
        <w:rPr>
          <w:sz w:val="20"/>
          <w:szCs w:val="20"/>
          <w:color w:val="auto"/>
        </w:rPr>
      </w:pPr>
      <w:r>
        <w:rPr>
          <w:rFonts w:ascii="Arial" w:cs="Arial" w:eastAsia="Arial" w:hAnsi="Arial"/>
          <w:sz w:val="13"/>
          <w:szCs w:val="13"/>
          <w:color w:val="auto"/>
        </w:rPr>
        <w:t>This Proxy Statement and our 2024 Annual Report are available at www.proxydocs.com/NRDS</w:t>
      </w:r>
      <w:r>
        <w:rPr>
          <w:rFonts w:ascii="Arial" w:cs="Arial" w:eastAsia="Arial" w:hAnsi="Arial"/>
          <w:sz w:val="13"/>
          <w:szCs w:val="13"/>
          <w:i w:val="1"/>
          <w:iCs w:val="1"/>
          <w:color w:val="auto"/>
        </w:rPr>
        <w:t>.</w:t>
      </w:r>
      <w:r>
        <w:rPr>
          <w:rFonts w:ascii="Arial" w:cs="Arial" w:eastAsia="Arial" w:hAnsi="Arial"/>
          <w:sz w:val="13"/>
          <w:szCs w:val="13"/>
          <w:color w:val="auto"/>
        </w:rPr>
        <w:t xml:space="preserve"> The Notice and the Proxy Materials are first being made available to stockholders on or about March 24, 2025.</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Who Can Vote At The 2025 Annual Meeting?</w:t>
      </w:r>
    </w:p>
    <w:p>
      <w:pPr>
        <w:spacing w:after="0" w:line="181" w:lineRule="exact"/>
        <w:rPr>
          <w:sz w:val="20"/>
          <w:szCs w:val="20"/>
          <w:color w:val="auto"/>
        </w:rPr>
      </w:pPr>
    </w:p>
    <w:p>
      <w:pPr>
        <w:ind w:right="40"/>
        <w:spacing w:after="0" w:line="283" w:lineRule="auto"/>
        <w:rPr>
          <w:sz w:val="20"/>
          <w:szCs w:val="20"/>
          <w:color w:val="auto"/>
        </w:rPr>
      </w:pPr>
      <w:r>
        <w:rPr>
          <w:rFonts w:ascii="Arial" w:cs="Arial" w:eastAsia="Arial" w:hAnsi="Arial"/>
          <w:sz w:val="13"/>
          <w:szCs w:val="13"/>
          <w:color w:val="auto"/>
        </w:rPr>
        <w:t>All stockholders of record of our common stock on the record date and beneficial owners of our common stock on the record date holding a valid proxy for the Annual Meeting from their broker, bank or other nominee giving them the right to vote the shares, are entitled to attend and vote at the Annual Meeting.</w:t>
      </w:r>
    </w:p>
    <w:p>
      <w:pPr>
        <w:spacing w:after="0" w:line="125" w:lineRule="exact"/>
        <w:rPr>
          <w:sz w:val="20"/>
          <w:szCs w:val="20"/>
          <w:color w:val="auto"/>
        </w:rPr>
      </w:pPr>
    </w:p>
    <w:p>
      <w:pPr>
        <w:ind w:right="120"/>
        <w:spacing w:after="0" w:line="253" w:lineRule="auto"/>
        <w:rPr>
          <w:sz w:val="20"/>
          <w:szCs w:val="20"/>
          <w:color w:val="auto"/>
        </w:rPr>
      </w:pPr>
      <w:r>
        <w:rPr>
          <w:rFonts w:ascii="Arial" w:cs="Arial" w:eastAsia="Arial" w:hAnsi="Arial"/>
          <w:sz w:val="13"/>
          <w:szCs w:val="13"/>
          <w:color w:val="auto"/>
        </w:rPr>
        <w:t>Each holder of Class B common stock is entitled to 10 votes per share and each holder of Class A common stock is entitled to one vote per share on all matters submitted to our stockholders for a vote. All classes of our common stock with voting rights will vote together as a single class on all matters described in this proxy statement. As of the record date, there were 74,492,046 shares of common stock outstanding, consisting of 42,806,394 shares of Class A common stock and 31,685,652 shares of Class B common stock. As of the record date, all of our outstanding Class B common stock was held by Tim Chen and his affiliated trusts.</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Votes Need To Be Present To Hold The 2025 Annual Meeting?</w:t>
      </w:r>
    </w:p>
    <w:p>
      <w:pPr>
        <w:spacing w:after="0" w:line="192" w:lineRule="exact"/>
        <w:rPr>
          <w:sz w:val="20"/>
          <w:szCs w:val="20"/>
          <w:color w:val="auto"/>
        </w:rPr>
      </w:pPr>
    </w:p>
    <w:p>
      <w:pPr>
        <w:ind w:right="140"/>
        <w:spacing w:after="0" w:line="253" w:lineRule="auto"/>
        <w:rPr>
          <w:sz w:val="20"/>
          <w:szCs w:val="20"/>
          <w:color w:val="auto"/>
        </w:rPr>
      </w:pPr>
      <w:r>
        <w:rPr>
          <w:rFonts w:ascii="Arial" w:cs="Arial" w:eastAsia="Arial" w:hAnsi="Arial"/>
          <w:sz w:val="13"/>
          <w:szCs w:val="13"/>
          <w:color w:val="auto"/>
        </w:rPr>
        <w:t>Holders of a majority of the voting power of all shares of common stock outstanding on the record date and entitled to vote at the meeting must be present at the Annual Meeting, by remote communication or represented by proxy, to constitute a quorum for the transaction of any business. Proxies marked with abstentions or instructions to withhold votes, as well as broker non-votes (defined below), will be counted as present in determining whether or not there is a quorum. In the absence of a quorum, the holders of a majority of the voting power of the shares of stock present at the meeting may adjourn or postpone such meeting to another time or place.</w:t>
      </w:r>
    </w:p>
    <w:p>
      <w:pPr>
        <w:spacing w:after="0" w:line="221" w:lineRule="exact"/>
        <w:rPr>
          <w:sz w:val="20"/>
          <w:szCs w:val="20"/>
          <w:color w:val="auto"/>
        </w:rPr>
      </w:pPr>
    </w:p>
    <w:p>
      <w:pPr>
        <w:ind w:right="440"/>
        <w:spacing w:after="0" w:line="299" w:lineRule="auto"/>
        <w:rPr>
          <w:sz w:val="20"/>
          <w:szCs w:val="20"/>
          <w:color w:val="auto"/>
        </w:rPr>
      </w:pPr>
      <w:r>
        <w:rPr>
          <w:rFonts w:ascii="Arial" w:cs="Arial" w:eastAsia="Arial" w:hAnsi="Arial"/>
          <w:sz w:val="20"/>
          <w:szCs w:val="20"/>
          <w:b w:val="1"/>
          <w:bCs w:val="1"/>
          <w:color w:val="auto"/>
        </w:rPr>
        <w:t>What Is The Difference Between Holding Shares of Common Stock As A Stockholder of Record and As A Beneficial Owner?</w:t>
      </w:r>
    </w:p>
    <w:p>
      <w:pPr>
        <w:spacing w:after="0" w:line="82" w:lineRule="exact"/>
        <w:rPr>
          <w:sz w:val="20"/>
          <w:szCs w:val="20"/>
          <w:color w:val="auto"/>
        </w:rPr>
      </w:pPr>
    </w:p>
    <w:p>
      <w:pPr>
        <w:ind w:right="60"/>
        <w:spacing w:after="0" w:line="283" w:lineRule="auto"/>
        <w:rPr>
          <w:sz w:val="20"/>
          <w:szCs w:val="20"/>
          <w:color w:val="auto"/>
        </w:rPr>
      </w:pPr>
      <w:r>
        <w:rPr>
          <w:rFonts w:ascii="Arial" w:cs="Arial" w:eastAsia="Arial" w:hAnsi="Arial"/>
          <w:sz w:val="13"/>
          <w:szCs w:val="13"/>
          <w:color w:val="auto"/>
        </w:rPr>
        <w:t>If your shares of common stock are registered directly in your name with the Company’s transfer agent, Broadridge, you are considered the “stockholder of record” with respect to those shares and the Notice of Internet Availability of Proxy Materials was sent directly to you.</w:t>
      </w:r>
    </w:p>
    <w:p>
      <w:pPr>
        <w:spacing w:after="0" w:line="125" w:lineRule="exact"/>
        <w:rPr>
          <w:sz w:val="20"/>
          <w:szCs w:val="20"/>
          <w:color w:val="auto"/>
        </w:rPr>
      </w:pPr>
    </w:p>
    <w:p>
      <w:pPr>
        <w:ind w:right="20"/>
        <w:spacing w:after="0" w:line="253" w:lineRule="auto"/>
        <w:rPr>
          <w:sz w:val="20"/>
          <w:szCs w:val="20"/>
          <w:color w:val="auto"/>
        </w:rPr>
      </w:pPr>
      <w:r>
        <w:rPr>
          <w:rFonts w:ascii="Arial" w:cs="Arial" w:eastAsia="Arial" w:hAnsi="Arial"/>
          <w:sz w:val="13"/>
          <w:szCs w:val="13"/>
          <w:color w:val="auto"/>
        </w:rPr>
        <w:t>If your shares of common stock are held with a broker, bank or other nominee, you are considered the “beneficial owner” with respect to those shares. Your broker, bank or other holder of record who is considered the stockholder of record with respect to those shares has forwarded to you a notice directing you to the website where you can access our proxy materials. As the beneficial owner, you have the right to direct your broker, bank or other nominee on how to vote your shares. Your broker, bank or nominee has enclosed voting instructions for you to use in directing the broker, bank or nominee on how to vote your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307340</wp:posOffset>
            </wp:positionV>
            <wp:extent cx="7161530" cy="2895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61530" cy="289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 xml:space="preserve">44 </w:t>
      </w:r>
      <w:r>
        <w:rPr>
          <w:rFonts w:ascii="Arial" w:cs="Arial" w:eastAsia="Arial" w:hAnsi="Arial"/>
          <w:sz w:val="13"/>
          <w:szCs w:val="13"/>
          <w:color w:val="auto"/>
        </w:rPr>
        <w:t>PROXY STATEMENT 2025</w:t>
      </w:r>
    </w:p>
    <w:p>
      <w:pPr>
        <w:sectPr>
          <w:pgSz w:w="11900" w:h="16838" w:orient="portrait"/>
          <w:cols w:equalWidth="0" w:num="1">
            <w:col w:w="11280"/>
          </w:cols>
          <w:pgMar w:left="300" w:top="171" w:right="319" w:bottom="1440" w:gutter="0" w:footer="0" w:header="0"/>
        </w:sectPr>
      </w:pPr>
    </w:p>
    <w:bookmarkStart w:id="49" w:name="page50"/>
    <w:bookmarkEnd w:id="49"/>
    <w:p>
      <w:pPr>
        <w:ind w:left="5920"/>
        <w:spacing w:after="0"/>
        <w:rPr>
          <w:sz w:val="20"/>
          <w:szCs w:val="20"/>
          <w:color w:val="auto"/>
        </w:rPr>
      </w:pPr>
      <w:r>
        <w:rPr>
          <w:rFonts w:ascii="Arial" w:cs="Arial" w:eastAsia="Arial" w:hAnsi="Arial"/>
          <w:sz w:val="13"/>
          <w:szCs w:val="13"/>
          <w:b w:val="1"/>
          <w:bCs w:val="1"/>
          <w:color w:val="00482F"/>
        </w:rPr>
        <w:drawing>
          <wp:anchor simplePos="0" relativeHeight="251657728" behindDoc="1" locked="0" layoutInCell="0" allowOverlap="1">
            <wp:simplePos x="0" y="0"/>
            <wp:positionH relativeFrom="page">
              <wp:posOffset>3905885</wp:posOffset>
            </wp:positionH>
            <wp:positionV relativeFrom="page">
              <wp:posOffset>102235</wp:posOffset>
            </wp:positionV>
            <wp:extent cx="3321685" cy="2495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21685" cy="249555"/>
                    </a:xfrm>
                    <a:prstGeom prst="rect">
                      <a:avLst/>
                    </a:prstGeom>
                    <a:noFill/>
                  </pic:spPr>
                </pic:pic>
              </a:graphicData>
            </a:graphic>
          </wp:anchor>
        </w:drawing>
        <w:t>QUESTIONS AND ANSWERS ABOUT THE PROXY MATERIALS AND 2025 ANNUAL</w:t>
      </w:r>
    </w:p>
    <w:p>
      <w:pPr>
        <w:spacing w:after="0" w:line="11" w:lineRule="exact"/>
        <w:rPr>
          <w:sz w:val="20"/>
          <w:szCs w:val="20"/>
          <w:color w:val="auto"/>
        </w:rPr>
      </w:pPr>
    </w:p>
    <w:p>
      <w:pPr>
        <w:ind w:left="5920"/>
        <w:spacing w:after="0"/>
        <w:rPr>
          <w:sz w:val="20"/>
          <w:szCs w:val="20"/>
          <w:color w:val="auto"/>
        </w:rPr>
      </w:pPr>
      <w:r>
        <w:rPr>
          <w:rFonts w:ascii="Arial" w:cs="Arial" w:eastAsia="Arial" w:hAnsi="Arial"/>
          <w:sz w:val="13"/>
          <w:szCs w:val="13"/>
          <w:b w:val="1"/>
          <w:bCs w:val="1"/>
          <w:color w:val="00482F"/>
        </w:rPr>
        <w:t>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Do I Vote If I Am A Stockholder of Record?</w:t>
      </w:r>
    </w:p>
    <w:p>
      <w:pPr>
        <w:spacing w:after="0" w:line="181" w:lineRule="exact"/>
        <w:rPr>
          <w:sz w:val="20"/>
          <w:szCs w:val="20"/>
          <w:color w:val="auto"/>
        </w:rPr>
      </w:pPr>
    </w:p>
    <w:p>
      <w:pPr>
        <w:jc w:val="both"/>
        <w:ind w:right="380"/>
        <w:spacing w:after="0" w:line="261" w:lineRule="auto"/>
        <w:rPr>
          <w:sz w:val="20"/>
          <w:szCs w:val="20"/>
          <w:color w:val="auto"/>
        </w:rPr>
      </w:pPr>
      <w:r>
        <w:rPr>
          <w:rFonts w:ascii="Arial" w:cs="Arial" w:eastAsia="Arial" w:hAnsi="Arial"/>
          <w:sz w:val="13"/>
          <w:szCs w:val="13"/>
          <w:color w:val="auto"/>
        </w:rPr>
        <w:t>If you hold your shares in your own name as a holder of record with our transfer agent, Broadridge, you may vote your shares using one of the following methods (please also see the information provided above and below concerning the difference in how to vote if you hold shares beneficially through a brokerage firm, bank or other nominee instead of as the registered holder – beneficial holders should follow the voting instructions provided by their respective nominees):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360" w:type="dxa"/>
            <w:vAlign w:val="bottom"/>
          </w:tcPr>
          <w:p>
            <w:pPr>
              <w:ind w:left="20"/>
              <w:spacing w:after="0"/>
              <w:rPr>
                <w:sz w:val="20"/>
                <w:szCs w:val="20"/>
                <w:color w:val="auto"/>
              </w:rPr>
            </w:pPr>
            <w:r>
              <w:rPr>
                <w:rFonts w:ascii="Arial" w:cs="Arial" w:eastAsia="Arial" w:hAnsi="Arial"/>
                <w:sz w:val="13"/>
                <w:szCs w:val="13"/>
                <w:b w:val="1"/>
                <w:bCs w:val="1"/>
                <w:color w:val="auto"/>
              </w:rPr>
              <w:t>By Internet</w:t>
            </w:r>
          </w:p>
        </w:tc>
        <w:tc>
          <w:tcPr>
            <w:tcW w:w="9920" w:type="dxa"/>
            <w:vAlign w:val="bottom"/>
          </w:tcPr>
          <w:p>
            <w:pPr>
              <w:ind w:left="240"/>
              <w:spacing w:after="0"/>
              <w:rPr>
                <w:sz w:val="20"/>
                <w:szCs w:val="20"/>
                <w:color w:val="auto"/>
              </w:rPr>
            </w:pPr>
            <w:r>
              <w:rPr>
                <w:rFonts w:ascii="Arial" w:cs="Arial" w:eastAsia="Arial" w:hAnsi="Arial"/>
                <w:sz w:val="13"/>
                <w:szCs w:val="13"/>
                <w:color w:val="auto"/>
              </w:rPr>
              <w:t>If you received the Notice or a printed copy of the Proxy Materials, follow the instructions in the Notice or on the proxy card.</w:t>
            </w:r>
          </w:p>
        </w:tc>
        <w:tc>
          <w:tcPr>
            <w:tcW w:w="0" w:type="dxa"/>
            <w:vAlign w:val="bottom"/>
          </w:tcPr>
          <w:p>
            <w:pPr>
              <w:spacing w:after="0"/>
              <w:rPr>
                <w:sz w:val="1"/>
                <w:szCs w:val="1"/>
                <w:color w:val="auto"/>
              </w:rPr>
            </w:pPr>
          </w:p>
        </w:tc>
      </w:tr>
      <w:tr>
        <w:trPr>
          <w:trHeight w:val="195"/>
        </w:trPr>
        <w:tc>
          <w:tcPr>
            <w:tcW w:w="1360" w:type="dxa"/>
            <w:vAlign w:val="bottom"/>
            <w:shd w:val="clear" w:color="auto" w:fill="E6F4EF"/>
          </w:tcPr>
          <w:p>
            <w:pPr>
              <w:ind w:left="20"/>
              <w:spacing w:after="0"/>
              <w:rPr>
                <w:sz w:val="20"/>
                <w:szCs w:val="20"/>
                <w:color w:val="auto"/>
              </w:rPr>
            </w:pPr>
            <w:r>
              <w:rPr>
                <w:rFonts w:ascii="Arial" w:cs="Arial" w:eastAsia="Arial" w:hAnsi="Arial"/>
                <w:sz w:val="13"/>
                <w:szCs w:val="13"/>
                <w:b w:val="1"/>
                <w:bCs w:val="1"/>
                <w:color w:val="auto"/>
              </w:rPr>
              <w:t>By Telephone</w:t>
            </w:r>
          </w:p>
        </w:tc>
        <w:tc>
          <w:tcPr>
            <w:tcW w:w="9920" w:type="dxa"/>
            <w:vAlign w:val="bottom"/>
            <w:shd w:val="clear" w:color="auto" w:fill="E6F4EF"/>
          </w:tcPr>
          <w:p>
            <w:pPr>
              <w:ind w:left="240"/>
              <w:spacing w:after="0"/>
              <w:rPr>
                <w:sz w:val="20"/>
                <w:szCs w:val="20"/>
                <w:color w:val="auto"/>
              </w:rPr>
            </w:pPr>
            <w:r>
              <w:rPr>
                <w:rFonts w:ascii="Arial" w:cs="Arial" w:eastAsia="Arial" w:hAnsi="Arial"/>
                <w:sz w:val="13"/>
                <w:szCs w:val="13"/>
                <w:color w:val="auto"/>
              </w:rPr>
              <w:t>If you received the Notice or a printed copy of the Proxy Materials, follow the instructions in the Notice or on the proxy card.</w:t>
            </w:r>
          </w:p>
        </w:tc>
        <w:tc>
          <w:tcPr>
            <w:tcW w:w="0" w:type="dxa"/>
            <w:vAlign w:val="bottom"/>
          </w:tcPr>
          <w:p>
            <w:pPr>
              <w:spacing w:after="0"/>
              <w:rPr>
                <w:sz w:val="1"/>
                <w:szCs w:val="1"/>
                <w:color w:val="auto"/>
              </w:rPr>
            </w:pPr>
          </w:p>
        </w:tc>
      </w:tr>
      <w:tr>
        <w:trPr>
          <w:trHeight w:val="187"/>
        </w:trPr>
        <w:tc>
          <w:tcPr>
            <w:tcW w:w="1360" w:type="dxa"/>
            <w:vAlign w:val="bottom"/>
          </w:tcPr>
          <w:p>
            <w:pPr>
              <w:ind w:left="20"/>
              <w:spacing w:after="0"/>
              <w:rPr>
                <w:sz w:val="20"/>
                <w:szCs w:val="20"/>
                <w:color w:val="auto"/>
              </w:rPr>
            </w:pPr>
            <w:r>
              <w:rPr>
                <w:rFonts w:ascii="Arial" w:cs="Arial" w:eastAsia="Arial" w:hAnsi="Arial"/>
                <w:sz w:val="13"/>
                <w:szCs w:val="13"/>
                <w:b w:val="1"/>
                <w:bCs w:val="1"/>
                <w:color w:val="auto"/>
              </w:rPr>
              <w:t>By Mail</w:t>
            </w:r>
          </w:p>
        </w:tc>
        <w:tc>
          <w:tcPr>
            <w:tcW w:w="9920" w:type="dxa"/>
            <w:vAlign w:val="bottom"/>
          </w:tcPr>
          <w:p>
            <w:pPr>
              <w:ind w:left="240"/>
              <w:spacing w:after="0"/>
              <w:rPr>
                <w:sz w:val="20"/>
                <w:szCs w:val="20"/>
                <w:color w:val="auto"/>
              </w:rPr>
            </w:pPr>
            <w:r>
              <w:rPr>
                <w:rFonts w:ascii="Arial" w:cs="Arial" w:eastAsia="Arial" w:hAnsi="Arial"/>
                <w:sz w:val="13"/>
                <w:szCs w:val="13"/>
                <w:color w:val="auto"/>
              </w:rPr>
              <w:t>If you received a printed copy of the Proxy Materials, complete, sign, date, and mail your proxy card in the enclosed, postage-prepaid envelope.</w:t>
            </w:r>
          </w:p>
        </w:tc>
        <w:tc>
          <w:tcPr>
            <w:tcW w:w="0" w:type="dxa"/>
            <w:vAlign w:val="bottom"/>
          </w:tcPr>
          <w:p>
            <w:pPr>
              <w:spacing w:after="0"/>
              <w:rPr>
                <w:sz w:val="1"/>
                <w:szCs w:val="1"/>
                <w:color w:val="auto"/>
              </w:rPr>
            </w:pPr>
          </w:p>
        </w:tc>
      </w:tr>
      <w:tr>
        <w:trPr>
          <w:trHeight w:val="163"/>
        </w:trPr>
        <w:tc>
          <w:tcPr>
            <w:tcW w:w="1360" w:type="dxa"/>
            <w:vAlign w:val="bottom"/>
            <w:vMerge w:val="restart"/>
            <w:shd w:val="clear" w:color="auto" w:fill="E6F4EF"/>
          </w:tcPr>
          <w:p>
            <w:pPr>
              <w:ind w:left="20"/>
              <w:spacing w:after="0"/>
              <w:rPr>
                <w:sz w:val="20"/>
                <w:szCs w:val="20"/>
                <w:color w:val="auto"/>
              </w:rPr>
            </w:pPr>
            <w:r>
              <w:rPr>
                <w:rFonts w:ascii="Arial" w:cs="Arial" w:eastAsia="Arial" w:hAnsi="Arial"/>
                <w:sz w:val="13"/>
                <w:szCs w:val="13"/>
                <w:b w:val="1"/>
                <w:bCs w:val="1"/>
                <w:color w:val="auto"/>
              </w:rPr>
              <w:t>In Person (Virtual)</w:t>
            </w:r>
          </w:p>
        </w:tc>
        <w:tc>
          <w:tcPr>
            <w:tcW w:w="9920" w:type="dxa"/>
            <w:vAlign w:val="bottom"/>
            <w:shd w:val="clear" w:color="auto" w:fill="E6F4EF"/>
          </w:tcPr>
          <w:p>
            <w:pPr>
              <w:ind w:left="240"/>
              <w:spacing w:after="0"/>
              <w:rPr>
                <w:sz w:val="20"/>
                <w:szCs w:val="20"/>
                <w:color w:val="auto"/>
              </w:rPr>
            </w:pPr>
            <w:r>
              <w:rPr>
                <w:rFonts w:ascii="Arial" w:cs="Arial" w:eastAsia="Arial" w:hAnsi="Arial"/>
                <w:sz w:val="13"/>
                <w:szCs w:val="13"/>
                <w:color w:val="auto"/>
                <w:w w:val="98"/>
              </w:rPr>
              <w:t>You may also vote in person virtually by attending the meeting through www.proxydocs.com/NRDS. To attend the Annual Meeting and vote your shares, you must register</w:t>
            </w:r>
          </w:p>
        </w:tc>
        <w:tc>
          <w:tcPr>
            <w:tcW w:w="0" w:type="dxa"/>
            <w:vAlign w:val="bottom"/>
          </w:tcPr>
          <w:p>
            <w:pPr>
              <w:spacing w:after="0"/>
              <w:rPr>
                <w:sz w:val="1"/>
                <w:szCs w:val="1"/>
                <w:color w:val="auto"/>
              </w:rPr>
            </w:pPr>
          </w:p>
        </w:tc>
      </w:tr>
      <w:tr>
        <w:trPr>
          <w:trHeight w:val="99"/>
        </w:trPr>
        <w:tc>
          <w:tcPr>
            <w:tcW w:w="1360" w:type="dxa"/>
            <w:vAlign w:val="bottom"/>
            <w:vMerge w:val="continue"/>
            <w:shd w:val="clear" w:color="auto" w:fill="E6F4EF"/>
          </w:tcPr>
          <w:p>
            <w:pPr>
              <w:spacing w:after="0"/>
              <w:rPr>
                <w:sz w:val="8"/>
                <w:szCs w:val="8"/>
                <w:color w:val="auto"/>
              </w:rPr>
            </w:pPr>
          </w:p>
        </w:tc>
        <w:tc>
          <w:tcPr>
            <w:tcW w:w="9920" w:type="dxa"/>
            <w:vAlign w:val="bottom"/>
            <w:vMerge w:val="restart"/>
            <w:shd w:val="clear" w:color="auto" w:fill="E6F4EF"/>
          </w:tcPr>
          <w:p>
            <w:pPr>
              <w:ind w:left="240"/>
              <w:spacing w:after="0"/>
              <w:rPr>
                <w:sz w:val="20"/>
                <w:szCs w:val="20"/>
                <w:color w:val="auto"/>
              </w:rPr>
            </w:pPr>
            <w:r>
              <w:rPr>
                <w:rFonts w:ascii="Arial" w:cs="Arial" w:eastAsia="Arial" w:hAnsi="Arial"/>
                <w:sz w:val="13"/>
                <w:szCs w:val="13"/>
                <w:color w:val="auto"/>
              </w:rPr>
              <w:t>in advance for the Annual Meeting and provide the control number located on your Notice or proxy card.</w:t>
            </w:r>
          </w:p>
        </w:tc>
        <w:tc>
          <w:tcPr>
            <w:tcW w:w="0" w:type="dxa"/>
            <w:vAlign w:val="bottom"/>
          </w:tcPr>
          <w:p>
            <w:pPr>
              <w:spacing w:after="0"/>
              <w:rPr>
                <w:sz w:val="1"/>
                <w:szCs w:val="1"/>
                <w:color w:val="auto"/>
              </w:rPr>
            </w:pPr>
          </w:p>
        </w:tc>
      </w:tr>
      <w:tr>
        <w:trPr>
          <w:trHeight w:val="68"/>
        </w:trPr>
        <w:tc>
          <w:tcPr>
            <w:tcW w:w="1360" w:type="dxa"/>
            <w:vAlign w:val="bottom"/>
            <w:shd w:val="clear" w:color="auto" w:fill="E6F4EF"/>
          </w:tcPr>
          <w:p>
            <w:pPr>
              <w:spacing w:after="0"/>
              <w:rPr>
                <w:sz w:val="5"/>
                <w:szCs w:val="5"/>
                <w:color w:val="auto"/>
              </w:rPr>
            </w:pPr>
          </w:p>
        </w:tc>
        <w:tc>
          <w:tcPr>
            <w:tcW w:w="9920" w:type="dxa"/>
            <w:vAlign w:val="bottom"/>
            <w:vMerge w:val="continue"/>
            <w:shd w:val="clear" w:color="auto" w:fill="E6F4EF"/>
          </w:tcPr>
          <w:p>
            <w:pPr>
              <w:spacing w:after="0"/>
              <w:rPr>
                <w:sz w:val="5"/>
                <w:szCs w:val="5"/>
                <w:color w:val="auto"/>
              </w:rPr>
            </w:pPr>
          </w:p>
        </w:tc>
        <w:tc>
          <w:tcPr>
            <w:tcW w:w="0" w:type="dxa"/>
            <w:vAlign w:val="bottom"/>
          </w:tcPr>
          <w:p>
            <w:pPr>
              <w:spacing w:after="0"/>
              <w:rPr>
                <w:sz w:val="1"/>
                <w:szCs w:val="1"/>
                <w:color w:val="auto"/>
              </w:rPr>
            </w:pPr>
          </w:p>
        </w:tc>
      </w:tr>
      <w:tr>
        <w:trPr>
          <w:trHeight w:val="24"/>
        </w:trPr>
        <w:tc>
          <w:tcPr>
            <w:tcW w:w="1360" w:type="dxa"/>
            <w:vAlign w:val="bottom"/>
            <w:shd w:val="clear" w:color="auto" w:fill="E6F4EF"/>
          </w:tcPr>
          <w:p>
            <w:pPr>
              <w:spacing w:after="0"/>
              <w:rPr>
                <w:sz w:val="2"/>
                <w:szCs w:val="2"/>
                <w:color w:val="auto"/>
              </w:rPr>
            </w:pPr>
          </w:p>
        </w:tc>
        <w:tc>
          <w:tcPr>
            <w:tcW w:w="9920" w:type="dxa"/>
            <w:vAlign w:val="bottom"/>
            <w:shd w:val="clear" w:color="auto" w:fill="E6F4E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right="360"/>
        <w:spacing w:after="0" w:line="283" w:lineRule="auto"/>
        <w:rPr>
          <w:sz w:val="20"/>
          <w:szCs w:val="20"/>
          <w:color w:val="auto"/>
        </w:rPr>
      </w:pPr>
      <w:r>
        <w:rPr>
          <w:rFonts w:ascii="Arial" w:cs="Arial" w:eastAsia="Arial" w:hAnsi="Arial"/>
          <w:sz w:val="13"/>
          <w:szCs w:val="13"/>
          <w:color w:val="auto"/>
        </w:rPr>
        <w:t>You may hold company shares in multiple accounts and therefore receive more than one set of the Proxy Materials. To ensure that all of your shares are voted, please submit your proxy or voting instructions for each account for which you have received a set of the Proxy Materials.</w:t>
      </w:r>
    </w:p>
    <w:p>
      <w:pPr>
        <w:spacing w:after="0" w:line="125" w:lineRule="exact"/>
        <w:rPr>
          <w:sz w:val="20"/>
          <w:szCs w:val="20"/>
          <w:color w:val="auto"/>
        </w:rPr>
      </w:pPr>
    </w:p>
    <w:p>
      <w:pPr>
        <w:ind w:right="160"/>
        <w:spacing w:after="0" w:line="276" w:lineRule="auto"/>
        <w:rPr>
          <w:sz w:val="20"/>
          <w:szCs w:val="20"/>
          <w:color w:val="auto"/>
        </w:rPr>
      </w:pPr>
      <w:r>
        <w:rPr>
          <w:rFonts w:ascii="Arial" w:cs="Arial" w:eastAsia="Arial" w:hAnsi="Arial"/>
          <w:sz w:val="13"/>
          <w:szCs w:val="13"/>
          <w:b w:val="1"/>
          <w:bCs w:val="1"/>
          <w:color w:val="auto"/>
        </w:rPr>
        <w:t>Even if you plan to attend the Annual Meeting, we recommend that you submit your proxy or voting instructions in advance of the Annual Meeting as described above so that your vote will be counted if you later decide not to attend or are unable to attend the Annual Meeting.</w:t>
      </w:r>
    </w:p>
    <w:p>
      <w:pPr>
        <w:spacing w:after="0" w:line="134" w:lineRule="exact"/>
        <w:rPr>
          <w:sz w:val="20"/>
          <w:szCs w:val="20"/>
          <w:color w:val="auto"/>
        </w:rPr>
      </w:pPr>
    </w:p>
    <w:p>
      <w:pPr>
        <w:jc w:val="both"/>
        <w:ind w:right="60"/>
        <w:spacing w:after="0" w:line="261" w:lineRule="auto"/>
        <w:rPr>
          <w:sz w:val="20"/>
          <w:szCs w:val="20"/>
          <w:color w:val="auto"/>
        </w:rPr>
      </w:pPr>
      <w:r>
        <w:rPr>
          <w:rFonts w:ascii="Arial" w:cs="Arial" w:eastAsia="Arial" w:hAnsi="Arial"/>
          <w:sz w:val="13"/>
          <w:szCs w:val="13"/>
          <w:b w:val="1"/>
          <w:bCs w:val="1"/>
          <w:color w:val="auto"/>
        </w:rPr>
        <w:t xml:space="preserve">During The Annual Meeting. </w:t>
      </w:r>
      <w:r>
        <w:rPr>
          <w:rFonts w:ascii="Arial" w:cs="Arial" w:eastAsia="Arial" w:hAnsi="Arial"/>
          <w:sz w:val="13"/>
          <w:szCs w:val="13"/>
          <w:color w:val="auto"/>
        </w:rPr>
        <w:t>Stockholders of record may attend the Annual Meeting via the Internet and vote electronically during the Annual Meeting. Have available the information that is printed in</w:t>
      </w:r>
      <w:r>
        <w:rPr>
          <w:rFonts w:ascii="Arial" w:cs="Arial" w:eastAsia="Arial" w:hAnsi="Arial"/>
          <w:sz w:val="13"/>
          <w:szCs w:val="13"/>
          <w:b w:val="1"/>
          <w:bCs w:val="1"/>
          <w:color w:val="auto"/>
        </w:rPr>
        <w:t xml:space="preserve"> </w:t>
      </w:r>
      <w:r>
        <w:rPr>
          <w:rFonts w:ascii="Arial" w:cs="Arial" w:eastAsia="Arial" w:hAnsi="Arial"/>
          <w:sz w:val="13"/>
          <w:szCs w:val="13"/>
          <w:color w:val="auto"/>
        </w:rPr>
        <w:t>the box provided in your Notice of Internet Availability of Proxy Materials or your proxy card (if you requested a printed copy of the proxy materials) in hand when you access the website and follow the instructions to vote.</w:t>
      </w:r>
    </w:p>
    <w:p>
      <w:pPr>
        <w:spacing w:after="0" w:line="138" w:lineRule="exact"/>
        <w:rPr>
          <w:sz w:val="20"/>
          <w:szCs w:val="20"/>
          <w:color w:val="auto"/>
        </w:rPr>
      </w:pPr>
    </w:p>
    <w:p>
      <w:pPr>
        <w:jc w:val="both"/>
        <w:ind w:right="140"/>
        <w:spacing w:after="0" w:line="266" w:lineRule="auto"/>
        <w:rPr>
          <w:sz w:val="20"/>
          <w:szCs w:val="20"/>
          <w:color w:val="auto"/>
        </w:rPr>
      </w:pPr>
      <w:r>
        <w:rPr>
          <w:rFonts w:ascii="Arial" w:cs="Arial" w:eastAsia="Arial" w:hAnsi="Arial"/>
          <w:sz w:val="13"/>
          <w:szCs w:val="13"/>
          <w:color w:val="auto"/>
        </w:rPr>
        <w:t xml:space="preserve">If, prior to the Annual Meeting, you vote over the Internet or by telephone, your electronic vote authorizes the named proxies in the same manner as if you signed, dated and returned a proxy card. </w:t>
      </w:r>
      <w:r>
        <w:rPr>
          <w:rFonts w:ascii="Arial" w:cs="Arial" w:eastAsia="Arial" w:hAnsi="Arial"/>
          <w:sz w:val="13"/>
          <w:szCs w:val="13"/>
          <w:b w:val="1"/>
          <w:bCs w:val="1"/>
          <w:color w:val="auto"/>
        </w:rPr>
        <w:t>If,</w:t>
      </w:r>
      <w:r>
        <w:rPr>
          <w:rFonts w:ascii="Arial" w:cs="Arial" w:eastAsia="Arial" w:hAnsi="Arial"/>
          <w:sz w:val="13"/>
          <w:szCs w:val="13"/>
          <w:color w:val="auto"/>
        </w:rPr>
        <w:t xml:space="preserve"> </w:t>
      </w:r>
      <w:r>
        <w:rPr>
          <w:rFonts w:ascii="Arial" w:cs="Arial" w:eastAsia="Arial" w:hAnsi="Arial"/>
          <w:sz w:val="13"/>
          <w:szCs w:val="13"/>
          <w:b w:val="1"/>
          <w:bCs w:val="1"/>
          <w:color w:val="auto"/>
        </w:rPr>
        <w:t>prior to the Annual Meeting, you vote over the Internet or by telephone, do not return a proxy card or vote at the Annual Meeting unless you intend to revoke your previously submitted proxy.</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Do I Vote If I Am a Beneficial Owner?</w:t>
      </w:r>
    </w:p>
    <w:p>
      <w:pPr>
        <w:spacing w:after="0" w:line="192" w:lineRule="exact"/>
        <w:rPr>
          <w:sz w:val="20"/>
          <w:szCs w:val="20"/>
          <w:color w:val="auto"/>
        </w:rPr>
      </w:pPr>
    </w:p>
    <w:p>
      <w:pPr>
        <w:ind w:right="40"/>
        <w:spacing w:after="0" w:line="247" w:lineRule="auto"/>
        <w:rPr>
          <w:sz w:val="20"/>
          <w:szCs w:val="20"/>
          <w:color w:val="auto"/>
        </w:rPr>
      </w:pPr>
      <w:r>
        <w:rPr>
          <w:rFonts w:ascii="Arial" w:cs="Arial" w:eastAsia="Arial" w:hAnsi="Arial"/>
          <w:sz w:val="13"/>
          <w:szCs w:val="13"/>
          <w:color w:val="auto"/>
        </w:rPr>
        <w:t>If you hold your shares through a broker, bank or other nominee (that is, in street name), you will receive instructions from your broker, bank or nominee that you must follow in order to submit your voting instructions and have your shares voted at the Annual Meeting. As a beneficial owner, you have the right to direct your broker, bank or other nominee how to vote your shares by following the instructions that your broker, bank or other nominee sent to you. You will receive voting instructions for each account that you have with a broker, bank or other nominee. Please instruct your broker, bank or other nominee how to vote your shares using the voting instruction card you received from them. If your broker, bank or other nominee permits you to provide voting instructions via the Internet or by telephone, you may vote that way as well. As a beneficial owner, if you wish to change the directions that you have provided to your broker, bank or other nominee, you should follow the instructions that your broker, bank or other nominee sent to you.</w:t>
      </w:r>
    </w:p>
    <w:p>
      <w:pPr>
        <w:spacing w:after="0" w:line="159" w:lineRule="exact"/>
        <w:rPr>
          <w:sz w:val="20"/>
          <w:szCs w:val="20"/>
          <w:color w:val="auto"/>
        </w:rPr>
      </w:pPr>
    </w:p>
    <w:p>
      <w:pPr>
        <w:ind w:right="80"/>
        <w:spacing w:after="0" w:line="249" w:lineRule="auto"/>
        <w:rPr>
          <w:sz w:val="20"/>
          <w:szCs w:val="20"/>
          <w:color w:val="auto"/>
        </w:rPr>
      </w:pPr>
      <w:r>
        <w:rPr>
          <w:rFonts w:ascii="Arial" w:cs="Arial" w:eastAsia="Arial" w:hAnsi="Arial"/>
          <w:sz w:val="13"/>
          <w:szCs w:val="13"/>
          <w:color w:val="auto"/>
        </w:rPr>
        <w:t>If you do not direct your broker, bank or other nominee how to vote your shares, the broker, bank or other nominee will determine if it has the discretionary authority to vote on each applicable matter. Under applicable law, if you are a beneficial owner, your broker, bank or other nominee only has discretion to vote on certain “routine” matters without your voting instructions. The proposal to ratify the appointment of Deloitte &amp; Touche LLP as our independent registered public accounting firm is considered a routine matter. For all other matters at the Annual Meeting, your broker, bank or other nominee will be unable to vote on your behalf if you do not instruct them how to vote your shares and, if you do not provide voting instructions, your shares will be considered “broker non-votes.” Therefore, it is very important for you to vote your shares for each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187960</wp:posOffset>
            </wp:positionV>
            <wp:extent cx="7161530" cy="28956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1530" cy="28956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left="11080"/>
        <w:spacing w:after="0"/>
        <w:rPr>
          <w:sz w:val="20"/>
          <w:szCs w:val="20"/>
          <w:color w:val="auto"/>
        </w:rPr>
      </w:pPr>
      <w:r>
        <w:rPr>
          <w:rFonts w:ascii="Arial" w:cs="Arial" w:eastAsia="Arial" w:hAnsi="Arial"/>
          <w:sz w:val="13"/>
          <w:szCs w:val="13"/>
          <w:b w:val="1"/>
          <w:bCs w:val="1"/>
          <w:color w:val="auto"/>
        </w:rPr>
        <w:t>45</w:t>
      </w:r>
    </w:p>
    <w:p>
      <w:pPr>
        <w:sectPr>
          <w:pgSz w:w="11900" w:h="16838" w:orient="portrait"/>
          <w:cols w:equalWidth="0" w:num="1">
            <w:col w:w="11280"/>
          </w:cols>
          <w:pgMar w:left="300" w:top="171" w:right="319" w:bottom="1440" w:gutter="0" w:footer="0" w:header="0"/>
        </w:sectPr>
      </w:pPr>
    </w:p>
    <w:bookmarkStart w:id="50" w:name="page51"/>
    <w:bookmarkEnd w:id="50"/>
    <w:p>
      <w:pPr>
        <w:ind w:left="300"/>
        <w:spacing w:after="0"/>
        <w:rPr>
          <w:sz w:val="20"/>
          <w:szCs w:val="20"/>
          <w:color w:val="auto"/>
        </w:rPr>
      </w:pPr>
      <w:r>
        <w:rPr>
          <w:rFonts w:ascii="Arial" w:cs="Arial" w:eastAsia="Arial" w:hAnsi="Arial"/>
          <w:sz w:val="13"/>
          <w:szCs w:val="13"/>
          <w:b w:val="1"/>
          <w:bCs w:val="1"/>
          <w:color w:val="00482F"/>
        </w:rPr>
        <w:drawing>
          <wp:anchor simplePos="0" relativeHeight="251657728" behindDoc="1" locked="0" layoutInCell="0" allowOverlap="1">
            <wp:simplePos x="0" y="0"/>
            <wp:positionH relativeFrom="page">
              <wp:posOffset>328295</wp:posOffset>
            </wp:positionH>
            <wp:positionV relativeFrom="page">
              <wp:posOffset>102235</wp:posOffset>
            </wp:positionV>
            <wp:extent cx="3321685" cy="2495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21685" cy="249555"/>
                    </a:xfrm>
                    <a:prstGeom prst="rect">
                      <a:avLst/>
                    </a:prstGeom>
                    <a:noFill/>
                  </pic:spPr>
                </pic:pic>
              </a:graphicData>
            </a:graphic>
          </wp:anchor>
        </w:drawing>
        <w:t>QUESTIONS AND ANSWERS ABOUT THE PROXY MATERIALS AND 2025 ANNUAL</w:t>
      </w:r>
    </w:p>
    <w:p>
      <w:pPr>
        <w:spacing w:after="0" w:line="11" w:lineRule="exact"/>
        <w:rPr>
          <w:sz w:val="20"/>
          <w:szCs w:val="20"/>
          <w:color w:val="auto"/>
        </w:rPr>
      </w:pPr>
    </w:p>
    <w:p>
      <w:pPr>
        <w:ind w:left="300"/>
        <w:spacing w:after="0"/>
        <w:rPr>
          <w:sz w:val="20"/>
          <w:szCs w:val="20"/>
          <w:color w:val="auto"/>
        </w:rPr>
      </w:pPr>
      <w:r>
        <w:rPr>
          <w:rFonts w:ascii="Arial" w:cs="Arial" w:eastAsia="Arial" w:hAnsi="Arial"/>
          <w:sz w:val="13"/>
          <w:szCs w:val="13"/>
          <w:b w:val="1"/>
          <w:bCs w:val="1"/>
          <w:color w:val="00482F"/>
        </w:rPr>
        <w:t>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120"/>
        <w:spacing w:after="0" w:line="266" w:lineRule="auto"/>
        <w:rPr>
          <w:sz w:val="20"/>
          <w:szCs w:val="20"/>
          <w:color w:val="auto"/>
        </w:rPr>
      </w:pPr>
      <w:r>
        <w:rPr>
          <w:rFonts w:ascii="Arial" w:cs="Arial" w:eastAsia="Arial" w:hAnsi="Arial"/>
          <w:sz w:val="13"/>
          <w:szCs w:val="13"/>
          <w:color w:val="auto"/>
        </w:rPr>
        <w:t>If you want to vote in person virtually at the Annual Meeting, you must register in advance at www.proxydocs.com/NRDS. You may be instructed to obtain a legal proxy from your broker, bank or other nominee and to submit a copy in advance of the meeting. Further instructions will be provided to you as part of your registration process.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Can I Do If I Change My Mind After I Vote?</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color w:val="auto"/>
        </w:rPr>
        <w:t>If you are a stockholder of record, you may change your voting instructions and revoke your proxy before it is exercised by doing any one of the following:</w:t>
      </w:r>
    </w:p>
    <w:p>
      <w:pPr>
        <w:spacing w:after="0" w:line="179" w:lineRule="exact"/>
        <w:rPr>
          <w:sz w:val="20"/>
          <w:szCs w:val="20"/>
          <w:color w:val="auto"/>
        </w:rPr>
      </w:pPr>
    </w:p>
    <w:p>
      <w:pPr>
        <w:ind w:left="260" w:hanging="128"/>
        <w:spacing w:after="0"/>
        <w:tabs>
          <w:tab w:leader="none" w:pos="26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Timely written notice of revocation to our Chief Legal Officer and Corporate Secretary at 4150 N Drinkwater Blvd., Suite 200, Scottsdale, Arizona 85251.</w:t>
      </w:r>
    </w:p>
    <w:p>
      <w:pPr>
        <w:spacing w:after="0" w:line="168" w:lineRule="exact"/>
        <w:rPr>
          <w:rFonts w:ascii="Arial" w:cs="Arial" w:eastAsia="Arial" w:hAnsi="Arial"/>
          <w:sz w:val="13"/>
          <w:szCs w:val="13"/>
          <w:color w:val="auto"/>
        </w:rPr>
      </w:pPr>
    </w:p>
    <w:p>
      <w:pPr>
        <w:ind w:left="260" w:hanging="128"/>
        <w:spacing w:after="0"/>
        <w:tabs>
          <w:tab w:leader="none" w:pos="260" w:val="left"/>
        </w:tabs>
        <w:numPr>
          <w:ilvl w:val="0"/>
          <w:numId w:val="32"/>
        </w:numPr>
        <w:rPr>
          <w:rFonts w:ascii="Arial" w:cs="Arial" w:eastAsia="Arial" w:hAnsi="Arial"/>
          <w:sz w:val="13"/>
          <w:szCs w:val="13"/>
          <w:color w:val="auto"/>
        </w:rPr>
      </w:pPr>
      <w:r>
        <w:rPr>
          <w:rFonts w:ascii="Arial" w:cs="Arial" w:eastAsia="Arial" w:hAnsi="Arial"/>
          <w:sz w:val="13"/>
          <w:szCs w:val="13"/>
          <w:color w:val="auto"/>
        </w:rPr>
        <w:t>A timely later-dated vote by telephone or on the Internet or timely delivery of a valid, later-dated proxy.</w:t>
      </w:r>
    </w:p>
    <w:p>
      <w:pPr>
        <w:spacing w:after="0" w:line="168" w:lineRule="exact"/>
        <w:rPr>
          <w:rFonts w:ascii="Arial" w:cs="Arial" w:eastAsia="Arial" w:hAnsi="Arial"/>
          <w:sz w:val="13"/>
          <w:szCs w:val="13"/>
          <w:color w:val="auto"/>
        </w:rPr>
      </w:pPr>
    </w:p>
    <w:p>
      <w:pPr>
        <w:ind w:left="260" w:hanging="128"/>
        <w:spacing w:after="0"/>
        <w:tabs>
          <w:tab w:leader="none" w:pos="260" w:val="left"/>
        </w:tabs>
        <w:numPr>
          <w:ilvl w:val="0"/>
          <w:numId w:val="32"/>
        </w:numPr>
        <w:rPr>
          <w:rFonts w:ascii="Arial" w:cs="Arial" w:eastAsia="Arial" w:hAnsi="Arial"/>
          <w:sz w:val="13"/>
          <w:szCs w:val="13"/>
          <w:color w:val="auto"/>
        </w:rPr>
      </w:pPr>
      <w:r>
        <w:rPr>
          <w:rFonts w:ascii="Arial" w:cs="Arial" w:eastAsia="Arial" w:hAnsi="Arial"/>
          <w:sz w:val="13"/>
          <w:szCs w:val="13"/>
          <w:color w:val="auto"/>
        </w:rPr>
        <w:t>Participating in the Annual Meeting live via the Internet and voting again.</w:t>
      </w:r>
    </w:p>
    <w:p>
      <w:pPr>
        <w:spacing w:after="0" w:line="179" w:lineRule="exact"/>
        <w:rPr>
          <w:sz w:val="20"/>
          <w:szCs w:val="20"/>
          <w:color w:val="auto"/>
        </w:rPr>
      </w:pPr>
    </w:p>
    <w:p>
      <w:pPr>
        <w:ind w:right="200"/>
        <w:spacing w:after="0" w:line="266" w:lineRule="auto"/>
        <w:rPr>
          <w:sz w:val="20"/>
          <w:szCs w:val="20"/>
          <w:color w:val="auto"/>
        </w:rPr>
      </w:pPr>
      <w:r>
        <w:rPr>
          <w:rFonts w:ascii="Arial" w:cs="Arial" w:eastAsia="Arial" w:hAnsi="Arial"/>
          <w:sz w:val="13"/>
          <w:szCs w:val="13"/>
          <w:color w:val="auto"/>
        </w:rPr>
        <w:t>Only the latest validly executed proxy that you submit will be counted. Your attendance at the Annual Meeting in person will not cause your previously granted proxy to be revoked unless you vote in person.</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If you are a beneficial owner of shares but not the stockholder of record, you may submit new voting instructions by contacting your broker, bank or other nominee.</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items of business will be voted on at the 2025 Annual Meeting and what is the voting recommendation for each?</w:t>
      </w:r>
    </w:p>
    <w:p>
      <w:pPr>
        <w:spacing w:after="0" w:line="181" w:lineRule="exact"/>
        <w:rPr>
          <w:sz w:val="20"/>
          <w:szCs w:val="20"/>
          <w:color w:val="auto"/>
        </w:rPr>
      </w:pPr>
    </w:p>
    <w:p>
      <w:pPr>
        <w:ind w:right="660"/>
        <w:spacing w:after="0" w:line="283" w:lineRule="auto"/>
        <w:rPr>
          <w:sz w:val="20"/>
          <w:szCs w:val="20"/>
          <w:color w:val="auto"/>
        </w:rPr>
      </w:pPr>
      <w:r>
        <w:rPr>
          <w:rFonts w:ascii="Arial" w:cs="Arial" w:eastAsia="Arial" w:hAnsi="Arial"/>
          <w:sz w:val="13"/>
          <w:szCs w:val="13"/>
          <w:color w:val="auto"/>
        </w:rPr>
        <w:t>The table below details information regarding the proposals to be voted on at the 2025 Annual Meeting and the Board’s recommendations on how to vote on each proposal, and the effect of abstentions and broker-non-votes.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60" w:type="dxa"/>
            <w:vAlign w:val="bottom"/>
            <w:tcBorders>
              <w:top w:val="single" w:sz="8" w:color="008256"/>
              <w:bottom w:val="single" w:sz="8" w:color="008256"/>
              <w:right w:val="single" w:sz="8" w:color="008256"/>
            </w:tcBorders>
            <w:gridSpan w:val="2"/>
          </w:tcPr>
          <w:p>
            <w:pPr>
              <w:jc w:val="center"/>
              <w:ind w:right="3356"/>
              <w:spacing w:after="0"/>
              <w:rPr>
                <w:sz w:val="20"/>
                <w:szCs w:val="20"/>
                <w:color w:val="auto"/>
              </w:rPr>
            </w:pPr>
            <w:r>
              <w:rPr>
                <w:rFonts w:ascii="Arial" w:cs="Arial" w:eastAsia="Arial" w:hAnsi="Arial"/>
                <w:sz w:val="11"/>
                <w:szCs w:val="11"/>
                <w:b w:val="1"/>
                <w:bCs w:val="1"/>
                <w:color w:val="auto"/>
              </w:rPr>
              <w:t>Proposal</w:t>
            </w:r>
          </w:p>
        </w:tc>
        <w:tc>
          <w:tcPr>
            <w:tcW w:w="3620" w:type="dxa"/>
            <w:vAlign w:val="bottom"/>
            <w:tcBorders>
              <w:top w:val="single" w:sz="8" w:color="008256"/>
              <w:bottom w:val="single" w:sz="8" w:color="008256"/>
              <w:right w:val="single" w:sz="8" w:color="008256"/>
            </w:tcBorders>
          </w:tcPr>
          <w:p>
            <w:pPr>
              <w:ind w:left="1400"/>
              <w:spacing w:after="0"/>
              <w:rPr>
                <w:sz w:val="20"/>
                <w:szCs w:val="20"/>
                <w:color w:val="auto"/>
              </w:rPr>
            </w:pPr>
            <w:r>
              <w:rPr>
                <w:rFonts w:ascii="Arial" w:cs="Arial" w:eastAsia="Arial" w:hAnsi="Arial"/>
                <w:sz w:val="11"/>
                <w:szCs w:val="11"/>
                <w:b w:val="1"/>
                <w:bCs w:val="1"/>
                <w:color w:val="auto"/>
              </w:rPr>
              <w:t>Voting Options</w:t>
            </w:r>
          </w:p>
        </w:tc>
        <w:tc>
          <w:tcPr>
            <w:tcW w:w="3600" w:type="dxa"/>
            <w:vAlign w:val="bottom"/>
            <w:tcBorders>
              <w:top w:val="single" w:sz="8" w:color="008256"/>
              <w:bottom w:val="single" w:sz="8" w:color="008256"/>
            </w:tcBorders>
          </w:tcPr>
          <w:p>
            <w:pPr>
              <w:ind w:left="1140"/>
              <w:spacing w:after="0"/>
              <w:rPr>
                <w:sz w:val="20"/>
                <w:szCs w:val="20"/>
                <w:color w:val="auto"/>
              </w:rPr>
            </w:pPr>
            <w:r>
              <w:rPr>
                <w:rFonts w:ascii="Arial" w:cs="Arial" w:eastAsia="Arial" w:hAnsi="Arial"/>
                <w:sz w:val="11"/>
                <w:szCs w:val="11"/>
                <w:b w:val="1"/>
                <w:bCs w:val="1"/>
                <w:color w:val="auto"/>
              </w:rPr>
              <w:t>Board Recommendation</w:t>
            </w:r>
          </w:p>
        </w:tc>
      </w:tr>
      <w:tr>
        <w:trPr>
          <w:trHeight w:val="219"/>
        </w:trPr>
        <w:tc>
          <w:tcPr>
            <w:tcW w:w="440" w:type="dxa"/>
            <w:vAlign w:val="bottom"/>
            <w:tcBorders>
              <w:right w:val="single" w:sz="8" w:color="008256"/>
            </w:tcBorders>
          </w:tcPr>
          <w:p>
            <w:pPr>
              <w:jc w:val="center"/>
              <w:ind w:left="143"/>
              <w:spacing w:after="0"/>
              <w:rPr>
                <w:sz w:val="20"/>
                <w:szCs w:val="20"/>
                <w:color w:val="auto"/>
              </w:rPr>
            </w:pPr>
            <w:r>
              <w:rPr>
                <w:rFonts w:ascii="Arial" w:cs="Arial" w:eastAsia="Arial" w:hAnsi="Arial"/>
                <w:sz w:val="11"/>
                <w:szCs w:val="11"/>
                <w:b w:val="1"/>
                <w:bCs w:val="1"/>
                <w:color w:val="auto"/>
              </w:rPr>
              <w:t>1</w:t>
            </w:r>
          </w:p>
        </w:tc>
        <w:tc>
          <w:tcPr>
            <w:tcW w:w="3620" w:type="dxa"/>
            <w:vAlign w:val="bottom"/>
            <w:tcBorders>
              <w:right w:val="single" w:sz="8" w:color="008256"/>
            </w:tcBorders>
          </w:tcPr>
          <w:p>
            <w:pPr>
              <w:ind w:left="80"/>
              <w:spacing w:after="0"/>
              <w:rPr>
                <w:sz w:val="20"/>
                <w:szCs w:val="20"/>
                <w:color w:val="auto"/>
              </w:rPr>
            </w:pPr>
            <w:r>
              <w:rPr>
                <w:rFonts w:ascii="Arial" w:cs="Arial" w:eastAsia="Arial" w:hAnsi="Arial"/>
                <w:sz w:val="13"/>
                <w:szCs w:val="13"/>
                <w:b w:val="1"/>
                <w:bCs w:val="1"/>
                <w:color w:val="auto"/>
              </w:rPr>
              <w:t>Election of Directors</w:t>
            </w:r>
          </w:p>
        </w:tc>
        <w:tc>
          <w:tcPr>
            <w:tcW w:w="3620" w:type="dxa"/>
            <w:vAlign w:val="bottom"/>
            <w:tcBorders>
              <w:right w:val="single" w:sz="8" w:color="008256"/>
            </w:tcBorders>
          </w:tcPr>
          <w:p>
            <w:pPr>
              <w:spacing w:after="0"/>
              <w:rPr>
                <w:sz w:val="19"/>
                <w:szCs w:val="19"/>
                <w:color w:val="auto"/>
              </w:rPr>
            </w:pPr>
          </w:p>
        </w:tc>
        <w:tc>
          <w:tcPr>
            <w:tcW w:w="3600" w:type="dxa"/>
            <w:vAlign w:val="bottom"/>
          </w:tcPr>
          <w:p>
            <w:pPr>
              <w:ind w:left="80"/>
              <w:spacing w:after="0"/>
              <w:rPr>
                <w:sz w:val="20"/>
                <w:szCs w:val="20"/>
                <w:color w:val="auto"/>
              </w:rPr>
            </w:pPr>
            <w:r>
              <w:rPr>
                <w:rFonts w:ascii="Arial" w:cs="Arial" w:eastAsia="Arial" w:hAnsi="Arial"/>
                <w:sz w:val="13"/>
                <w:szCs w:val="13"/>
                <w:color w:val="auto"/>
              </w:rPr>
              <w:t>Our Board recommends that you vote FOR all director</w:t>
            </w:r>
          </w:p>
        </w:tc>
      </w:tr>
      <w:tr>
        <w:trPr>
          <w:trHeight w:val="188"/>
        </w:trPr>
        <w:tc>
          <w:tcPr>
            <w:tcW w:w="440" w:type="dxa"/>
            <w:vAlign w:val="bottom"/>
            <w:tcBorders>
              <w:right w:val="single" w:sz="8" w:color="008256"/>
            </w:tcBorders>
          </w:tcPr>
          <w:p>
            <w:pPr>
              <w:spacing w:after="0"/>
              <w:rPr>
                <w:sz w:val="16"/>
                <w:szCs w:val="16"/>
                <w:color w:val="auto"/>
              </w:rPr>
            </w:pPr>
          </w:p>
        </w:tc>
        <w:tc>
          <w:tcPr>
            <w:tcW w:w="3620" w:type="dxa"/>
            <w:vAlign w:val="bottom"/>
            <w:tcBorders>
              <w:right w:val="single" w:sz="8" w:color="008256"/>
            </w:tcBorders>
          </w:tcPr>
          <w:p>
            <w:pPr>
              <w:spacing w:after="0"/>
              <w:rPr>
                <w:sz w:val="16"/>
                <w:szCs w:val="16"/>
                <w:color w:val="auto"/>
              </w:rPr>
            </w:pPr>
          </w:p>
        </w:tc>
        <w:tc>
          <w:tcPr>
            <w:tcW w:w="3620" w:type="dxa"/>
            <w:vAlign w:val="bottom"/>
            <w:tcBorders>
              <w:right w:val="single" w:sz="8" w:color="008256"/>
            </w:tcBorders>
          </w:tcPr>
          <w:p>
            <w:pPr>
              <w:ind w:left="80"/>
              <w:spacing w:after="0"/>
              <w:rPr>
                <w:sz w:val="20"/>
                <w:szCs w:val="20"/>
                <w:color w:val="auto"/>
              </w:rPr>
            </w:pPr>
            <w:r>
              <w:rPr>
                <w:rFonts w:ascii="Arial" w:cs="Arial" w:eastAsia="Arial" w:hAnsi="Arial"/>
                <w:sz w:val="13"/>
                <w:szCs w:val="13"/>
                <w:color w:val="auto"/>
              </w:rPr>
              <w:t>•  FOR the election of all director nominees named herein</w:t>
            </w:r>
          </w:p>
        </w:tc>
        <w:tc>
          <w:tcPr>
            <w:tcW w:w="3600" w:type="dxa"/>
            <w:vAlign w:val="bottom"/>
          </w:tcPr>
          <w:p>
            <w:pPr>
              <w:ind w:left="80"/>
              <w:spacing w:after="0"/>
              <w:rPr>
                <w:sz w:val="20"/>
                <w:szCs w:val="20"/>
                <w:color w:val="auto"/>
              </w:rPr>
            </w:pPr>
            <w:r>
              <w:rPr>
                <w:rFonts w:ascii="Arial" w:cs="Arial" w:eastAsia="Arial" w:hAnsi="Arial"/>
                <w:sz w:val="13"/>
                <w:szCs w:val="13"/>
                <w:color w:val="auto"/>
              </w:rPr>
              <w:t>nominees</w:t>
            </w:r>
          </w:p>
        </w:tc>
      </w:tr>
      <w:tr>
        <w:trPr>
          <w:trHeight w:val="318"/>
        </w:trPr>
        <w:tc>
          <w:tcPr>
            <w:tcW w:w="440" w:type="dxa"/>
            <w:vAlign w:val="bottom"/>
            <w:tcBorders>
              <w:right w:val="single" w:sz="8" w:color="008256"/>
            </w:tcBorders>
          </w:tcPr>
          <w:p>
            <w:pPr>
              <w:spacing w:after="0"/>
              <w:rPr>
                <w:sz w:val="24"/>
                <w:szCs w:val="24"/>
                <w:color w:val="auto"/>
              </w:rPr>
            </w:pPr>
          </w:p>
        </w:tc>
        <w:tc>
          <w:tcPr>
            <w:tcW w:w="3620" w:type="dxa"/>
            <w:vAlign w:val="bottom"/>
            <w:tcBorders>
              <w:right w:val="single" w:sz="8" w:color="008256"/>
            </w:tcBorders>
          </w:tcPr>
          <w:p>
            <w:pPr>
              <w:spacing w:after="0"/>
              <w:rPr>
                <w:sz w:val="24"/>
                <w:szCs w:val="24"/>
                <w:color w:val="auto"/>
              </w:rPr>
            </w:pPr>
          </w:p>
        </w:tc>
        <w:tc>
          <w:tcPr>
            <w:tcW w:w="3620" w:type="dxa"/>
            <w:vAlign w:val="bottom"/>
            <w:tcBorders>
              <w:right w:val="single" w:sz="8" w:color="008256"/>
            </w:tcBorders>
          </w:tcPr>
          <w:p>
            <w:pPr>
              <w:ind w:left="80"/>
              <w:spacing w:after="0"/>
              <w:rPr>
                <w:sz w:val="20"/>
                <w:szCs w:val="20"/>
                <w:color w:val="auto"/>
              </w:rPr>
            </w:pPr>
            <w:r>
              <w:rPr>
                <w:rFonts w:ascii="Arial" w:cs="Arial" w:eastAsia="Arial" w:hAnsi="Arial"/>
                <w:sz w:val="13"/>
                <w:szCs w:val="13"/>
                <w:color w:val="auto"/>
                <w:w w:val="99"/>
              </w:rPr>
              <w:t>•  WITHHOLD authority to vote for all such director nominees</w:t>
            </w:r>
          </w:p>
        </w:tc>
        <w:tc>
          <w:tcPr>
            <w:tcW w:w="3600" w:type="dxa"/>
            <w:vAlign w:val="bottom"/>
          </w:tcPr>
          <w:p>
            <w:pPr>
              <w:spacing w:after="0"/>
              <w:rPr>
                <w:sz w:val="24"/>
                <w:szCs w:val="24"/>
                <w:color w:val="auto"/>
              </w:rPr>
            </w:pPr>
          </w:p>
        </w:tc>
      </w:tr>
      <w:tr>
        <w:trPr>
          <w:trHeight w:val="310"/>
        </w:trPr>
        <w:tc>
          <w:tcPr>
            <w:tcW w:w="440" w:type="dxa"/>
            <w:vAlign w:val="bottom"/>
            <w:tcBorders>
              <w:right w:val="single" w:sz="8" w:color="008256"/>
            </w:tcBorders>
          </w:tcPr>
          <w:p>
            <w:pPr>
              <w:spacing w:after="0"/>
              <w:rPr>
                <w:sz w:val="24"/>
                <w:szCs w:val="24"/>
                <w:color w:val="auto"/>
              </w:rPr>
            </w:pPr>
          </w:p>
        </w:tc>
        <w:tc>
          <w:tcPr>
            <w:tcW w:w="3620" w:type="dxa"/>
            <w:vAlign w:val="bottom"/>
            <w:tcBorders>
              <w:right w:val="single" w:sz="8" w:color="008256"/>
            </w:tcBorders>
          </w:tcPr>
          <w:p>
            <w:pPr>
              <w:spacing w:after="0"/>
              <w:rPr>
                <w:sz w:val="24"/>
                <w:szCs w:val="24"/>
                <w:color w:val="auto"/>
              </w:rPr>
            </w:pPr>
          </w:p>
        </w:tc>
        <w:tc>
          <w:tcPr>
            <w:tcW w:w="3620" w:type="dxa"/>
            <w:vAlign w:val="bottom"/>
            <w:tcBorders>
              <w:right w:val="single" w:sz="8" w:color="008256"/>
            </w:tcBorders>
          </w:tcPr>
          <w:p>
            <w:pPr>
              <w:ind w:left="80"/>
              <w:spacing w:after="0"/>
              <w:rPr>
                <w:sz w:val="20"/>
                <w:szCs w:val="20"/>
                <w:color w:val="auto"/>
              </w:rPr>
            </w:pPr>
            <w:r>
              <w:rPr>
                <w:rFonts w:ascii="Arial" w:cs="Arial" w:eastAsia="Arial" w:hAnsi="Arial"/>
                <w:sz w:val="13"/>
                <w:szCs w:val="13"/>
                <w:color w:val="auto"/>
              </w:rPr>
              <w:t>•  FOR the election of all such director nominees other than</w:t>
            </w:r>
          </w:p>
        </w:tc>
        <w:tc>
          <w:tcPr>
            <w:tcW w:w="3600" w:type="dxa"/>
            <w:vAlign w:val="bottom"/>
          </w:tcPr>
          <w:p>
            <w:pPr>
              <w:spacing w:after="0"/>
              <w:rPr>
                <w:sz w:val="24"/>
                <w:szCs w:val="24"/>
                <w:color w:val="auto"/>
              </w:rPr>
            </w:pPr>
          </w:p>
        </w:tc>
      </w:tr>
      <w:tr>
        <w:trPr>
          <w:trHeight w:val="159"/>
        </w:trPr>
        <w:tc>
          <w:tcPr>
            <w:tcW w:w="440" w:type="dxa"/>
            <w:vAlign w:val="bottom"/>
            <w:tcBorders>
              <w:right w:val="single" w:sz="8" w:color="008256"/>
            </w:tcBorders>
          </w:tcPr>
          <w:p>
            <w:pPr>
              <w:spacing w:after="0"/>
              <w:rPr>
                <w:sz w:val="13"/>
                <w:szCs w:val="13"/>
                <w:color w:val="auto"/>
              </w:rPr>
            </w:pPr>
          </w:p>
        </w:tc>
        <w:tc>
          <w:tcPr>
            <w:tcW w:w="3620" w:type="dxa"/>
            <w:vAlign w:val="bottom"/>
            <w:tcBorders>
              <w:right w:val="single" w:sz="8" w:color="008256"/>
            </w:tcBorders>
          </w:tcPr>
          <w:p>
            <w:pPr>
              <w:spacing w:after="0"/>
              <w:rPr>
                <w:sz w:val="13"/>
                <w:szCs w:val="13"/>
                <w:color w:val="auto"/>
              </w:rPr>
            </w:pPr>
          </w:p>
        </w:tc>
        <w:tc>
          <w:tcPr>
            <w:tcW w:w="3620" w:type="dxa"/>
            <w:vAlign w:val="bottom"/>
            <w:tcBorders>
              <w:right w:val="single" w:sz="8" w:color="008256"/>
            </w:tcBorders>
          </w:tcPr>
          <w:p>
            <w:pPr>
              <w:ind w:left="260"/>
              <w:spacing w:after="0"/>
              <w:rPr>
                <w:sz w:val="20"/>
                <w:szCs w:val="20"/>
                <w:color w:val="auto"/>
              </w:rPr>
            </w:pPr>
            <w:r>
              <w:rPr>
                <w:rFonts w:ascii="Arial" w:cs="Arial" w:eastAsia="Arial" w:hAnsi="Arial"/>
                <w:sz w:val="13"/>
                <w:szCs w:val="13"/>
                <w:color w:val="auto"/>
                <w:w w:val="98"/>
              </w:rPr>
              <w:t>any nominees with respect to whom the authority to vote is</w:t>
            </w:r>
          </w:p>
        </w:tc>
        <w:tc>
          <w:tcPr>
            <w:tcW w:w="3600" w:type="dxa"/>
            <w:vAlign w:val="bottom"/>
          </w:tcPr>
          <w:p>
            <w:pPr>
              <w:spacing w:after="0"/>
              <w:rPr>
                <w:sz w:val="13"/>
                <w:szCs w:val="13"/>
                <w:color w:val="auto"/>
              </w:rPr>
            </w:pPr>
          </w:p>
        </w:tc>
      </w:tr>
      <w:tr>
        <w:trPr>
          <w:trHeight w:val="149"/>
        </w:trPr>
        <w:tc>
          <w:tcPr>
            <w:tcW w:w="440" w:type="dxa"/>
            <w:vAlign w:val="bottom"/>
            <w:tcBorders>
              <w:right w:val="single" w:sz="8" w:color="008256"/>
            </w:tcBorders>
          </w:tcPr>
          <w:p>
            <w:pPr>
              <w:spacing w:after="0"/>
              <w:rPr>
                <w:sz w:val="12"/>
                <w:szCs w:val="12"/>
                <w:color w:val="auto"/>
              </w:rPr>
            </w:pPr>
          </w:p>
        </w:tc>
        <w:tc>
          <w:tcPr>
            <w:tcW w:w="3620" w:type="dxa"/>
            <w:vAlign w:val="bottom"/>
            <w:tcBorders>
              <w:right w:val="single" w:sz="8" w:color="008256"/>
            </w:tcBorders>
          </w:tcPr>
          <w:p>
            <w:pPr>
              <w:spacing w:after="0"/>
              <w:rPr>
                <w:sz w:val="12"/>
                <w:szCs w:val="12"/>
                <w:color w:val="auto"/>
              </w:rPr>
            </w:pPr>
          </w:p>
        </w:tc>
        <w:tc>
          <w:tcPr>
            <w:tcW w:w="3620" w:type="dxa"/>
            <w:vAlign w:val="bottom"/>
            <w:tcBorders>
              <w:right w:val="single" w:sz="8" w:color="008256"/>
            </w:tcBorders>
          </w:tcPr>
          <w:p>
            <w:pPr>
              <w:ind w:left="260"/>
              <w:spacing w:after="0"/>
              <w:rPr>
                <w:sz w:val="20"/>
                <w:szCs w:val="20"/>
                <w:color w:val="auto"/>
              </w:rPr>
            </w:pPr>
            <w:r>
              <w:rPr>
                <w:rFonts w:ascii="Arial" w:cs="Arial" w:eastAsia="Arial" w:hAnsi="Arial"/>
                <w:sz w:val="13"/>
                <w:szCs w:val="13"/>
                <w:color w:val="auto"/>
                <w:w w:val="99"/>
              </w:rPr>
              <w:t>specifically withheld by indicating in the space provided on</w:t>
            </w:r>
          </w:p>
        </w:tc>
        <w:tc>
          <w:tcPr>
            <w:tcW w:w="3600" w:type="dxa"/>
            <w:vAlign w:val="bottom"/>
          </w:tcPr>
          <w:p>
            <w:pPr>
              <w:spacing w:after="0"/>
              <w:rPr>
                <w:sz w:val="12"/>
                <w:szCs w:val="12"/>
                <w:color w:val="auto"/>
              </w:rPr>
            </w:pPr>
          </w:p>
        </w:tc>
      </w:tr>
      <w:tr>
        <w:trPr>
          <w:trHeight w:val="174"/>
        </w:trPr>
        <w:tc>
          <w:tcPr>
            <w:tcW w:w="440" w:type="dxa"/>
            <w:vAlign w:val="bottom"/>
            <w:tcBorders>
              <w:right w:val="single" w:sz="8" w:color="008256"/>
            </w:tcBorders>
          </w:tcPr>
          <w:p>
            <w:pPr>
              <w:spacing w:after="0"/>
              <w:rPr>
                <w:sz w:val="15"/>
                <w:szCs w:val="15"/>
                <w:color w:val="auto"/>
              </w:rPr>
            </w:pPr>
          </w:p>
        </w:tc>
        <w:tc>
          <w:tcPr>
            <w:tcW w:w="3620" w:type="dxa"/>
            <w:vAlign w:val="bottom"/>
            <w:tcBorders>
              <w:right w:val="single" w:sz="8" w:color="008256"/>
            </w:tcBorders>
          </w:tcPr>
          <w:p>
            <w:pPr>
              <w:spacing w:after="0"/>
              <w:rPr>
                <w:sz w:val="15"/>
                <w:szCs w:val="15"/>
                <w:color w:val="auto"/>
              </w:rPr>
            </w:pPr>
          </w:p>
        </w:tc>
        <w:tc>
          <w:tcPr>
            <w:tcW w:w="3620" w:type="dxa"/>
            <w:vAlign w:val="bottom"/>
            <w:tcBorders>
              <w:right w:val="single" w:sz="8" w:color="008256"/>
            </w:tcBorders>
          </w:tcPr>
          <w:p>
            <w:pPr>
              <w:ind w:left="260"/>
              <w:spacing w:after="0"/>
              <w:rPr>
                <w:sz w:val="20"/>
                <w:szCs w:val="20"/>
                <w:color w:val="auto"/>
              </w:rPr>
            </w:pPr>
            <w:r>
              <w:rPr>
                <w:rFonts w:ascii="Arial" w:cs="Arial" w:eastAsia="Arial" w:hAnsi="Arial"/>
                <w:sz w:val="13"/>
                <w:szCs w:val="13"/>
                <w:color w:val="auto"/>
              </w:rPr>
              <w:t>the proxy</w:t>
            </w:r>
          </w:p>
        </w:tc>
        <w:tc>
          <w:tcPr>
            <w:tcW w:w="3600" w:type="dxa"/>
            <w:vAlign w:val="bottom"/>
          </w:tcPr>
          <w:p>
            <w:pPr>
              <w:spacing w:after="0"/>
              <w:rPr>
                <w:sz w:val="15"/>
                <w:szCs w:val="15"/>
                <w:color w:val="auto"/>
              </w:rPr>
            </w:pPr>
          </w:p>
        </w:tc>
      </w:tr>
      <w:tr>
        <w:trPr>
          <w:trHeight w:val="229"/>
        </w:trPr>
        <w:tc>
          <w:tcPr>
            <w:tcW w:w="440" w:type="dxa"/>
            <w:vAlign w:val="bottom"/>
            <w:tcBorders>
              <w:right w:val="single" w:sz="8" w:color="008256"/>
            </w:tcBorders>
            <w:shd w:val="clear" w:color="auto" w:fill="E6F4EF"/>
          </w:tcPr>
          <w:p>
            <w:pPr>
              <w:jc w:val="center"/>
              <w:ind w:left="143"/>
              <w:spacing w:after="0"/>
              <w:rPr>
                <w:sz w:val="20"/>
                <w:szCs w:val="20"/>
                <w:color w:val="auto"/>
              </w:rPr>
            </w:pPr>
            <w:r>
              <w:rPr>
                <w:rFonts w:ascii="Arial" w:cs="Arial" w:eastAsia="Arial" w:hAnsi="Arial"/>
                <w:sz w:val="11"/>
                <w:szCs w:val="11"/>
                <w:b w:val="1"/>
                <w:bCs w:val="1"/>
                <w:color w:val="auto"/>
              </w:rPr>
              <w:t>2</w:t>
            </w:r>
          </w:p>
        </w:tc>
        <w:tc>
          <w:tcPr>
            <w:tcW w:w="3620" w:type="dxa"/>
            <w:vAlign w:val="bottom"/>
            <w:tcBorders>
              <w:right w:val="single" w:sz="8" w:color="008256"/>
            </w:tcBorders>
            <w:shd w:val="clear" w:color="auto" w:fill="E6F4EF"/>
          </w:tcPr>
          <w:p>
            <w:pPr>
              <w:ind w:left="80"/>
              <w:spacing w:after="0"/>
              <w:rPr>
                <w:sz w:val="20"/>
                <w:szCs w:val="20"/>
                <w:color w:val="auto"/>
              </w:rPr>
            </w:pPr>
            <w:r>
              <w:rPr>
                <w:rFonts w:ascii="Arial" w:cs="Arial" w:eastAsia="Arial" w:hAnsi="Arial"/>
                <w:sz w:val="13"/>
                <w:szCs w:val="13"/>
                <w:b w:val="1"/>
                <w:bCs w:val="1"/>
                <w:color w:val="auto"/>
              </w:rPr>
              <w:t>Ratification of Appointment of Independent Registered</w:t>
            </w:r>
          </w:p>
        </w:tc>
        <w:tc>
          <w:tcPr>
            <w:tcW w:w="3620" w:type="dxa"/>
            <w:vAlign w:val="bottom"/>
            <w:tcBorders>
              <w:right w:val="single" w:sz="8" w:color="008256"/>
            </w:tcBorders>
            <w:shd w:val="clear" w:color="auto" w:fill="E6F4EF"/>
          </w:tcPr>
          <w:p>
            <w:pPr>
              <w:spacing w:after="0"/>
              <w:rPr>
                <w:sz w:val="19"/>
                <w:szCs w:val="19"/>
                <w:color w:val="auto"/>
              </w:rPr>
            </w:pPr>
          </w:p>
        </w:tc>
        <w:tc>
          <w:tcPr>
            <w:tcW w:w="3600" w:type="dxa"/>
            <w:vAlign w:val="bottom"/>
            <w:shd w:val="clear" w:color="auto" w:fill="E6F4EF"/>
          </w:tcPr>
          <w:p>
            <w:pPr>
              <w:ind w:left="80"/>
              <w:spacing w:after="0"/>
              <w:rPr>
                <w:sz w:val="20"/>
                <w:szCs w:val="20"/>
                <w:color w:val="auto"/>
              </w:rPr>
            </w:pPr>
            <w:r>
              <w:rPr>
                <w:rFonts w:ascii="Arial" w:cs="Arial" w:eastAsia="Arial" w:hAnsi="Arial"/>
                <w:sz w:val="13"/>
                <w:szCs w:val="13"/>
                <w:color w:val="auto"/>
              </w:rPr>
              <w:t>Our Board recommends that you vote FOR the ratification of</w:t>
            </w:r>
          </w:p>
        </w:tc>
      </w:tr>
      <w:tr>
        <w:trPr>
          <w:trHeight w:val="159"/>
        </w:trPr>
        <w:tc>
          <w:tcPr>
            <w:tcW w:w="440" w:type="dxa"/>
            <w:vAlign w:val="bottom"/>
            <w:tcBorders>
              <w:right w:val="single" w:sz="8" w:color="008256"/>
            </w:tcBorders>
            <w:shd w:val="clear" w:color="auto" w:fill="E6F4EF"/>
          </w:tcPr>
          <w:p>
            <w:pPr>
              <w:spacing w:after="0"/>
              <w:rPr>
                <w:sz w:val="13"/>
                <w:szCs w:val="13"/>
                <w:color w:val="auto"/>
              </w:rPr>
            </w:pPr>
          </w:p>
        </w:tc>
        <w:tc>
          <w:tcPr>
            <w:tcW w:w="3620" w:type="dxa"/>
            <w:vAlign w:val="bottom"/>
            <w:tcBorders>
              <w:right w:val="single" w:sz="8" w:color="008256"/>
            </w:tcBorders>
            <w:shd w:val="clear" w:color="auto" w:fill="E6F4EF"/>
          </w:tcPr>
          <w:p>
            <w:pPr>
              <w:ind w:left="80"/>
              <w:spacing w:after="0"/>
              <w:rPr>
                <w:sz w:val="20"/>
                <w:szCs w:val="20"/>
                <w:color w:val="auto"/>
              </w:rPr>
            </w:pPr>
            <w:r>
              <w:rPr>
                <w:rFonts w:ascii="Arial" w:cs="Arial" w:eastAsia="Arial" w:hAnsi="Arial"/>
                <w:sz w:val="13"/>
                <w:szCs w:val="13"/>
                <w:b w:val="1"/>
                <w:bCs w:val="1"/>
                <w:color w:val="auto"/>
              </w:rPr>
              <w:t>Public Accounting Firm</w:t>
            </w:r>
          </w:p>
        </w:tc>
        <w:tc>
          <w:tcPr>
            <w:tcW w:w="3620" w:type="dxa"/>
            <w:vAlign w:val="bottom"/>
            <w:tcBorders>
              <w:right w:val="single" w:sz="8" w:color="008256"/>
            </w:tcBorders>
            <w:shd w:val="clear" w:color="auto" w:fill="E6F4EF"/>
          </w:tcPr>
          <w:p>
            <w:pPr>
              <w:ind w:left="80"/>
              <w:spacing w:after="0"/>
              <w:rPr>
                <w:sz w:val="20"/>
                <w:szCs w:val="20"/>
                <w:color w:val="auto"/>
              </w:rPr>
            </w:pPr>
            <w:r>
              <w:rPr>
                <w:rFonts w:ascii="Arial" w:cs="Arial" w:eastAsia="Arial" w:hAnsi="Arial"/>
                <w:sz w:val="13"/>
                <w:szCs w:val="13"/>
                <w:color w:val="auto"/>
              </w:rPr>
              <w:t>•  FOR or AGAINST the ratification of the appointment of</w:t>
            </w:r>
          </w:p>
        </w:tc>
        <w:tc>
          <w:tcPr>
            <w:tcW w:w="3600" w:type="dxa"/>
            <w:vAlign w:val="bottom"/>
            <w:shd w:val="clear" w:color="auto" w:fill="E6F4EF"/>
          </w:tcPr>
          <w:p>
            <w:pPr>
              <w:ind w:left="80"/>
              <w:spacing w:after="0"/>
              <w:rPr>
                <w:sz w:val="20"/>
                <w:szCs w:val="20"/>
                <w:color w:val="auto"/>
              </w:rPr>
            </w:pPr>
            <w:r>
              <w:rPr>
                <w:rFonts w:ascii="Arial" w:cs="Arial" w:eastAsia="Arial" w:hAnsi="Arial"/>
                <w:sz w:val="13"/>
                <w:szCs w:val="13"/>
                <w:color w:val="auto"/>
                <w:w w:val="98"/>
              </w:rPr>
              <w:t>the appointment of Deloitte &amp; Touche LLP as our independent</w:t>
            </w:r>
          </w:p>
        </w:tc>
      </w:tr>
      <w:tr>
        <w:trPr>
          <w:trHeight w:val="149"/>
        </w:trPr>
        <w:tc>
          <w:tcPr>
            <w:tcW w:w="440" w:type="dxa"/>
            <w:vAlign w:val="bottom"/>
            <w:tcBorders>
              <w:right w:val="single" w:sz="8" w:color="008256"/>
            </w:tcBorders>
            <w:shd w:val="clear" w:color="auto" w:fill="E6F4EF"/>
          </w:tcPr>
          <w:p>
            <w:pPr>
              <w:spacing w:after="0"/>
              <w:rPr>
                <w:sz w:val="12"/>
                <w:szCs w:val="12"/>
                <w:color w:val="auto"/>
              </w:rPr>
            </w:pPr>
          </w:p>
        </w:tc>
        <w:tc>
          <w:tcPr>
            <w:tcW w:w="3620" w:type="dxa"/>
            <w:vAlign w:val="bottom"/>
            <w:tcBorders>
              <w:right w:val="single" w:sz="8" w:color="008256"/>
            </w:tcBorders>
            <w:shd w:val="clear" w:color="auto" w:fill="E6F4EF"/>
          </w:tcPr>
          <w:p>
            <w:pPr>
              <w:spacing w:after="0"/>
              <w:rPr>
                <w:sz w:val="12"/>
                <w:szCs w:val="12"/>
                <w:color w:val="auto"/>
              </w:rPr>
            </w:pPr>
          </w:p>
        </w:tc>
        <w:tc>
          <w:tcPr>
            <w:tcW w:w="3620" w:type="dxa"/>
            <w:vAlign w:val="bottom"/>
            <w:tcBorders>
              <w:right w:val="single" w:sz="8" w:color="008256"/>
            </w:tcBorders>
            <w:shd w:val="clear" w:color="auto" w:fill="E6F4EF"/>
          </w:tcPr>
          <w:p>
            <w:pPr>
              <w:ind w:left="260"/>
              <w:spacing w:after="0"/>
              <w:rPr>
                <w:sz w:val="20"/>
                <w:szCs w:val="20"/>
                <w:color w:val="auto"/>
              </w:rPr>
            </w:pPr>
            <w:r>
              <w:rPr>
                <w:rFonts w:ascii="Arial" w:cs="Arial" w:eastAsia="Arial" w:hAnsi="Arial"/>
                <w:sz w:val="13"/>
                <w:szCs w:val="13"/>
                <w:color w:val="auto"/>
              </w:rPr>
              <w:t>Deloitte &amp; Touche LLP as our independent registered</w:t>
            </w:r>
          </w:p>
        </w:tc>
        <w:tc>
          <w:tcPr>
            <w:tcW w:w="3600" w:type="dxa"/>
            <w:vAlign w:val="bottom"/>
            <w:shd w:val="clear" w:color="auto" w:fill="E6F4EF"/>
          </w:tcPr>
          <w:p>
            <w:pPr>
              <w:ind w:left="80"/>
              <w:spacing w:after="0"/>
              <w:rPr>
                <w:sz w:val="20"/>
                <w:szCs w:val="20"/>
                <w:color w:val="auto"/>
              </w:rPr>
            </w:pPr>
            <w:r>
              <w:rPr>
                <w:rFonts w:ascii="Arial" w:cs="Arial" w:eastAsia="Arial" w:hAnsi="Arial"/>
                <w:sz w:val="13"/>
                <w:szCs w:val="13"/>
                <w:color w:val="auto"/>
              </w:rPr>
              <w:t>registered public accounting firm for the year ending</w:t>
            </w:r>
          </w:p>
        </w:tc>
      </w:tr>
      <w:tr>
        <w:trPr>
          <w:trHeight w:val="170"/>
        </w:trPr>
        <w:tc>
          <w:tcPr>
            <w:tcW w:w="440" w:type="dxa"/>
            <w:vAlign w:val="bottom"/>
            <w:tcBorders>
              <w:right w:val="single" w:sz="8" w:color="008256"/>
            </w:tcBorders>
            <w:shd w:val="clear" w:color="auto" w:fill="E6F4EF"/>
          </w:tcPr>
          <w:p>
            <w:pPr>
              <w:spacing w:after="0"/>
              <w:rPr>
                <w:sz w:val="14"/>
                <w:szCs w:val="14"/>
                <w:color w:val="auto"/>
              </w:rPr>
            </w:pPr>
          </w:p>
        </w:tc>
        <w:tc>
          <w:tcPr>
            <w:tcW w:w="3620" w:type="dxa"/>
            <w:vAlign w:val="bottom"/>
            <w:tcBorders>
              <w:right w:val="single" w:sz="8" w:color="008256"/>
            </w:tcBorders>
            <w:shd w:val="clear" w:color="auto" w:fill="E6F4EF"/>
          </w:tcPr>
          <w:p>
            <w:pPr>
              <w:spacing w:after="0"/>
              <w:rPr>
                <w:sz w:val="14"/>
                <w:szCs w:val="14"/>
                <w:color w:val="auto"/>
              </w:rPr>
            </w:pPr>
          </w:p>
        </w:tc>
        <w:tc>
          <w:tcPr>
            <w:tcW w:w="3620" w:type="dxa"/>
            <w:vAlign w:val="bottom"/>
            <w:tcBorders>
              <w:right w:val="single" w:sz="8" w:color="008256"/>
            </w:tcBorders>
            <w:shd w:val="clear" w:color="auto" w:fill="E6F4EF"/>
          </w:tcPr>
          <w:p>
            <w:pPr>
              <w:ind w:left="260"/>
              <w:spacing w:after="0"/>
              <w:rPr>
                <w:sz w:val="20"/>
                <w:szCs w:val="20"/>
                <w:color w:val="auto"/>
              </w:rPr>
            </w:pPr>
            <w:r>
              <w:rPr>
                <w:rFonts w:ascii="Arial" w:cs="Arial" w:eastAsia="Arial" w:hAnsi="Arial"/>
                <w:sz w:val="13"/>
                <w:szCs w:val="13"/>
                <w:color w:val="auto"/>
              </w:rPr>
              <w:t>public accounting firm for the year ending December 31,</w:t>
            </w:r>
          </w:p>
        </w:tc>
        <w:tc>
          <w:tcPr>
            <w:tcW w:w="3600" w:type="dxa"/>
            <w:vAlign w:val="bottom"/>
            <w:shd w:val="clear" w:color="auto" w:fill="E6F4EF"/>
          </w:tcPr>
          <w:p>
            <w:pPr>
              <w:ind w:left="80"/>
              <w:spacing w:after="0"/>
              <w:rPr>
                <w:sz w:val="20"/>
                <w:szCs w:val="20"/>
                <w:color w:val="auto"/>
              </w:rPr>
            </w:pPr>
            <w:r>
              <w:rPr>
                <w:rFonts w:ascii="Arial" w:cs="Arial" w:eastAsia="Arial" w:hAnsi="Arial"/>
                <w:sz w:val="13"/>
                <w:szCs w:val="13"/>
                <w:color w:val="auto"/>
              </w:rPr>
              <w:t>December 31, 2025</w:t>
            </w:r>
          </w:p>
        </w:tc>
      </w:tr>
      <w:tr>
        <w:trPr>
          <w:trHeight w:val="167"/>
        </w:trPr>
        <w:tc>
          <w:tcPr>
            <w:tcW w:w="440" w:type="dxa"/>
            <w:vAlign w:val="bottom"/>
            <w:tcBorders>
              <w:right w:val="single" w:sz="8" w:color="008256"/>
            </w:tcBorders>
            <w:shd w:val="clear" w:color="auto" w:fill="E6F4EF"/>
          </w:tcPr>
          <w:p>
            <w:pPr>
              <w:spacing w:after="0"/>
              <w:rPr>
                <w:sz w:val="14"/>
                <w:szCs w:val="14"/>
                <w:color w:val="auto"/>
              </w:rPr>
            </w:pPr>
          </w:p>
        </w:tc>
        <w:tc>
          <w:tcPr>
            <w:tcW w:w="3620" w:type="dxa"/>
            <w:vAlign w:val="bottom"/>
            <w:tcBorders>
              <w:right w:val="single" w:sz="8" w:color="008256"/>
            </w:tcBorders>
            <w:shd w:val="clear" w:color="auto" w:fill="E6F4EF"/>
          </w:tcPr>
          <w:p>
            <w:pPr>
              <w:spacing w:after="0"/>
              <w:rPr>
                <w:sz w:val="14"/>
                <w:szCs w:val="14"/>
                <w:color w:val="auto"/>
              </w:rPr>
            </w:pPr>
          </w:p>
        </w:tc>
        <w:tc>
          <w:tcPr>
            <w:tcW w:w="3620" w:type="dxa"/>
            <w:vAlign w:val="bottom"/>
            <w:tcBorders>
              <w:right w:val="single" w:sz="8" w:color="008256"/>
            </w:tcBorders>
            <w:shd w:val="clear" w:color="auto" w:fill="E6F4EF"/>
          </w:tcPr>
          <w:p>
            <w:pPr>
              <w:ind w:left="260"/>
              <w:spacing w:after="0"/>
              <w:rPr>
                <w:sz w:val="20"/>
                <w:szCs w:val="20"/>
                <w:color w:val="auto"/>
              </w:rPr>
            </w:pPr>
            <w:r>
              <w:rPr>
                <w:rFonts w:ascii="Arial" w:cs="Arial" w:eastAsia="Arial" w:hAnsi="Arial"/>
                <w:sz w:val="13"/>
                <w:szCs w:val="13"/>
                <w:color w:val="auto"/>
              </w:rPr>
              <w:t>2025</w:t>
            </w:r>
          </w:p>
        </w:tc>
        <w:tc>
          <w:tcPr>
            <w:tcW w:w="3600" w:type="dxa"/>
            <w:vAlign w:val="bottom"/>
            <w:shd w:val="clear" w:color="auto" w:fill="E6F4EF"/>
          </w:tcPr>
          <w:p>
            <w:pPr>
              <w:spacing w:after="0"/>
              <w:rPr>
                <w:sz w:val="14"/>
                <w:szCs w:val="14"/>
                <w:color w:val="auto"/>
              </w:rPr>
            </w:pPr>
          </w:p>
        </w:tc>
      </w:tr>
      <w:tr>
        <w:trPr>
          <w:trHeight w:val="310"/>
        </w:trPr>
        <w:tc>
          <w:tcPr>
            <w:tcW w:w="440" w:type="dxa"/>
            <w:vAlign w:val="bottom"/>
            <w:tcBorders>
              <w:right w:val="single" w:sz="8" w:color="008256"/>
            </w:tcBorders>
            <w:shd w:val="clear" w:color="auto" w:fill="E6F4EF"/>
          </w:tcPr>
          <w:p>
            <w:pPr>
              <w:spacing w:after="0"/>
              <w:rPr>
                <w:sz w:val="24"/>
                <w:szCs w:val="24"/>
                <w:color w:val="auto"/>
              </w:rPr>
            </w:pPr>
          </w:p>
        </w:tc>
        <w:tc>
          <w:tcPr>
            <w:tcW w:w="3620" w:type="dxa"/>
            <w:vAlign w:val="bottom"/>
            <w:tcBorders>
              <w:right w:val="single" w:sz="8" w:color="008256"/>
            </w:tcBorders>
            <w:shd w:val="clear" w:color="auto" w:fill="E6F4EF"/>
          </w:tcPr>
          <w:p>
            <w:pPr>
              <w:spacing w:after="0"/>
              <w:rPr>
                <w:sz w:val="24"/>
                <w:szCs w:val="24"/>
                <w:color w:val="auto"/>
              </w:rPr>
            </w:pPr>
          </w:p>
        </w:tc>
        <w:tc>
          <w:tcPr>
            <w:tcW w:w="3620" w:type="dxa"/>
            <w:vAlign w:val="bottom"/>
            <w:tcBorders>
              <w:right w:val="single" w:sz="8" w:color="008256"/>
            </w:tcBorders>
            <w:shd w:val="clear" w:color="auto" w:fill="E6F4EF"/>
          </w:tcPr>
          <w:p>
            <w:pPr>
              <w:ind w:left="80"/>
              <w:spacing w:after="0"/>
              <w:rPr>
                <w:sz w:val="20"/>
                <w:szCs w:val="20"/>
                <w:color w:val="auto"/>
              </w:rPr>
            </w:pPr>
            <w:r>
              <w:rPr>
                <w:rFonts w:ascii="Arial" w:cs="Arial" w:eastAsia="Arial" w:hAnsi="Arial"/>
                <w:sz w:val="13"/>
                <w:szCs w:val="13"/>
                <w:color w:val="auto"/>
                <w:w w:val="99"/>
              </w:rPr>
              <w:t>•  You may indicate that you wish to ABSTAIN from voting on</w:t>
            </w:r>
          </w:p>
        </w:tc>
        <w:tc>
          <w:tcPr>
            <w:tcW w:w="3600" w:type="dxa"/>
            <w:vAlign w:val="bottom"/>
            <w:shd w:val="clear" w:color="auto" w:fill="E6F4EF"/>
          </w:tcPr>
          <w:p>
            <w:pPr>
              <w:spacing w:after="0"/>
              <w:rPr>
                <w:sz w:val="24"/>
                <w:szCs w:val="24"/>
                <w:color w:val="auto"/>
              </w:rPr>
            </w:pPr>
          </w:p>
        </w:tc>
      </w:tr>
      <w:tr>
        <w:trPr>
          <w:trHeight w:val="180"/>
        </w:trPr>
        <w:tc>
          <w:tcPr>
            <w:tcW w:w="440" w:type="dxa"/>
            <w:vAlign w:val="bottom"/>
            <w:tcBorders>
              <w:right w:val="single" w:sz="8" w:color="008256"/>
            </w:tcBorders>
            <w:shd w:val="clear" w:color="auto" w:fill="E6F4EF"/>
          </w:tcPr>
          <w:p>
            <w:pPr>
              <w:spacing w:after="0"/>
              <w:rPr>
                <w:sz w:val="15"/>
                <w:szCs w:val="15"/>
                <w:color w:val="auto"/>
              </w:rPr>
            </w:pPr>
          </w:p>
        </w:tc>
        <w:tc>
          <w:tcPr>
            <w:tcW w:w="3620" w:type="dxa"/>
            <w:vAlign w:val="bottom"/>
            <w:tcBorders>
              <w:right w:val="single" w:sz="8" w:color="008256"/>
            </w:tcBorders>
            <w:shd w:val="clear" w:color="auto" w:fill="E6F4EF"/>
          </w:tcPr>
          <w:p>
            <w:pPr>
              <w:spacing w:after="0"/>
              <w:rPr>
                <w:sz w:val="15"/>
                <w:szCs w:val="15"/>
                <w:color w:val="auto"/>
              </w:rPr>
            </w:pPr>
          </w:p>
        </w:tc>
        <w:tc>
          <w:tcPr>
            <w:tcW w:w="3620" w:type="dxa"/>
            <w:vAlign w:val="bottom"/>
            <w:tcBorders>
              <w:right w:val="single" w:sz="8" w:color="008256"/>
            </w:tcBorders>
            <w:shd w:val="clear" w:color="auto" w:fill="E6F4EF"/>
          </w:tcPr>
          <w:p>
            <w:pPr>
              <w:ind w:left="260"/>
              <w:spacing w:after="0"/>
              <w:rPr>
                <w:sz w:val="20"/>
                <w:szCs w:val="20"/>
                <w:color w:val="auto"/>
              </w:rPr>
            </w:pPr>
            <w:r>
              <w:rPr>
                <w:rFonts w:ascii="Arial" w:cs="Arial" w:eastAsia="Arial" w:hAnsi="Arial"/>
                <w:sz w:val="13"/>
                <w:szCs w:val="13"/>
                <w:color w:val="auto"/>
              </w:rPr>
              <w:t>the matter</w:t>
            </w:r>
          </w:p>
        </w:tc>
        <w:tc>
          <w:tcPr>
            <w:tcW w:w="3600" w:type="dxa"/>
            <w:vAlign w:val="bottom"/>
            <w:shd w:val="clear" w:color="auto" w:fill="E6F4EF"/>
          </w:tcPr>
          <w:p>
            <w:pPr>
              <w:spacing w:after="0"/>
              <w:rPr>
                <w:sz w:val="15"/>
                <w:szCs w:val="15"/>
                <w:color w:val="auto"/>
              </w:rPr>
            </w:pPr>
          </w:p>
        </w:tc>
      </w:tr>
      <w:tr>
        <w:trPr>
          <w:trHeight w:val="85"/>
        </w:trPr>
        <w:tc>
          <w:tcPr>
            <w:tcW w:w="440" w:type="dxa"/>
            <w:vAlign w:val="bottom"/>
            <w:tcBorders>
              <w:right w:val="single" w:sz="8" w:color="008256"/>
            </w:tcBorders>
          </w:tcPr>
          <w:p>
            <w:pPr>
              <w:spacing w:after="0"/>
              <w:rPr>
                <w:sz w:val="7"/>
                <w:szCs w:val="7"/>
                <w:color w:val="auto"/>
              </w:rPr>
            </w:pPr>
          </w:p>
        </w:tc>
        <w:tc>
          <w:tcPr>
            <w:tcW w:w="3620" w:type="dxa"/>
            <w:vAlign w:val="bottom"/>
            <w:tcBorders>
              <w:right w:val="single" w:sz="8" w:color="008256"/>
            </w:tcBorders>
          </w:tcPr>
          <w:p>
            <w:pPr>
              <w:spacing w:after="0"/>
              <w:rPr>
                <w:sz w:val="7"/>
                <w:szCs w:val="7"/>
                <w:color w:val="auto"/>
              </w:rPr>
            </w:pPr>
          </w:p>
        </w:tc>
        <w:tc>
          <w:tcPr>
            <w:tcW w:w="3620" w:type="dxa"/>
            <w:vAlign w:val="bottom"/>
            <w:tcBorders>
              <w:right w:val="single" w:sz="8" w:color="008256"/>
            </w:tcBorders>
          </w:tcPr>
          <w:p>
            <w:pPr>
              <w:spacing w:after="0"/>
              <w:rPr>
                <w:sz w:val="7"/>
                <w:szCs w:val="7"/>
                <w:color w:val="auto"/>
              </w:rPr>
            </w:pPr>
          </w:p>
        </w:tc>
        <w:tc>
          <w:tcPr>
            <w:tcW w:w="3600" w:type="dxa"/>
            <w:vAlign w:val="bottom"/>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356870</wp:posOffset>
            </wp:positionV>
            <wp:extent cx="7161530" cy="2895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1530" cy="289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 xml:space="preserve">46 </w:t>
      </w:r>
      <w:r>
        <w:rPr>
          <w:rFonts w:ascii="Arial" w:cs="Arial" w:eastAsia="Arial" w:hAnsi="Arial"/>
          <w:sz w:val="13"/>
          <w:szCs w:val="13"/>
          <w:color w:val="auto"/>
        </w:rPr>
        <w:t>PROXY STATEMENT 2025</w:t>
      </w:r>
    </w:p>
    <w:p>
      <w:pPr>
        <w:sectPr>
          <w:pgSz w:w="11900" w:h="16838" w:orient="portrait"/>
          <w:cols w:equalWidth="0" w:num="1">
            <w:col w:w="11280"/>
          </w:cols>
          <w:pgMar w:left="300" w:top="171" w:right="319" w:bottom="1440" w:gutter="0" w:footer="0" w:header="0"/>
        </w:sectPr>
      </w:pPr>
    </w:p>
    <w:bookmarkStart w:id="51" w:name="page52"/>
    <w:bookmarkEnd w:id="51"/>
    <w:p>
      <w:pPr>
        <w:ind w:left="5920"/>
        <w:spacing w:after="0"/>
        <w:rPr>
          <w:sz w:val="20"/>
          <w:szCs w:val="20"/>
          <w:color w:val="auto"/>
        </w:rPr>
      </w:pPr>
      <w:r>
        <w:rPr>
          <w:rFonts w:ascii="Arial" w:cs="Arial" w:eastAsia="Arial" w:hAnsi="Arial"/>
          <w:sz w:val="13"/>
          <w:szCs w:val="13"/>
          <w:b w:val="1"/>
          <w:bCs w:val="1"/>
          <w:color w:val="00482F"/>
        </w:rPr>
        <w:drawing>
          <wp:anchor simplePos="0" relativeHeight="251657728" behindDoc="1" locked="0" layoutInCell="0" allowOverlap="1">
            <wp:simplePos x="0" y="0"/>
            <wp:positionH relativeFrom="page">
              <wp:posOffset>3905885</wp:posOffset>
            </wp:positionH>
            <wp:positionV relativeFrom="page">
              <wp:posOffset>102235</wp:posOffset>
            </wp:positionV>
            <wp:extent cx="3321685" cy="2495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21685" cy="249555"/>
                    </a:xfrm>
                    <a:prstGeom prst="rect">
                      <a:avLst/>
                    </a:prstGeom>
                    <a:noFill/>
                  </pic:spPr>
                </pic:pic>
              </a:graphicData>
            </a:graphic>
          </wp:anchor>
        </w:drawing>
        <w:t>QUESTIONS AND ANSWERS ABOUT THE PROXY MATERIALS AND 2025 ANNUAL</w:t>
      </w:r>
    </w:p>
    <w:p>
      <w:pPr>
        <w:spacing w:after="0" w:line="11" w:lineRule="exact"/>
        <w:rPr>
          <w:sz w:val="20"/>
          <w:szCs w:val="20"/>
          <w:color w:val="auto"/>
        </w:rPr>
      </w:pPr>
    </w:p>
    <w:p>
      <w:pPr>
        <w:ind w:left="5920"/>
        <w:spacing w:after="0"/>
        <w:rPr>
          <w:sz w:val="20"/>
          <w:szCs w:val="20"/>
          <w:color w:val="auto"/>
        </w:rPr>
      </w:pPr>
      <w:r>
        <w:rPr>
          <w:rFonts w:ascii="Arial" w:cs="Arial" w:eastAsia="Arial" w:hAnsi="Arial"/>
          <w:sz w:val="13"/>
          <w:szCs w:val="13"/>
          <w:b w:val="1"/>
          <w:bCs w:val="1"/>
          <w:color w:val="00482F"/>
        </w:rPr>
        <w:t>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3"/>
          <w:szCs w:val="13"/>
          <w:color w:val="auto"/>
        </w:rPr>
        <w:t>The stockholders will also act on any other business that may properly come before the Annual Meeting or any postponement, continuation or adjournment thereof.</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Is the Voting Requirement to Approve Each of the Proposals?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380" w:type="dxa"/>
            <w:vAlign w:val="bottom"/>
            <w:tcBorders>
              <w:top w:val="single" w:sz="8" w:color="008256"/>
            </w:tcBorders>
          </w:tcPr>
          <w:p>
            <w:pPr>
              <w:spacing w:after="0"/>
              <w:rPr>
                <w:sz w:val="21"/>
                <w:szCs w:val="21"/>
                <w:color w:val="auto"/>
              </w:rPr>
            </w:pPr>
          </w:p>
        </w:tc>
        <w:tc>
          <w:tcPr>
            <w:tcW w:w="2340" w:type="dxa"/>
            <w:vAlign w:val="bottom"/>
            <w:tcBorders>
              <w:top w:val="single" w:sz="8" w:color="008256"/>
              <w:right w:val="single" w:sz="8" w:color="008256"/>
            </w:tcBorders>
          </w:tcPr>
          <w:p>
            <w:pPr>
              <w:spacing w:after="0"/>
              <w:rPr>
                <w:sz w:val="21"/>
                <w:szCs w:val="21"/>
                <w:color w:val="auto"/>
              </w:rPr>
            </w:pPr>
          </w:p>
        </w:tc>
        <w:tc>
          <w:tcPr>
            <w:tcW w:w="2340" w:type="dxa"/>
            <w:vAlign w:val="bottom"/>
            <w:tcBorders>
              <w:top w:val="single" w:sz="8" w:color="008256"/>
              <w:right w:val="single" w:sz="8" w:color="008256"/>
            </w:tcBorders>
          </w:tcPr>
          <w:p>
            <w:pPr>
              <w:spacing w:after="0"/>
              <w:rPr>
                <w:sz w:val="21"/>
                <w:szCs w:val="21"/>
                <w:color w:val="auto"/>
              </w:rPr>
            </w:pPr>
          </w:p>
        </w:tc>
        <w:tc>
          <w:tcPr>
            <w:tcW w:w="1560" w:type="dxa"/>
            <w:vAlign w:val="bottom"/>
            <w:tcBorders>
              <w:top w:val="single" w:sz="8" w:color="008256"/>
              <w:bottom w:val="single" w:sz="8" w:color="008256"/>
            </w:tcBorders>
          </w:tcPr>
          <w:p>
            <w:pPr>
              <w:spacing w:after="0"/>
              <w:rPr>
                <w:sz w:val="21"/>
                <w:szCs w:val="21"/>
                <w:color w:val="auto"/>
              </w:rPr>
            </w:pPr>
          </w:p>
        </w:tc>
        <w:tc>
          <w:tcPr>
            <w:tcW w:w="1240" w:type="dxa"/>
            <w:vAlign w:val="bottom"/>
            <w:tcBorders>
              <w:top w:val="single" w:sz="8" w:color="008256"/>
              <w:bottom w:val="single" w:sz="8" w:color="008256"/>
            </w:tcBorders>
          </w:tcPr>
          <w:p>
            <w:pPr>
              <w:spacing w:after="0"/>
              <w:rPr>
                <w:sz w:val="21"/>
                <w:szCs w:val="21"/>
                <w:color w:val="auto"/>
              </w:rPr>
            </w:pPr>
          </w:p>
        </w:tc>
        <w:tc>
          <w:tcPr>
            <w:tcW w:w="1880" w:type="dxa"/>
            <w:vAlign w:val="bottom"/>
            <w:tcBorders>
              <w:top w:val="single" w:sz="8" w:color="008256"/>
              <w:bottom w:val="single" w:sz="8" w:color="008256"/>
            </w:tcBorders>
            <w:gridSpan w:val="2"/>
          </w:tcPr>
          <w:p>
            <w:pPr>
              <w:spacing w:after="0"/>
              <w:rPr>
                <w:sz w:val="20"/>
                <w:szCs w:val="20"/>
                <w:color w:val="auto"/>
              </w:rPr>
            </w:pPr>
            <w:r>
              <w:rPr>
                <w:rFonts w:ascii="Arial" w:cs="Arial" w:eastAsia="Arial" w:hAnsi="Arial"/>
                <w:sz w:val="11"/>
                <w:szCs w:val="11"/>
                <w:b w:val="1"/>
                <w:bCs w:val="1"/>
                <w:color w:val="auto"/>
              </w:rPr>
              <w:t>Vote Impact</w:t>
            </w:r>
          </w:p>
        </w:tc>
        <w:tc>
          <w:tcPr>
            <w:tcW w:w="1540" w:type="dxa"/>
            <w:vAlign w:val="bottom"/>
            <w:tcBorders>
              <w:top w:val="single" w:sz="8" w:color="008256"/>
              <w:bottom w:val="single" w:sz="8" w:color="008256"/>
            </w:tcBorders>
          </w:tcPr>
          <w:p>
            <w:pPr>
              <w:spacing w:after="0"/>
              <w:rPr>
                <w:sz w:val="21"/>
                <w:szCs w:val="21"/>
                <w:color w:val="auto"/>
              </w:rPr>
            </w:pPr>
          </w:p>
        </w:tc>
      </w:tr>
      <w:tr>
        <w:trPr>
          <w:trHeight w:val="149"/>
        </w:trPr>
        <w:tc>
          <w:tcPr>
            <w:tcW w:w="380" w:type="dxa"/>
            <w:vAlign w:val="bottom"/>
          </w:tcPr>
          <w:p>
            <w:pPr>
              <w:spacing w:after="0"/>
              <w:rPr>
                <w:sz w:val="12"/>
                <w:szCs w:val="12"/>
                <w:color w:val="auto"/>
              </w:rPr>
            </w:pPr>
          </w:p>
        </w:tc>
        <w:tc>
          <w:tcPr>
            <w:tcW w:w="2340" w:type="dxa"/>
            <w:vAlign w:val="bottom"/>
            <w:tcBorders>
              <w:right w:val="single" w:sz="8" w:color="008256"/>
            </w:tcBorders>
          </w:tcPr>
          <w:p>
            <w:pPr>
              <w:spacing w:after="0"/>
              <w:rPr>
                <w:sz w:val="12"/>
                <w:szCs w:val="12"/>
                <w:color w:val="auto"/>
              </w:rPr>
            </w:pPr>
          </w:p>
        </w:tc>
        <w:tc>
          <w:tcPr>
            <w:tcW w:w="2340" w:type="dxa"/>
            <w:vAlign w:val="bottom"/>
            <w:tcBorders>
              <w:right w:val="single" w:sz="8" w:color="008256"/>
            </w:tcBorders>
          </w:tcPr>
          <w:p>
            <w:pPr>
              <w:spacing w:after="0"/>
              <w:rPr>
                <w:sz w:val="12"/>
                <w:szCs w:val="12"/>
                <w:color w:val="auto"/>
              </w:rPr>
            </w:pPr>
          </w:p>
        </w:tc>
        <w:tc>
          <w:tcPr>
            <w:tcW w:w="1560" w:type="dxa"/>
            <w:vAlign w:val="bottom"/>
            <w:tcBorders>
              <w:right w:val="single" w:sz="8" w:color="008256"/>
            </w:tcBorders>
          </w:tcPr>
          <w:p>
            <w:pPr>
              <w:spacing w:after="0"/>
              <w:rPr>
                <w:sz w:val="12"/>
                <w:szCs w:val="12"/>
                <w:color w:val="auto"/>
              </w:rPr>
            </w:pPr>
          </w:p>
        </w:tc>
        <w:tc>
          <w:tcPr>
            <w:tcW w:w="1240" w:type="dxa"/>
            <w:vAlign w:val="bottom"/>
          </w:tcPr>
          <w:p>
            <w:pPr>
              <w:jc w:val="center"/>
              <w:ind w:left="239"/>
              <w:spacing w:after="0"/>
              <w:rPr>
                <w:sz w:val="20"/>
                <w:szCs w:val="20"/>
                <w:color w:val="auto"/>
              </w:rPr>
            </w:pPr>
            <w:r>
              <w:rPr>
                <w:rFonts w:ascii="Arial" w:cs="Arial" w:eastAsia="Arial" w:hAnsi="Arial"/>
                <w:sz w:val="11"/>
                <w:szCs w:val="11"/>
                <w:b w:val="1"/>
                <w:bCs w:val="1"/>
                <w:color w:val="auto"/>
                <w:w w:val="99"/>
              </w:rPr>
              <w:t>Withhold/</w:t>
            </w:r>
          </w:p>
        </w:tc>
        <w:tc>
          <w:tcPr>
            <w:tcW w:w="320" w:type="dxa"/>
            <w:vAlign w:val="bottom"/>
            <w:tcBorders>
              <w:right w:val="single" w:sz="8" w:color="008256"/>
            </w:tcBorders>
          </w:tcPr>
          <w:p>
            <w:pPr>
              <w:spacing w:after="0"/>
              <w:rPr>
                <w:sz w:val="12"/>
                <w:szCs w:val="12"/>
                <w:color w:val="auto"/>
              </w:rPr>
            </w:pPr>
          </w:p>
        </w:tc>
        <w:tc>
          <w:tcPr>
            <w:tcW w:w="1560" w:type="dxa"/>
            <w:vAlign w:val="bottom"/>
          </w:tcPr>
          <w:p>
            <w:pPr>
              <w:spacing w:after="0"/>
              <w:rPr>
                <w:sz w:val="12"/>
                <w:szCs w:val="12"/>
                <w:color w:val="auto"/>
              </w:rPr>
            </w:pPr>
          </w:p>
        </w:tc>
        <w:tc>
          <w:tcPr>
            <w:tcW w:w="1540" w:type="dxa"/>
            <w:vAlign w:val="bottom"/>
          </w:tcPr>
          <w:p>
            <w:pPr>
              <w:jc w:val="center"/>
              <w:spacing w:after="0"/>
              <w:rPr>
                <w:sz w:val="20"/>
                <w:szCs w:val="20"/>
                <w:color w:val="auto"/>
              </w:rPr>
            </w:pPr>
            <w:r>
              <w:rPr>
                <w:rFonts w:ascii="Arial" w:cs="Arial" w:eastAsia="Arial" w:hAnsi="Arial"/>
                <w:sz w:val="11"/>
                <w:szCs w:val="11"/>
                <w:b w:val="1"/>
                <w:bCs w:val="1"/>
                <w:color w:val="auto"/>
              </w:rPr>
              <w:t>Broker</w:t>
            </w:r>
          </w:p>
        </w:tc>
      </w:tr>
      <w:tr>
        <w:trPr>
          <w:trHeight w:val="160"/>
        </w:trPr>
        <w:tc>
          <w:tcPr>
            <w:tcW w:w="2720" w:type="dxa"/>
            <w:vAlign w:val="bottom"/>
            <w:tcBorders>
              <w:bottom w:val="single" w:sz="8" w:color="008256"/>
              <w:right w:val="single" w:sz="8" w:color="008256"/>
            </w:tcBorders>
            <w:gridSpan w:val="2"/>
          </w:tcPr>
          <w:p>
            <w:pPr>
              <w:ind w:left="100"/>
              <w:spacing w:after="0"/>
              <w:rPr>
                <w:sz w:val="20"/>
                <w:szCs w:val="20"/>
                <w:color w:val="auto"/>
              </w:rPr>
            </w:pPr>
            <w:r>
              <w:rPr>
                <w:rFonts w:ascii="Arial" w:cs="Arial" w:eastAsia="Arial" w:hAnsi="Arial"/>
                <w:sz w:val="11"/>
                <w:szCs w:val="11"/>
                <w:b w:val="1"/>
                <w:bCs w:val="1"/>
                <w:color w:val="auto"/>
              </w:rPr>
              <w:t>Proposal</w:t>
            </w:r>
          </w:p>
        </w:tc>
        <w:tc>
          <w:tcPr>
            <w:tcW w:w="2340" w:type="dxa"/>
            <w:vAlign w:val="bottom"/>
            <w:tcBorders>
              <w:bottom w:val="single" w:sz="8" w:color="008256"/>
              <w:right w:val="single" w:sz="8" w:color="008256"/>
            </w:tcBorders>
          </w:tcPr>
          <w:p>
            <w:pPr>
              <w:ind w:left="780"/>
              <w:spacing w:after="0"/>
              <w:rPr>
                <w:sz w:val="20"/>
                <w:szCs w:val="20"/>
                <w:color w:val="auto"/>
              </w:rPr>
            </w:pPr>
            <w:r>
              <w:rPr>
                <w:rFonts w:ascii="Arial" w:cs="Arial" w:eastAsia="Arial" w:hAnsi="Arial"/>
                <w:sz w:val="11"/>
                <w:szCs w:val="11"/>
                <w:b w:val="1"/>
                <w:bCs w:val="1"/>
                <w:color w:val="auto"/>
              </w:rPr>
              <w:t>Required Vote</w:t>
            </w:r>
          </w:p>
        </w:tc>
        <w:tc>
          <w:tcPr>
            <w:tcW w:w="1560" w:type="dxa"/>
            <w:vAlign w:val="bottom"/>
            <w:tcBorders>
              <w:bottom w:val="single" w:sz="8" w:color="008256"/>
              <w:right w:val="single" w:sz="8" w:color="008256"/>
            </w:tcBorders>
          </w:tcPr>
          <w:p>
            <w:pPr>
              <w:ind w:left="680"/>
              <w:spacing w:after="0"/>
              <w:rPr>
                <w:sz w:val="20"/>
                <w:szCs w:val="20"/>
                <w:color w:val="auto"/>
              </w:rPr>
            </w:pPr>
            <w:r>
              <w:rPr>
                <w:rFonts w:ascii="Arial" w:cs="Arial" w:eastAsia="Arial" w:hAnsi="Arial"/>
                <w:sz w:val="11"/>
                <w:szCs w:val="11"/>
                <w:b w:val="1"/>
                <w:bCs w:val="1"/>
                <w:color w:val="auto"/>
              </w:rPr>
              <w:t>For</w:t>
            </w:r>
          </w:p>
        </w:tc>
        <w:tc>
          <w:tcPr>
            <w:tcW w:w="1240" w:type="dxa"/>
            <w:vAlign w:val="bottom"/>
            <w:tcBorders>
              <w:bottom w:val="single" w:sz="8" w:color="008256"/>
            </w:tcBorders>
          </w:tcPr>
          <w:p>
            <w:pPr>
              <w:jc w:val="center"/>
              <w:ind w:left="239"/>
              <w:spacing w:after="0"/>
              <w:rPr>
                <w:sz w:val="20"/>
                <w:szCs w:val="20"/>
                <w:color w:val="auto"/>
              </w:rPr>
            </w:pPr>
            <w:r>
              <w:rPr>
                <w:rFonts w:ascii="Arial" w:cs="Arial" w:eastAsia="Arial" w:hAnsi="Arial"/>
                <w:sz w:val="11"/>
                <w:szCs w:val="11"/>
                <w:b w:val="1"/>
                <w:bCs w:val="1"/>
                <w:color w:val="auto"/>
              </w:rPr>
              <w:t>Against</w:t>
            </w:r>
          </w:p>
        </w:tc>
        <w:tc>
          <w:tcPr>
            <w:tcW w:w="320" w:type="dxa"/>
            <w:vAlign w:val="bottom"/>
            <w:tcBorders>
              <w:bottom w:val="single" w:sz="8" w:color="008256"/>
              <w:right w:val="single" w:sz="8" w:color="008256"/>
            </w:tcBorders>
          </w:tcPr>
          <w:p>
            <w:pPr>
              <w:spacing w:after="0"/>
              <w:rPr>
                <w:sz w:val="13"/>
                <w:szCs w:val="13"/>
                <w:color w:val="auto"/>
              </w:rPr>
            </w:pPr>
          </w:p>
        </w:tc>
        <w:tc>
          <w:tcPr>
            <w:tcW w:w="1560" w:type="dxa"/>
            <w:vAlign w:val="bottom"/>
            <w:tcBorders>
              <w:bottom w:val="single" w:sz="8" w:color="008256"/>
            </w:tcBorders>
          </w:tcPr>
          <w:p>
            <w:pPr>
              <w:ind w:left="560"/>
              <w:spacing w:after="0"/>
              <w:rPr>
                <w:sz w:val="20"/>
                <w:szCs w:val="20"/>
                <w:color w:val="auto"/>
              </w:rPr>
            </w:pPr>
            <w:r>
              <w:rPr>
                <w:rFonts w:ascii="Arial" w:cs="Arial" w:eastAsia="Arial" w:hAnsi="Arial"/>
                <w:sz w:val="11"/>
                <w:szCs w:val="11"/>
                <w:b w:val="1"/>
                <w:bCs w:val="1"/>
                <w:color w:val="auto"/>
              </w:rPr>
              <w:t>Abstain</w:t>
            </w:r>
          </w:p>
        </w:tc>
        <w:tc>
          <w:tcPr>
            <w:tcW w:w="1540" w:type="dxa"/>
            <w:vAlign w:val="bottom"/>
            <w:tcBorders>
              <w:bottom w:val="single" w:sz="8" w:color="008256"/>
            </w:tcBorders>
          </w:tcPr>
          <w:p>
            <w:pPr>
              <w:jc w:val="center"/>
              <w:spacing w:after="0"/>
              <w:rPr>
                <w:sz w:val="20"/>
                <w:szCs w:val="20"/>
                <w:color w:val="auto"/>
              </w:rPr>
            </w:pPr>
            <w:r>
              <w:rPr>
                <w:rFonts w:ascii="Arial" w:cs="Arial" w:eastAsia="Arial" w:hAnsi="Arial"/>
                <w:sz w:val="11"/>
                <w:szCs w:val="11"/>
                <w:b w:val="1"/>
                <w:bCs w:val="1"/>
                <w:color w:val="auto"/>
              </w:rPr>
              <w:t>Non-Votes</w:t>
            </w:r>
          </w:p>
        </w:tc>
      </w:tr>
      <w:tr>
        <w:trPr>
          <w:trHeight w:val="219"/>
        </w:trPr>
        <w:tc>
          <w:tcPr>
            <w:tcW w:w="380" w:type="dxa"/>
            <w:vAlign w:val="bottom"/>
            <w:tcBorders>
              <w:right w:val="single" w:sz="8" w:color="008256"/>
            </w:tcBorders>
          </w:tcPr>
          <w:p>
            <w:pPr>
              <w:jc w:val="right"/>
              <w:ind w:right="23"/>
              <w:spacing w:after="0"/>
              <w:rPr>
                <w:sz w:val="20"/>
                <w:szCs w:val="20"/>
                <w:color w:val="auto"/>
              </w:rPr>
            </w:pPr>
            <w:r>
              <w:rPr>
                <w:rFonts w:ascii="Arial" w:cs="Arial" w:eastAsia="Arial" w:hAnsi="Arial"/>
                <w:sz w:val="11"/>
                <w:szCs w:val="11"/>
                <w:b w:val="1"/>
                <w:bCs w:val="1"/>
                <w:color w:val="auto"/>
              </w:rPr>
              <w:t>1</w:t>
            </w:r>
          </w:p>
        </w:tc>
        <w:tc>
          <w:tcPr>
            <w:tcW w:w="2340" w:type="dxa"/>
            <w:vAlign w:val="bottom"/>
            <w:tcBorders>
              <w:right w:val="single" w:sz="8" w:color="008256"/>
            </w:tcBorders>
          </w:tcPr>
          <w:p>
            <w:pPr>
              <w:ind w:left="60"/>
              <w:spacing w:after="0"/>
              <w:rPr>
                <w:sz w:val="20"/>
                <w:szCs w:val="20"/>
                <w:color w:val="auto"/>
              </w:rPr>
            </w:pPr>
            <w:r>
              <w:rPr>
                <w:rFonts w:ascii="Arial" w:cs="Arial" w:eastAsia="Arial" w:hAnsi="Arial"/>
                <w:sz w:val="13"/>
                <w:szCs w:val="13"/>
                <w:b w:val="1"/>
                <w:bCs w:val="1"/>
                <w:color w:val="auto"/>
              </w:rPr>
              <w:t>Election of Directors</w:t>
            </w:r>
          </w:p>
        </w:tc>
        <w:tc>
          <w:tcPr>
            <w:tcW w:w="2340" w:type="dxa"/>
            <w:vAlign w:val="bottom"/>
            <w:tcBorders>
              <w:right w:val="single" w:sz="8" w:color="008256"/>
            </w:tcBorders>
          </w:tcPr>
          <w:p>
            <w:pPr>
              <w:ind w:left="60"/>
              <w:spacing w:after="0"/>
              <w:rPr>
                <w:sz w:val="20"/>
                <w:szCs w:val="20"/>
                <w:color w:val="auto"/>
              </w:rPr>
            </w:pPr>
            <w:r>
              <w:rPr>
                <w:rFonts w:ascii="Arial" w:cs="Arial" w:eastAsia="Arial" w:hAnsi="Arial"/>
                <w:sz w:val="13"/>
                <w:szCs w:val="13"/>
                <w:color w:val="auto"/>
              </w:rPr>
              <w:t>Plurality of the votes cast</w:t>
            </w:r>
          </w:p>
        </w:tc>
        <w:tc>
          <w:tcPr>
            <w:tcW w:w="1560" w:type="dxa"/>
            <w:vAlign w:val="bottom"/>
            <w:tcBorders>
              <w:right w:val="single" w:sz="8" w:color="008256"/>
            </w:tcBorders>
          </w:tcPr>
          <w:p>
            <w:pPr>
              <w:ind w:left="80"/>
              <w:spacing w:after="0"/>
              <w:rPr>
                <w:sz w:val="20"/>
                <w:szCs w:val="20"/>
                <w:color w:val="auto"/>
              </w:rPr>
            </w:pPr>
            <w:r>
              <w:rPr>
                <w:rFonts w:ascii="Arial" w:cs="Arial" w:eastAsia="Arial" w:hAnsi="Arial"/>
                <w:sz w:val="13"/>
                <w:szCs w:val="13"/>
                <w:color w:val="auto"/>
              </w:rPr>
              <w:t>For the director</w:t>
            </w:r>
          </w:p>
        </w:tc>
        <w:tc>
          <w:tcPr>
            <w:tcW w:w="1240" w:type="dxa"/>
            <w:vAlign w:val="bottom"/>
          </w:tcPr>
          <w:p>
            <w:pPr>
              <w:ind w:left="80"/>
              <w:spacing w:after="0"/>
              <w:rPr>
                <w:sz w:val="20"/>
                <w:szCs w:val="20"/>
                <w:color w:val="auto"/>
              </w:rPr>
            </w:pPr>
            <w:r>
              <w:rPr>
                <w:rFonts w:ascii="Arial" w:cs="Arial" w:eastAsia="Arial" w:hAnsi="Arial"/>
                <w:sz w:val="13"/>
                <w:szCs w:val="13"/>
                <w:color w:val="auto"/>
              </w:rPr>
              <w:t>Against the director</w:t>
            </w:r>
          </w:p>
        </w:tc>
        <w:tc>
          <w:tcPr>
            <w:tcW w:w="320" w:type="dxa"/>
            <w:vAlign w:val="bottom"/>
            <w:tcBorders>
              <w:right w:val="single" w:sz="8" w:color="008256"/>
            </w:tcBorders>
          </w:tcPr>
          <w:p>
            <w:pPr>
              <w:spacing w:after="0"/>
              <w:rPr>
                <w:sz w:val="19"/>
                <w:szCs w:val="19"/>
                <w:color w:val="auto"/>
              </w:rPr>
            </w:pPr>
          </w:p>
        </w:tc>
        <w:tc>
          <w:tcPr>
            <w:tcW w:w="1560" w:type="dxa"/>
            <w:vAlign w:val="bottom"/>
            <w:tcBorders>
              <w:right w:val="single" w:sz="8" w:color="008256"/>
            </w:tcBorders>
          </w:tcPr>
          <w:p>
            <w:pPr>
              <w:ind w:left="80"/>
              <w:spacing w:after="0"/>
              <w:rPr>
                <w:sz w:val="20"/>
                <w:szCs w:val="20"/>
                <w:color w:val="auto"/>
              </w:rPr>
            </w:pPr>
            <w:r>
              <w:rPr>
                <w:rFonts w:ascii="Arial" w:cs="Arial" w:eastAsia="Arial" w:hAnsi="Arial"/>
                <w:sz w:val="13"/>
                <w:szCs w:val="13"/>
                <w:color w:val="auto"/>
              </w:rPr>
              <w:t>—</w:t>
            </w:r>
          </w:p>
        </w:tc>
        <w:tc>
          <w:tcPr>
            <w:tcW w:w="1540" w:type="dxa"/>
            <w:vAlign w:val="bottom"/>
          </w:tcPr>
          <w:p>
            <w:pPr>
              <w:ind w:left="80"/>
              <w:spacing w:after="0"/>
              <w:rPr>
                <w:sz w:val="20"/>
                <w:szCs w:val="20"/>
                <w:color w:val="auto"/>
              </w:rPr>
            </w:pPr>
            <w:r>
              <w:rPr>
                <w:rFonts w:ascii="Arial" w:cs="Arial" w:eastAsia="Arial" w:hAnsi="Arial"/>
                <w:sz w:val="13"/>
                <w:szCs w:val="13"/>
                <w:color w:val="auto"/>
              </w:rPr>
              <w:t>Not a vote cast</w:t>
            </w:r>
          </w:p>
        </w:tc>
      </w:tr>
      <w:tr>
        <w:trPr>
          <w:trHeight w:val="167"/>
        </w:trPr>
        <w:tc>
          <w:tcPr>
            <w:tcW w:w="380" w:type="dxa"/>
            <w:vAlign w:val="bottom"/>
            <w:tcBorders>
              <w:right w:val="single" w:sz="8" w:color="008256"/>
            </w:tcBorders>
          </w:tcPr>
          <w:p>
            <w:pPr>
              <w:spacing w:after="0"/>
              <w:rPr>
                <w:sz w:val="14"/>
                <w:szCs w:val="14"/>
                <w:color w:val="auto"/>
              </w:rPr>
            </w:pPr>
          </w:p>
        </w:tc>
        <w:tc>
          <w:tcPr>
            <w:tcW w:w="2340" w:type="dxa"/>
            <w:vAlign w:val="bottom"/>
            <w:tcBorders>
              <w:right w:val="single" w:sz="8" w:color="008256"/>
            </w:tcBorders>
          </w:tcPr>
          <w:p>
            <w:pPr>
              <w:spacing w:after="0"/>
              <w:rPr>
                <w:sz w:val="14"/>
                <w:szCs w:val="14"/>
                <w:color w:val="auto"/>
              </w:rPr>
            </w:pPr>
          </w:p>
        </w:tc>
        <w:tc>
          <w:tcPr>
            <w:tcW w:w="2340" w:type="dxa"/>
            <w:vAlign w:val="bottom"/>
            <w:tcBorders>
              <w:right w:val="single" w:sz="8" w:color="008256"/>
            </w:tcBorders>
          </w:tcPr>
          <w:p>
            <w:pPr>
              <w:spacing w:after="0"/>
              <w:rPr>
                <w:sz w:val="14"/>
                <w:szCs w:val="14"/>
                <w:color w:val="auto"/>
              </w:rPr>
            </w:pPr>
          </w:p>
        </w:tc>
        <w:tc>
          <w:tcPr>
            <w:tcW w:w="1560" w:type="dxa"/>
            <w:vAlign w:val="bottom"/>
            <w:tcBorders>
              <w:right w:val="single" w:sz="8" w:color="008256"/>
            </w:tcBorders>
          </w:tcPr>
          <w:p>
            <w:pPr>
              <w:ind w:left="80"/>
              <w:spacing w:after="0"/>
              <w:rPr>
                <w:sz w:val="20"/>
                <w:szCs w:val="20"/>
                <w:color w:val="auto"/>
              </w:rPr>
            </w:pPr>
            <w:r>
              <w:rPr>
                <w:rFonts w:ascii="Arial" w:cs="Arial" w:eastAsia="Arial" w:hAnsi="Arial"/>
                <w:sz w:val="13"/>
                <w:szCs w:val="13"/>
                <w:color w:val="auto"/>
              </w:rPr>
              <w:t>nominee(s)</w:t>
            </w:r>
          </w:p>
        </w:tc>
        <w:tc>
          <w:tcPr>
            <w:tcW w:w="1240" w:type="dxa"/>
            <w:vAlign w:val="bottom"/>
          </w:tcPr>
          <w:p>
            <w:pPr>
              <w:ind w:left="80"/>
              <w:spacing w:after="0"/>
              <w:rPr>
                <w:sz w:val="20"/>
                <w:szCs w:val="20"/>
                <w:color w:val="auto"/>
              </w:rPr>
            </w:pPr>
            <w:r>
              <w:rPr>
                <w:rFonts w:ascii="Arial" w:cs="Arial" w:eastAsia="Arial" w:hAnsi="Arial"/>
                <w:sz w:val="13"/>
                <w:szCs w:val="13"/>
                <w:color w:val="auto"/>
              </w:rPr>
              <w:t>nominee(s)</w:t>
            </w:r>
          </w:p>
        </w:tc>
        <w:tc>
          <w:tcPr>
            <w:tcW w:w="320" w:type="dxa"/>
            <w:vAlign w:val="bottom"/>
            <w:tcBorders>
              <w:right w:val="single" w:sz="8" w:color="008256"/>
            </w:tcBorders>
          </w:tcPr>
          <w:p>
            <w:pPr>
              <w:spacing w:after="0"/>
              <w:rPr>
                <w:sz w:val="14"/>
                <w:szCs w:val="14"/>
                <w:color w:val="auto"/>
              </w:rPr>
            </w:pPr>
          </w:p>
        </w:tc>
        <w:tc>
          <w:tcPr>
            <w:tcW w:w="1560" w:type="dxa"/>
            <w:vAlign w:val="bottom"/>
            <w:tcBorders>
              <w:right w:val="single" w:sz="8" w:color="008256"/>
            </w:tcBorders>
          </w:tcPr>
          <w:p>
            <w:pPr>
              <w:spacing w:after="0"/>
              <w:rPr>
                <w:sz w:val="14"/>
                <w:szCs w:val="14"/>
                <w:color w:val="auto"/>
              </w:rPr>
            </w:pPr>
          </w:p>
        </w:tc>
        <w:tc>
          <w:tcPr>
            <w:tcW w:w="1540" w:type="dxa"/>
            <w:vAlign w:val="bottom"/>
          </w:tcPr>
          <w:p>
            <w:pPr>
              <w:spacing w:after="0"/>
              <w:rPr>
                <w:sz w:val="14"/>
                <w:szCs w:val="14"/>
                <w:color w:val="auto"/>
              </w:rPr>
            </w:pPr>
          </w:p>
        </w:tc>
      </w:tr>
      <w:tr>
        <w:trPr>
          <w:trHeight w:val="24"/>
        </w:trPr>
        <w:tc>
          <w:tcPr>
            <w:tcW w:w="380" w:type="dxa"/>
            <w:vAlign w:val="bottom"/>
            <w:tcBorders>
              <w:right w:val="single" w:sz="8" w:color="008256"/>
            </w:tcBorders>
          </w:tcPr>
          <w:p>
            <w:pPr>
              <w:spacing w:after="0"/>
              <w:rPr>
                <w:sz w:val="2"/>
                <w:szCs w:val="2"/>
                <w:color w:val="auto"/>
              </w:rPr>
            </w:pPr>
          </w:p>
        </w:tc>
        <w:tc>
          <w:tcPr>
            <w:tcW w:w="2340" w:type="dxa"/>
            <w:vAlign w:val="bottom"/>
            <w:tcBorders>
              <w:right w:val="single" w:sz="8" w:color="008256"/>
            </w:tcBorders>
          </w:tcPr>
          <w:p>
            <w:pPr>
              <w:spacing w:after="0"/>
              <w:rPr>
                <w:sz w:val="2"/>
                <w:szCs w:val="2"/>
                <w:color w:val="auto"/>
              </w:rPr>
            </w:pPr>
          </w:p>
        </w:tc>
        <w:tc>
          <w:tcPr>
            <w:tcW w:w="2340" w:type="dxa"/>
            <w:vAlign w:val="bottom"/>
            <w:tcBorders>
              <w:right w:val="single" w:sz="8" w:color="008256"/>
            </w:tcBorders>
          </w:tcPr>
          <w:p>
            <w:pPr>
              <w:spacing w:after="0"/>
              <w:rPr>
                <w:sz w:val="2"/>
                <w:szCs w:val="2"/>
                <w:color w:val="auto"/>
              </w:rPr>
            </w:pPr>
          </w:p>
        </w:tc>
        <w:tc>
          <w:tcPr>
            <w:tcW w:w="1560" w:type="dxa"/>
            <w:vAlign w:val="bottom"/>
            <w:tcBorders>
              <w:right w:val="single" w:sz="8" w:color="008256"/>
            </w:tcBorders>
          </w:tcPr>
          <w:p>
            <w:pPr>
              <w:spacing w:after="0"/>
              <w:rPr>
                <w:sz w:val="2"/>
                <w:szCs w:val="2"/>
                <w:color w:val="auto"/>
              </w:rPr>
            </w:pPr>
          </w:p>
        </w:tc>
        <w:tc>
          <w:tcPr>
            <w:tcW w:w="1240" w:type="dxa"/>
            <w:vAlign w:val="bottom"/>
          </w:tcPr>
          <w:p>
            <w:pPr>
              <w:spacing w:after="0"/>
              <w:rPr>
                <w:sz w:val="2"/>
                <w:szCs w:val="2"/>
                <w:color w:val="auto"/>
              </w:rPr>
            </w:pPr>
          </w:p>
        </w:tc>
        <w:tc>
          <w:tcPr>
            <w:tcW w:w="320" w:type="dxa"/>
            <w:vAlign w:val="bottom"/>
            <w:tcBorders>
              <w:right w:val="single" w:sz="8" w:color="008256"/>
            </w:tcBorders>
          </w:tcPr>
          <w:p>
            <w:pPr>
              <w:spacing w:after="0"/>
              <w:rPr>
                <w:sz w:val="2"/>
                <w:szCs w:val="2"/>
                <w:color w:val="auto"/>
              </w:rPr>
            </w:pPr>
          </w:p>
        </w:tc>
        <w:tc>
          <w:tcPr>
            <w:tcW w:w="1560" w:type="dxa"/>
            <w:vAlign w:val="bottom"/>
            <w:tcBorders>
              <w:right w:val="single" w:sz="8" w:color="008256"/>
            </w:tcBorders>
          </w:tcPr>
          <w:p>
            <w:pPr>
              <w:spacing w:after="0"/>
              <w:rPr>
                <w:sz w:val="2"/>
                <w:szCs w:val="2"/>
                <w:color w:val="auto"/>
              </w:rPr>
            </w:pPr>
          </w:p>
        </w:tc>
        <w:tc>
          <w:tcPr>
            <w:tcW w:w="1540" w:type="dxa"/>
            <w:vAlign w:val="bottom"/>
          </w:tcPr>
          <w:p>
            <w:pPr>
              <w:spacing w:after="0"/>
              <w:rPr>
                <w:sz w:val="2"/>
                <w:szCs w:val="2"/>
                <w:color w:val="auto"/>
              </w:rPr>
            </w:pPr>
          </w:p>
        </w:tc>
      </w:tr>
      <w:tr>
        <w:trPr>
          <w:trHeight w:val="223"/>
        </w:trPr>
        <w:tc>
          <w:tcPr>
            <w:tcW w:w="380" w:type="dxa"/>
            <w:vAlign w:val="bottom"/>
            <w:tcBorders>
              <w:right w:val="single" w:sz="8" w:color="008256"/>
            </w:tcBorders>
            <w:shd w:val="clear" w:color="auto" w:fill="E6F4EF"/>
          </w:tcPr>
          <w:p>
            <w:pPr>
              <w:jc w:val="right"/>
              <w:ind w:right="23"/>
              <w:spacing w:after="0"/>
              <w:rPr>
                <w:sz w:val="20"/>
                <w:szCs w:val="20"/>
                <w:color w:val="auto"/>
              </w:rPr>
            </w:pPr>
            <w:r>
              <w:rPr>
                <w:rFonts w:ascii="Arial" w:cs="Arial" w:eastAsia="Arial" w:hAnsi="Arial"/>
                <w:sz w:val="11"/>
                <w:szCs w:val="11"/>
                <w:b w:val="1"/>
                <w:bCs w:val="1"/>
                <w:color w:val="auto"/>
              </w:rPr>
              <w:t>2</w:t>
            </w:r>
          </w:p>
        </w:tc>
        <w:tc>
          <w:tcPr>
            <w:tcW w:w="2340" w:type="dxa"/>
            <w:vAlign w:val="bottom"/>
            <w:tcBorders>
              <w:right w:val="single" w:sz="8" w:color="008256"/>
            </w:tcBorders>
            <w:shd w:val="clear" w:color="auto" w:fill="E6F4EF"/>
          </w:tcPr>
          <w:p>
            <w:pPr>
              <w:ind w:left="60"/>
              <w:spacing w:after="0"/>
              <w:rPr>
                <w:sz w:val="20"/>
                <w:szCs w:val="20"/>
                <w:color w:val="auto"/>
              </w:rPr>
            </w:pPr>
            <w:r>
              <w:rPr>
                <w:rFonts w:ascii="Arial" w:cs="Arial" w:eastAsia="Arial" w:hAnsi="Arial"/>
                <w:sz w:val="13"/>
                <w:szCs w:val="13"/>
                <w:b w:val="1"/>
                <w:bCs w:val="1"/>
                <w:color w:val="auto"/>
              </w:rPr>
              <w:t>Ratification of Appointment of</w:t>
            </w:r>
          </w:p>
        </w:tc>
        <w:tc>
          <w:tcPr>
            <w:tcW w:w="2340" w:type="dxa"/>
            <w:vAlign w:val="bottom"/>
            <w:tcBorders>
              <w:right w:val="single" w:sz="8" w:color="008256"/>
            </w:tcBorders>
            <w:shd w:val="clear" w:color="auto" w:fill="E6F4EF"/>
          </w:tcPr>
          <w:p>
            <w:pPr>
              <w:ind w:left="60"/>
              <w:spacing w:after="0"/>
              <w:rPr>
                <w:sz w:val="20"/>
                <w:szCs w:val="20"/>
                <w:color w:val="auto"/>
              </w:rPr>
            </w:pPr>
            <w:r>
              <w:rPr>
                <w:rFonts w:ascii="Arial" w:cs="Arial" w:eastAsia="Arial" w:hAnsi="Arial"/>
                <w:sz w:val="13"/>
                <w:szCs w:val="13"/>
                <w:color w:val="auto"/>
              </w:rPr>
              <w:t>Majority of the voting power of shares</w:t>
            </w:r>
          </w:p>
        </w:tc>
        <w:tc>
          <w:tcPr>
            <w:tcW w:w="1560" w:type="dxa"/>
            <w:vAlign w:val="bottom"/>
            <w:tcBorders>
              <w:right w:val="single" w:sz="8" w:color="008256"/>
            </w:tcBorders>
            <w:shd w:val="clear" w:color="auto" w:fill="E6F4EF"/>
          </w:tcPr>
          <w:p>
            <w:pPr>
              <w:ind w:left="80"/>
              <w:spacing w:after="0"/>
              <w:rPr>
                <w:sz w:val="20"/>
                <w:szCs w:val="20"/>
                <w:color w:val="auto"/>
              </w:rPr>
            </w:pPr>
            <w:r>
              <w:rPr>
                <w:rFonts w:ascii="Arial" w:cs="Arial" w:eastAsia="Arial" w:hAnsi="Arial"/>
                <w:sz w:val="13"/>
                <w:szCs w:val="13"/>
                <w:color w:val="auto"/>
              </w:rPr>
              <w:t>For the proposal</w:t>
            </w:r>
          </w:p>
        </w:tc>
        <w:tc>
          <w:tcPr>
            <w:tcW w:w="1240" w:type="dxa"/>
            <w:vAlign w:val="bottom"/>
            <w:shd w:val="clear" w:color="auto" w:fill="E6F4EF"/>
          </w:tcPr>
          <w:p>
            <w:pPr>
              <w:ind w:left="80"/>
              <w:spacing w:after="0"/>
              <w:rPr>
                <w:sz w:val="20"/>
                <w:szCs w:val="20"/>
                <w:color w:val="auto"/>
              </w:rPr>
            </w:pPr>
            <w:r>
              <w:rPr>
                <w:rFonts w:ascii="Arial" w:cs="Arial" w:eastAsia="Arial" w:hAnsi="Arial"/>
                <w:sz w:val="13"/>
                <w:szCs w:val="13"/>
                <w:color w:val="auto"/>
                <w:w w:val="96"/>
              </w:rPr>
              <w:t>Against the proposal</w:t>
            </w:r>
          </w:p>
        </w:tc>
        <w:tc>
          <w:tcPr>
            <w:tcW w:w="320" w:type="dxa"/>
            <w:vAlign w:val="bottom"/>
            <w:tcBorders>
              <w:right w:val="single" w:sz="8" w:color="008256"/>
            </w:tcBorders>
            <w:shd w:val="clear" w:color="auto" w:fill="E6F4EF"/>
          </w:tcPr>
          <w:p>
            <w:pPr>
              <w:spacing w:after="0"/>
              <w:rPr>
                <w:sz w:val="19"/>
                <w:szCs w:val="19"/>
                <w:color w:val="auto"/>
              </w:rPr>
            </w:pPr>
          </w:p>
        </w:tc>
        <w:tc>
          <w:tcPr>
            <w:tcW w:w="1560" w:type="dxa"/>
            <w:vAlign w:val="bottom"/>
            <w:tcBorders>
              <w:right w:val="single" w:sz="8" w:color="008256"/>
            </w:tcBorders>
            <w:shd w:val="clear" w:color="auto" w:fill="E6F4EF"/>
          </w:tcPr>
          <w:p>
            <w:pPr>
              <w:ind w:left="80"/>
              <w:spacing w:after="0"/>
              <w:rPr>
                <w:sz w:val="20"/>
                <w:szCs w:val="20"/>
                <w:color w:val="auto"/>
              </w:rPr>
            </w:pPr>
            <w:r>
              <w:rPr>
                <w:rFonts w:ascii="Arial" w:cs="Arial" w:eastAsia="Arial" w:hAnsi="Arial"/>
                <w:sz w:val="13"/>
                <w:szCs w:val="13"/>
                <w:color w:val="auto"/>
              </w:rPr>
              <w:t>Against the proposal</w:t>
            </w:r>
          </w:p>
        </w:tc>
        <w:tc>
          <w:tcPr>
            <w:tcW w:w="1540" w:type="dxa"/>
            <w:vAlign w:val="bottom"/>
            <w:shd w:val="clear" w:color="auto" w:fill="E6F4EF"/>
          </w:tcPr>
          <w:p>
            <w:pPr>
              <w:ind w:left="80"/>
              <w:spacing w:after="0"/>
              <w:rPr>
                <w:sz w:val="20"/>
                <w:szCs w:val="20"/>
                <w:color w:val="auto"/>
              </w:rPr>
            </w:pPr>
            <w:r>
              <w:rPr>
                <w:rFonts w:ascii="Arial" w:cs="Arial" w:eastAsia="Arial" w:hAnsi="Arial"/>
                <w:sz w:val="13"/>
                <w:szCs w:val="13"/>
                <w:color w:val="auto"/>
              </w:rPr>
              <w:t>—</w:t>
            </w:r>
          </w:p>
        </w:tc>
      </w:tr>
      <w:tr>
        <w:trPr>
          <w:trHeight w:val="159"/>
        </w:trPr>
        <w:tc>
          <w:tcPr>
            <w:tcW w:w="380" w:type="dxa"/>
            <w:vAlign w:val="bottom"/>
            <w:tcBorders>
              <w:right w:val="single" w:sz="8" w:color="008256"/>
            </w:tcBorders>
            <w:shd w:val="clear" w:color="auto" w:fill="E6F4EF"/>
          </w:tcPr>
          <w:p>
            <w:pPr>
              <w:spacing w:after="0"/>
              <w:rPr>
                <w:sz w:val="13"/>
                <w:szCs w:val="13"/>
                <w:color w:val="auto"/>
              </w:rPr>
            </w:pPr>
          </w:p>
        </w:tc>
        <w:tc>
          <w:tcPr>
            <w:tcW w:w="2340" w:type="dxa"/>
            <w:vAlign w:val="bottom"/>
            <w:tcBorders>
              <w:right w:val="single" w:sz="8" w:color="008256"/>
            </w:tcBorders>
            <w:shd w:val="clear" w:color="auto" w:fill="E6F4EF"/>
          </w:tcPr>
          <w:p>
            <w:pPr>
              <w:ind w:left="60"/>
              <w:spacing w:after="0"/>
              <w:rPr>
                <w:sz w:val="20"/>
                <w:szCs w:val="20"/>
                <w:color w:val="auto"/>
              </w:rPr>
            </w:pPr>
            <w:r>
              <w:rPr>
                <w:rFonts w:ascii="Arial" w:cs="Arial" w:eastAsia="Arial" w:hAnsi="Arial"/>
                <w:sz w:val="13"/>
                <w:szCs w:val="13"/>
                <w:b w:val="1"/>
                <w:bCs w:val="1"/>
                <w:color w:val="auto"/>
              </w:rPr>
              <w:t>Independent Registered Public</w:t>
            </w:r>
          </w:p>
        </w:tc>
        <w:tc>
          <w:tcPr>
            <w:tcW w:w="2340" w:type="dxa"/>
            <w:vAlign w:val="bottom"/>
            <w:tcBorders>
              <w:right w:val="single" w:sz="8" w:color="008256"/>
            </w:tcBorders>
            <w:shd w:val="clear" w:color="auto" w:fill="E6F4EF"/>
          </w:tcPr>
          <w:p>
            <w:pPr>
              <w:ind w:left="60"/>
              <w:spacing w:after="0"/>
              <w:rPr>
                <w:sz w:val="20"/>
                <w:szCs w:val="20"/>
                <w:color w:val="auto"/>
              </w:rPr>
            </w:pPr>
            <w:r>
              <w:rPr>
                <w:rFonts w:ascii="Arial" w:cs="Arial" w:eastAsia="Arial" w:hAnsi="Arial"/>
                <w:sz w:val="13"/>
                <w:szCs w:val="13"/>
                <w:color w:val="auto"/>
              </w:rPr>
              <w:t>of stock present represented by proxy</w:t>
            </w:r>
          </w:p>
        </w:tc>
        <w:tc>
          <w:tcPr>
            <w:tcW w:w="1560" w:type="dxa"/>
            <w:vAlign w:val="bottom"/>
            <w:tcBorders>
              <w:right w:val="single" w:sz="8" w:color="008256"/>
            </w:tcBorders>
            <w:shd w:val="clear" w:color="auto" w:fill="E6F4EF"/>
          </w:tcPr>
          <w:p>
            <w:pPr>
              <w:spacing w:after="0"/>
              <w:rPr>
                <w:sz w:val="13"/>
                <w:szCs w:val="13"/>
                <w:color w:val="auto"/>
              </w:rPr>
            </w:pPr>
          </w:p>
        </w:tc>
        <w:tc>
          <w:tcPr>
            <w:tcW w:w="1240" w:type="dxa"/>
            <w:vAlign w:val="bottom"/>
            <w:shd w:val="clear" w:color="auto" w:fill="E6F4EF"/>
          </w:tcPr>
          <w:p>
            <w:pPr>
              <w:spacing w:after="0"/>
              <w:rPr>
                <w:sz w:val="13"/>
                <w:szCs w:val="13"/>
                <w:color w:val="auto"/>
              </w:rPr>
            </w:pPr>
          </w:p>
        </w:tc>
        <w:tc>
          <w:tcPr>
            <w:tcW w:w="320" w:type="dxa"/>
            <w:vAlign w:val="bottom"/>
            <w:tcBorders>
              <w:right w:val="single" w:sz="8" w:color="008256"/>
            </w:tcBorders>
            <w:shd w:val="clear" w:color="auto" w:fill="E6F4EF"/>
          </w:tcPr>
          <w:p>
            <w:pPr>
              <w:spacing w:after="0"/>
              <w:rPr>
                <w:sz w:val="13"/>
                <w:szCs w:val="13"/>
                <w:color w:val="auto"/>
              </w:rPr>
            </w:pPr>
          </w:p>
        </w:tc>
        <w:tc>
          <w:tcPr>
            <w:tcW w:w="1560" w:type="dxa"/>
            <w:vAlign w:val="bottom"/>
            <w:tcBorders>
              <w:right w:val="single" w:sz="8" w:color="008256"/>
            </w:tcBorders>
            <w:shd w:val="clear" w:color="auto" w:fill="E6F4EF"/>
          </w:tcPr>
          <w:p>
            <w:pPr>
              <w:spacing w:after="0"/>
              <w:rPr>
                <w:sz w:val="13"/>
                <w:szCs w:val="13"/>
                <w:color w:val="auto"/>
              </w:rPr>
            </w:pPr>
          </w:p>
        </w:tc>
        <w:tc>
          <w:tcPr>
            <w:tcW w:w="1540" w:type="dxa"/>
            <w:vAlign w:val="bottom"/>
            <w:shd w:val="clear" w:color="auto" w:fill="E6F4EF"/>
          </w:tcPr>
          <w:p>
            <w:pPr>
              <w:spacing w:after="0"/>
              <w:rPr>
                <w:sz w:val="13"/>
                <w:szCs w:val="13"/>
                <w:color w:val="auto"/>
              </w:rPr>
            </w:pPr>
          </w:p>
        </w:tc>
      </w:tr>
      <w:tr>
        <w:trPr>
          <w:trHeight w:val="180"/>
        </w:trPr>
        <w:tc>
          <w:tcPr>
            <w:tcW w:w="380" w:type="dxa"/>
            <w:vAlign w:val="bottom"/>
            <w:tcBorders>
              <w:right w:val="single" w:sz="8" w:color="008256"/>
            </w:tcBorders>
            <w:shd w:val="clear" w:color="auto" w:fill="E6F4EF"/>
          </w:tcPr>
          <w:p>
            <w:pPr>
              <w:spacing w:after="0"/>
              <w:rPr>
                <w:sz w:val="15"/>
                <w:szCs w:val="15"/>
                <w:color w:val="auto"/>
              </w:rPr>
            </w:pPr>
          </w:p>
        </w:tc>
        <w:tc>
          <w:tcPr>
            <w:tcW w:w="2340" w:type="dxa"/>
            <w:vAlign w:val="bottom"/>
            <w:tcBorders>
              <w:right w:val="single" w:sz="8" w:color="008256"/>
            </w:tcBorders>
            <w:shd w:val="clear" w:color="auto" w:fill="E6F4EF"/>
          </w:tcPr>
          <w:p>
            <w:pPr>
              <w:ind w:left="60"/>
              <w:spacing w:after="0"/>
              <w:rPr>
                <w:sz w:val="20"/>
                <w:szCs w:val="20"/>
                <w:color w:val="auto"/>
              </w:rPr>
            </w:pPr>
            <w:r>
              <w:rPr>
                <w:rFonts w:ascii="Arial" w:cs="Arial" w:eastAsia="Arial" w:hAnsi="Arial"/>
                <w:sz w:val="13"/>
                <w:szCs w:val="13"/>
                <w:b w:val="1"/>
                <w:bCs w:val="1"/>
                <w:color w:val="auto"/>
              </w:rPr>
              <w:t>Accounting Firm</w:t>
            </w:r>
          </w:p>
        </w:tc>
        <w:tc>
          <w:tcPr>
            <w:tcW w:w="2340" w:type="dxa"/>
            <w:vAlign w:val="bottom"/>
            <w:tcBorders>
              <w:right w:val="single" w:sz="8" w:color="008256"/>
            </w:tcBorders>
            <w:shd w:val="clear" w:color="auto" w:fill="E6F4EF"/>
          </w:tcPr>
          <w:p>
            <w:pPr>
              <w:ind w:left="60"/>
              <w:spacing w:after="0"/>
              <w:rPr>
                <w:sz w:val="20"/>
                <w:szCs w:val="20"/>
                <w:color w:val="auto"/>
              </w:rPr>
            </w:pPr>
            <w:r>
              <w:rPr>
                <w:rFonts w:ascii="Arial" w:cs="Arial" w:eastAsia="Arial" w:hAnsi="Arial"/>
                <w:sz w:val="13"/>
                <w:szCs w:val="13"/>
                <w:color w:val="auto"/>
              </w:rPr>
              <w:t>and entitled to vote thereon</w:t>
            </w:r>
          </w:p>
        </w:tc>
        <w:tc>
          <w:tcPr>
            <w:tcW w:w="1560" w:type="dxa"/>
            <w:vAlign w:val="bottom"/>
            <w:tcBorders>
              <w:right w:val="single" w:sz="8" w:color="008256"/>
            </w:tcBorders>
            <w:shd w:val="clear" w:color="auto" w:fill="E6F4EF"/>
          </w:tcPr>
          <w:p>
            <w:pPr>
              <w:spacing w:after="0"/>
              <w:rPr>
                <w:sz w:val="15"/>
                <w:szCs w:val="15"/>
                <w:color w:val="auto"/>
              </w:rPr>
            </w:pPr>
          </w:p>
        </w:tc>
        <w:tc>
          <w:tcPr>
            <w:tcW w:w="1240" w:type="dxa"/>
            <w:vAlign w:val="bottom"/>
            <w:shd w:val="clear" w:color="auto" w:fill="E6F4EF"/>
          </w:tcPr>
          <w:p>
            <w:pPr>
              <w:spacing w:after="0"/>
              <w:rPr>
                <w:sz w:val="15"/>
                <w:szCs w:val="15"/>
                <w:color w:val="auto"/>
              </w:rPr>
            </w:pPr>
          </w:p>
        </w:tc>
        <w:tc>
          <w:tcPr>
            <w:tcW w:w="320" w:type="dxa"/>
            <w:vAlign w:val="bottom"/>
            <w:tcBorders>
              <w:right w:val="single" w:sz="8" w:color="008256"/>
            </w:tcBorders>
            <w:shd w:val="clear" w:color="auto" w:fill="E6F4EF"/>
          </w:tcPr>
          <w:p>
            <w:pPr>
              <w:spacing w:after="0"/>
              <w:rPr>
                <w:sz w:val="15"/>
                <w:szCs w:val="15"/>
                <w:color w:val="auto"/>
              </w:rPr>
            </w:pPr>
          </w:p>
        </w:tc>
        <w:tc>
          <w:tcPr>
            <w:tcW w:w="1560" w:type="dxa"/>
            <w:vAlign w:val="bottom"/>
            <w:tcBorders>
              <w:right w:val="single" w:sz="8" w:color="008256"/>
            </w:tcBorders>
            <w:shd w:val="clear" w:color="auto" w:fill="E6F4EF"/>
          </w:tcPr>
          <w:p>
            <w:pPr>
              <w:spacing w:after="0"/>
              <w:rPr>
                <w:sz w:val="15"/>
                <w:szCs w:val="15"/>
                <w:color w:val="auto"/>
              </w:rPr>
            </w:pPr>
          </w:p>
        </w:tc>
        <w:tc>
          <w:tcPr>
            <w:tcW w:w="1540" w:type="dxa"/>
            <w:vAlign w:val="bottom"/>
            <w:shd w:val="clear" w:color="auto" w:fill="E6F4EF"/>
          </w:tcPr>
          <w:p>
            <w:pPr>
              <w:spacing w:after="0"/>
              <w:rPr>
                <w:sz w:val="15"/>
                <w:szCs w:val="15"/>
                <w:color w:val="auto"/>
              </w:rPr>
            </w:pPr>
          </w:p>
        </w:tc>
      </w:tr>
      <w:tr>
        <w:trPr>
          <w:trHeight w:val="74"/>
        </w:trPr>
        <w:tc>
          <w:tcPr>
            <w:tcW w:w="380" w:type="dxa"/>
            <w:vAlign w:val="bottom"/>
            <w:tcBorders>
              <w:right w:val="single" w:sz="8" w:color="008256"/>
            </w:tcBorders>
          </w:tcPr>
          <w:p>
            <w:pPr>
              <w:spacing w:after="0"/>
              <w:rPr>
                <w:sz w:val="6"/>
                <w:szCs w:val="6"/>
                <w:color w:val="auto"/>
              </w:rPr>
            </w:pPr>
          </w:p>
        </w:tc>
        <w:tc>
          <w:tcPr>
            <w:tcW w:w="2340" w:type="dxa"/>
            <w:vAlign w:val="bottom"/>
            <w:tcBorders>
              <w:right w:val="single" w:sz="8" w:color="008256"/>
            </w:tcBorders>
          </w:tcPr>
          <w:p>
            <w:pPr>
              <w:spacing w:after="0"/>
              <w:rPr>
                <w:sz w:val="6"/>
                <w:szCs w:val="6"/>
                <w:color w:val="auto"/>
              </w:rPr>
            </w:pPr>
          </w:p>
        </w:tc>
        <w:tc>
          <w:tcPr>
            <w:tcW w:w="2340" w:type="dxa"/>
            <w:vAlign w:val="bottom"/>
            <w:tcBorders>
              <w:right w:val="single" w:sz="8" w:color="008256"/>
            </w:tcBorders>
          </w:tcPr>
          <w:p>
            <w:pPr>
              <w:spacing w:after="0"/>
              <w:rPr>
                <w:sz w:val="6"/>
                <w:szCs w:val="6"/>
                <w:color w:val="auto"/>
              </w:rPr>
            </w:pPr>
          </w:p>
        </w:tc>
        <w:tc>
          <w:tcPr>
            <w:tcW w:w="1560" w:type="dxa"/>
            <w:vAlign w:val="bottom"/>
            <w:tcBorders>
              <w:right w:val="single" w:sz="8" w:color="008256"/>
            </w:tcBorders>
          </w:tcPr>
          <w:p>
            <w:pPr>
              <w:spacing w:after="0"/>
              <w:rPr>
                <w:sz w:val="6"/>
                <w:szCs w:val="6"/>
                <w:color w:val="auto"/>
              </w:rPr>
            </w:pPr>
          </w:p>
        </w:tc>
        <w:tc>
          <w:tcPr>
            <w:tcW w:w="1240" w:type="dxa"/>
            <w:vAlign w:val="bottom"/>
          </w:tcPr>
          <w:p>
            <w:pPr>
              <w:spacing w:after="0"/>
              <w:rPr>
                <w:sz w:val="6"/>
                <w:szCs w:val="6"/>
                <w:color w:val="auto"/>
              </w:rPr>
            </w:pPr>
          </w:p>
        </w:tc>
        <w:tc>
          <w:tcPr>
            <w:tcW w:w="320" w:type="dxa"/>
            <w:vAlign w:val="bottom"/>
            <w:tcBorders>
              <w:right w:val="single" w:sz="8" w:color="008256"/>
            </w:tcBorders>
          </w:tcPr>
          <w:p>
            <w:pPr>
              <w:spacing w:after="0"/>
              <w:rPr>
                <w:sz w:val="6"/>
                <w:szCs w:val="6"/>
                <w:color w:val="auto"/>
              </w:rPr>
            </w:pPr>
          </w:p>
        </w:tc>
        <w:tc>
          <w:tcPr>
            <w:tcW w:w="1560" w:type="dxa"/>
            <w:vAlign w:val="bottom"/>
            <w:tcBorders>
              <w:right w:val="single" w:sz="8" w:color="008256"/>
            </w:tcBorders>
          </w:tcPr>
          <w:p>
            <w:pPr>
              <w:spacing w:after="0"/>
              <w:rPr>
                <w:sz w:val="6"/>
                <w:szCs w:val="6"/>
                <w:color w:val="auto"/>
              </w:rPr>
            </w:pPr>
          </w:p>
        </w:tc>
        <w:tc>
          <w:tcPr>
            <w:tcW w:w="1540" w:type="dxa"/>
            <w:vAlign w:val="bottom"/>
          </w:tcPr>
          <w:p>
            <w:pPr>
              <w:spacing w:after="0"/>
              <w:rPr>
                <w:sz w:val="6"/>
                <w:szCs w:val="6"/>
                <w:color w:val="auto"/>
              </w:rPr>
            </w:pPr>
          </w:p>
        </w:tc>
      </w:tr>
    </w:tbl>
    <w:p>
      <w:pPr>
        <w:spacing w:after="0" w:line="223" w:lineRule="exact"/>
        <w:rPr>
          <w:sz w:val="20"/>
          <w:szCs w:val="20"/>
          <w:color w:val="auto"/>
        </w:rPr>
      </w:pPr>
    </w:p>
    <w:p>
      <w:pPr>
        <w:spacing w:after="0"/>
        <w:rPr>
          <w:sz w:val="20"/>
          <w:szCs w:val="20"/>
          <w:color w:val="auto"/>
        </w:rPr>
      </w:pPr>
      <w:r>
        <w:rPr>
          <w:rFonts w:ascii="Arial" w:cs="Arial" w:eastAsia="Arial" w:hAnsi="Arial"/>
          <w:sz w:val="13"/>
          <w:szCs w:val="13"/>
          <w:color w:val="auto"/>
        </w:rPr>
        <w:t>Although the advisory vote in Proposal No. 2 is not binding, our Board and the Audit Committee will take your vote into consideration in determining future activities.</w:t>
      </w:r>
    </w:p>
    <w:p>
      <w:pPr>
        <w:spacing w:after="0" w:line="201" w:lineRule="exact"/>
        <w:rPr>
          <w:sz w:val="20"/>
          <w:szCs w:val="20"/>
          <w:color w:val="auto"/>
        </w:rPr>
      </w:pPr>
    </w:p>
    <w:p>
      <w:pPr>
        <w:ind w:right="560"/>
        <w:spacing w:after="0" w:line="261" w:lineRule="auto"/>
        <w:rPr>
          <w:sz w:val="20"/>
          <w:szCs w:val="20"/>
          <w:color w:val="auto"/>
        </w:rPr>
      </w:pPr>
      <w:r>
        <w:rPr>
          <w:rFonts w:ascii="Arial" w:cs="Arial" w:eastAsia="Arial" w:hAnsi="Arial"/>
          <w:sz w:val="13"/>
          <w:szCs w:val="13"/>
          <w:color w:val="auto"/>
        </w:rPr>
        <w:t>The affirmative vote of the holders of at least 66 2/3% of the voting power of our shares of common stock outstanding as of the record date for the Annual Meeting is required to approve the Exculpation Proposal. Abstentions and broker non-votes will have the same effect as votes “against” this proposal. Accordingly, stockholders of record are urged to vote “for” the proposal, and beneficial owners of shares are urged to give their broker, bank, or other nominee instructions to vote their shares “for” the proposal.</w:t>
      </w:r>
    </w:p>
    <w:p>
      <w:pPr>
        <w:spacing w:after="0" w:line="138" w:lineRule="exact"/>
        <w:rPr>
          <w:sz w:val="20"/>
          <w:szCs w:val="20"/>
          <w:color w:val="auto"/>
        </w:rPr>
      </w:pPr>
    </w:p>
    <w:p>
      <w:pPr>
        <w:ind w:right="60"/>
        <w:spacing w:after="0" w:line="254" w:lineRule="auto"/>
        <w:rPr>
          <w:sz w:val="20"/>
          <w:szCs w:val="20"/>
          <w:color w:val="auto"/>
        </w:rPr>
      </w:pPr>
      <w:r>
        <w:rPr>
          <w:rFonts w:ascii="Arial" w:cs="Arial" w:eastAsia="Arial" w:hAnsi="Arial"/>
          <w:sz w:val="13"/>
          <w:szCs w:val="13"/>
          <w:color w:val="auto"/>
        </w:rPr>
        <w:t>If any other matter is properly submitted to the stockholders at the annual meeting, its approval generally will require the affirmative vote of the majority of the voting power of shares of stock present or represented by proxy and entitled to vote on the matter. As of the date of this proxy statement, our Board knows of no matter that will be presented for action by the stockholders at the annual meeting other than those discussed in this proxy statement. If any other matter requiring a vote of the stockholders properly comes before the annual meeting, the individuals acting under the proxies solicited by our Board will vote and act as our Board recommends or, if our Board gives no recommendation, according to their best judgments in light of the conditions then prevailing, to the extent permitted under applicable law.</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Why did I receive more than one set of voting materials?</w:t>
      </w:r>
    </w:p>
    <w:p>
      <w:pPr>
        <w:spacing w:after="0" w:line="181" w:lineRule="exact"/>
        <w:rPr>
          <w:sz w:val="20"/>
          <w:szCs w:val="20"/>
          <w:color w:val="auto"/>
        </w:rPr>
      </w:pPr>
    </w:p>
    <w:p>
      <w:pPr>
        <w:ind w:right="40"/>
        <w:spacing w:after="0" w:line="283" w:lineRule="auto"/>
        <w:rPr>
          <w:sz w:val="20"/>
          <w:szCs w:val="20"/>
          <w:color w:val="auto"/>
        </w:rPr>
      </w:pPr>
      <w:r>
        <w:rPr>
          <w:rFonts w:ascii="Arial" w:cs="Arial" w:eastAsia="Arial" w:hAnsi="Arial"/>
          <w:sz w:val="13"/>
          <w:szCs w:val="13"/>
          <w:color w:val="auto"/>
        </w:rPr>
        <w:t>If you receive more than one Notice of Internet Availability of Proxy Materials, proxy card or voting instruction card, it means that you have multiple accounts with banks, brokers, other nominees and/or our transfer agent. Please take action with respect to each Notice, proxy card and voting instruction card that you receive.</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Where can I find the voting results for the 2025 Annual Meeting?</w:t>
      </w:r>
    </w:p>
    <w:p>
      <w:pPr>
        <w:spacing w:after="0" w:line="192" w:lineRule="exact"/>
        <w:rPr>
          <w:sz w:val="20"/>
          <w:szCs w:val="20"/>
          <w:color w:val="auto"/>
        </w:rPr>
      </w:pPr>
    </w:p>
    <w:p>
      <w:pPr>
        <w:ind w:right="100"/>
        <w:spacing w:after="0" w:line="252" w:lineRule="auto"/>
        <w:rPr>
          <w:sz w:val="20"/>
          <w:szCs w:val="20"/>
          <w:color w:val="auto"/>
        </w:rPr>
      </w:pPr>
      <w:r>
        <w:rPr>
          <w:rFonts w:ascii="Arial" w:cs="Arial" w:eastAsia="Arial" w:hAnsi="Arial"/>
          <w:sz w:val="13"/>
          <w:szCs w:val="13"/>
          <w:color w:val="auto"/>
        </w:rPr>
        <w:t>The Inspector of Elections appointed at the Annual Meeting will tabulate the voting results. We intend to disclose the final voting results in a current report on Form 8-K within four business days of the Annual Meeting. To the extent final voting results are not then available, we will report preliminary voting results in a current report on Form 8-K within four business days of the Annual Meeting and report the final voting results in a current report on Form 8-K as soon as they are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186055</wp:posOffset>
            </wp:positionV>
            <wp:extent cx="7161530" cy="28956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1530" cy="28956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11080"/>
        <w:spacing w:after="0"/>
        <w:rPr>
          <w:sz w:val="20"/>
          <w:szCs w:val="20"/>
          <w:color w:val="auto"/>
        </w:rPr>
      </w:pPr>
      <w:r>
        <w:rPr>
          <w:rFonts w:ascii="Arial" w:cs="Arial" w:eastAsia="Arial" w:hAnsi="Arial"/>
          <w:sz w:val="13"/>
          <w:szCs w:val="13"/>
          <w:b w:val="1"/>
          <w:bCs w:val="1"/>
          <w:color w:val="auto"/>
        </w:rPr>
        <w:t>47</w:t>
      </w:r>
    </w:p>
    <w:p>
      <w:pPr>
        <w:sectPr>
          <w:pgSz w:w="11900" w:h="16838" w:orient="portrait"/>
          <w:cols w:equalWidth="0" w:num="1">
            <w:col w:w="11280"/>
          </w:cols>
          <w:pgMar w:left="300" w:top="171" w:right="319" w:bottom="1440" w:gutter="0" w:footer="0" w:header="0"/>
        </w:sectPr>
      </w:pPr>
    </w:p>
    <w:bookmarkStart w:id="52" w:name="page53"/>
    <w:bookmarkEnd w:id="52"/>
    <w:p>
      <w:pPr>
        <w:ind w:left="300"/>
        <w:spacing w:after="0"/>
        <w:rPr>
          <w:sz w:val="20"/>
          <w:szCs w:val="20"/>
          <w:color w:val="auto"/>
        </w:rPr>
      </w:pPr>
      <w:r>
        <w:rPr>
          <w:rFonts w:ascii="Arial" w:cs="Arial" w:eastAsia="Arial" w:hAnsi="Arial"/>
          <w:sz w:val="13"/>
          <w:szCs w:val="13"/>
          <w:b w:val="1"/>
          <w:bCs w:val="1"/>
          <w:color w:val="00482F"/>
        </w:rPr>
        <w:drawing>
          <wp:anchor simplePos="0" relativeHeight="251657728" behindDoc="1" locked="0" layoutInCell="0" allowOverlap="1">
            <wp:simplePos x="0" y="0"/>
            <wp:positionH relativeFrom="page">
              <wp:posOffset>328295</wp:posOffset>
            </wp:positionH>
            <wp:positionV relativeFrom="page">
              <wp:posOffset>102235</wp:posOffset>
            </wp:positionV>
            <wp:extent cx="3321685" cy="2495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21685" cy="249555"/>
                    </a:xfrm>
                    <a:prstGeom prst="rect">
                      <a:avLst/>
                    </a:prstGeom>
                    <a:noFill/>
                  </pic:spPr>
                </pic:pic>
              </a:graphicData>
            </a:graphic>
          </wp:anchor>
        </w:drawing>
        <w:t>QUESTIONS AND ANSWERS ABOUT THE PROXY MATERIALS AND 2025 ANNUAL</w:t>
      </w:r>
    </w:p>
    <w:p>
      <w:pPr>
        <w:spacing w:after="0" w:line="11" w:lineRule="exact"/>
        <w:rPr>
          <w:sz w:val="20"/>
          <w:szCs w:val="20"/>
          <w:color w:val="auto"/>
        </w:rPr>
      </w:pPr>
    </w:p>
    <w:p>
      <w:pPr>
        <w:ind w:left="300"/>
        <w:spacing w:after="0"/>
        <w:rPr>
          <w:sz w:val="20"/>
          <w:szCs w:val="20"/>
          <w:color w:val="auto"/>
        </w:rPr>
      </w:pPr>
      <w:r>
        <w:rPr>
          <w:rFonts w:ascii="Arial" w:cs="Arial" w:eastAsia="Arial" w:hAnsi="Arial"/>
          <w:sz w:val="13"/>
          <w:szCs w:val="13"/>
          <w:b w:val="1"/>
          <w:bCs w:val="1"/>
          <w:color w:val="00482F"/>
        </w:rPr>
        <w:t>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Has The Company Taken Steps to Eliminate the Receipt of Duplicative Proxy Materials?</w:t>
      </w:r>
    </w:p>
    <w:p>
      <w:pPr>
        <w:spacing w:after="0" w:line="181" w:lineRule="exact"/>
        <w:rPr>
          <w:sz w:val="20"/>
          <w:szCs w:val="20"/>
          <w:color w:val="auto"/>
        </w:rPr>
      </w:pPr>
    </w:p>
    <w:p>
      <w:pPr>
        <w:spacing w:after="0"/>
        <w:rPr>
          <w:sz w:val="20"/>
          <w:szCs w:val="20"/>
          <w:color w:val="auto"/>
        </w:rPr>
      </w:pPr>
      <w:r>
        <w:rPr>
          <w:rFonts w:ascii="Arial" w:cs="Arial" w:eastAsia="Arial" w:hAnsi="Arial"/>
          <w:sz w:val="13"/>
          <w:szCs w:val="13"/>
          <w:color w:val="auto"/>
        </w:rPr>
        <w:t>In order to reduce expenses, we are taking advantage of certain SEC rules, commonly known as “householding,” that permit us to send: (i) a single annual report and/or a single proxy statement or</w:t>
      </w:r>
    </w:p>
    <w:p>
      <w:pPr>
        <w:spacing w:after="0" w:line="18" w:lineRule="exact"/>
        <w:rPr>
          <w:sz w:val="20"/>
          <w:szCs w:val="20"/>
          <w:color w:val="auto"/>
        </w:rPr>
      </w:pPr>
    </w:p>
    <w:p>
      <w:pPr>
        <w:ind w:right="260" w:firstLine="5"/>
        <w:spacing w:after="0" w:line="254" w:lineRule="auto"/>
        <w:tabs>
          <w:tab w:leader="none" w:pos="177" w:val="left"/>
        </w:tabs>
        <w:numPr>
          <w:ilvl w:val="0"/>
          <w:numId w:val="33"/>
        </w:numPr>
        <w:rPr>
          <w:rFonts w:ascii="Arial" w:cs="Arial" w:eastAsia="Arial" w:hAnsi="Arial"/>
          <w:sz w:val="13"/>
          <w:szCs w:val="13"/>
          <w:color w:val="auto"/>
        </w:rPr>
      </w:pPr>
      <w:r>
        <w:rPr>
          <w:rFonts w:ascii="Arial" w:cs="Arial" w:eastAsia="Arial" w:hAnsi="Arial"/>
          <w:sz w:val="13"/>
          <w:szCs w:val="13"/>
          <w:color w:val="auto"/>
        </w:rPr>
        <w:t>a single Notice of Internet Availability of Proxy Materials to multiple stockholders of record who share an address, unless we have received contrary instructions from one or more of the stockholders. A stockholder of record at a shared address may request additional copies of the annual report, proxy statement or Notice of Internet Availability of Proxy Materials: (1) online through www.investorelections.com/NRDS; (2) via email at paper@investorelections.com or (3) by phone at (866) 648-8133.</w:t>
      </w:r>
    </w:p>
    <w:p>
      <w:pPr>
        <w:spacing w:after="0" w:line="143" w:lineRule="exact"/>
        <w:rPr>
          <w:sz w:val="20"/>
          <w:szCs w:val="20"/>
          <w:color w:val="auto"/>
        </w:rPr>
      </w:pPr>
    </w:p>
    <w:p>
      <w:pPr>
        <w:spacing w:after="0"/>
        <w:rPr>
          <w:sz w:val="20"/>
          <w:szCs w:val="20"/>
          <w:color w:val="auto"/>
        </w:rPr>
      </w:pPr>
      <w:r>
        <w:rPr>
          <w:rFonts w:ascii="Arial" w:cs="Arial" w:eastAsia="Arial" w:hAnsi="Arial"/>
          <w:sz w:val="13"/>
          <w:szCs w:val="13"/>
          <w:color w:val="auto"/>
        </w:rPr>
        <w:t>If you are a beneficial owner, you may revoke your consent to householding by notifying your broker, bank or other nominee.</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Will A List of Company Stockholders Be Available to Inspect?</w:t>
      </w:r>
    </w:p>
    <w:p>
      <w:pPr>
        <w:spacing w:after="0" w:line="192" w:lineRule="exact"/>
        <w:rPr>
          <w:sz w:val="20"/>
          <w:szCs w:val="20"/>
          <w:color w:val="auto"/>
        </w:rPr>
      </w:pPr>
    </w:p>
    <w:p>
      <w:pPr>
        <w:ind w:right="200"/>
        <w:spacing w:after="0" w:line="261" w:lineRule="auto"/>
        <w:rPr>
          <w:sz w:val="20"/>
          <w:szCs w:val="20"/>
          <w:color w:val="auto"/>
        </w:rPr>
      </w:pPr>
      <w:r>
        <w:rPr>
          <w:rFonts w:ascii="Arial" w:cs="Arial" w:eastAsia="Arial" w:hAnsi="Arial"/>
          <w:sz w:val="13"/>
          <w:szCs w:val="13"/>
          <w:color w:val="auto"/>
        </w:rPr>
        <w:t xml:space="preserve">A list of stockholders of record entitled to vote at the Annual Meeting will be available for inspection by any stockholder, for any purpose germane to the meeting, during normal business hours, for a period of 10 days prior to and including the date of the Annual Meeting, at our Arizona office located at 4150 N. Drinkwater Blvd., Suite 200, Scottsdale, Arizona 85251. A stockholder may make arrangements to view the stockholder list during this period by email request to our Corporate Secretary at </w:t>
      </w:r>
      <w:r>
        <w:rPr>
          <w:rFonts w:ascii="Arial" w:cs="Arial" w:eastAsia="Arial" w:hAnsi="Arial"/>
          <w:sz w:val="13"/>
          <w:szCs w:val="13"/>
          <w:u w:val="single" w:color="auto"/>
          <w:color w:val="auto"/>
        </w:rPr>
        <w:t>generalcounsel@nerdwallet.com</w:t>
      </w:r>
      <w:r>
        <w:rPr>
          <w:rFonts w:ascii="Arial" w:cs="Arial" w:eastAsia="Arial" w:hAnsi="Arial"/>
          <w:sz w:val="13"/>
          <w:szCs w:val="13"/>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Who Should I Call If I Have Any Questions?</w:t>
      </w:r>
    </w:p>
    <w:p>
      <w:pPr>
        <w:spacing w:after="0" w:line="181" w:lineRule="exact"/>
        <w:rPr>
          <w:sz w:val="20"/>
          <w:szCs w:val="20"/>
          <w:color w:val="auto"/>
        </w:rPr>
      </w:pPr>
    </w:p>
    <w:p>
      <w:pPr>
        <w:spacing w:after="0" w:line="261" w:lineRule="auto"/>
        <w:rPr>
          <w:sz w:val="20"/>
          <w:szCs w:val="20"/>
          <w:color w:val="auto"/>
        </w:rPr>
      </w:pPr>
      <w:r>
        <w:rPr>
          <w:rFonts w:ascii="Arial" w:cs="Arial" w:eastAsia="Arial" w:hAnsi="Arial"/>
          <w:sz w:val="13"/>
          <w:szCs w:val="13"/>
          <w:color w:val="auto"/>
        </w:rPr>
        <w:t xml:space="preserve">If you have any questions about the Annual Meeting, please contact our Chief Legal Officer and Corporate Secretary by email at </w:t>
      </w:r>
      <w:r>
        <w:rPr>
          <w:rFonts w:ascii="Arial" w:cs="Arial" w:eastAsia="Arial" w:hAnsi="Arial"/>
          <w:sz w:val="13"/>
          <w:szCs w:val="13"/>
          <w:u w:val="single" w:color="auto"/>
          <w:color w:val="auto"/>
        </w:rPr>
        <w:t>generalcounsel@nerdwallet.com</w:t>
      </w:r>
      <w:r>
        <w:rPr>
          <w:rFonts w:ascii="Arial" w:cs="Arial" w:eastAsia="Arial" w:hAnsi="Arial"/>
          <w:sz w:val="13"/>
          <w:szCs w:val="13"/>
          <w:color w:val="auto"/>
        </w:rPr>
        <w:t>. If you have any questions about your ownership of our common stock, please contact our transfer agent, Broadridge, via email at shareholder@broadridge.com, by telephone at +1 (844) 998-0339 or visit shareholder.broadridge.com, or contact your broker, bank or other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303530</wp:posOffset>
            </wp:positionV>
            <wp:extent cx="7161530" cy="28956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61530" cy="289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 xml:space="preserve">48 </w:t>
      </w:r>
      <w:r>
        <w:rPr>
          <w:rFonts w:ascii="Arial" w:cs="Arial" w:eastAsia="Arial" w:hAnsi="Arial"/>
          <w:sz w:val="13"/>
          <w:szCs w:val="13"/>
          <w:color w:val="auto"/>
        </w:rPr>
        <w:t>PROXY STATEMENT 2025</w:t>
      </w:r>
    </w:p>
    <w:p>
      <w:pPr>
        <w:sectPr>
          <w:pgSz w:w="11900" w:h="16838" w:orient="portrait"/>
          <w:cols w:equalWidth="0" w:num="1">
            <w:col w:w="11260"/>
          </w:cols>
          <w:pgMar w:left="300" w:top="171" w:right="339" w:bottom="1440" w:gutter="0" w:footer="0" w:header="0"/>
        </w:sectPr>
      </w:pPr>
    </w:p>
    <w:bookmarkStart w:id="53" w:name="page54"/>
    <w:bookmarkEnd w:id="53"/>
    <w:p>
      <w:pPr>
        <w:ind w:left="8120"/>
        <w:spacing w:after="0"/>
        <w:rPr>
          <w:sz w:val="20"/>
          <w:szCs w:val="20"/>
          <w:color w:val="auto"/>
        </w:rPr>
      </w:pPr>
      <w:r>
        <w:rPr>
          <w:rFonts w:ascii="Arial" w:cs="Arial" w:eastAsia="Arial" w:hAnsi="Arial"/>
          <w:sz w:val="13"/>
          <w:szCs w:val="13"/>
          <w:b w:val="1"/>
          <w:bCs w:val="1"/>
          <w:color w:val="00482F"/>
        </w:rPr>
        <w:drawing>
          <wp:anchor simplePos="0" relativeHeight="251657728" behindDoc="1" locked="0" layoutInCell="0" allowOverlap="1">
            <wp:simplePos x="0" y="0"/>
            <wp:positionH relativeFrom="page">
              <wp:posOffset>5293995</wp:posOffset>
            </wp:positionH>
            <wp:positionV relativeFrom="page">
              <wp:posOffset>102235</wp:posOffset>
            </wp:positionV>
            <wp:extent cx="1933575" cy="1479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933575" cy="147955"/>
                    </a:xfrm>
                    <a:prstGeom prst="rect">
                      <a:avLst/>
                    </a:prstGeom>
                    <a:noFill/>
                  </pic:spPr>
                </pic:pic>
              </a:graphicData>
            </a:graphic>
          </wp:anchor>
        </w:drawing>
        <w:t>OTHER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34"/>
          <w:szCs w:val="34"/>
          <w:b w:val="1"/>
          <w:bCs w:val="1"/>
          <w:color w:val="auto"/>
        </w:rPr>
        <w:t>Other Matters</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Presentation of Stockholder Proposals and Nominations at 2026 Annual Meeting</w:t>
      </w:r>
    </w:p>
    <w:p>
      <w:pPr>
        <w:spacing w:after="0" w:line="192" w:lineRule="exact"/>
        <w:rPr>
          <w:sz w:val="20"/>
          <w:szCs w:val="20"/>
          <w:color w:val="auto"/>
        </w:rPr>
      </w:pPr>
    </w:p>
    <w:p>
      <w:pPr>
        <w:ind w:right="80"/>
        <w:spacing w:after="0" w:line="275" w:lineRule="auto"/>
        <w:rPr>
          <w:sz w:val="20"/>
          <w:szCs w:val="20"/>
          <w:color w:val="auto"/>
        </w:rPr>
      </w:pPr>
      <w:r>
        <w:rPr>
          <w:rFonts w:ascii="Arial" w:cs="Arial" w:eastAsia="Arial" w:hAnsi="Arial"/>
          <w:sz w:val="12"/>
          <w:szCs w:val="12"/>
          <w:color w:val="auto"/>
        </w:rPr>
        <w:t>Stockholders who wish to nominate persons for election to our Board or propose other matters to be considered at our 2026 annual meeting of stockholders (other than Rule 14a-8 stockholder proposals, discussed below) must provide us advance notice of the director nomination or stockholder proposal, as well as the information specified in our Amended and Restated Bylaws. This notice must be received by the Company’s Secretary at our Arizona office located at 4150 N. Drinkwater Blvd., Suite 200, Scottsdale, Arizona 85251 no earlier than January 21, 2026 and no later than February 20, 2026. Stockholders are advised to review our Amended and Restated Bylaws, which contain the requirements for advance notice of director nominations and stockholder proposals. In addition to satisfying the requirements under our Amended and Restated Bylaws, stockholders who intend to solicit proxies in support of director nominees other than the Company’s nominees must provide notice that sets forth the information required by Rule 14a-19 under the Exchange Act to the Company’s Secretary at the Company’s Arizona office no later than March 22, 2026.</w:t>
      </w:r>
    </w:p>
    <w:p>
      <w:pPr>
        <w:spacing w:after="0" w:line="134" w:lineRule="exact"/>
        <w:rPr>
          <w:sz w:val="20"/>
          <w:szCs w:val="20"/>
          <w:color w:val="auto"/>
        </w:rPr>
      </w:pPr>
    </w:p>
    <w:p>
      <w:pPr>
        <w:ind w:right="40"/>
        <w:spacing w:after="0" w:line="254" w:lineRule="auto"/>
        <w:rPr>
          <w:sz w:val="20"/>
          <w:szCs w:val="20"/>
          <w:color w:val="auto"/>
        </w:rPr>
      </w:pPr>
      <w:r>
        <w:rPr>
          <w:rFonts w:ascii="Arial" w:cs="Arial" w:eastAsia="Arial" w:hAnsi="Arial"/>
          <w:sz w:val="13"/>
          <w:szCs w:val="13"/>
          <w:color w:val="auto"/>
        </w:rPr>
        <w:t>The requirements for advance notice of stockholder proposals under our Amended and Restated Bylaws do not apply to proposals properly submitted under Rule 14a-8 under the Exchange Act. The deadline for stockholders to submit proposals to be included in our proxy statement for our 2026 annual meeting of stockholders under Rule 14a-8 under the Exchange Act is December 22, 2025. However, if the date of the 2026 annual meeting of stockholders is changed by more than 30 days from the date of the previous year’s meeting, then the deadline is a reasonable time before we begin to print and send our proxy statement for the 2026 annual meeting of stockholders. Proposals by stockholders must comply with all requirements of applicable rules of the SEC, including Rule 14a-8, and be mailed to the Company’s Secretary at the Company’s Arizona office on a timely basis.</w:t>
      </w:r>
    </w:p>
    <w:p>
      <w:pPr>
        <w:spacing w:after="0" w:line="143" w:lineRule="exact"/>
        <w:rPr>
          <w:sz w:val="20"/>
          <w:szCs w:val="20"/>
          <w:color w:val="auto"/>
        </w:rPr>
      </w:pPr>
    </w:p>
    <w:p>
      <w:pPr>
        <w:ind w:right="300"/>
        <w:spacing w:after="0" w:line="266" w:lineRule="auto"/>
        <w:rPr>
          <w:sz w:val="20"/>
          <w:szCs w:val="20"/>
          <w:color w:val="auto"/>
        </w:rPr>
      </w:pPr>
      <w:r>
        <w:rPr>
          <w:rFonts w:ascii="Arial" w:cs="Arial" w:eastAsia="Arial" w:hAnsi="Arial"/>
          <w:sz w:val="13"/>
          <w:szCs w:val="13"/>
          <w:color w:val="auto"/>
        </w:rPr>
        <w:t>Submitting a stockholder proposal does not guarantee that we will include it in the Company’s proxy statement. We reserve the right to reject, rule out of order or take other appropriate action with respect to any director nomination or stockholder proposal that does not comply with our Amended and Restated Bylaws or Rule 14a-8, as applicable, and other applicable requirements.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Access to Reports and Other Information</w:t>
      </w:r>
    </w:p>
    <w:p>
      <w:pPr>
        <w:spacing w:after="0" w:line="181" w:lineRule="exact"/>
        <w:rPr>
          <w:sz w:val="20"/>
          <w:szCs w:val="20"/>
          <w:color w:val="auto"/>
        </w:rPr>
      </w:pPr>
    </w:p>
    <w:p>
      <w:pPr>
        <w:ind w:right="20"/>
        <w:spacing w:after="0" w:line="261" w:lineRule="auto"/>
        <w:rPr>
          <w:sz w:val="20"/>
          <w:szCs w:val="20"/>
          <w:color w:val="auto"/>
        </w:rPr>
      </w:pPr>
      <w:r>
        <w:rPr>
          <w:rFonts w:ascii="Arial" w:cs="Arial" w:eastAsia="Arial" w:hAnsi="Arial"/>
          <w:sz w:val="13"/>
          <w:szCs w:val="13"/>
          <w:color w:val="auto"/>
        </w:rPr>
        <w:t>Our annual report on Form 10-K, quarterly reports on Form 10-Q, current reports on Form 8-K, proxy statements and other documents filed or furnished pursuant to Section 13(a) or 15(d) of the Exchange Act are available on the SEC’s website at www.sec.gov. and may also be accessed on our website https://investors.nerdwallet.com/ as soon as reasonably practicable after we electronically file such material with, or furnish it to, the SEC.</w:t>
      </w:r>
    </w:p>
    <w:p>
      <w:pPr>
        <w:spacing w:after="0" w:line="138" w:lineRule="exact"/>
        <w:rPr>
          <w:sz w:val="20"/>
          <w:szCs w:val="20"/>
          <w:color w:val="auto"/>
        </w:rPr>
      </w:pPr>
    </w:p>
    <w:p>
      <w:pPr>
        <w:ind w:right="40"/>
        <w:spacing w:after="0" w:line="283" w:lineRule="auto"/>
        <w:rPr>
          <w:sz w:val="20"/>
          <w:szCs w:val="20"/>
          <w:color w:val="auto"/>
        </w:rPr>
      </w:pPr>
      <w:r>
        <w:rPr>
          <w:rFonts w:ascii="Arial" w:cs="Arial" w:eastAsia="Arial" w:hAnsi="Arial"/>
          <w:sz w:val="13"/>
          <w:szCs w:val="13"/>
          <w:color w:val="auto"/>
        </w:rPr>
        <w:t>Our Corporate Governance Guidelines, Code of Business Conduct and Board committee charters are also available on our website. Our website or the websites of other third parties noted herein and the information contained on, or that can be accessed through, such websites will not be deemed to be incorporated by reference in, and are not considered part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173355</wp:posOffset>
            </wp:positionV>
            <wp:extent cx="7161530" cy="28956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61530" cy="289560"/>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Arial" w:cs="Arial" w:eastAsia="Arial" w:hAnsi="Arial"/>
          <w:sz w:val="13"/>
          <w:szCs w:val="13"/>
          <w:b w:val="1"/>
          <w:bCs w:val="1"/>
          <w:color w:val="auto"/>
        </w:rPr>
        <w:t>49</w:t>
      </w:r>
    </w:p>
    <w:p>
      <w:pPr>
        <w:sectPr>
          <w:pgSz w:w="11900" w:h="16838" w:orient="portrait"/>
          <w:cols w:equalWidth="0" w:num="1">
            <w:col w:w="11240"/>
          </w:cols>
          <w:pgMar w:left="300" w:top="171" w:right="359" w:bottom="1440" w:gutter="0" w:footer="0" w:header="0"/>
        </w:sectPr>
      </w:pPr>
    </w:p>
    <w:bookmarkStart w:id="54" w:name="page55"/>
    <w:bookmarkEnd w:id="54"/>
    <w:p>
      <w:pPr>
        <w:ind w:left="300"/>
        <w:spacing w:after="0"/>
        <w:rPr>
          <w:sz w:val="20"/>
          <w:szCs w:val="20"/>
          <w:color w:val="auto"/>
        </w:rPr>
      </w:pPr>
      <w:r>
        <w:rPr>
          <w:rFonts w:ascii="Arial" w:cs="Arial" w:eastAsia="Arial" w:hAnsi="Arial"/>
          <w:sz w:val="13"/>
          <w:szCs w:val="13"/>
          <w:b w:val="1"/>
          <w:bCs w:val="1"/>
          <w:color w:val="00482F"/>
        </w:rPr>
        <w:drawing>
          <wp:anchor simplePos="0" relativeHeight="251657728" behindDoc="1" locked="0" layoutInCell="0" allowOverlap="1">
            <wp:simplePos x="0" y="0"/>
            <wp:positionH relativeFrom="page">
              <wp:posOffset>328295</wp:posOffset>
            </wp:positionH>
            <wp:positionV relativeFrom="page">
              <wp:posOffset>102235</wp:posOffset>
            </wp:positionV>
            <wp:extent cx="1933575" cy="147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933575" cy="147955"/>
                    </a:xfrm>
                    <a:prstGeom prst="rect">
                      <a:avLst/>
                    </a:prstGeom>
                    <a:noFill/>
                  </pic:spPr>
                </pic:pic>
              </a:graphicData>
            </a:graphic>
          </wp:anchor>
        </w:drawing>
        <w:t>OTHER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3"/>
          <w:szCs w:val="13"/>
          <w:color w:val="auto"/>
        </w:rPr>
        <w:t>This proxy statement contains forward-looking statements, which involve risks and uncertainties. These forward-looking statements are generally identified by the use of forward-looking terminology, including the terms “anticipate,” “believe,” “could,” “estimate,” “expect,” “intend,” “may,” “plan,” “potential,” “predict,” “project,” “should,” “target,” “will,” “would” and, in each case, their negative or other various or comparable terminology. All statements other than statements of historical facts contained in this proxy statement, including statements regarding our strategy, prospects, plans, metrics for 2025 and objectives of management are forward-looking statements.</w:t>
      </w:r>
    </w:p>
    <w:p>
      <w:pPr>
        <w:spacing w:after="0" w:line="140" w:lineRule="exact"/>
        <w:rPr>
          <w:sz w:val="20"/>
          <w:szCs w:val="20"/>
          <w:color w:val="auto"/>
        </w:rPr>
      </w:pPr>
    </w:p>
    <w:p>
      <w:pPr>
        <w:ind w:right="20"/>
        <w:spacing w:after="0" w:line="253" w:lineRule="auto"/>
        <w:rPr>
          <w:sz w:val="20"/>
          <w:szCs w:val="20"/>
          <w:color w:val="auto"/>
        </w:rPr>
      </w:pPr>
      <w:r>
        <w:rPr>
          <w:rFonts w:ascii="Arial" w:cs="Arial" w:eastAsia="Arial" w:hAnsi="Arial"/>
          <w:sz w:val="13"/>
          <w:szCs w:val="13"/>
          <w:color w:val="auto"/>
        </w:rPr>
        <w:t>As you read this proxy statement, you should understand that these statements are not guarantees of performance or results. They involve known and unknown risks, uncertainties and assumptions, including those described under the heading “Item 1A. Risk Factors” in our annual report on Form 10-K and subsequent reports that we file with the SEC. Although we believe that these forward-looking statements are based upon reasonable assumptions, you should be aware that many factors could affect our actual financial results or results of operations and could cause actual results to differ materially from those in the forward-looking statements.</w:t>
      </w:r>
    </w:p>
    <w:p>
      <w:pPr>
        <w:spacing w:after="0" w:line="155" w:lineRule="exact"/>
        <w:rPr>
          <w:sz w:val="20"/>
          <w:szCs w:val="20"/>
          <w:color w:val="auto"/>
        </w:rPr>
      </w:pPr>
    </w:p>
    <w:p>
      <w:pPr>
        <w:jc w:val="both"/>
        <w:ind w:right="40"/>
        <w:spacing w:after="0" w:line="283" w:lineRule="auto"/>
        <w:rPr>
          <w:sz w:val="20"/>
          <w:szCs w:val="20"/>
          <w:color w:val="auto"/>
        </w:rPr>
      </w:pPr>
      <w:r>
        <w:rPr>
          <w:rFonts w:ascii="Arial" w:cs="Arial" w:eastAsia="Arial" w:hAnsi="Arial"/>
          <w:sz w:val="12"/>
          <w:szCs w:val="12"/>
          <w:color w:val="auto"/>
        </w:rPr>
        <w:t>Our forward-looking statements made herein are made only as of the date of this proxy statement. We expressly disclaim any intent, obligation or undertaking to update or revise any forward-looking statements made herein to reflect any change in our expectations with regard thereto or any change in events, conditions or circumstances on which any such statements are based. All subsequent written and oral forward-looking statements attributable to us or persons acting on our behalf are expressly qualified in their entirety by the cautionary statements contained in this proxy statement.</w:t>
      </w:r>
    </w:p>
    <w:p>
      <w:pPr>
        <w:spacing w:after="0" w:line="138" w:lineRule="exact"/>
        <w:rPr>
          <w:sz w:val="20"/>
          <w:szCs w:val="20"/>
          <w:color w:val="auto"/>
        </w:rPr>
      </w:pPr>
    </w:p>
    <w:p>
      <w:pPr>
        <w:spacing w:after="0"/>
        <w:rPr>
          <w:sz w:val="20"/>
          <w:szCs w:val="20"/>
          <w:color w:val="auto"/>
        </w:rPr>
      </w:pPr>
      <w:r>
        <w:rPr>
          <w:rFonts w:ascii="Arial" w:cs="Arial" w:eastAsia="Arial" w:hAnsi="Arial"/>
          <w:sz w:val="13"/>
          <w:szCs w:val="13"/>
          <w:color w:val="auto"/>
        </w:rPr>
        <w:t>Your cooperation in giving this matter your immediate attention and in voting your proxies promptly is appreciated.</w:t>
      </w:r>
    </w:p>
    <w:p>
      <w:pPr>
        <w:spacing w:after="0" w:line="169" w:lineRule="exact"/>
        <w:rPr>
          <w:sz w:val="20"/>
          <w:szCs w:val="20"/>
          <w:color w:val="auto"/>
        </w:rPr>
      </w:pPr>
    </w:p>
    <w:p>
      <w:pPr>
        <w:spacing w:after="0"/>
        <w:rPr>
          <w:sz w:val="20"/>
          <w:szCs w:val="20"/>
          <w:color w:val="auto"/>
        </w:rPr>
      </w:pPr>
      <w:r>
        <w:rPr>
          <w:rFonts w:ascii="Arial" w:cs="Arial" w:eastAsia="Arial" w:hAnsi="Arial"/>
          <w:sz w:val="13"/>
          <w:szCs w:val="13"/>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59690</wp:posOffset>
            </wp:positionV>
            <wp:extent cx="1320800" cy="20891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320800" cy="208915"/>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EKUMENE M. LYSONGE</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Chief Legal Officer and Corporate Secretary</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April 14,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443865</wp:posOffset>
            </wp:positionV>
            <wp:extent cx="7161530" cy="28956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1530" cy="289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 xml:space="preserve">50 </w:t>
      </w:r>
      <w:r>
        <w:rPr>
          <w:rFonts w:ascii="Arial" w:cs="Arial" w:eastAsia="Arial" w:hAnsi="Arial"/>
          <w:sz w:val="13"/>
          <w:szCs w:val="13"/>
          <w:color w:val="auto"/>
        </w:rPr>
        <w:t>PROXY STATEMENT 2025</w:t>
      </w:r>
    </w:p>
    <w:p>
      <w:pPr>
        <w:sectPr>
          <w:pgSz w:w="11900" w:h="16838" w:orient="portrait"/>
          <w:cols w:equalWidth="0" w:num="1">
            <w:col w:w="11140"/>
          </w:cols>
          <w:pgMar w:left="300" w:top="171" w:right="459" w:bottom="1440"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58" w:name="page59"/>
    <w:bookmarkEnd w:id="5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25E45D32"/>
    <w:multiLevelType w:val="hybridMultilevel"/>
    <w:lvl w:ilvl="0">
      <w:lvlJc w:val="left"/>
      <w:lvlText w:val="o"/>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o"/>
      <w:numFmt w:val="bullet"/>
      <w:start w:val="1"/>
    </w:lvl>
  </w:abstractNum>
  <w:abstractNum w:abstractNumId="4">
    <w:nsid w:val="7C83E458"/>
    <w:multiLevelType w:val="hybridMultilevel"/>
    <w:lvl w:ilvl="0">
      <w:lvlJc w:val="left"/>
      <w:lvlText w:val="%1."/>
      <w:numFmt w:val="decimal"/>
      <w:start w:val="1"/>
    </w:lvl>
  </w:abstractNum>
  <w:abstractNum w:abstractNumId="5">
    <w:nsid w:val="257130A3"/>
    <w:multiLevelType w:val="hybridMultilevel"/>
    <w:lvl w:ilvl="0">
      <w:lvlJc w:val="left"/>
      <w:lvlText w:val="(%1)"/>
      <w:numFmt w:val="decimal"/>
      <w:start w:val="2"/>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1)"/>
      <w:numFmt w:val="decimal"/>
      <w:start w:val="2"/>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1)"/>
      <w:numFmt w:val="decimal"/>
      <w:start w:val="844"/>
    </w:lvl>
  </w:abstractNum>
  <w:abstractNum w:abstractNumId="19">
    <w:nsid w:val="189A769B"/>
    <w:multiLevelType w:val="hybridMultilevel"/>
    <w:lvl w:ilvl="0">
      <w:lvlJc w:val="left"/>
      <w:lvlText w:val="(%1)"/>
      <w:numFmt w:val="decimal"/>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1)"/>
      <w:numFmt w:val="decimal"/>
      <w:start w:val="1"/>
    </w:lvl>
  </w:abstractNum>
  <w:abstractNum w:abstractNumId="22">
    <w:nsid w:val="2CA88611"/>
    <w:multiLevelType w:val="hybridMultilevel"/>
    <w:lvl w:ilvl="0">
      <w:lvlJc w:val="left"/>
      <w:lvlText w:val="(%1)"/>
      <w:numFmt w:val="decimal"/>
      <w:start w:val="1"/>
    </w:lvl>
    <w:lvl w:ilvl="1">
      <w:lvlJc w:val="left"/>
      <w:lvlText w:val="•"/>
      <w:numFmt w:val="bullet"/>
      <w:start w:val="1"/>
    </w:lvl>
  </w:abstractNum>
  <w:abstractNum w:abstractNumId="23">
    <w:nsid w:val="836C40E"/>
    <w:multiLevelType w:val="hybridMultilevel"/>
    <w:lvl w:ilvl="0">
      <w:lvlJc w:val="left"/>
      <w:lvlText w:val="(%1)"/>
      <w:numFmt w:val="upperLetter"/>
      <w:start w:val="1"/>
    </w:lvl>
  </w:abstractNum>
  <w:abstractNum w:abstractNumId="24">
    <w:nsid w:val="2901D82"/>
    <w:multiLevelType w:val="hybridMultilevel"/>
    <w:lvl w:ilvl="0">
      <w:lvlJc w:val="left"/>
      <w:lvlText w:val="(%1)"/>
      <w:numFmt w:val="decimal"/>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1)"/>
      <w:numFmt w:val="decimal"/>
      <w:start w:val="1"/>
    </w:lvl>
  </w:abstractNum>
  <w:abstractNum w:abstractNumId="27">
    <w:nsid w:val="1E7FF521"/>
    <w:multiLevelType w:val="hybridMultilevel"/>
    <w:lvl w:ilvl="0">
      <w:lvlJc w:val="left"/>
      <w:lvlText w:val="(%1)"/>
      <w:numFmt w:val="decimal"/>
      <w:start w:val="9"/>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decimal"/>
      <w:start w:val="1"/>
    </w:lvl>
  </w:abstractNum>
  <w:abstractNum w:abstractNumId="30">
    <w:nsid w:val="6CEAF087"/>
    <w:multiLevelType w:val="hybridMultilevel"/>
    <w:lvl w:ilvl="0">
      <w:lvlJc w:val="left"/>
      <w:lvlText w:val="•"/>
      <w:numFmt w:val="bullet"/>
      <w:start w:val="1"/>
    </w:lvl>
  </w:abstractNum>
  <w:abstractNum w:abstractNumId="31">
    <w:nsid w:val="22221A70"/>
    <w:multiLevelType w:val="hybridMultilevel"/>
    <w:lvl w:ilvl="0">
      <w:lvlJc w:val="left"/>
      <w:lvlText w:val="•"/>
      <w:numFmt w:val="bullet"/>
      <w:start w:val="1"/>
    </w:lvl>
  </w:abstractNum>
  <w:abstractNum w:abstractNumId="32">
    <w:nsid w:val="4516DDE9"/>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jpe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2025-04-14T16:09:09Z</dcterms:created>
  <dcterms:modified xsi:type="dcterms:W3CDTF">2025-04-14T16:09:09Z</dcterms:modified>
</cp:coreProperties>
</file>