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3"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ectPr>
          <w:pgSz w:w="11900" w:h="16838" w:orient="portrait"/>
          <w:cols w:equalWidth="0" w:num="1">
            <w:col w:w="11240"/>
          </w:cols>
          <w:pgMar w:left="320" w:top="1380" w:right="339" w:bottom="1440" w:gutter="0" w:footer="0" w:header="0"/>
        </w:sectPr>
      </w:pPr>
    </w:p>
    <w:p>
      <w:pPr>
        <w:spacing w:after="0" w:line="37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67" w:lineRule="exact"/>
        <w:rPr>
          <w:sz w:val="24"/>
          <w:szCs w:val="24"/>
          <w:color w:val="auto"/>
        </w:rPr>
      </w:pPr>
    </w:p>
    <w:p>
      <w:pPr>
        <w:sectPr>
          <w:pgSz w:w="11900" w:h="16838" w:orient="portrait"/>
          <w:cols w:equalWidth="0" w:num="2">
            <w:col w:w="180" w:space="400"/>
            <w:col w:w="10660"/>
          </w:cols>
          <w:pgMar w:left="320" w:top="1380" w:right="339"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9"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804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760"/>
        <w:spacing w:after="0"/>
        <w:tabs>
          <w:tab w:leader="none" w:pos="720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55 Hawthorne St., 10th Floor, San Francisco, CA 94105</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1"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8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7" w:lineRule="exact"/>
        <w:rPr>
          <w:sz w:val="24"/>
          <w:szCs w:val="24"/>
          <w:color w:val="auto"/>
        </w:rPr>
      </w:pPr>
    </w:p>
    <w:p>
      <w:pPr>
        <w:ind w:right="2100"/>
        <w:spacing w:after="0" w:line="292"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 w:lineRule="exact"/>
        <w:rPr>
          <w:sz w:val="24"/>
          <w:szCs w:val="24"/>
          <w:color w:val="auto"/>
        </w:rPr>
      </w:pPr>
    </w:p>
    <w:p>
      <w:pPr>
        <w:jc w:val="both"/>
        <w:spacing w:after="0" w:line="27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8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8"/>
        </w:trPr>
        <w:tc>
          <w:tcPr>
            <w:tcW w:w="2280" w:type="dxa"/>
            <w:vAlign w:val="bottom"/>
            <w:vMerge w:val="continue"/>
          </w:tcPr>
          <w:p>
            <w:pPr>
              <w:spacing w:after="0"/>
              <w:rPr>
                <w:sz w:val="21"/>
                <w:szCs w:val="21"/>
                <w:color w:val="auto"/>
              </w:rPr>
            </w:pPr>
          </w:p>
        </w:tc>
        <w:tc>
          <w:tcPr>
            <w:tcW w:w="48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28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Non-accelerated filer</w:t>
            </w:r>
          </w:p>
        </w:tc>
        <w:tc>
          <w:tcPr>
            <w:tcW w:w="4840" w:type="dxa"/>
            <w:vAlign w:val="bottom"/>
          </w:tcPr>
          <w:p>
            <w:pPr>
              <w:ind w:left="2120"/>
              <w:spacing w:after="0" w:line="171" w:lineRule="exact"/>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484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280" w:type="dxa"/>
            <w:vAlign w:val="bottom"/>
          </w:tcPr>
          <w:p>
            <w:pPr>
              <w:spacing w:after="0"/>
              <w:rPr>
                <w:sz w:val="24"/>
                <w:szCs w:val="24"/>
                <w:color w:val="auto"/>
              </w:rPr>
            </w:pPr>
          </w:p>
        </w:tc>
        <w:tc>
          <w:tcPr>
            <w:tcW w:w="484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 w:lineRule="exact"/>
        <w:rPr>
          <w:sz w:val="24"/>
          <w:szCs w:val="24"/>
          <w:color w:val="auto"/>
        </w:rPr>
      </w:pPr>
    </w:p>
    <w:p>
      <w:pPr>
        <w:jc w:val="both"/>
        <w:ind w:right="20"/>
        <w:spacing w:after="0" w:line="234"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5" w:lineRule="exact"/>
        <w:rPr>
          <w:sz w:val="24"/>
          <w:szCs w:val="24"/>
          <w:color w:val="auto"/>
        </w:rPr>
      </w:pPr>
    </w:p>
    <w:p>
      <w:pPr>
        <w:jc w:val="both"/>
        <w:ind w:right="20"/>
        <w:spacing w:after="0" w:line="241"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As of June 30, 2023 (the last business day of the registrant’s most recently completed second fiscal quarter), the aggregate market value of the common stock held by non-affiliates of the registrant was approximately $360 million based upon the closing price of such shares on the Nasdaq Global Market on such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45,321,643 shares of Class A common stock and 31,685,652 shares of Class B common stock as of February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2024 Annual Meeting of Stockholders (the “Proxy Statement”), to be filed within 120 days of the registrant’s fiscal year ended December 31, 2023,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1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88"/>
              </w:rPr>
              <w:t>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 Business</w:t>
            </w:r>
          </w:p>
        </w:tc>
        <w:tc>
          <w:tcPr>
            <w:tcW w:w="14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88"/>
              </w:rPr>
              <w:t>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1A. Risk Factors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14</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39</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1C. Cybersecurity</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39</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2. Properties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40</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40</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40</w:t>
            </w:r>
          </w:p>
        </w:tc>
      </w:tr>
      <w:tr>
        <w:trPr>
          <w:trHeight w:val="432"/>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41</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41</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6. [Reserved]</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43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59</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60</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91</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91</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92</w:t>
            </w:r>
          </w:p>
        </w:tc>
      </w:tr>
      <w:tr>
        <w:trPr>
          <w:trHeight w:val="432"/>
        </w:trPr>
        <w:tc>
          <w:tcPr>
            <w:tcW w:w="9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93</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Item 16. Form 10-K Summary</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95</w:t>
            </w:r>
          </w:p>
        </w:tc>
      </w:tr>
      <w:tr>
        <w:trPr>
          <w:trHeight w:val="432"/>
        </w:trPr>
        <w:tc>
          <w:tcPr>
            <w:tcW w:w="97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Signatures</w:t>
            </w:r>
          </w:p>
        </w:tc>
        <w:tc>
          <w:tcPr>
            <w:tcW w:w="14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96</w:t>
            </w:r>
          </w:p>
        </w:tc>
      </w:tr>
      <w:tr>
        <w:trPr>
          <w:trHeight w:val="1330"/>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3"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developments, including but not limited to, inflation, rising interest rates, tightening credit markets and general macroeconomic uncertainty on our business results of operations, financial condition and stock price;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and operating performance, including total revenue, cost of revenue, non-GAAP operating income (loss), adjusted EBITDA and Monthly Unique Users;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and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consumer demand for the products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users into registered users and improve repeat user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consumers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within existing and new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relationships with our existing financial services partners and to identify new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efficient and scalable technical capabilities to deliver personalized guidance and nudge users;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awareness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high quality, engaging consumer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evolving financial interests of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 verticals;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attract and retain highly skilled, diverse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cash equivalents, and investments to meet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infrastructure and maintain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any existing and potential acquisitions;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synergies, accretive value and other benefits from completed acquisitions.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or guarantees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possible for us to predict all risks and uncertainties that could have an impact on our business or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speak only as of the date hereof.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Our forward-looking statements do not reflect the potential impact of any future acquisitions, mergers, dispositions, joint ventures or investments.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NerdWallet, we empower consumers—both individuals and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United Kingdom (UK), Canadian, and, more recently, Australian markets, with further international expansion as an opportunity for future growth. Across every touchpoint, the cornerstone of our platform is our consumers’ trust in the independent, objective and relevant guidance we provide, free of charge.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consumers—consumers who might not otherwise trust these financial services providers’ recommendations because their guidance is inherently biased toward their own products.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By operating at the intersection of consumers and financial services providers, NerdWallet drives value for both. Through our platform, our financial services partners can reach a substantial audience—we had 23 million Monthly Unique Users (MUUs) per month on average in 2023. After doing research on our platform, these consumers are better informed about the financial decision they’re about to make and often primed and ready to transact. When consumers are more informed about their financial options,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2009, NerdWallet has strived to provide consumers with clarity for all of their financial decisions: cutting through jargon, parsing terms and conditions, and simplifying complex ideas so consumers can make informed choices about their money and pursue lives well-spent. As a mission-driven, consumer-first company, we have long had a company culture oriented towards being responsible and socially conscious. In 2023, we published our second annual Environmental, Social and Governance (ESG) report, outlining our corporate social responsibility programs, diversity, equity, and inclusion efforts, and our first environmental and sustainability strategy, specifically our Scope 1, 2, and 3 emissions. Our commitments are a natural extension of our mission and while ESG considerations have been part of the NerdWallet story since our inception, this report allows us to articulate our vision and priorities clearly, and it ensures we hold ourselves accountable for progress on critical ESG initiatives.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 was $599.4 million and $538.9 million for 2023 and 2022, respectively, representing year-over-year growth of 11%. We generated a net loss of $11.8 million for 2023, which increased 16% from a net loss of $10.2 million for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in Our Favor</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Many trends are transforming the way consumers and SMBs manage their finances and several of these trends accelerated in 2020 during the COVID-19 pandemic, creating tailwinds in our industry.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Consumers Manage Their Lives Digitally, and Financial Wellness is at the Forefront of This Change</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Increasingly, consumers use a digital-first approach to managing their lives: they manage appointments, book vacations, plan events and shop using apps. During the past several years, this digital-first approach has also permeated personal finance with consumers expecting to have the ability to manage all aspects of their financial wellness online. To meet this consumer demand, traditional financial services providers have established digital interfaces and are continually adding new functionality. At the same time, successful fintech companies are proliferating and setting new standards for digital experiences. These new players are responding to changing consumer expectations by disrupting nearly every aspect of personal finance and offering a wide range of faster, better and cheaper digital services, continually altering the competitive landscape. By focusing on distinct personal financial products, fintech companies have unbundled personal finance and have provided value that conventional financial services providers cannot, often improving and expanding consumers’ choices and therefore, overall financial wellness.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Consumers Are Inundated With Choice and Complexity, but Unbiased Financial Guidance is Difficult to Find</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digital access and an increasing number of fintech companies are making it easier to invest, make payments and even take out a loan, the explosion of market participants also makes it increasingly difficult and time consuming for consumers to sift through all of the options to determine which product is best suited to their personal financial needs.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products and services are complex and consumers are seeking ways to compare and better understand their options. Many consumers do not have a trusted financial advisor to help them navigate this complexity and instead seek advice online. Unfortunately, finding trustworthy financial guidance online can be challenging. Fees are not always transparent, there is not a standard route to achieve financial literacy and creative marketing can leave consumers feeling overwhelmed.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Consumers Want to Know They’ve Made the Right Choice in Their Financial Lives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Consumers want to take control of their financial well-being, ensure they’re getting the right deal, understand exactly what they’re signing up for and have confidence in their decisions. This desire to understand and feel well-informed about finances is prevalent across all generations. Even among the newest Gen Z consumers, many of whom may not have much experience with personal finance or own a credit card, 89% surveyed in a 2021 Tallo study said that it’s a priority for them to learn about personal finance and 75% are interested in taking personal finance classes.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Platform</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 100+ person editorial team that functions as the “brains” behind our guidance. Our writers and editors, many of whom have joined us from notable publications, cover specific verticals day in and day out, and, as a result, are deeply knowledgeable about the financial areas they cover, producing high-quality and award-winning guidance. The work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 which help us advance toward being a trusted financial ecosystem, a single platform consumers and SMBs rely on to learn about various financial topics, shop for products, connect their data and receive data-driven nudges.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trusted guidance has enabled us to build a large, well-informed audience, many of whom are ready to transact. Accordingly, we have become an attractive partner for financial services providers wanting to reach these high value consumers. Today, our platform stretches across many financial products, including credit cards, mortgages, insurance, SMB products, personal loans, banking, investing and student loans.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built NerdWallet with the following key assumptions:</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Everything starts with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have an unmet need for unbiased guidance to inform their financial decisions;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compelling opportunity to use data to personalize and automate guidance at scale.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Starting with these assumptions, we offer the following benefits to consumers and to our financial services partners.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of Our Platform for Consumers and SMBs</w:t>
      </w:r>
    </w:p>
    <w:p>
      <w:pPr>
        <w:spacing w:after="0" w:line="17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platform is designed to empower consumers and SMBs to gain clarity about their financial decisions, help them make optimal decisions and instill them with a sense of confidence in their choices. We accomplish this by:</w:t>
      </w:r>
    </w:p>
    <w:p>
      <w:pPr>
        <w:spacing w:after="0" w:line="52" w:lineRule="exact"/>
        <w:rPr>
          <w:sz w:val="20"/>
          <w:szCs w:val="20"/>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Providing Comprehensive Guidance with an Independent, Unbiased Editorial Team. </w:t>
      </w:r>
      <w:r>
        <w:rPr>
          <w:rFonts w:ascii="Times New Roman" w:cs="Times New Roman" w:eastAsia="Times New Roman" w:hAnsi="Times New Roman"/>
          <w:sz w:val="18"/>
          <w:szCs w:val="18"/>
          <w:color w:val="auto"/>
        </w:rPr>
        <w:t>We build trust by offering guidance that is credible,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and grounded in our consumer-first values. We establish credibility with financial product reviews and content that cover a myriad of topics, developed by our editorial team which is not influenced by monetization. One of our core values is “Consumer, Company, Team, Self.” Consistent with that value, we uphold rigorous editorial standards, and all of our articles, reviews and recommendations are written by our independent editorial team. The value of our brand and long-term relationships with consumers are more important to us than any short-term benefit we may derive from any transaction conducted on our platform. We believe that the result of this approach is the direct, ongoing, trusted relationship we have with our users.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Using Simplicity and Transparency to Enable Well-Informed Decisions. </w:t>
      </w:r>
      <w:r>
        <w:rPr>
          <w:rFonts w:ascii="Times New Roman" w:cs="Times New Roman" w:eastAsia="Times New Roman" w:hAnsi="Times New Roman"/>
          <w:sz w:val="18"/>
          <w:szCs w:val="18"/>
          <w:color w:val="auto"/>
        </w:rPr>
        <w:t>We write our articles to appeal to everyone, ranging from the casual reader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someone looking to understand more complex details on a topic. Regardless of the consumer need, we bring a level of clarity to help consumers make sense of even the most complex financial topics. Our content is delivered in a variety of digestible formats, and our comparisons provide transparency on both price and features, given that a particular financial product may appeal to different consumers for different reasons. For example, while some consumers may be looking for the lowest interest rate on a credit card, others may never plan to carry a balance and instead may be looking for the best cash back or rewards offering.</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Acting as a Trusted Guide and Navigator, Providing Personalized Guidance. </w:t>
      </w:r>
      <w:r>
        <w:rPr>
          <w:rFonts w:ascii="Times New Roman" w:cs="Times New Roman" w:eastAsia="Times New Roman" w:hAnsi="Times New Roman"/>
          <w:sz w:val="18"/>
          <w:szCs w:val="18"/>
          <w:color w:val="auto"/>
        </w:rPr>
        <w:t>Democratizing access to financial guidance is only half of our 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half is to make it frictionless for consumers to make financial decisions. We built our platform to appeal to both consumers looking to “do it themselves,” as well as those looking for more support managing their financial well-being. We make it easy for our registered users to stay on top of their money by centralizing many of their product decisions in one place. A registered user is defined as an individual who has created an account on the NerdWallet platform, and is a standalone metric calculated independently from whether an individual accesses our platform in a given period. Consumers can get a holistic view of their finances, and hone in on specific details about their spending and saving patterns across accounts. By combining insights from our award-winning editorial team with our machine learning capabilities, we are able to recommend smart money moves via contextual “nudges.” As a result, we have become a one-stop-shop for consumers to track, manage and plan their financial futures.</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Providing Comprehensive Coverage Across Major Financial Verticals. </w:t>
      </w:r>
      <w:r>
        <w:rPr>
          <w:rFonts w:ascii="Times New Roman" w:cs="Times New Roman" w:eastAsia="Times New Roman" w:hAnsi="Times New Roman"/>
          <w:sz w:val="18"/>
          <w:szCs w:val="18"/>
          <w:color w:val="auto"/>
        </w:rPr>
        <w:t>Today, we have financial services partners in eight financial verticals: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cards, mortgages, insurance, SMB products, personal loans, banking, investing and student loans. We partner with hundreds of organizations, ranging from the largest financial services providers to the most disruptive startups. This comprehensive coverage shows consumers who may be seeking guidance in one area, such as credit cards, the expertise that we provide in other relevant verticals like renters insurance and deposit accounts. Our guidance, however, is not limited to areas with existing partner relationships or those that we monetize. We quickly adapt to the evolving financial interests of consumers and can easily add coverage in new areas. Throughout 2023, our Content Nerds reinforced trust by helping consumers make informed financial decisions across a variety of areas, including budgeting and spending in an inflationary environment; finding insurance coverage in a complex marketplace; and navigating the continued impact of interest rate hikes on credit cards, mortgages, bank accounts and personal loans, as well as volatility in student loan forbearance and repayment.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of Our Platform for Our Partners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bring our financial services partners well-matched and well-informed consumers. These consumers also frequently have desirable characteristics— they have higher credit scores and maintain higher levels of investable assets—making them highly attractive for our financial services partners. We have received feedback from financial services partners that our users’ approval rates can be significantly higher than those applying through other channels. Benefits that we provide to our financial services partners include:</w:t>
      </w:r>
    </w:p>
    <w:p>
      <w:pPr>
        <w:spacing w:after="0" w:line="124" w:lineRule="exact"/>
        <w:rPr>
          <w:sz w:val="20"/>
          <w:szCs w:val="20"/>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Huge Audience and Reach, with an Average of 23 million Consumers Turning to the Nerds This Year. </w:t>
      </w:r>
      <w:r>
        <w:rPr>
          <w:rFonts w:ascii="Times New Roman" w:cs="Times New Roman" w:eastAsia="Times New Roman" w:hAnsi="Times New Roman"/>
          <w:sz w:val="18"/>
          <w:szCs w:val="18"/>
          <w:color w:val="auto"/>
        </w:rPr>
        <w:t>During 2023, we averaged 23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MUUs, up 15% from 2022. We also over-index on attracting consumers with high credit scores who are inundated with choices and seek an independent third party to help them find the right product for their distinct needs. These individuals receive many offers for financial products because they are often the most attractive customers for financial services providers as they tend to drive long-term value. We believe we drive strong conversion both on and off our platform. For example, tracking tests with our financial partners in our credit cards vertical have shown that on average, for every transaction that happens through NerdWallet, one or more additional transactions with a user occur with the partner as a result of the user previously engaging with our platform. This encourages our financial services partners to continue promoting their products through NerdWallet, as we are a channel for them to acquire attractive customers.</w:t>
      </w:r>
    </w:p>
    <w:p>
      <w:pPr>
        <w:spacing w:after="0" w:line="130" w:lineRule="exact"/>
        <w:rPr>
          <w:rFonts w:ascii="Times New Roman" w:cs="Times New Roman" w:eastAsia="Times New Roman" w:hAnsi="Times New Roman"/>
          <w:sz w:val="18"/>
          <w:szCs w:val="18"/>
          <w:b w:val="1"/>
          <w:bCs w:val="1"/>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to Consumers Who Are Ready to Transact. </w:t>
      </w:r>
      <w:r>
        <w:rPr>
          <w:rFonts w:ascii="Times New Roman" w:cs="Times New Roman" w:eastAsia="Times New Roman" w:hAnsi="Times New Roman"/>
          <w:sz w:val="18"/>
          <w:szCs w:val="18"/>
          <w:color w:val="auto"/>
        </w:rPr>
        <w:t>While our expertise and personalized guidance is helpful for consumers at all stages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decision-making process, we believe many of the consumers that use NerdWallet are already poised to make a transaction, using NerdWallet as the final check. For our financial services partners, this leads to more engaged potential customers, who have a better understanding of our partners’ products than the average customer. We believe that these high-quality matches can result in higher customer lifetime values for our partners. In addition to providing our financial services partners with attractive potential customers, we do so just as consumers’ purchase intent is the highest. Because of this, some financial services partners choose to market special or unique offers first or only through NerdWallet.</w:t>
      </w:r>
    </w:p>
    <w:p>
      <w:pPr>
        <w:spacing w:after="0" w:line="128"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Positive Brand Association. </w:t>
      </w:r>
      <w:r>
        <w:rPr>
          <w:rFonts w:ascii="Times New Roman" w:cs="Times New Roman" w:eastAsia="Times New Roman" w:hAnsi="Times New Roman"/>
          <w:sz w:val="18"/>
          <w:szCs w:val="18"/>
          <w:color w:val="auto"/>
        </w:rPr>
        <w:t>All of our articles, reviews and recommendations are written by our independent editorial team, and because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consumers trust our assessment of the financial services and products offered on our platform. As a result, we believe that our financial services partners greatly benefit from placement on our Best-of Awards lists, in our reviews and within other NerdWallet content. In fact, 66% of the financial services providers who won a 2023 Best-of Award promoted their designation in their own marketing efforts.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Exposure to Consumers Seeking a Broader Range of Financial Products. </w:t>
      </w:r>
      <w:r>
        <w:rPr>
          <w:rFonts w:ascii="Times New Roman" w:cs="Times New Roman" w:eastAsia="Times New Roman" w:hAnsi="Times New Roman"/>
          <w:sz w:val="18"/>
          <w:szCs w:val="18"/>
          <w:color w:val="auto"/>
        </w:rPr>
        <w:t>Given the breadth of our expertise, consumers are able to use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for multiple facets of their financial well-being beyond their initial transactions. Through the wide range of guidance that we offer, consumers are exposed to relevant products outside of the one they are researching at a given time. For example, a consumer researching credit cards may see a relevant article regarding mortgages, then remember that article when they are in the market for a mortgage at a later date. As a result, consumers are exposed to our financial services partners’ products at various points in their financial journey, increasing the value of our platform both to consumers and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Growth Pillars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our ability to execute against our strategy and invest in our three pillars of growth- “Land and Expand,” “Vertical Integration,” and “Registrations and Data-Driven Engagement”- helps us advance toward becoming a trusted financial ecosystem. With our trusted financial ecosystem, we will provide a single platform that consumers and SMBs can rely on to learn about various financial topics, shop for products, connect their data and receive data-driven nudges. This will provide our users with more clarity and confidence around their finances and help grow and diversify our business through reoccurring engagement and revenue.</w:t>
      </w:r>
    </w:p>
    <w:p>
      <w:pPr>
        <w:spacing w:after="0" w:line="125" w:lineRule="exact"/>
        <w:rPr>
          <w:sz w:val="20"/>
          <w:szCs w:val="20"/>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Land and Expand. </w:t>
      </w:r>
      <w:r>
        <w:rPr>
          <w:rFonts w:ascii="Times New Roman" w:cs="Times New Roman" w:eastAsia="Times New Roman" w:hAnsi="Times New Roman"/>
          <w:sz w:val="18"/>
          <w:szCs w:val="18"/>
          <w:color w:val="auto"/>
        </w:rPr>
        <w:t>Our trusted brand and organic reach keep us well-positioned to land and expand in new financial areas and geographies.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look to add capabilities within our existing verticals and enter new verticals like Medicare and cryptocurrency, our brand paves the way for us to meet consumer demand. By improving the quality of our guidance within existing verticals, we believe we can enhance the experience for our users and continue to build recurring revenue streams. Our approach for new vertical expansion is well-defined—provide trusted content and tools to attract organic traffic, then leverage our brand and marketing expertise to accelerate growth. Expansion to new verticals allows us to address more of our consumers’ needs and increases our potential for cross-selling, thereby making existing verticals and marketing channels more efficient. We also believe there is significant potential for us to grow the global reach of our platform. Our success in the United States and our strong brand give us a solid foundation to expand our international footprint in markets like the United Kingdom in 2020, Canada in 2021 and Australia in 2022.</w:t>
      </w:r>
    </w:p>
    <w:p>
      <w:pPr>
        <w:spacing w:after="0" w:line="134"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Vertical Integration. </w:t>
      </w:r>
      <w:r>
        <w:rPr>
          <w:rFonts w:ascii="Times New Roman" w:cs="Times New Roman" w:eastAsia="Times New Roman" w:hAnsi="Times New Roman"/>
          <w:sz w:val="18"/>
          <w:szCs w:val="18"/>
          <w:color w:val="auto"/>
        </w:rPr>
        <w:t>Our distinct ability to combine our trusted brand and massive top-of-funnel reach with best-in-class user experiences helps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vertically integrate in areas and topics that capture re-occurring revenue. For example, in 2020, we acquired Fundera to improve our offering for SMBs. Upon integration, we combined NerdWallet’s top-of-funnel strength with Fundera’s monetization strategy, which added a recurring revenue tail. In 2023, SMB products revenue grew 11% year-over-year despite a challenging loans macroeconomic environment as they successfully directed organic traffic through an efficient funnel. Given our success in SMB, we furthered our vertical integration efforts in 2022 through our acquisition of On the Barrelhead, a loan matching platform that provides consumers and SMBs with product recommendations. Similar to the vertical integration approach utilized with Fundera, we believe that by pairing On the Barrelhead’s loan matching platform with NerdWallet’s trusted brand and massive reach, we can offer our users more personalized and compelling recommendations, leading to better customer experiences and improved monetization. In fact, we have seen two times the increase in our match rate with personal loans financial providers after integrating OTB technology.</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Registration and Data-Driven Engagement. </w:t>
      </w:r>
      <w:r>
        <w:rPr>
          <w:rFonts w:ascii="Times New Roman" w:cs="Times New Roman" w:eastAsia="Times New Roman" w:hAnsi="Times New Roman"/>
          <w:sz w:val="18"/>
          <w:szCs w:val="18"/>
          <w:color w:val="auto"/>
        </w:rPr>
        <w:t>Critical to our aspiration of delivering consumers and SMBs with a trusted financial ecosystem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ability to register and engage users - in turn allowing us to drive repeat visits, collect data and provide users with unique insights via nudges. We are focused on growing the traffic and engagement on our platform, as well as increasing our number of registered users, who have a lifetime revenue value five times greater than our non-registered users and more than twice the transactions and sessions, on average. We have made significant progress in our efforts, and since 2016, we have started converting unique users into registered users that utilize our consumer decisioning tools and increased machine learning functionality. We had registered users of 10 million as of December 31, 2021, over 14 million as of December 31, 2022 and over 19 million as of December 31, 2023. We will continue to invest in building efficient and scalable technical capabilities to deliver personalized guidance and nudge consumers, at the right time, to take action based on our advice. With better machine learning, we believe our recommendations and contextual nudges will encourage repeat engagement and user registration on our platform. As more consumers use our platform and engage with our extensive financial 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too. This, in turn, attracts new partners and new financial products to the platform. More partners and more products serve to further increase the success rates of consumers using our platform, all of which drives our growth. This creates a unique value proposition for all constituents in our ecosystem, making our platform more valuable.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Market Opportunity</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current and primary addressable market opportunity is U.S. financial services digital advertising spend, which is expected to be more than $30 billion in 2023 and has been growing at double digit rates annually, according to eMarketer. As digital advertising spend continues to increase as a percentage of overall advertising spend, we expect our addressable market opportunity to grow along with it.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As financial services providers modernize their approach to sales commissions and related compensation, we expect that our addressable market opportunity will continue to grow.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Product Offerings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NerdWallet platform is designed to empower consumers at every stage of their financial journey through our personalized offerings. Whether consumers have a specific money question, are shopping for the “best” financial product or want to proactively stay on top of their finances, we provide financial guidance to meet their varied needs. We offer guidance across eight verticals: credit cards, mortgages, insurance, SMB products, personal loans, banking, investing and student loans.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unbiased and comprehensive approach to financial guidance and personalized insights provides a competitive advantage for NerdWallet. This advantage will compound as we further expand our product offerings and as we continue to apply the power of machine learning to further refine our personalized insights. To ensure we are able to meet distinct consumer needs and preferences, our financial guidance is delivered in a variety of ways, organized in the following core categories: Learn, Shop and Manage.</w:t>
      </w:r>
    </w:p>
    <w:p>
      <w:pPr>
        <w:spacing w:after="0" w:line="122" w:lineRule="exact"/>
        <w:rPr>
          <w:sz w:val="20"/>
          <w:szCs w:val="20"/>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Learn. </w:t>
      </w:r>
      <w:r>
        <w:rPr>
          <w:rFonts w:ascii="Times New Roman" w:cs="Times New Roman" w:eastAsia="Times New Roman" w:hAnsi="Times New Roman"/>
          <w:sz w:val="18"/>
          <w:szCs w:val="18"/>
          <w:color w:val="auto"/>
        </w:rPr>
        <w:t>Our mission is to provide clarity for all of life’s financial decisions, and we provide resources that make even the most complicated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questions and topics simple to understand. The resources consumers can access on our platform include articles, calculators, videos and podcasts. We do this with our award-winning editorial team of Nerds who create and curate NerdWallet’s house views on a wide variety of personal finance topics. Our writers and editors, many of whom have joined us from notable publications, cover specific verticals day in and day out, and, as a result, are deeply knowledgeable about the financial areas they cover, producing high-quality and award-winning guidance. This trusted guidance has enabled us to build a large, well-informed audience, many of whom are ready to transact. Accordingly, we have become an attractive partner for financial services providers wanting to reach these high value consumers. Today, our platform stretches across many verticals, including credit cards, mortgages, insurance, SMB products, personal loans, banking, investing and student loans. These capabilities help consumers make educated decisions about financial products, while allowing us to provide our financial services partners with informed consumers ready to transact.</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Shop. </w:t>
      </w:r>
      <w:r>
        <w:rPr>
          <w:rFonts w:ascii="Times New Roman" w:cs="Times New Roman" w:eastAsia="Times New Roman" w:hAnsi="Times New Roman"/>
          <w:sz w:val="18"/>
          <w:szCs w:val="18"/>
          <w:color w:val="auto"/>
        </w:rPr>
        <w:t>NerdWallet’s platform and intuitive user interface help consumers find the products that best match their searches, instilling confidence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financial decisions. Consumers can easily explore available products, filter results according to their specific needs, sort by NerdWallet rating and narrow down their options with the help of various tools, including side-by-side comparisons, “Best-of” lists and financial product reviews. In our credit card and loans verticals, we also offer the ability to personalize our recommendations by matching consumers to the appropriate lender for their unique needs.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 </w:t>
      </w:r>
      <w:r>
        <w:rPr>
          <w:rFonts w:ascii="Times New Roman" w:cs="Times New Roman" w:eastAsia="Times New Roman" w:hAnsi="Times New Roman"/>
          <w:sz w:val="18"/>
          <w:szCs w:val="18"/>
          <w:color w:val="auto"/>
        </w:rPr>
        <w:t>NerdWallet makes it easy for our registered users to stay on top of their money by centralizing many of their financial decisions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Consumers can get a holistic view of their finances, and hone in on specific details about their spending and saving patterns across accounts. By codifying insights from our award-winning editorial team, we are able to recommend smart money moves via contextual “nudges” for example, letting consumers know that the improvement in their credit score means that they could qualify for lower auto insurance rates. As a result, NerdWallet has become a one-stop-shop for consumers to track, manage and plan their financial futures.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Technology</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built our scalable technology platform to serve both the growing number of consumers searching for financial products digitally and the increasing number of financial service providers looking to reach consumers with the right characteristics for any given product. Additionally, beyond enabling all elements of our consumer “Learn, Shop, Manage” product experience, our technology is key to keeping our platform secure and compliant. The key capabilities and features of our platform include Content Management, Partner Access, Recommendation Engine and Personal Financial Management.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Management</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content management platform leverages structured data components to showcase our financial guidance to consumers at scale. By codifying our editorial team’s house views, we are able to dynamically recommend relevant content using machine learning for consumers seeking guidance and thus increase product matches. Our personalized article recommendations lead to higher click-through rates, ultimately increasing transactions on our platform.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 Access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platform manages over 400 financial services partners across eight verticals. We have a team focused on ingesting and aggregating data from our financial services partners across our verticals and financial products to surface and apply product details and attributes for matching with consumers. Our partner data ingestion, quality and compliance processes ensures accuracy and scalability across our platform. We are able to onboard new partners quickly with significantly lower partner marketing compliance risk—for example, inaccurate displays of rewards, fees, or interest rates. Our partner platform also includes the ability to integrate prequalification experiences and targeting engines.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Recommendation Engine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proprietary recommendation engine uses machine learning to match consumers to financial products and partners that meet their unique needs.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include, but are not limited to:</w:t>
      </w:r>
    </w:p>
    <w:p>
      <w:pPr>
        <w:spacing w:after="0" w:line="99"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credit card products, our approval odds model determines a consumer's likelihood of getting approved, which ultimately saves them time, enables users to avoid unnecessary hard credit checks, and drives stronger conversion rates for our financial services partners.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loans products, we operate a prequalification system that assists consumers through the underwriting process. Additionally, On the Barrelhead’s loan-matching platform unlocks more personalized and compelling recommendations, leading to better customer experiences and improved monetization.</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technology is flexible enough to engage with financial services partners in ways that align with each industry’s unique requirements and business practices.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Financial Management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logged-in experience for registered users serves as a one-stop shop for consumers to track, manage and maximize their finances, all in one place. We analyze first-party data, third-party data from financial account aggregators and credit reports to understand our users’ unique financial situations. Our recommendation engine surfaces insights and actions that users can take to make smart money moves, such as improving their credit scores, maximizing their credit card rewards or earning a higher savings interest rate. Additionally, our credit score predictive modeling can estimate the impact of financial decisions on consumers’ credit scores, thus enhancing the insights and recommendations that we can provide to them.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and Privacy</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consumer-first company that is building a trusted brand, we are both committed and mandated to adhere to the strictest privacy standards. We believe our commitment to data protection and privacy, as well as our superior insights and guidance, are the primary reasons why consumers provide us with personal data on our platform.</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practice a security-first approach to product development, with our security team involved in building our products, features, platforms and infrastructure from the beginning. This approach allows us to build with security as a core requirement rather than treating it as an afterthought. Our security team has a wide range of expertise, from corporate security to network security to application security, giving us the ability to design security into everything that we do, from product development to vendor selection to the tools that we use in our day-to-day work as Nerds.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marketing function is a critical way we reach and build trust with consumers and is an important growth lever for our business. Our marketing strategy is diversified across brand marketing, organic and performance marketing, customer relationship management and communications. Importantly, these strategies build on and reinforce one another, optimizing for building consumer trust and managing spend efficiently. Brand marketing campaigns, which encourage consumers to turn to NerdWallet with all of their money questions, increase awareness and drive top-of-funnel interest, while amplifying the effectiveness of our organic and performance marketing channels. All of our marketing programs and channels are measured by a data-driven media mix model to determine results and effectively allocate marketing investments to drive maximum business impact.</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substantial organic and performance marketing presence that drives high-intent traffic. Our organic marketing program leverages our substantial, proprietary body of trusted guidance coupled with expertise in SEO and public relations, to reinforce NerdWallet as a trusted authority in personal finance. Our performance marketing is also highly optimized for profitable revenue growth.</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NerdWallet’s editorial team is made up of writers and editors who are deeply knowledgeable about personal finance. Our editorial team provides well-researched guidance across all areas of personal finance and for various stages of consumers’ financial journeys, from basic information about saving for retirement to timely guidance about applying for unemployment to in-depth product reviews. Our high quality content is distributed by news sites such as The Associated Press, and our writers are frequently featured providing guidance in print, online and broadcast media such as The New York Times and Good Morning America, among others.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communications team oversees the execution of consumer, product and corporate communications to both reinforce NerdWallet as a trusted brand and support our organic growth strategies by generating considerable media and syndication coverage, particularly for NerdWallet’s consumer finance spokespeople.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marketing strategy will position NerdWallet as the trusted brand of choice in personal finance, improve traffic acquisition at all levels of the funnel, drive engagement with users, and enable us to scale quickly across new consumer finance verticals and geographies.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mission, to provide clarity for all of life’s financial decisions, is rooted in our belief that both individual consumers and SMBs should be empowered to make financial decisions with confidence. As a mission-driven, consumer-first company, we have long had a company culture oriented towards being responsible and socially conscious. In 2023, we published our second annual Environmental, Social and Governance (ESG) report, outlining our corporate social responsibility programs, diversity, equity, and inclusion efforts, and our first environmental and sustainability strategy, specifically our Scope 1, 2, and 3 emissions. You can find the report at </w:t>
      </w:r>
      <w:r>
        <w:rPr>
          <w:rFonts w:ascii="Times New Roman" w:cs="Times New Roman" w:eastAsia="Times New Roman" w:hAnsi="Times New Roman"/>
          <w:sz w:val="18"/>
          <w:szCs w:val="18"/>
          <w:i w:val="1"/>
          <w:iCs w:val="1"/>
          <w:color w:val="auto"/>
        </w:rPr>
        <w:t>https://www.nerdwallet.com/l/environmental-social-governance</w:t>
      </w:r>
      <w:r>
        <w:rPr>
          <w:rFonts w:ascii="Times New Roman" w:cs="Times New Roman" w:eastAsia="Times New Roman" w:hAnsi="Times New Roman"/>
          <w:sz w:val="18"/>
          <w:szCs w:val="18"/>
          <w:color w:val="auto"/>
        </w:rPr>
        <w:t>. Our commitments are a natural extension of our mission and while ESG considerations have been part of the NerdWallet story since our inception, our ESG reports allow us to articulate our vision and priorities clearly, and ensure we hold ourselves accountable for progress on critical ESG initiatives.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ESG strategy is founded on three pillars:</w:t>
      </w:r>
    </w:p>
    <w:p>
      <w:pPr>
        <w:spacing w:after="0" w:line="171" w:lineRule="exact"/>
        <w:rPr>
          <w:sz w:val="20"/>
          <w:szCs w:val="20"/>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Our Vision, or the work we do to create a world in which everyone makes financial decisions with confidence. We know that not everyone has access to the information they need to make confident decisions, that not everyone is adequately served by financial incumbents, and addressing these inequities is endemic to our DNA.</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Nerds, or the work we do to provide our talented Nerds with an equitable and inclusive workplace in which they can thrive professionally and personally. Our Nerds are eager to make an impact, and we want to empower them in pursuit of our shared and individual goals.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Socially Responsible Business, or the work we do to ensure that our business practices protect and improve the lives of our consumers, our Nerds, and our wider world.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 As of December 31, 2023, we had over 730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of which approximately 95% are located throughout the United States and 5% are located internationally. None of our employees are represented by a labor union or covered by collective bargaining agreements. We consider our relationship with our employees to be good and have not experienced any work stoppages.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and Engagement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Nerds are the key to our success and the reason we believe we will achieve our mission; they are also one of our most crucial areas of investment. At the core of our Nerdy culture are our values. They’re not just words written on a wall or printed on t-shirts, but lived and breathed every day by every Nerd: (1) Consumer, Company, Team, Self; (2) Relentless Self-Improvement; (3) Ownership; (4) Informed Risk-Taking; and (5) Open, Candid and Constructive. We measure employee performance against these company values and measure employee engagement through surveys, and participation at all-hands and town hall style meetings with leadership. We have been consistently recognized for our competitive employee benefits, commitment to employee growth and empowerment, and our flexible workplace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Inclusion and Belonging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NerdWallet, we aspire to provide people with the confidence they need to live their best lives—however they identify. For our consumers, this means building their financial confidence. For our Nerds, this means fostering an inclusive culture that allows all Nerds to be their authentic selves, grow their skills, contribute, and thrive with the confidence of belonging. Our diversity, equity, inclusion and belonging (DEIB) efforts are centered around ensuring we are building a diverse organization across all business aspects and creating an inclusive culture where everyone is engaged and has access to opportunities. Our key initiatives include:</w:t>
      </w:r>
    </w:p>
    <w:p>
      <w:pPr>
        <w:spacing w:after="0" w:line="1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learning sessions and resources for Nerds and managers to help build an inclusive workplace.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Supporting eight employee-led employee resource groups, which provide supportive community and development opportunities for various employee populations and their allies: NerdOut, NerdFamilies, NerdWomen, Allyship, Asian Nerds, Black Nerds, Latino and Hispanic Nerds, and Women in Data and Engineering.</w:t>
      </w:r>
    </w:p>
    <w:p>
      <w:pPr>
        <w:spacing w:after="0" w:line="121" w:lineRule="exact"/>
        <w:rPr>
          <w:rFonts w:ascii="Times New Roman" w:cs="Times New Roman" w:eastAsia="Times New Roman" w:hAnsi="Times New Roman"/>
          <w:sz w:val="18"/>
          <w:szCs w:val="18"/>
          <w:color w:val="auto"/>
          <w:strike w:val="1"/>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2023 with a new bronze-level certification from Black Equity at Work from Management Leadership for Tomorrow. This rigorous three-year route to certification features a data-driven and comprehensive plan to drive and support racial equity at NerdWallet.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third-party platform to analyze our employee salaries for gaps based on race or gender twice a year.</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Learning and Activism Days to inspire and encourage Nerds to learn,grow and give back to their communities. This year, we held two Nerds Pay It Forward events, freeing up time in support of employee volunteerism on dedicated volunteer days to encourage all NerdWallet employees to give back to their communities. In all, Nerds donated over 1,800 hours during these events.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Attraction, Recruitment and Retention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remote-first culture allows us to reach, attract and retain more diverse talent across all levels of our organization. Attracting and retaining highly skilled, diverse talent is a key component of our burgeoning diversity, equity and inclusion efforts, and is absolutely critical to our success as a business and to fully realizing NerdWallet’s mission. Once employees are at NerdWallet we invest in their well-being and development offering competitive compensation and benefits, opportunities for career growth, and inclusion and belonging programming.</w:t>
      </w:r>
    </w:p>
    <w:p>
      <w:pPr>
        <w:spacing w:after="0" w:line="124" w:lineRule="exact"/>
        <w:rPr>
          <w:sz w:val="20"/>
          <w:szCs w:val="20"/>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Learning and Development </w:t>
      </w:r>
      <w:r>
        <w:rPr>
          <w:rFonts w:ascii="Times New Roman" w:cs="Times New Roman" w:eastAsia="Times New Roman" w:hAnsi="Times New Roman"/>
          <w:sz w:val="18"/>
          <w:szCs w:val="18"/>
          <w:color w:val="auto"/>
        </w:rPr>
        <w:t>- In line with our Relentless Self-Improvement value, we encourage our employees to seek out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opportunities and we provide them with a yearly career enrichment stipend. In addition, we provide in-house opportunities for career development, including a job shadowing program, career conversations, cohort-based learning, on-demand courses, and in-depth training as part of our Career Accelerator Program (CAP) and Leadership Empowerment Accelerator Program (LEAP) aimed to increase representation of underrepresented races and ethnicities, women in leadership and women in tech and propel underrepresented women into leadership positions.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 NerdWallet offers market-competitive compensation to attract employees and a pay-for-performance philosophy to engage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 our employees. We want our employees to feel invested in the future of NerdWallet by offering the majority of full-time employees equity-based compensation upon hire and through annual performance equity grants.</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Benefits and Perks </w:t>
      </w:r>
      <w:r>
        <w:rPr>
          <w:rFonts w:ascii="Times New Roman" w:cs="Times New Roman" w:eastAsia="Times New Roman" w:hAnsi="Times New Roman"/>
          <w:sz w:val="18"/>
          <w:szCs w:val="18"/>
          <w:color w:val="auto"/>
        </w:rPr>
        <w:t>- In order to attract, engage and retain our employees, we offer a wide array of benefits and perks to promote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health and well-being, including:</w:t>
      </w:r>
    </w:p>
    <w:p>
      <w:pPr>
        <w:spacing w:after="0" w:line="1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vision, life and disability insurance plans;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paid vacation and sick time off and flexible work schedules;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benefits and Company mental health days off in addition to an annual week-long Company shutdown at the end of the calendar year;</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Remote-first work environment;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Parental leave;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Country-specific retirement or pension plans, with a match for U.S. 401(k) plan contributions;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 (ESPP);</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financial wellness guidance from certified financial planners;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Referral bonus program for recruiting new Nerds;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matching program and volunteer time off,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online and automated legal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built a scaled and highly differentiated online platform. We face competition from both online and offline financial guidance providers in four primary categories:</w:t>
      </w:r>
    </w:p>
    <w:p>
      <w:pPr>
        <w:spacing w:after="0" w:line="15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advisors, agents, and brokers </w:t>
      </w:r>
      <w:r>
        <w:rPr>
          <w:rFonts w:ascii="Times New Roman" w:cs="Times New Roman" w:eastAsia="Times New Roman" w:hAnsi="Times New Roman"/>
          <w:sz w:val="18"/>
          <w:szCs w:val="18"/>
          <w:color w:val="auto"/>
        </w:rPr>
        <w:t>who provide guidance and expertise as part of their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Traditional media </w:t>
      </w:r>
      <w:r>
        <w:rPr>
          <w:rFonts w:ascii="Times New Roman" w:cs="Times New Roman" w:eastAsia="Times New Roman" w:hAnsi="Times New Roman"/>
          <w:sz w:val="18"/>
          <w:szCs w:val="18"/>
          <w:color w:val="auto"/>
        </w:rPr>
        <w:t>such as the New York Times, U.S. News &amp; World Report and other print and broadcast media;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Friends and family</w:t>
      </w:r>
      <w:r>
        <w:rPr>
          <w:rFonts w:ascii="Times New Roman" w:cs="Times New Roman" w:eastAsia="Times New Roman" w:hAnsi="Times New Roman"/>
          <w:sz w:val="18"/>
          <w:szCs w:val="18"/>
          <w:color w:val="auto"/>
        </w:rPr>
        <w:t>, as many consumers consult friends and family for financial guidance;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Influencers on social media platforms.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compete with the following for advertising budgets designated for financial products:</w:t>
      </w:r>
    </w:p>
    <w:p>
      <w:pPr>
        <w:spacing w:after="0" w:line="167" w:lineRule="exact"/>
        <w:rPr>
          <w:sz w:val="20"/>
          <w:szCs w:val="20"/>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services providers’ own marketing</w:t>
      </w:r>
      <w:r>
        <w:rPr>
          <w:rFonts w:ascii="Times New Roman" w:cs="Times New Roman" w:eastAsia="Times New Roman" w:hAnsi="Times New Roman"/>
          <w:sz w:val="18"/>
          <w:szCs w:val="18"/>
          <w:color w:val="auto"/>
        </w:rPr>
        <w:t>: Financial services providers connect directly through many different channels, digitally (in-app,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etc.) and offline channels (direct mail, printed media, etc.);</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search engines</w:t>
      </w:r>
      <w:r>
        <w:rPr>
          <w:rFonts w:ascii="Times New Roman" w:cs="Times New Roman" w:eastAsia="Times New Roman" w:hAnsi="Times New Roman"/>
          <w:sz w:val="18"/>
          <w:szCs w:val="18"/>
          <w:color w:val="auto"/>
        </w:rPr>
        <w:t>: Financial services providers spend advertising budgets with online search engines, primarily Google AdWords, as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turn to Google to answer their personal finance questions; and</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marketplaces</w:t>
      </w:r>
      <w:r>
        <w:rPr>
          <w:rFonts w:ascii="Times New Roman" w:cs="Times New Roman" w:eastAsia="Times New Roman" w:hAnsi="Times New Roman"/>
          <w:sz w:val="18"/>
          <w:szCs w:val="18"/>
          <w:color w:val="auto"/>
        </w:rPr>
        <w:t>: including Bankrate, Credit Karma, LendingTree and Zillow.</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compete favorably due to the breadth and depth of our financial guidance, the trust we’ve built with our consumers, and our brand, organic traffic, convenience and simplicity.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intellectual property rights are valuable and important to our business. We rely on trademarks, copyrights, trade secrets, license agreements, intellectual property assignment agreements, confidentiality procedures, non-disclosure agreements, and employee and contractor non-disclosure and invention assignment agreements to establish and protect our proprietary rights. Though we rely in part upon these legal and contractual protections, we believe that factors such as our skills and the ingenuity of our employees, the quality of our guidance to consumers and the functionality and frequent enhancements to our platform are larger contributors to our success in the marketplace.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trademark rights in our name, our logo, and other brand indicia, and have trademark registrations for select marks in the U.S. and many other jurisdictions around the world. We also have registered domain names for websites that we use in our business.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Factors—Risks Related to Our Technology, Security and Intellectual Property—Failure to protect or enforce our intellectual property rights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market and provide our products and services in heavily regulated industries through a number of different channels across the U.S.,the UK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 As a result, aspects of our business are potentially subject to a variety of U.S., UK and Canadian laws and regulations, including:</w:t>
      </w:r>
    </w:p>
    <w:p>
      <w:pPr>
        <w:spacing w:after="0" w:line="207" w:lineRule="exact"/>
        <w:rPr>
          <w:sz w:val="20"/>
          <w:szCs w:val="20"/>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the Equal Credit Opportunity Act, the Fair Credit Reporting Act (FCRA), Fair and Accurate Credit Transactions Act of 2003, the Fair Housing Act, the Real Estate Settlement Procedures Act, and similar state laws, all of which place certain restrictions on the manner in which mortgages and other consumer loans are marketed and originated, and some of which impose restrictions on the amount and nature of fees that may be charged to lenders and real estate professionals for providing or obtaining consumer loan requests;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which imposes, among other things, a broad prohibition on Unfair, Deceptive and Abusive Acts and Practices (UDAAPs) in connection with consumer financial products and services, limitations on fees charged by mortgage lenders, and requirements related to mortgage disclosures and is enforced by the Consumer Financial Protection Bureau and state regulatory authorities;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(FTC Act), which, among other things, imposes a broad prohibition on Unfair and Deceptive Acts and Practices in or affecting commerce, and is enforced by the Federal Trade Commission and Canada’s Competition Act;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impose prohibitions on Unfair, Deceptive and Abusive Acts and Practices similar to the Dodd-Frank Act and FTC Act’s prohibitions;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provincial licensing laws;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which impose restrictions on activities conducted through telephone, mail, email, mobile device or the Internet, including the Telemarketing Sales Rule, the Telephone Consumer Protection Act, the Controlling the Assault of Non-Solicited Pornography and Marketing Act of 2003, and Canada’s Anti-Spam Legislation (CASL);</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relating to offering of credit repair services to consumers, including such laws that impose restrictions on the usage and storage of consumer credit information such as the Credit Repair Organizations Act and the FCRA;</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regulations relating to data privacy and security, such as the Gramm-Leach-Bliley Act and the California Consumer Privacy Act (CCPA), which impact how we collect, use, store, share and otherwise process personal information of consumers and other individuals;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state laws regulating data privacy and security such as the CCPA;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relating to data privacy and security, such as the UK General Data Protection Regulation, the UK Data Protection Act 2018 and the General Data Protection Regulation 2016/679, each of which regulates our collection, processing, disclosure and other use of data relating to identifiable living individuals (personal data).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maintain an investor relations website at the following address: </w:t>
      </w:r>
      <w:r>
        <w:rPr>
          <w:rFonts w:ascii="Times New Roman" w:cs="Times New Roman" w:eastAsia="Times New Roman" w:hAnsi="Times New Roman"/>
          <w:sz w:val="18"/>
          <w:szCs w:val="18"/>
          <w:i w:val="1"/>
          <w:iCs w:val="1"/>
          <w:color w:val="auto"/>
        </w:rPr>
        <w:t>https://investors.nerdwallet.com</w:t>
      </w:r>
      <w:r>
        <w:rPr>
          <w:rFonts w:ascii="Times New Roman" w:cs="Times New Roman" w:eastAsia="Times New Roman" w:hAnsi="Times New Roman"/>
          <w:sz w:val="18"/>
          <w:szCs w:val="18"/>
          <w:color w:val="auto"/>
        </w:rPr>
        <w:t xml:space="preserve">. The information on our investor relations website is not incorporated by reference in this report. We make available on or through our investor relations website certain reports and amendments to those reports that we file with or furnish to the SEC in accordance with the Exchange Act. These include our Annual Reports on Form 10-K, our Quarterly Reports on Form 10-Q and our Current Reports on Form 8-K. We make this information available on our investor relations website free of charge as soon as reasonably practicable after we electronically file the information with, or furnish it to, the SEC. The SEC maintains a website that contains reports, proxy and information statements, and other information regarding issuers that file electronically with the SEC at the following address: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routinely post on our investor relations website news releases, announcements and other statements about our business and results of operations, some of which may contain information that may be deemed material to investors. Therefore, we encourage investors to monitor the </w:t>
      </w:r>
      <w:r>
        <w:rPr>
          <w:rFonts w:ascii="Times New Roman" w:cs="Times New Roman" w:eastAsia="Times New Roman" w:hAnsi="Times New Roman"/>
          <w:sz w:val="18"/>
          <w:szCs w:val="18"/>
          <w:i w:val="1"/>
          <w:iCs w:val="1"/>
          <w:color w:val="auto"/>
        </w:rPr>
        <w:t xml:space="preserve">https://investors.nerdwallet.com </w:t>
      </w:r>
      <w:r>
        <w:rPr>
          <w:rFonts w:ascii="Times New Roman" w:cs="Times New Roman" w:eastAsia="Times New Roman" w:hAnsi="Times New Roman"/>
          <w:sz w:val="18"/>
          <w:szCs w:val="18"/>
          <w:color w:val="auto"/>
        </w:rPr>
        <w:t>website and review the information we post on that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risks described below and in our subsequent periodic filings with the SEC. The following risk factors should be read in conjunction with “Item 7. Management’s Discussion and Analysis of Financial Condition and Results of Operations” and the consolidated financial statements and related notes in this Annual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materially adversely affect us and should be read in conjunction with the full disclosure in this “Risk Factors” section:</w:t>
      </w:r>
    </w:p>
    <w:p>
      <w:pPr>
        <w:spacing w:after="0" w:line="121" w:lineRule="exact"/>
        <w:rPr>
          <w:sz w:val="20"/>
          <w:szCs w:val="20"/>
          <w:color w:val="auto"/>
        </w:rPr>
      </w:pPr>
    </w:p>
    <w:p>
      <w:pPr>
        <w:jc w:val="both"/>
        <w:ind w:left="660" w:hanging="328"/>
        <w:spacing w:after="0" w:line="259"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42" w:lineRule="exact"/>
        <w:rPr>
          <w:rFonts w:ascii="Times New Roman" w:cs="Times New Roman" w:eastAsia="Times New Roman" w:hAnsi="Times New Roman"/>
          <w:sz w:val="20"/>
          <w:szCs w:val="20"/>
          <w:color w:val="auto"/>
        </w:rPr>
      </w:pPr>
    </w:p>
    <w:p>
      <w:pPr>
        <w:ind w:left="660" w:hanging="328"/>
        <w:spacing w:after="0" w:line="255"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If consumers do not find value in our platform or do not like the consumer experience on our platform, the number of matches on our platform may decline, which would harm our business, financial condition and results of operations.</w:t>
      </w:r>
    </w:p>
    <w:p>
      <w:pPr>
        <w:spacing w:after="0" w:line="12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reputation and brand recognition and attract and engage users in a cost-effective manner would harm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influencers, affiliate marketing, email and text messages may adversely impact our brand and reputation or subject us to fines or other penalties.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decisions based on the best interests of our users in order to build long-term trust that may result in us forgoing short-term gains.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perform certain key functions, and their failure to perform those functions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line="271"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compete in a highly competitive and rapidly evolving market with a number of other companies and we face the possibility of new entrants disrupting our market over time.</w:t>
      </w:r>
    </w:p>
    <w:p>
      <w:pPr>
        <w:spacing w:after="0" w:line="114" w:lineRule="exact"/>
        <w:rPr>
          <w:rFonts w:ascii="Times New Roman" w:cs="Times New Roman" w:eastAsia="Times New Roman" w:hAnsi="Times New Roman"/>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international expansion subjects us to additional costs and risks which could harm our business, revenue and financial results, and our continued international expansion may be unsuccessful.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investing in new product offerings, technologies, and minority investments, with plans to further increase these investments in the future. While these endeavors hold significant potential, they also come with inherent risks, and there is no guarantee that we will realize the anticipated benefits.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is dependent on our ability to successfully refer users to financial services partners, and these partners are not precluded from offering products and services outside of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developments such as inflationary conditions in the U.S. have caused macroeconomic uncertainty and may have an adverse impact on our business, results of operations and our vertical diversification strategy.</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consumer finance markets, or poor or uncertain macroeconomic conditions, could harm our business, financial condition and results of operations if our financial services partners reduce their marketing budgets and decrease spending on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loans markets could harm our business, financial condition and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financial regulations in the U.S., UK, Canada and Australia, many of which are overlapping, ambiguous and still developing, which could subject us to claims or otherwise harm our business.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Co-founder, CEO and Chairman of our Board of Directors, Tim Chen, which will limit or preclude your ability to influence corporate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with them. In times of financial difficulty, financial services providers may also fail to pay fees when due or drop the quality of their services to consumers.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consumers do not find value in our platform or do not like the consumer experience on our platform, the number of matches on our platform may decline, which would harm our business, financial condition and results of operations.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growth of our business and revenue depends upon our ability to engage our existing users and to add new users in our current as well as new verticals.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a key part of our business strategy is to engage users in our existing verticals, we also intend to expand our operations into new verticals. In doing so, we may incur losses or otherwise fail to enter new verticals successfully. Our expansion into new verticals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spacing w:after="0" w:line="1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users to new market entrants and/or existing competitors;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obtain regulatory approvals necessary for expansion into new verticals, geographies or to launch new products, product features or tools;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effectively use search engines, social media platforms, digital app stores, content-based online advertising, and other online sources for generating traffic to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experiences disruptions or outages;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reputational harm to our brand including from negative publicity, whether accurate or inaccurate;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expand geographically;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offer new and competitive products, to provide effective updates to our existing products or to keep pace with technological improvements in our industry;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user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address user concerns regarding the content, privacy, and security of our digital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innovate and improve our platform by generating compelling content and tools;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new financial services providers use incentives to directly cross-sell their products, reducing consumer benefits of using multiple providers;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successfully launch new verticals.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inability to overcome these challenges could impair our ability to engage users, and could harm our business, operating results and financial condition.</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reliance on internet search engines, particularly Google, for directing traffic to our platform, poses risks. Search engines, like Google, may modify algorithms or policies without prior notice, potentially resulting in significant declines in our organic search ranking and decreased platform traffic. Past changes have caused declines in traffic and user growth, with anticipated fluctuations in the future. The introduction of AI-assisted technologies could further impact search engine relevance, causing declines in our ranking and decreased platform traffic, affecting our financial results.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Google may take action against websites for behavior deemed to unfairly influence search results, without providing published guidelines. In 2017, Google’s action temporarily resulted in lower search rankings and decreased traffic to our website. Limited appeal options may hinder recovery from such actions. A substantial reduction in users directed from search engines would harm our business, revenue, and financial results.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anticipation of Google’s deprecation of third-party advertising cookies, we have reduced their use since 2022. We are also exploring new audience targeting and measurement approaches and focusing on direct consumer connections through registration ramps to minimize reliance on search engines. Changes in our marketing approach and consumer relationships are ongoing, with uncertain outcomes on actionable marketing data. Negative effects on targeting consumers would impact our ability to match them with financial services partners, posing a threat to our business, revenue, and financial results.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reputation and brand recognition and attract and engage users in a cost-effective manner would harm our business, financial condition and results of operations.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attract consumers to our platform, convert these consumers into matches with financial services partners and generate repeat visits, we must market our platform and maintain consumer trust. Promoting and maintaining our brand requires the expenditure of considerable money and resources for online and offline marketing and advertising, the continued provision of high-quality products and services that meet user needs, the ability to maintain consumers’ trust, and the ability to successfully differentiate our brand, products and services from those of our competitors.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Brand recognition is a key differentiating factor between us and our competitors. We believe that continuing to build and maintain the recognition of our brand is important to achieving increased demand for the products we provide.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 and adversely affect our business and financial condition and results of operations.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failure of our business to maintain or enhance its reputation and brand recognition and attract and retain consumers in a cost-effective manner could materially and adversely affect our business,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influencers, affiliate marketing, email, and text messages may adversely impact our brand and reputation or subject us to fines or other penalties.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social media, including Facebook, Instagram and TikTok, as well as affiliate marketing, email, and SMS as part of our multi-channel approach to marketing. Laws and regulations governing the use of these platforms and other digital marketing channels are rapidly evolving.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It may also become more difficult for us or our affiliate marketing partners to comply with such laws, and future data privacy laws and regulations or industry standards may restrict or limit our ability to use some or all of the marketing strategies on which we currently rely. The failure by us, our employees, third parties acting at our direction or affiliate marketing partners who engage in advertising on our behalf to abide by applicable laws and regulations in the use of these platforms could adversely impact our reputation or subject us to fines or other penalties. In addition, our employees or third parties, including our affiliate marketing partners, may knowingly or inadvertently make use of social media in ways that could lead to violations of marketing regulations issued by the FTC, SEC or CFPB. Any such inappropriate use of social media tools could also cause business interruptions and reputational damage.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decisions based on the best interests of our users in order to build long-term trust that may result in us forgoing short-term gains.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building our business by prioritizing the best interests of our users, a value we consider instrumental in establishing user trust and driving platform growth and engagement. We believe that this approach aligns with the long-term interests of both our company and stockholders. Historically and potentially in the future, we may choose to forego certain expansion or short-term revenue opportunities that do not align with the best interests of our platform and users, even if such decisions adversely impact our short-term results.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instance, our platform avoids the use of impression-based advertising, refrains from generating revenue through certain editorial content topics, and ensures the editorial team maintains independence from our business teams. Reviews and ratings of financial services products remain unbiased, unaffected by product placement on our platform or pricing agreements with financial services partners. Additionally, we may invest in products or features that may not yield immediate financial benefits but are expected to drive consumer engagement or offer potential long-term advantages.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illustration, the 2023 launch of the NerdUp credit card, aimed at helping consumers build and improve their credit, is not anticipated to generate significant direct profitability from interchange fees. Instead, we view this product as a means to build consumer trust by offering a compelling product designed for those who want to build or improve their credit. We expect that as these consumers qualify for non-secured credit cards, they will transact on our site, allowing us to earn fees from matching them with financial services partners. However, the focus on building long-term trust and consumer engagement over short-term revenue opportunities may not always yield the expected long-term benefits, potentially resulting in harm to user traffic, engagement, business, financial condition, and operational results.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certain key functions, and their failure to perform those functions could adversely affect our business, financial condition and results of operations.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certain third-party computer systems and third-party service providers for a variety of services, including cloud technology providers, third-party data providers, credit bureaus, data transfer networks, and remote and offshore engineering and other services to run our platform and support or carry out certain functions. 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corresponding revenue, which would impact our operating results and cash flow. In addition, it would negatively impact search engine ranking, user experience and our reputation with our financial partners. Furthermore, in the event that any of our agreements with our third-party service providers are terminated, we may experience significant costs or downtime in connection with the transfer to, or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addition of, new hosting providers. Although alternative providers could host our platform on a substantially similar basis, such transition could potentially be disruptive and we could incur significant costs in connection therewith.</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personal finance guidance and online search engines.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or financial services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international expansion subjects us to additional costs and risks which could harm our business, revenue and financial results, and our continued international expansion may be unsuccessful.</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all of our business has been generated in the U.S. and we have little experience operating internationally. In 2020, we entered the UK market with our acquisition of Notice Media Ltd. (doing business as Know Your Money), an online provider of financial guidance and tools based in the UK. We entered the Canadian and Australian markets organically in the third quarter of 2021 and the fourth quarter of 2022, respectively. We believe part of our growth strategy depends on our continued international expansion. We continue to adapt to and develop strategies to address international markets, but there is no guarantee that such efforts will be successful. Our existing international operations and further international expansion are subject to a number of difficulties and risks, including:</w:t>
      </w:r>
    </w:p>
    <w:p>
      <w:pPr>
        <w:spacing w:after="0" w:line="133"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regulatory laws and requirements for licenses and authorizations; and the UK Bribery Act of 2010 and other anti-corruption laws;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 and other governmental entities;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identifying, obtaining, and maintaining the government approvals, authorizations, or licensures required to conduct our business in foreign markets;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and the impact of local and regional financial crises on demand and payment for our products;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intellectual property protection, enforcing our intellectual property rights, and defending against third-party intellectual property infringement claims;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successfully addressing novel sources of competition, including in the context of foreign laws and business practices that may favor local companies;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fluctuations in currency exchange rates and foreign exchange controls;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multiple and possibly overlapping tax regimes, the complexities of foreign value-added tax systems, and changes in tax rates.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continue to expand our international operations, our success will depend in large part on our ability to anticipate and effectively manage these risks, which in turn will require significant management attention and financial resources. In addition, certain international markets where we do business are subject to significant economic uncertainty. Significant economic developments in these markets, or the perception that any of them could occur, creates further challenges for operating in these markets. If we are unable to successfully manage any of these risks, our existing international operations and any future international expansion could be compromised, which could harm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actively engaged in significant investments in new product offerings, technologies, and minority investments, with plans to further increase these investments in the future. However, these endeavors inherently carry risks, and the realization of expected benefits is not guaranteed.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substantial investments encompass the development of various products, technologies, and minority investments, including our mobile application, personal finance management tools, data infrastructure, and recommendation engine. We are committed to continuing substantial resource allocation for the creation of new technologies, tools, features, services, and product offerings. Anticipating an increase in investments in the near term, we acknowledge that this may impact our margins. Following the acquisition of On the Barrelhead (OTB) in the third quarter of 2022, we plan to continue investing in developing and expanding new offerings using the acquired technology.</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we plan to allocate substantial resources to grow the verticals on our platform, increase our scale, and expand into additional geographic markets. However, the efficient and effective allocation of our development budget on commercially successful and innovative technologies is crucial for realizing the expected benefits of our strategy. The high degree of risk associated with our new initiatives includes limited or no prior development or operating experience in the strategies, technologies, and regulatory requirements involved.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of sustained consumer demand or sufficient market acceptance to generate revenue that offsets new expenses or liabilities associated with these investments. Competitive dynamics pose a risk, as product offerings developed by others may render our offerings noncompetitive or obsolete. Furthermore, the development efforts for new product offerings and technologies could distract management attention from current operations and redirect capital and resources from our established products.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if successful, regulatory authorities may impose new rules or restrictions in response to our innovations, potentially increasing expenses or hindering successful commercialization. The failure to realize the expected benefits of these investments may adversely impact our business, financial condition, and operating results.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is dependent on our ability to successfully refer users to financial services partners, and these partners are not precluded from offering products and services outside of our platform.</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the quality of our products, expand our product offerings or continue technological innovation and improvements, our prospects for future growth may be harmed.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offering a multitude of products to consumers across all financial verticals. If we fail to successfully anticipate and identify new trends, products and emerging financial services providers, and provide up-to-date educational content, tools and other relevant resources timely, our ability to engage consumers and financial services providers may suffer, which would harm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lack of geographic diversity exposes us to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geographically limited and primarily dependent upon consumers and economic conditions in the U.S. As a result of this geographical concentration, we are more vulnerable to downturns or other conditions that affect the U.S. economy. Any downturn or other adverse conditions in the U.S. economy could harm our business and financial results.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the UK, Canadian and Australian markets, and we believe our growth strategy depends, in part, on our continued international expansion. As we expand internationally, we will be vulnerable to economic downturns or other conditions that affect the domestic markets in the countries where we expand. However, until our international operations grow significantly, we will continue to be primarily dependent on U.S. consumers and U.S. economic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less experience operating in some of the newer market verticals and products to which we have expanded.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expanded to new verticals and products over the last several years. We do not have as much experience with these newer verticals and products as we do with the other more established verticals on our platform. Accordingly, newer verticals and products may be subject to greater risks than the more established verticals on our platform.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our entry into new verticals and products will depend on a number of factors, including:</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in a cost effective manner product features expected by consumers and financial services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 intermediary by consumers and financial services providers;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by current and future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disrupt markets by offering or creating new and compelling products for consumers;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management and other skilled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amounts owed to us from our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and cost-effective marketing campaigns;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adjust marketing expenditures in relation to changes in demand for the underlying products and services offered by our financial services partners in these newer verticals.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results of operations may suffer if we fail to successfully anticipate and manage these issues associated with expansion into new verticals.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the value that we provide to consumers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track certain operational metrics, including metrics such as Monthly Unique Users (MUUs),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For example, the number of MUUs on our platform is based on activity associated with a unique device identifier during a certain time period. Certain individuals may have more than one device and therefore may be counted more than once in our count of MUUs.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the Consumer Finance Economy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developments such as inflationary conditions and a rising interest rate environment in the U.S. have caused macroeconomic uncertainty and may have an adverse impact on our business, results of operations and our vertical diversification strategy.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began our business with our credit card vertical and have since grown our business to include seven additional verticals: mortgages, insurance, SMB products, personal loans, banking, investing and student loans. We believe that our vertical diversification strategy has allowed us to navigate different kinds of macroeconomic conditions; in the recent past underperformance in one vertical has been offset by overperformance in another. For example, during the COVID-19 pandemic in 2020 when our credit card vertical was under pressure, other verticals such as the investing vertical and mortgage vertical were strong. Similarly in 2022, as interest rates began to increase and the mortgage and investing verticals were impacted, the credit card and SMB product verticals were strong. We cannot, however, guarantee that this offsetting between our verticals will continue or that our business model will be able to withstand the various macroeconomic developments we may see in the future. During 2023 we saw that increasing interest rates both put pressure on our loans verticals and drove strength in our banking vertical, continuing the offsetting we have seen in the past. After the regional bank failures that began in the spring of 2023, however, increasing issuer conservatism caused our credit card vertical revenue to begin to decline without any offsetting overperformance in another vertical. Continued inflationary conditions, higher interest rates, and a tightening of credit markets would pose challenges to our business and may impact many of our verticals and may not be offset by performance in other verticals. Further, an unexpected or prolonged economic downturn, or rapidly rising or sustained high unemployment, would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consumer finance markets, or poor or uncertain macroeconomic conditions, could harm our business, financial condition and results of operations if our financial services partners reduce their marketing budgets and decrease spending on our platform.</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earn fees from our financial services partners by matching users with their products. Thus, our business is dependent on the consumer finance markets and the demand for the products offered by our financial services partners. While we have not experienced a prolonged economic downturn since our founding following the Great Recession, we did see impact from the regional bank failures in the spring of 2023 in the form of increased conservatism by our financial services partners that led them to decrease their spending on our platform. We would expect a prolonged market downturn to lead our financial services partners to tighten underwriting standards making it more difficult for users to be matched with their products and to implement cost-reduction initiatives that reduce or eliminate marketing budgets. Both of these actions would lead to decreased monetization on our platform and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loan markets could harm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loan market, including student loans, business loans, mortgages and personal loans, is an important part of our business. Fluctuations and constraints in the loan markets in the past have harmed, and may in the future, harm our business, financial condition and results of operations. Economic factors such as increased interest rates, slow economic growth or recessionary conditions, the pace of home price appreciation or the lack of it, changes in household debt levels, and increased unemployment or stagnant or declining wages can affect the loan markets by impacting the number of loan applications and loan approval rates which can adversely affect our business. In 2022 and 2023 the U.S. Federal Reserve increased the benchmark federal funds rate many times in an attempt to rein in inflation. This policy change has led to a softening of the housing market and reduced consumer demand for mortgage refinancings and originations on our platform. At the same time, increased conservatism by our financial services partners following the regional bank failures in the spring of 2023 led to a tightening of underwriting standards by our financial services partners. Further interest rate increases and continued conservatism by our financial services partners would negatively impact our loans and SMB product verticals by both reducing demand for loan products and reducing the supply of credit available, making it more difficult for us to match consumers and small and mid-sized businesses with financial services products.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financial regulations in the U.S., Canada, Australia, and the UK, many of which are overlapping, ambiguous and still developing, which could subject us to claims or otherwise harm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Aspects of our business are subject to a variety of federal, state and provincial financial and other laws in the U.S., Canada, Australia and UK, including laws, authorizations, and state or provincial licensing requirements relating to matching consumers with financial services providers; the marketing of mortgages, credit cards, personal loans, insurance, and other financial products and services; privacy and data security;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We also anticipate that U.S. federal regulators relevant to our business, such as the Federal Trade Commission and the Consumer Financial Protection Bureau, may pursue more enforcement actions. In addition, the government and regulatory authorities in the UK, Canada, Australia and U.S. including the respective federal agencies, state and provincial legislatures and regulators may from time to time enact new laws, regulations or guidance that may harm our business.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proper business licenses or other documentation, or to otherwise comply with local laws and requirements regarding marketing or matching consumers with financial services providers, may result in civil or criminal penalties and restrictions on our ability to conduct business in that jurisdiction.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The UK, Canada, and Australia also have licensure requirements in order to solicit or offer qualitative assessments and comparison of certain financial products, such as loans secured by residential mortgages, consumer loans, credit cards, and insurance.</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Regulations promulgated by some states or jurisdictions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reputation and our business.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collect, store, use and process personal information and other user data, including financial information, credit report information and other sensitive information for our users. We rely on this data provided to us by users and third parties to offer, improve and innovate our products. If we are unable to maintain and grow such data we may be unable to provide consumers with a platform experience that is relevant, efficient and effective, which could adversely affect our business, financial condition and results of operations.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numerous federal, state and local laws and regulations regarding data privacy and the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such laws. We are also subject to the terms of our privacy policies and privacy-related obligations to third parties, and, given the evolving regulatory environment, we expect a heightened level of scrutiny on the data we handle. It is possible that these laws, regulations, and other obligations may be interpreted and applied in a manner that is inconsistent from one regulatory body to another and may conflict with other rules or our practices.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of the jurisdictions in which we operate have established their own data privacy and security legal frameworks. For example, in the U.S., we are subject to the Gramm–Leach–Bliley Act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that are not otherwise subject to the GLBA or FCRA may be subject to additional laws and regulations. For example, the California Consumer Privacy Act (CCPA) created new data privacy rights for California-resident users that were expanded when the California Privacy Rights Act (CPRA) went into effect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In addition, a growing number of states have passed or are expected to pass their own respective privacy laws. These laws, as well as any associated regulations, create a patchwork that poses challenges for our business and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w:t>
      </w:r>
    </w:p>
    <w:p>
      <w:pPr>
        <w:spacing w:after="0" w:line="12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As we expand internationally, we will also be subject to international laws regarding privacy and the storing, sharing, use, processing, disclosure and protection of personal information and other user data. For example, following our expansion into the UK market, we became subject to the privacy, data security, and data protection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aftermath of the UK’s withdrawal from the EU in January 2020 (an event commonly referred to as Brexit), there was uncertainty with regard to the regulation of data protection in the UK. Since then, the UK has undergone efforts to introduce post-Brexit data protection reform in the form of the Data Protection and Digital Information (No. 2) Bill (the “Bill”) which is intended to supersede the UK’s version of the GDPR. As of December 2023, the Bill was at the Committee Stage of the House of Lords and further progress is expected during the course of 2024. While the Bill has largely remained consistent with the spirit of the EU’s GDPR, there are few instances where changes have been made, and more changes are possible during the course of the legislative process. As a result, we may face challenges in addressing and implementing the requirements of the proposed new law in light of uncertainty over its interpretation and application to data transfer, privacy, data protection, and information security in the UK, and may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subject to and actively taking steps to comply with evolving UK privacy laws on cookies and e-marketing. In the UK,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negatively impact our efforts to understand users and match them with products.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economic and trade sanctions laws and regulations of the United States could materially adversely affect our reputation, business, financial condition and results of operations.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Human Capital</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team and other key employees to manage the business and the loss of one or more of these employees or an inability to attract and retain highly skilled employees could materially harm our business.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depend on our senior management, including Tim Chen, our Co-founder, Chief Executive Officer and Chairman of our Board of Directors, and Lauren StClair, our Chief Financial Officer,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stiff competition for qualified personnel and if we fail to attract new personnel or fail to retain and motivate our current personnel, our business, financial condition and results of operations could be materially and adversely affected.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which may make them more attractive to candidates.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transitioned to being a remote-first company, which could result in reduced morale and cohesiveness and increased cybersecurity risk, which could negatively affect our business.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onset of the COVID-19 pandemic we transitioned all of our employees to a remote work environment in order to mitigate the spread of COVID-19 and comply with local shelter in place policies. Subsequently we transitioned to being a remote-first company, allowing for almost all roles to be open to remote employees on an ongoing basis. The transition to being a remote-first company may lead to reduced employee morale or cohesiveness among our employees. In addition, our new remote-first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across various time zones, any of which could adversely affect our business. As a result, our culture, information technology requirements, cybersecurity risk, and business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Security and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continued success depends on our systems, applications, and software continuing to operate and to meet the changing needs of our users and financial services partners. We rely on our technology and engineering staff and third party services providers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personnel,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 allowing malfeasors to use time to their advantage.</w:t>
      </w:r>
    </w:p>
    <w:p>
      <w:pPr>
        <w:spacing w:after="0" w:line="13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users’ confidential and personal information under our control, we cannot assure you that any security measures that we or our third party service providers have implemented will be effective against current or future security threats.</w:t>
      </w:r>
    </w:p>
    <w:p>
      <w:pPr>
        <w:spacing w:after="0" w:line="1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security breach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users and financial services partners that our digital platform is not safe to use. Security incidents could also damage our IT systems and our ability to make the financial reports and other public disclosures required of public companies. These risks are likely to continue to increase as we continue to grow and process, store and transmit increasingly larger volumes of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service providers to support our platform and information technology systems.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to provide critical services that help us deliver our products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third party service providers may be susceptible to operational, technological and security vulnerabilities, including security breaches or other security incidents that compromise the confidentiality, integrity or availability of the systems they operate for us or the information they process on our behalf. In addition, these providers may rely on subcontractors to provide services to us that face similar risks. Our ability to monitor our third-party service providers’ data security is limited and yet such occurrences could adversely affect our business to the same degree as if we had experienced these occurrences directly. Although we incorporate contractual provisions that require that our providers and their subcontractors protect our data and information, including personal data, any failure or security breaches by or of our third-party service providers or their subcontractors that result in an interruption in service, unauthorized access, misuse, loss or destruction of data or other similar occurrences could interrupt our business, cause us to incur losses, result in loss of reputation and consumer trust and subject us to customer complaints, significant fines, litigation, disputes, claims, and regulatory investigations or other inquiries. Furthermore, 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contractual protections such as a counterparty’s obligation to indemnify us may not be sufficient to protect us if our counterparty doesn’t have adequate resources or if we are unable to enforce such protections.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infringed their proprietary technology or other intellectual property rights could harm our business.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harm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 information nor deter independent development of similar technologies by others. Failure to protect or maintain our intellectual property could harm our business, financial condition and results of operations.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license third-party software and other intellectual property for use in connection with our platform, including for various third party product integrations with our platform. Our third-party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and/or result in fines and other damages. If any of the following were to occur, it could harm our business, financial results and our reputation.</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their terms of service, guidelines or policies, or their interpretation of these,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procedures, or will not subject us to liability. Any of these risks could be difficult to eliminate or manage, and, if not addressed, would have a negative effect on our business,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Operations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certain restrictions that may limit our ability to operate our business.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terms of our credit agreement, as amended, and the related collateral documents with JPMorgan Chase Bank, N.A. (JPM)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repurchasing stock, making investments and agreeing to do any of the foregoing, in each case subject to certain exceptions. Our credit agreement also contains financial covenants which require us to comply with a maximum total net leverage and minimum fixed charge coverage ratios.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JPM and/or our lenders under the credit agreement could elect to declare all amounts outstanding under the credit agreement, if any, to be immediately due and payable and terminate all commitments to extend further credit. If we were unable to repay those amounts, JPM and our lenders could proceed against the collateral granted to them to secure such indebtedness, which consists of all of our assets. We have, and certain of our subsidiaries have, pledged substantially all of our respective assets as collateral under the loan documents. If JPM and our lenders accelerate the repayment of borrowings, if any, we may not have sufficient funds to repay our debt.</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 may not be sufficient for our capital needs and we may require additional capital to support business growth, which might not be available on acceptable terms, if at all.</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spacing w:after="0" w:line="129" w:lineRule="exact"/>
        <w:rPr>
          <w:sz w:val="20"/>
          <w:szCs w:val="20"/>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 including claims related to the acquired company, its product offerings, or technology;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or investment-related expenses, which would be recognized as a current period expense;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maintaining quality and security standards consistent with our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security vulnerabilities in acquired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anticipated synergies or unanticipated difficulty with integration into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or implement additional controls, procedures, and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caused by distance and cultural differences;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existing business relationships with business partners as a result of the acquisition or investment;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 diversion of management and employee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complexity in accounting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or the incurrence of debt to consummate the acquisition;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that may arise out of earn-outs, escrows, and other arrangements related to an acquisition of a company.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or liabilities resulting from litigation could materially adversely affect our results of operations and financial condition.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at historical rates or achieve or maintain profitability in the future.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a decline in the number of users, increasing competition, and other risks described in these Risk Factors. We may also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significant estimates and judgments in calculating our income tax provision and other tax assets and liabilities. If these estimates or judgments are incorrect, our operating results and financial condition may be materially affected.</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 amounts recorded in our financial statements and may have a material effect on our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Utilization of our net operating loss carryforwards, as well as of our other temporary differences, is dependent upon the generation of sufficient future taxable income during the periods in which those temporary differences become deductible. Management considers projected future taxable income and tax-planning strategies in making this assessment. 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we recorded a valuation allowance against these net U.S. deferred tax assets as of December 31, 2023. Our judgment regarding the likelihood of realization of these deferred tax assets could change in future periods, which could result in a material impact to our income tax provision in the period of change.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Co-Founder, Chief Executive Officer and Chairman of our Board of Directors, Tim Chen, which will limit or preclude your ability to influence corporate matters.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Tim Chen, our Co-founder, Chief Executive Officer and Chairman of our Board of Directors and his affiliated trusts hold all outstanding shares of Class B common stock, which as of December 31, 2023 constituted approximately 87.5% of the voting power of our outstanding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governance matters, transactions and all matters submitted to a vote of our stockholders, for the foreseeable future.</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tax or estate planning purposes. In addition, Mr. Chen’s and his affiliated trusts’ shares of Class B common stock will automatically convert into Class A common stock, on a one-to-one basis, upon any sale or transfer of the applicable shares (other than transfers to certain permitted entities) or upon his death.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 continue to have the ability to exercise the same significant voting power and potentially control the outcome of all matters submitted to our stockholders for approval.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our Chief Executive Officer, Mr. Chen also has control over our day-to-day management and the implementation of major strategic investments of our company, subject to authorization and oversight by our Board of Directors. As a board member 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aligned with the interests of our stockholders generally.</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Listing Rules and, as a result, we are exempt from certain corporate governance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Chen and his affiliated trusts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for the election of directors is held by an individual, group or another company is a “controlled company” and may elect not to comply with certain Nasdaq corporate governance requirements, including:</w:t>
      </w:r>
    </w:p>
    <w:p>
      <w:pPr>
        <w:spacing w:after="0" w:line="12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as defined under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or otherwise have director nominees selected by vote of a majority of the independent directors.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availed ourselves of some of these exemptions. As a result, we do not have a nominating and corporate governance committee or an independent nominating function. Our full Board of Directors is directly responsible for nominating members of our board.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as a controlled company, we remain subject to the rules of Sarbanes-Oxley as well as the Nasdaq Listing Rules that require us to have an audit committee composed entirely of independent directors, subject to permitted phase-in rules. Our audit committee is comprised of three members, all of whom are independent.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no longer eligible to rely on the “controlled company” exemptions,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Co-founder, Chief Executive Officer and Chairman of our Board of Directors,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Under such policies, our dual class capital structure would make us ineligible for inclusion in certain indexes, and as a result, mutual funds, exchange-traded funds, and other investment vehicles that attempt to passively track such indexes will not be investing in our stock. It is uncertain what effect, if any, these policies will have on the valuations of publicly traded companies excluded from the indexes, but it is possible that they may depress such valuations when compared to those of other similar companies that are included. Because of our dual class structure, we will likely be excluded from certain of these indexes, and we cannot assure you that other stock indexes will not take similar actions.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could be volatile, and you could lose all or part of your investment. The following factors, in addition to other factors described in this “Risk Factors” section may have a significant impact on the market price of our Class A common stock:</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directors, executive officers, principal stockholders, or senior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refinance or securities we may issue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Class A common stock;</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and foreign exchange rates;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Class A common stock have been, and are likely to be, declared and paid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Class A common stock relative to other investment alternatives;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on a quarterly and annual basis, which may impact our stock price and make it difficult to predict our future performance.</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factors that may contribute to the variability of our quarterly and annual results include:</w:t>
      </w:r>
    </w:p>
    <w:p>
      <w:pPr>
        <w:spacing w:after="0" w:line="13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users and retain existing users, including in a cost-effective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losses and appropriately plan our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algorithms and prominence of our editorial articles in search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position in and expand in existing markets as well as successfully enter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changes in, governmental or other regulation affecting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adequate rate of growth and effectively manage that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existing intellectual property and to create new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accident and coverage claims, intellectual property infringement claims, misclassifications and related judgments or settlements;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do not anticipate paying any cash dividends in the foreseeable future. We currently intend to retain future earnings, if any, to fund the development and growth of our business.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JPM and certain other lenders restrict our ability to pay dividends, and we may enter into additional agreements in the future that could also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may make our Class A common stock less attractive to investors.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of our initial public offering, although circumstances could cause us to lose that status earlier. We will remain an emerging growth company until the earlier of (1) the last day of the fiscal year (a) following the fifth anniversary of our initial public offering, (b) in which we have total annual gross revenue of at least $1.235 billion or (c) in which we are deemed to be a large accelerated filer, which requires the market value of our Class A common stock that is held by non-affiliates to exceed $700 million as of the prior June 30th, and (2) the date on which we have issued more than $1 billion in non-convertible debt during the prior three-year period.</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more stringent federal and state law requirements.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have increased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disclosure of information in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prospects.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we are required to furnish a report by our management on our internal control over financial reporting, and after becoming an accelerated filer and once we no longer qualify as an emerging growth company, our independent registered public accounting firm will also be required to provide an attestation report on our internal control over financial reporting.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in the public market could cause our stock price to decline.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shares of Class A common stock and Class B common stock are eligible for public sale, if they are registered under the Securities Act, or if they qualify for an exemption from registration under the Securities Act, including under Rules 144 or 701. If our existing stockholders sell, or indicate an intention to sell, substantial amounts of our Class A common stock in the public market, the trading price of our Class A common stock could decline.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holders of shares of our Class A common stock are entitled to rights with respect to the registration of their shares under the Securities Act as provided under the terms of an investors’ rights agreement between us and such stockholders.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registered on Form S-8 all shares of common stock that are issuable under our existing equity compensation plans, including our 2012 Equity Incentive Plan, our 2021 Equity Incentive Plan (2021 EIP) and our 2021 Employee Stock Purchase Plan (2021 ESPP). Additionally, the number of shares of our Class A common stock reserved for issuance under our 2021 EIP automatically increases on January 1 of each year, beginning on January 1, 2023, by 5% of the total number of shares of our capital stock outstanding on December 31 of the preceding calendar year, or a lesser number of shares determined by our board of directors or compensation committee. Furthermore, the number of shares of our Class A common stock reserved for issuance under our 2021 ESPP automatically increases on January 1 of each year, beginning on January 1, 2023, by the lesser of 1% of the total number of shares of our capital stock outstanding on December 31 of the preceding calendar year and 850,000 shares, or a lesser number of shares determined by our board of directors or compensation committee. Unless our board of directors elects not to increase the number of shares available for future grant each year, our stockholders may experience additional dilution. As a consequence, these shares can be freely sold in the public market upon issuance, subject to volume limitations applicable to affiliates.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Securities and industry analysts currently publish research on our company and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w:t>
      </w:r>
    </w:p>
    <w:p>
      <w:pPr>
        <w:spacing w:after="0" w:line="135"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dual class common stock structure, which provides Mr. Chen and his affiliated trusts with the ability to control the outcome of matters requiring stockholder approval, even if he owns significantly less than a majority of the number of shares of our outstanding Class A and Class B common stock;</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chairperson, our chief executive officer, a holder of more than 21.0 million shares of Class B common stock (subject to adjustment for stock splits, stock dividends, stock combinations and the like), or a majority of our Board of Directors is authorized to call a special meeting of stockholders;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stockholder approval;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or in which you might otherwise receive a premium for your shares. These provisions may also prevent changes in our management or limit the price that investors are willing to pay for our stock.</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2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2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to us or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NerdWallet, Inc. recognizes the importance of developing, implementing, and maintaining robust cybersecurity measures to safeguard our information systems and protect the confidentiality, integrity, and availability of our data and that of our users.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adopted the National Institute of Standards and Technology - Cybersecurity Framework (NIST-CSF) to guide our risk assessment and management and promote a company-wide cybersecurity risk management culture. Our cybersecurity team works closely with our information technology (IT) department to continuously evaluate and address cybersecurity risks in alignment with our business objectives and operational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enlist third-party cybersecurity assessors and consultants to evaluate and test both our risk management systems and the third-party risk management systems of our business partners. Through these collaborations, we tap into specialized knowledge and insights, helping us gauge the effectiveness of our cybersecurity strategies and processes. The findings from these assessments guide our decision-making and planning processes, influencing how we set priorities and allocate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Overseeing Third-party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partnering with third-party providers, we conduct a thorough examination of their cybersecurity program, policies, and practices. This includes a review of their SOC 2 reports and any available penetration tests. Additionally, we actively monitor our primary service providers and regularly obtain security control reports from them. We also employ real-time monitoring to detect any suspicious activity promptly. This approach is implemented to minimize risks associated with data breaches or other security incidents that may arise from third-party 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from Cybersecurity Threats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date, no cybersecurity incident or any risk from cybersecurity threats has materially affected, or has been determined to be reasonably likely to materially affect, us or our operations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recognizes the critical importance of managing cybersecurity risks and has implemented robust oversight mechanisms designed to ensure effective governance in this area.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Oversight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comprising Board members with diverse experience in risk management, IT, cybersecurity, and finance, is directly responsible for overseeing cybersecurity risks. Our Chief Information Security Officer (CISO) provides comprehensive quarterly presentations to the Audit Committee, covering ongoing cybersecurity initiatives, strategies, and emerging threats. The Committee reports significant matters to the full board, and the CISO also delivers an annual presentation to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Vigilance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Security Council, led by the CISO with representatives from our engineering, corporate IT, security, legal, and internal audit teams, diligently reviews and assesses cybersecurity plans, risks, and incidents on a monthly basis. Any substantial risk incident is escalated to the executive team, disclosure committee, and potentially the full Board, if deemed material. Regular communication between the CISO and the Chief Legal Officer, Chief Financial Officer, and Chief Executive Officer ensures top management is well-informed about NerdWallet's cybersecurity posture and potential risks.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Leadership</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primary responsibility for assessing, monitoring, and managing our cybersecurity risks lies with our highly experienced CISO. With two decades of cybersecurity expertise, including multiple CISO roles, our CISO plays a pivotal role in developing and executing our cybersecurity strategies. His responsibilities include overseeing governance programs, addressing known risks, leading employee security training, and executing the incident response plan in case of a cybersecurity incident.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offices in San Francisco, California, New York, New York, Scottsdale, Arizona, Durango, Colorado and Norwich, UK. We lease all of our facilities and do not own any real property. We have a remote-first policy that allows for almost all roles to be remote on an ongoing basis. As a result, most of our employees transitioned or were hired into permanent remote status and are not required to report to an office for work. See discussion of our lease commitments in Note 9–Leases in the notes to consolidated financial statements in Item 8 of Part II of this Annual Report on Form 10-K. We believe our facilities are adequate and suitable for our current needs and that, should it be needed, suitable additional or alternative space will be available to accommodate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See further discussion under “Litigation and Other Legal Matters” in Note 8–Commitments and Contingencies in the notes to consolidated financial statements in Item 8 of Part II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391" w:lineRule="exact"/>
        <w:rPr>
          <w:sz w:val="20"/>
          <w:szCs w:val="20"/>
          <w:color w:val="auto"/>
        </w:rPr>
      </w:pPr>
    </w:p>
    <w:p>
      <w:pPr>
        <w:ind w:right="192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Market under the symbol “NRDS” since November 4, 2021. Prior to that date, there was no public trading market for our Class A common stock.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B common stock is neither listed nor publicly traded.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16, 2024, there were 127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16, 2024, there were nine stockholders of record of our Class B common stock, all of which are trusts affiliated with Tim Chen, our Chief Executive Officer and the Chairman of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JPM and certain other lenders restrict our ability to pay dividends, and we may enter into additional agreements in the future that could also contain restrictions on payments of cash dividends.</w:t>
      </w:r>
    </w:p>
    <w:p>
      <w:pPr>
        <w:sectPr>
          <w:pgSz w:w="11900" w:h="16838" w:orient="portrait"/>
          <w:cols w:equalWidth="0" w:num="1">
            <w:col w:w="11240"/>
          </w:cols>
          <w:pgMar w:left="320" w:top="121" w:right="339" w:bottom="1440" w:gutter="0" w:footer="0" w:header="0"/>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our share repurchase activity for the three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i w:val="1"/>
                <w:iCs w:val="1"/>
                <w:color w:val="auto"/>
                <w:vertAlign w:val="superscript"/>
              </w:rPr>
              <w:t>2</w:t>
            </w:r>
          </w:p>
        </w:tc>
        <w:tc>
          <w:tcPr>
            <w:tcW w:w="0" w:type="dxa"/>
            <w:vAlign w:val="bottom"/>
          </w:tcPr>
          <w:p>
            <w:pPr>
              <w:spacing w:after="0"/>
              <w:rPr>
                <w:sz w:val="1"/>
                <w:szCs w:val="1"/>
                <w:color w:val="auto"/>
              </w:rPr>
            </w:pPr>
          </w:p>
        </w:tc>
      </w:tr>
      <w:tr>
        <w:trPr>
          <w:trHeight w:val="26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62"/>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72"/>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 the Plans or</w:t>
            </w:r>
          </w:p>
        </w:tc>
      </w:tr>
      <w:tr>
        <w:trPr>
          <w:trHeight w:val="179"/>
        </w:trPr>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39"/>
              <w:spacing w:after="0" w:line="179"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r>
      <w:tr>
        <w:trPr>
          <w:trHeight w:val="190"/>
        </w:trPr>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37"/>
        </w:trPr>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9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7"/>
        </w:trPr>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8260" w:space="20"/>
            <w:col w:w="29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jc w:val="both"/>
        <w:ind w:left="340" w:hanging="332"/>
        <w:spacing w:after="0" w:line="261" w:lineRule="auto"/>
        <w:tabs>
          <w:tab w:leader="none" w:pos="37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2023, we announced that our Board of Directors authorized a plan (the Repurchase Plan) under which we may repurchase up to $20 million of our Class A common stock. Following our utilization of the share repurchase authorization under the Repurchase Plan, we announced on October 26, 2023 that our Board of Directors authorized a new plan (the October 2023 Repurchase Plan) under which we may repurchase up to $30 million of our Class A common stock. Under the Repurchase Plan and the October 2023 Repurchase Plan, shares of Class A common stock may be repurchased in the open market through privately negotiated transactions or otherwise, in accordance with applicable securities laws and other restrictions. The Repurchase Plan and the October 2023 Repurchase Plan do not have fixed expiration dates and do not obligate us to acquire any specific number of shares. The timing and terms of any repurchases under the Repurchase Plan and the October 2023 Repurchase Plan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“filed” with the SEC for purposes of Section 18 of the Exchange Act, and shall not be deemed to be incorporated by reference into any of our filings under the Securities Act or the Securities Exchange Act.</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on our Class A common stock between November 4, 2021 (the date that our Class A common stock commenced trading on the Nasdaq Global Market) through December 31, 2023 in comparison to the Nasdaq Composite Index and the S&amp;P 500 Index. The graph assumes that $100 was invested in each of our Class A common stock, the Nasdaq Composite Index and the S&amp;P 500 Index at their respective closing prices on November 4, 2021. The graph uses the closing market price on November 4, 2021 of $28.30 per share as the initial value of our Class A common stock. Data for the Nasdaq Composite Index and S&amp;P 500 Index assume reinvestment of dividends. The comparisons shown in the graph are not intended to forecast or be indicative of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62230</wp:posOffset>
            </wp:positionV>
            <wp:extent cx="5254625" cy="32575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reflect our current plans, estimates and beliefs, and involve risks and uncertainties. Our actual results and the timing of certain events could differ materially from those anticipated in these forward-looking statements as a result of various factors, including but not limited to those discussed in the sections titled “Special Note Regarding Forward-Looking Statements” and “Risk Factors” in this Annual Report on Form 10-K.</w:t>
      </w:r>
    </w:p>
    <w:p>
      <w:pPr>
        <w:spacing w:after="0" w:line="1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Our historical results are not necessarily indicative of the results that may be expected for any period in the future. Except as otherwise noted, all references to 2023 refer to the year ended December 31, 2023, references to 2022 refer to the year ended December 31, 2022, and references to 2021 refer to the year ended December 31, 2021.</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 discussion and analysis of our financial condition and results of operations for the year ended December 31, 2023 compared to the year ended December 31, 2022 is presented below. For a discussion of our financial condition and results of operations for the year ended December 31, 2022 compared to the year ended December 31, 2021, see “Management’s Discussion and Analysis of Financial Condition and Results of Operations” in our Annual Report on Form 10-K for the year ended December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NerdWallet, we empower consumers—both individuals and SMBs—to make smarter financial decisions with confidence via our digital platform. Technology, paired with the dramatic growth in innovative financial products, has changed the way consumers manage their financial lives; consumers are more comfortable than ever comparing and shopping for financial products online. At NerdWallet, we are leveraging this transformation to democratize access to trustworthy financial guidance by incorporating our proprietary data science models into our platform—ultimately helping to improve the financial well-being of consumers and the financial services industry as a whole.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deliver guidance to consumers through educational content, tools and calculators, product marketplaces and our app. Our platform delivers unique value across many financial products, including credit cards, mortgages, insurance, SMB products, personal loans, banking, investing and student loans. We expanded our guidance to the UK with our acquisition of Know Your Money (KYM) in 2020, and expanded organically into Canada during 2021 as well as Australia during 2022. Across every touchpoint, the cornerstone of our platform is consumers’ trust in the independent, objective and relevant guidance we provide, free of charge.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trusted guidance has helped us build a large, loyal and well-informed audience of consumers who turn to us as a resource for many of their money questions and to shop for the best financial products for them. Due to this unique combination of a loyal audience, trusted guidance and tailored recommendations from our underlying machine learning technology, we have become an attractive partner for financial services providers wanting to access these high-value consumers—consumers who might not otherwise trust financial services providers’ recommendations.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By operating at the intersection of consumers and financial services providers, NerdWallet drives value for both. Through our platform, our financial services partners can reach a substantial audience, comprised of 23 million Monthly Unique Users (MUUs) on average in 2023 and 20 million on average in 2022. After doing research on our platform, consumers are better informed about the financial decision they’re about to make, which makes them primed and ready to transact. Consumers who visit NerdWallet tend to share a few other characteristics that make them attractive customers to our financial services partners: we have received feedback from our financial services partners that our users’ approval rates can be significantly higher than those applying through other channels and they are more eager to explore additional opportunities and products, driving demand for NerdWallet’s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Model</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built our business to provide unbiased and trusted guidance to consumers. Through this guidance, we attract users to our platform and use data science models to match them with relevant products from our financial services partners.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our mission is to provide clarity for all of life’s financial decisions, we take actions that aim to prioritize user experience over revenue per user. We believe that taking a long-term view will increase our revenue and grow our business. In addition, we do not always look to maximize the number of our financial services partners on our platform; we instead aim to have products for consumers available on our platform that enable the best match.</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increase the number of consumers who come to NerdWallet pursuing our financial content, guidance, and tech-driven recommendations. We generate revenue by successfully matching those consumers with our financial services partners, from whom we generate fees. These fees from which we recognize revenue include revenue per action, revenue per click, revenue per lead, and revenue per funded loan.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November 8, 2021, we completed our initial public offering (the IPO), in which we sold 8.3 million shares of our Class A common stock, which includes the exercise in full of the underwriters’ option to purchase 1.1 million shares of Class A common stock, at a public offering price of $18.00 per share. We received net proceeds from the IPO of $140.0 million after deducting underwriting discounts and commissions of $10.1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Generate High Quality, Engaging Consumer Resources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Delivering financial guidance and resources on a broad set of topics is core to our value proposition. In order to maintain our position as a trusted destination for personal and SMB financial guidance, we produce high-quality financial guidance, which is developed by our independent team of writers and editors. Our editorial and product teams continuously improve our content, tools and resources to ensure that our platform reflects the latest consumer finance trends and related products from our financial services partners. We plan to continue investing in our growing base of high-value content and tools, which enable us to generate more traffic and grow MUUs, enhancing monetizing activities with our financial services partners and ultimately, our financial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Attract and Engage Consumers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increase user engagement, whether by increasing the frequency with which MUUs visit our platform, or the amount of resources they consume on our platform, is critical to the growth of our business. We focus on attracting users to NerdWallet who are interested in multiple financial products that we review and then use machine learning to help them find financial products for their needs. For example, if an individual comes to our platform to learn more about credit cards, we hope to bring that individual back to NerdWallet at a later time to explore other financial products, often via automated contextual “nudges.” Our ability to attract and engage those visitors directly impacts our ability to earn revenue from financial services partners. As such, we plan to continue investing in content, technology and marketing in order to attract and engage consumers.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Deepen Our Relationships with Our Financial Services Partners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worked with hundreds of financial services partners during 2023. These companies are essential to helping us serve consumers and grow our business. Having a broad range of financial services partners across all of our verticals is important in offering consumers a wide selection of attractive products. Furthermore, all of our revenue is generated from our financial services partners, and as such, relationships with new and existing financial services partners are critical to the success of our business. We continuously aim to selectively add new financial services partners to our platform and to add coverage for additional verticals from existing partners. That said, maximizing the number of our financial services partners on our platform isn’t our primary focus—our focus is quality, and we aim to offer all of the top financial products on our platform</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success of our relationships with financial services partners is in large part based on our ability to provide them with interested and qualified consumers.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and the Financial Well-Being of Consumers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reliant on economic conditions in the U.S. Any changes in the financial well-being of consumers, including as a result of inflation, economic recession, unemployment, government stimulus, or changes in monetary policy will affect the demand for various financial services products and therefore impact the number of individuals visiting our platform and our ability to earn revenue from matches completed on our platform. In particular, fluctuations in interest rates affect many of the products offered by our financial services partners, especially mortgages, personal loans, and banking products. Typically, when interest rates decline, we see accelerated consumer demand for loans which in turn leads to increased traffic to our platform. Conversely, when interest rates increase, we see slowed consumer demand for loans and accelerated demand for banking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marketing strategy leverages multiple channels across brand marketing, performance marketing and organic marketing. Sales and marketing expense consists of: brand marketing, primarily advertising costs to increase brand awareness; performance marketing, primarily costs to drive traffic directly to our platform; and organic and other, primarily personnel-related costs for content and other marketing and sales teams. In 2023, approximately 21% of our total marketing expense was attributable to brand marketing, 51% to performance marketing, and the remainder to organic and other marketing expenses. In 2022, approximately 28% of our total marketing expense was attributable to brand marketing, 45% to performance marketing, and the remainder to organic and other marketing expenses. We evaluate the success of our brand marketing by measuring aided brand awareness, which has grown consistently on an annual basis since 2019.</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able to adjust our marketing spend to reflect changes in external factors and consumer behavior. Performance marketing spend can be adjusted more quickly than brand marketing, which typically involves pre-committing to spend in future periods. We increased sales and marketing expense in 2022 by 38% compared to 2021, and in 2023 by 7% compared to 2022.</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2023, over 70% of all traffic to NerdWallet came organically through direct or unpaid channels, reflecting the strength of our brand and organic marketing efforts. Our in-house, award-winning and experienced editorial team leverages search-engine optimization best practices and technology, and designs interfaces to help consumers easily find the information they are seeking. Our editorial team also optimizes page structure to increase visibility, not only for organic search results, but also for Google’s premium features such as FAQs, featured snippets, and video results. Personnel-related expenses within organic marketing reflect our continued investment in building a comprehensive set of skills and expertise across our editorial team. We will continue to invest in our marketing channels going forward, and believe that our marketing strategy will continue to position NerdWallet as the trusted brand of choice in personal finance, improve traffic acquisition at all levels of the funnel, drive engagement and enable us to scale quickly across new consumer finance verticals and geographies.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made acquisitions to expand into new verticals; to enter new markets and geographies; and to grow our platform so that our users have better outcomes. Our recent acquisitions include:</w:t>
      </w:r>
    </w:p>
    <w:p>
      <w:pPr>
        <w:spacing w:after="0" w:line="50" w:lineRule="exact"/>
        <w:rPr>
          <w:sz w:val="20"/>
          <w:szCs w:val="20"/>
          <w:color w:val="auto"/>
        </w:rPr>
      </w:pPr>
    </w:p>
    <w:p>
      <w:pPr>
        <w:jc w:val="both"/>
        <w:ind w:left="660" w:hanging="328"/>
        <w:spacing w:after="0" w:line="25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 the Barrelhead. </w:t>
      </w:r>
      <w:r>
        <w:rPr>
          <w:rFonts w:ascii="Times New Roman" w:cs="Times New Roman" w:eastAsia="Times New Roman" w:hAnsi="Times New Roman"/>
          <w:sz w:val="18"/>
          <w:szCs w:val="18"/>
          <w:color w:val="auto"/>
        </w:rPr>
        <w:t>In July 2022, we acquired On the Barrelhead, Inc. (OTB), a data-driven platform that provides consumers and SMBs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credit-driven product recommendations. Given the success of our Fundera acquisition within our SMB products verticals, we are leveraging our vertical integration playbook to fully integrate OTB’s technology and expertise within our Loans portfolio. By pairing OTB’s loan matching platform with NerdWallet’s trusted brand and massive reach, we can offer our users more personalized and compelling recommendations, leading to better customer experiences and improved monetization.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Fundera. </w:t>
      </w:r>
      <w:r>
        <w:rPr>
          <w:rFonts w:ascii="Times New Roman" w:cs="Times New Roman" w:eastAsia="Times New Roman" w:hAnsi="Times New Roman"/>
          <w:sz w:val="18"/>
          <w:szCs w:val="18"/>
          <w:color w:val="auto"/>
        </w:rPr>
        <w:t>In October 2020, we acquired Fundera, Inc. (Fundera), an online platform which connects SMBs with lenders and other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Fundera’s SMB-focused advice and loan comparison offerings, together with its strong brand and consultative sales approach, enables us to better support SMBs. This acquisition is a first step to enable deeper integration within existing verticals, which couples our top of funnel strength with Fundera’s monetization strategy, including recurring revenue from loan renewals. Combining the strengths of each business will allow NerdWallet to accelerate our growth in the SMB market, and will also serve as a playbook for further vertical integrations.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Know Your Money. </w:t>
      </w:r>
      <w:r>
        <w:rPr>
          <w:rFonts w:ascii="Times New Roman" w:cs="Times New Roman" w:eastAsia="Times New Roman" w:hAnsi="Times New Roman"/>
          <w:sz w:val="18"/>
          <w:szCs w:val="18"/>
          <w:color w:val="auto"/>
        </w:rPr>
        <w:t>In September 2020, we acquired Notice Media Ltd. (doing business as Know Your Money), an online provider of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and tools geared towards consumers and SMBs in the UK. KYM’s UK expertise and NerdWallet’s existing brand recognition have provided us a strong foothold in the UK region. We believe the acquisition will allow us to accelerate our international growth.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 and 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Unique Users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During 2023, we grew average MUUs to 23 million, which was up 15% compared to 2022, as we saw strong engagement in areas such as travel, banking, and insurance, and also began incorporating our acquisition of OTB in July 2022. Partially offsetting growth were declines from a continued challenging macroeconomic environment in both mortgages and investing. During 2022, we grew average MUUs to 20 million, which was up 4% compared to 2021, as we increased our sales and marketing expenditures in light of the continued economic recovery we experienced. While we expect MUUs to grow over time, the metric may fluctuate from period to period based on economic conditions and our strategic marketing decisions.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change in fair value of contingent consideration related to earnouts, (4) deferred compensation related to earnouts, and (5) acquisition-related costs. We also reduce income from operations, or increase loss from operations, for capitalized internally developed software costs.</w:t>
      </w:r>
    </w:p>
    <w:p>
      <w:pPr>
        <w:spacing w:after="0" w:line="12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provision (benefit) for income taxes, and further exclude (1) impairment of right-of-use asset, (2) losses (gains) on disposals of assets, (3) change in fair value of contingent consideration related to earnouts, (4) deferred compensation related to earnouts, (5) stock-based compensation, and (6) acquisition-related costs.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Operations—Key Components of Our Results of Operations— Non-GAAP Financial Measures” for reconciliations of non-GAAP operating income (loss) to income (loss) from operations, and adjusted EBITDA to net loss, the most directly comparable financial measures calculated in accordance with GAAP.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generate substantially all of our revenue through fees paid by our financial services partners in the form of either revenue per action, revenue per click, revenue per lead, and revenue per funded loan arrangements. For these revenue arrangements, in which a partner pays only when a consumer satisfies the criteria set forth within the arrangement, revenue is recognized generally when we match the consumer with the financial services partner. For some of our arrangements, the transaction price is considered variable and an estimate of the constrained transaction price is recorded when the match occurs. Our revenue generally includes four product categories: Credit cards, Loans, SMB products and Emerging verticals. Credit cards revenue includes revenue from consumer credit cards. Loans revenue includes revenue from personal loans, home mortgages, student loans and auto loans. SMB products revenue includes revenue from loans, credit cards and other financial products and services intended for small and mid-sized businesses. Emerging verticals revenue includes revenue from other product sources, including banking, insurance, investing and international.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amortization expense associated with capitalized software development costs and developed technology intangible assets related to our acquisitions, credit scoring fees, account linking fees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third-party data center costs. We expect our cost of revenue to increase in absolute dollars for the foreseeable future to the extent that our business continues to grow. We expect our cost of revenue to vary as a percentage of revenue in the near term, and it may eventually decrease over time as a percentage of revenue as our business grows and recognizes economies of scale. However, this percentage may fluctuate from year to year depending on the timing and extent of our investments in experiences requiring third-party data, credit scoring and account linking fees.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for the foreseeable future, primarily for increased headcount costs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include advertising and promotion costs, costs related to brand campaign fees, marketing, business operations team, and editorial personnel and related costs, including stock-based compensation.</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sales and marketing expenses to continue to increase in absolute dollars for the foreseeable future, primarily to support the growth of our existing business and expansion into new verticals. Over time, we expect sales and marketing expenses to decrease as a percentage of revenue as our business grows and recognizes economies of scale. However, this percentage may fluctuate from period to period depending on the timing and extent of our sales and marketing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related costs, including stock-based compensation, for certain of our executives as well as our legal, finance, human resources, and other administrative employees; and professional services fees.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for the foreseeable future primarily to support the growth of our business. Additional expenses may include increased headcount, enhanced systems, processes, and controls as well as increased expenses in the areas of insurance, compliance, investor relations, and professional services. For these reasons, we expect general and administrative expenses to vary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 related to earnouts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acquisitions of Fundera and KYM included earn-out provisions which required us to pay additional consideration based on the achievement of certain performance measures for a stated period after the acquisition date. We measured this contingent consideration at fair value as of the acquisition date and record it as a liability on our consolidated balance sheet. The fair value of each contingent consideration liability is remeasured at the end of each reporting period, with any changes in fair value recognized as income or expense from operations in our consolidated income statement. As of December 31, 2022, Fundera Inc.’s revenue and profitability milestones for 2022 were achieved and the contingent consideration liability was recorded at the full payout amount, with the contingent consideration liability paid in full during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is comprised of interest income, interest expense, and other gains (losses), net. Interest income consists primarily of interest earned on our cash and cash equivalents. Interest expense consists of interest costs related to our revolving credit facility and long-term debt, including amortization of the debt premium on our long-term debt. Other gains (losses), net is primarily related to changes in the fair value of the embedded derivative in our previously outstanding long-term debt, as well as realized and unrealized gains and losses on foreign currency transactions and balances. Other gains (losses), net for 2021 includes a gain on extinguishment of debt as well as a nonrecurring gain.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income tax provision (benefit) consists of federal and state income taxes. We have federal and state net operating loss carryforwards (NOLs), and federal and California research and development credit carryforwards, certain of which are subject to expiration dates if not utilized. Utilization of our NOLs and tax credit carryforwards, as well as of our other temporary differences, is dependent upon the generation of sufficient future taxable income during the periods in which those temporary differences become deductible. Based on our ongoing assessment of all available evidence, both positive and negative, including consideration of our historical profitability and the estimated impact of our operating model on future profitability, we concluded that it is more likely than not that our U.S. deferred tax assets in excess of deferred tax liabilities would not be realized and recorded a valuation allowance against these net U.S. deferred tax assets as of December 31, 2023. Our judgment regarding the likelihood of realization of these deferred tax assets could change in future periods, which could result in a material impact to our income tax provision in the period of change.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consolidated financial statements and related notes included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40" w:type="dxa"/>
            <w:vAlign w:val="bottom"/>
            <w:tcBorders>
              <w:bottom w:val="single" w:sz="8" w:color="auto"/>
            </w:tcBorders>
          </w:tcPr>
          <w:p>
            <w:pPr>
              <w:spacing w:after="0"/>
              <w:rPr>
                <w:sz w:val="3"/>
                <w:szCs w:val="3"/>
                <w:color w:val="auto"/>
              </w:rPr>
            </w:pPr>
          </w:p>
        </w:tc>
        <w:tc>
          <w:tcPr>
            <w:tcW w:w="6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379.6</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70"/>
        </w:trPr>
        <w:tc>
          <w:tcPr>
            <w:tcW w:w="6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70"/>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7"/>
        </w:trPr>
        <w:tc>
          <w:tcPr>
            <w:tcW w:w="6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c>
          <w:tcPr>
            <w:tcW w:w="0" w:type="dxa"/>
            <w:vAlign w:val="bottom"/>
          </w:tcPr>
          <w:p>
            <w:pPr>
              <w:spacing w:after="0"/>
              <w:rPr>
                <w:sz w:val="1"/>
                <w:szCs w:val="1"/>
                <w:color w:val="auto"/>
              </w:rPr>
            </w:pPr>
          </w:p>
        </w:tc>
      </w:tr>
      <w:tr>
        <w:trPr>
          <w:trHeight w:val="22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2"/>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6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43"/>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7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Includes stock-based compensation as follows: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34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as a percentage of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14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210.3</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32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538.9</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increased $60.5 million, or 11%, for 2023 compared to 2022, driven by strong growth in Emerging verticals and SMB products revenues, partially offset by lower Loans revenue.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Credit cards revenue decreased $0.6 million for 2023 compared to 2022, as strong growth in the first quarter of 2023, reflecting our ability to capitalize on higher consumer intent through improved user experiences combined with our deep alignment with our financial services partners to deliver quality matches, was offset by reduced marketing spending by our financial services partners during the remainder of 2023 amidst a combination of increasingly cautious underwriting and heightened balance sheet conservatism following the regional banking crisis.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Loans revenue decreased $7.5 million, or 7%, for 2023 compared to 2022, primarily due to decreases of 41% in mortgages revenue and 23% in student loans revenue, mainly attributable to higher interest rates driving lower demand for refinancing and continuing macroeconomic headwinds, partially offset by a 29% increase in personal loans revenue driven by both organic growth as well as incorporating our acquisition of OTB in July 2022.</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SMB products revenue increased $9.8 million, or 11%, for 2023 compared to 2022, reflecting our ability to drive diversified revenue growth across SMB products such as business credit cards, despite macroeconomic headwinds for the loans industry broadly.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Emerging verticals revenue increased $58.8 million, or 46%, for 2023 compared to 2022, primarily driven by increases of 74% in banking revenue mainly due to the higher interest rate environment and 30% in insurance products mainly driven by auto insurance.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5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6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$14.2 million, or 36%, for 2023 compared to 2022. The increase was primarily attributable to an $11.0 million increase in amortization expense related to capitalized software development costs and intangible assets from our acquisition of OTB in July 2022, as well as a $2.2 million increase primarily related to third-party service charges.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$2.9 million, or 4%, for 2023 compared to 2022. The increase was primarily attributable to increases of $1.6 million in personnel-related costs for our engineering, data, and product management personnel and contractors to support our continued growth, and $1.5 million in software and technology costs related to our platform.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2023 and 2022, our total sales and marketing expense was comprised of approximately 51% and 45% for performance marketing, respectively, and 21% and 28% for brand marketing, respectively, with the remainder for organic and other marketing expenses. We are able to adjust our marketing spend to reflect changes in external factors and consumer behavior.</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$25.9 million, or 7%, for 2023 compared to 2022. The increase was primarily attributable to increases of $38.1 million in performance marketing expenses and $9.7 million in organic and other marketing expenses primarily due to higher personnel-related costs due to our efforts to grow and increase our user base, partially offset by a $21.9 million decrease in brand marketing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$1.6 million, or 3%, for 2023 compared to 2022, primarily attributable to a $5.7 million increase in personnel-related costs mainly due to higher stock-based compensation, and a $1.4 million impairment of right-of-use asset, partially offset by decreases of $3.4 million in acquisition-related costs primarily related to our acquisition of OTB in July 2022, and $1.8 million primarily related to director and officer liability insurance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 related to earnouts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relates to our acquisitions of Fundera and KYM in the second half of 2020. The fair value of the contingent considerations was subject to remeasurement at each reporting date until the payments were made. See Note 1–The Company and its Significant Accounting Policies and Note 3–Fair Value Measurements in the notes to our consolidated financial statements for further discussion on these contingent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4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6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7"/>
              </w:rPr>
              <w:t>3.7</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other income (expense), net for 2023 compared to 2022 was primarily attributable to higher interest income reflecting higher interest rates and average cash balances, and lower interest expense related to debt activity.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had an income tax provision of $18.1 million for 2023, as compared to an income tax benefit of $9.8 million in 2022. Our effective tax rate was 286.7% and 49.2% for 2023 and 2022, respectively, as compared to the U.S. federal statutory income tax rate of 21%. Our effective tax rate for 2023 differs from the U.S. federal statutory income tax rate of 21% primarily due to the valuation allowance maintained against our net U.S. deferred tax assets and state taxes, partially offset by research and development credits. Our tax provision for 2023 primarily resulted from the requirement for us to capitalize and amortize research and development expenses, and an overall increase in our profitability before taxes. As a result, we recorded a significant U.S. current tax provision in 2023 with no corresponding deferred tax benefit for such capitalized expenses due to the valuation allowance maintained against our net U.S. deferred tax assets. During 2022, we recognized a nonrecurring tax benefit of $12.1 million related to the change in our existing full valuation allowance on deferred tax assets resulting from our acquisition of OTB in July 2022, which was partially offset by higher capitalization of research and development expenses under new tax regulations effective in 2022.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loss and our other GAAP results.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income (loss) from operations, and adjusted EBITDA to net loss,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9"/>
                <w:szCs w:val="19"/>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(39.0)</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related to earnouts</w:t>
            </w:r>
          </w:p>
        </w:tc>
        <w:tc>
          <w:tcPr>
            <w:tcW w:w="3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18.1</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r>
      <w:tr>
        <w:trPr>
          <w:trHeight w:val="26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 margin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 (loss) margin</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6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(42.5)</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related to earnouts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60" w:type="dxa"/>
            <w:vAlign w:val="bottom"/>
          </w:tcPr>
          <w:p>
            <w:pPr>
              <w:spacing w:after="0"/>
              <w:rPr>
                <w:sz w:val="21"/>
                <w:szCs w:val="21"/>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67.1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27.1</w:t>
            </w:r>
          </w:p>
        </w:tc>
      </w:tr>
      <w:tr>
        <w:trPr>
          <w:trHeight w:val="23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r>
      <w:tr>
        <w:trPr>
          <w:trHeight w:val="26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6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55"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1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income from operations of $3.6 million for 2023, as compared to a loss from operations of $19.0 million for 2022, The change was driven by a $60.5 million increase in revenues, partially offset by a $37.9 million increase in operating expenses primarily due to increases of $25.9 million in sales and marketing expenses and $14.2 million in cost of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loss from operations decreased $20.0 million or 51% for 2022 compared to 2021. The decrease was driven by a $159.3 million increase in revenues, largely offset by a $139.3 million increase in operating expenses primarily due to increases of $104.3 million in sales and marketing expenses, $19.7 million in general and administrative expenses, and $15.4 million in research and development expenses.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had non-GAAP operating income of $26.4 million for 2023, as compared to a non-GAAP operating loss of $1.0 million for 2022. The change was primarily driven by $3.6 million of income from operations in 2023, as compared to a loss from operations of $19.0 million in 2022, as well as increases in adjustments to reconcile income (loss) from operations to non-GAAP operating income (loss), including $11.2 million for depreciation and amortization and $2.5 million for acquisition-related retention, partially offset by decreases of $6.7 million for the change in fair value of contingent consideration related to earnouts and $3.4 million for acquisition-related expenses, as well as $2.8 million of net interest income in 2023 as compared to net interest expense of $1.0 million in 2022.</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Non-GAAP operating loss decreased $13.8 million, or 93%, for 2022 compared to 2021. The decrease was primarily driven by a $20.0 million decrease in loss from operations, partially offset by decreases in adjustments to reconcile loss from operations to non-GAAP operating loss, including $11.4 million for the change in fair value of contingent consideration related to earnouts and $9.7 million for capitalized internally developed software costs, partially offset by increases of $9.9 million for depreciation and amortization, and $3.4 million for acquisition-related expenses and $2.8 million for acquisition-related retention.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net loss increased $1.6 million or 16% for 2023 compared to 2022. The increase reflects $3.6 million of income from operations for 2023 as compared to a loss from operations of $19.0 million for 2022, and $2.7 million of other income, net in 2023 as compared to other expense, net of $1.0 million in 2022, which were more than offset by an $18.1 million income tax provision in 2023 as compared to an income tax benefit of $9.8 million in 2022.</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increased $30.5 million, or 45%, for 2023 compared to 2022. The increase was primarily attributable to increases in adjustments to reconcile adjusted EBITDA to net loss, including$27.9 million for income taxes, $11.2 million for depreciation and amortization, and $4.4 million for stock-based compensation, partially offset by decreases of $6.7 million for the change in fair value of contingent consideration related to earnouts, $3.4 million for acquisition-related expenses, and $3.8 million for interest income (expense), net.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December 31, 2023)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8, 2021, we completed our IPO, in which we sold 8.3 million shares of our Class A common stock, which includes the exercise in full of the underwriters’ option to purchase 1.1 million shares of Class A common stock, at a public offering price of $18.00 per share. We received net proceeds from our IPO of $140.0 million after deducting underwriting discounts and commissions of $10.1 million.</w:t>
      </w:r>
    </w:p>
    <w:p>
      <w:pPr>
        <w:spacing w:after="0" w:line="122" w:lineRule="exact"/>
        <w:rPr>
          <w:sz w:val="20"/>
          <w:szCs w:val="20"/>
          <w:color w:val="auto"/>
        </w:rPr>
      </w:pPr>
    </w:p>
    <w:p>
      <w:pPr>
        <w:ind w:right="222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2023 and 2022, we had cash and cash equivalents of $100.4 million and $83.9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December 31, 2023 is included in Note 8–Commitments and Contingencies in the notes to the consolidated financial statements.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which do not qualify for recognition on our consolidated balance sheet but which we consider non-cancellable. As of December 31, 2023, amounts to be spent under non-cancellable purchase obligations were $6.8 million over the next twelve months, and approximately $6 million in 2025 and $5 million in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announced on May 2, 2023 that our Board of Directors authorized a plan under which we may repurchase up to $20 million of our Class A common stock and, following our utilization of that share repurchase authorization, we announced on October 26, 2023 that our Board of Directors approved a new share repurchase authorization under which we may repurchase up to an additional $30 million of our Class A common stock (collectively, the Repurchase Plans). Subject to market conditions and other factors, the Repurchase Plans are intended to make opportunistic repurchases of our Class A common stock to reduce our outstanding share count. Under the Repurchase Plans, shares of Class A common stock may be repurchased in the open market through privately negotiated transactions or otherwise, in accordance with applicable securities laws and other restrictions. The Repurchase Plans do not have fixed expiration dates and do not obligate us to acquire any specific number of shares. The timing and terms of any repurchases under the Repurchase Plans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Plans are retired. We expect to fund repurchases with existing cash and cash equivalents. During 2023, we repurchased 2.3 million shares of Class A common stock for $20.0 million, including costs associated with the repurchases.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facility with JPMorgan Chase Bank and a syndicate of other lenders, subject to customary borrowing conditions, will be sufficient to meet our ongoing working capital, capital expenditure and other liquidity requirements for the next twelve months and beyond.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26, 2023, we, including three of our wholly-owned subsidiaries, entered into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See Note 7–Debt in the notes to our consolidated financial statements for further discussion.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Facility replaced our prior credit facility under the Amended and Restated Senior Secured Credit Facilities Credit Agreement dated February 19, 2021 between us and Silicon Valley Bank, as administrative agent (the Prior Credit Agreement), which was terminated substantially concurrently with the Company’s entering into the Credit Agreement. Under the terms of our Prior Credit Agreement, we could have borrowed up to $100.0 million, subject to borrowing conditions.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no outstanding balance on our credit facility as of December 31, 2023 or 2022. Our credit facility contains certain financial and non-financial covenants. We were in compliance with all covenants as of December 31, 2023 and 2022. For additional information on these covenants, see Note 7–Debt in the notes to the consolidated financial statements.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74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9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7"/>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140"/>
          </w:cols>
          <w:pgMar w:left="320" w:top="121" w:right="339" w:bottom="1440" w:gutter="0" w:footer="0" w:header="0"/>
        </w:sectPr>
      </w:pPr>
    </w:p>
    <w:p>
      <w:pPr>
        <w:spacing w:after="0" w:line="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discussion and analysis of our changes in cash flows for 2023 compared to 2022 is presented below. For a discussion of our cash flows for 2022 and 2021, see “Management’s Discussion and Analysis of Financial Condition and Results of Operations–Liquidity and Capital Resources” in our Annual Report on Form 10-K for the year ended December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$47.1 million in 2023 compared to 2022 driven by a $25.9 million decrease in net cash outflow from changes in operating assets and liabilities and a $22.8 million increase in non-cash charges, partially offset by a $1.6 million increase in net loss. The decrease in net cash outflow from changes in operating assets and liabilities was primarily due to decreases of $29.4 million for accounts receivable, and $7.8 million for other liabilities, partially offset by an $8.2 million increase for accrued expenses and other current liabilities. The increase in non-cash charges was primarily due to increases of $12.1 million in deferred taxes, $11.2 million in depreciation and amortization, and $4.4 million in stock-based compensation, partially offset by a $6.7 million decrease in change in fair value of contingent consideration related to earnouts.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$70.8 million in 2023 compared to 2022, primarily due to $68.1 million of cash paid, net of cash acquired, for our acquisition of OTB in 2022, as well as a $3.9 million decrease in purchases of property and equipment.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$17.8 million in 2023, primarily due to $20.0 million for repurchases of Class A common stock, partially offset a $2.5 million increase from exercises of stock options and a $2.1 million decrease in payments for contingent consideration recorded at the acquisition date. Additionally, in 2022, we had $70.0 million of proceeds from our line of credit to finance the cash portion of the purchase consideration for our acquisition of OTB in 2022, with a $70.0 million repayment in full in December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we believe to be most critical to understanding our financial condition and results of operations are discussed below. For a comprehensive list of all significant accounting policies, see Note 1–The Company and its Significant Accounting Policies in the notes to consolidated financial statements in Item 8 of Part II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revenue from fees paid by our financial services partners in the form of either revenue per action, revenue per click, revenue per lead and revenue per funded loan arrangements. Services are generally transferred to the customer at a point in time and the performance obligation is a series of distinct actions, leads or clicks.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some of our arrangements, under ASC 606 (Revenue from Contracts with Customers) our contractual right to fees is not contemporaneous with the satisfaction of the performance obligation to match the consumer with the customer.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After our initial estimate and constraints are made, we reassess our estimates and constraints at the end of each reporting period. Various factors are analyzed to estimate the constrained revenue, including historical approval rates and historical time between when a consumer request for a financial product is delivered to a financial services partner and when the financial product is approved by such financial services partner.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assessments in 2023, 2022 and 2021, we determined that it was not more likely than not that the fair value of its single reporting unit was less than its carrying amount. As such, goodwill was not impaired during 2023, 2022 and 2021.</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 Valuation Allowances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recorded a valuation allowance against these net U.S. deferred tax assets as of December 31, 2023. Our judgment regarding the likelihood of realization of these deferred tax assets could change in future periods, which could result in a material impact to our income tax provision in the period of change. Given our current earnings projections, sufficient positive evidence may become available for us to release all, or a portion, of the valuation allowance within the next twelve months. However, the timing and amounts of such valuation allowance releases are subject to change based on the level of profitability achieved in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our IPO, as our common shares were not listed on a public marketplace, the calculation of the fair value of our common shares was subject to a greater degree of estimation in determining the basis for share-based awards that were issued. Given the absence of a public market, we were required to estimate the fair value of the common shares at the time of each grant.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granted stock-based awards consisting primarily of stock options and RSUs to employees and non-employees. We estimate the grant date fair value of stock options granted to employees and nonemployees using the Black-Scholes-Merton option-pricing model. The fair value of stock options that is expected to vest is recognized as compensation expense on a straight-line basis over the requisite service period, which is typically the vesting period of the respective awards. We recognize forfeitures as they occur for equity awards with only a service condition, rather than estimate expected forfeitures.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Black-Scholes-Merton option-pricing model considers several variables and assumptions in estimating the grant date fair value of stock-based awards. These assumptions include:</w:t>
      </w:r>
    </w:p>
    <w:p>
      <w:pPr>
        <w:spacing w:after="0" w:line="106" w:lineRule="exact"/>
        <w:rPr>
          <w:sz w:val="20"/>
          <w:szCs w:val="20"/>
          <w:color w:val="auto"/>
        </w:rPr>
      </w:pPr>
    </w:p>
    <w:p>
      <w:pPr>
        <w:jc w:val="both"/>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Class A Common Stock</w:t>
      </w:r>
      <w:r>
        <w:rPr>
          <w:rFonts w:ascii="Times New Roman" w:cs="Times New Roman" w:eastAsia="Times New Roman" w:hAnsi="Times New Roman"/>
          <w:sz w:val="18"/>
          <w:szCs w:val="18"/>
          <w:color w:val="auto"/>
        </w:rPr>
        <w:t>—For periods over which our Class A common stock was not yet publicly traded, we were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the fair value of our Class A common stock. Our Board of Directors considered numerous objective and subjective factors to determine the fair value of our Class A common stock as discussed in “Common Stock Valuations” below. Subsequent to our IPO in November 2021, the fair value of our Class A common stock is determined on the grant date using the closing price of our Class A common stock.</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We estimate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based on the simplified method.</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—Expected volatility is a measure of the amount by which the stock price is expected to fluctuate. Since we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trading history of our Class A common stock, we estimate the expected volatility by taking the average historical volatility of a group of comparable publicly traded companies over a period equal to the expected term of the awards.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in effect at the time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expected term of the stock option award.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—We utilize a dividend yield of zero, as we do not currently issue dividends, nor do we expect to do so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estimated based on the fair value of our Class A common stock on the date of grant. The fair value of RSUs that are expected to vest is recognized as compensation expense over the requisite service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purchase rights granted under our employee stock purchase plan (ESPP) is estimated using the component measurement approach with valuations of the components based on the Company’s stock price on the date of the grant and/or the Black-Scholes-Merton option-pricing model, as appropriate for the applicable components. The fair value of the purchase rights is recognized over the requisite service period. We recognize forfeitures as they occur, rather than estimate expected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1–The Company and its Significant Accounting Policies in the notes to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1" w:lineRule="exact"/>
        <w:rPr>
          <w:sz w:val="20"/>
          <w:szCs w:val="20"/>
          <w:color w:val="auto"/>
        </w:rPr>
      </w:pPr>
    </w:p>
    <w:p>
      <w:pPr>
        <w:jc w:val="both"/>
        <w:ind w:right="20" w:firstLine="8"/>
        <w:spacing w:after="0" w:line="255"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Significantly all of our revenue is generated in U.S. dollars, with the remainder generated in British pounds sterling and the Canadian dollar. Our expenses are generally denominated in the currencies of the jurisdictions in which we conduct our operations, which are primarily in the U.S., UK and Canada.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2023, 2022 and 2021.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primarily consist of cash on hand and highly liquid investments in money market instruments and U.S. government securities. We had cash and cash equivalents of $100.4 million and $83.9 million as of December 31, 2023 and 2022,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Factors—Risks Related to Our Industry and the Consumer Finance Economy.”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future borrowings on our line of credit would be subject to changes in interest rate.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65"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85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7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 of NerdWallet, Inc. and its Consolidated Subsidiaries:</w:t>
            </w:r>
          </w:p>
        </w:tc>
        <w:tc>
          <w:tcPr>
            <w:tcW w:w="660" w:type="dxa"/>
            <w:vAlign w:val="bottom"/>
          </w:tcPr>
          <w:p>
            <w:pPr>
              <w:spacing w:after="0"/>
              <w:rPr>
                <w:sz w:val="23"/>
                <w:szCs w:val="23"/>
                <w:color w:val="auto"/>
              </w:rPr>
            </w:pP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Comprehensive Loss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7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bl>
    <w:p>
      <w:pPr>
        <w:spacing w:after="0" w:line="21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schedules have been omitted as the information is provided in the financial statements or in related notes thereto, or is not required to be filed as the information is 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540" w:firstLine="2535"/>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NerdWallet,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NerdWallet, Inc. and subsidiaries (the “Company”) as of December 31, 2023 and 2022, and the related consolidated statements of operations,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cash flows for each of the three years in the period ended December 31, 2023,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p>
        </w:tc>
        <w:tc>
          <w:tcPr>
            <w:tcW w:w="2400" w:type="dxa"/>
            <w:vAlign w:val="bottom"/>
          </w:tcPr>
          <w:p>
            <w:pPr>
              <w:spacing w:after="0"/>
              <w:rPr>
                <w:sz w:val="16"/>
                <w:szCs w:val="16"/>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84" w:lineRule="exact"/>
        <w:rPr>
          <w:sz w:val="20"/>
          <w:szCs w:val="20"/>
          <w:color w:val="auto"/>
        </w:rPr>
      </w:pPr>
    </w:p>
    <w:p>
      <w:pPr>
        <w:sectPr>
          <w:pgSz w:w="11900" w:h="16838" w:orient="portrait"/>
          <w:cols w:equalWidth="0" w:num="2">
            <w:col w:w="9720" w:space="720"/>
            <w:col w:w="780"/>
          </w:cols>
          <w:pgMar w:left="320" w:top="117"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100.4</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75.5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198.4</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52.6</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111.5</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46.9</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7.2</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418.6</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36830</wp:posOffset>
            </wp:positionV>
            <wp:extent cx="8401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83.9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87.0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189.2</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111.2</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64.1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44450</wp:posOffset>
            </wp:positionV>
            <wp:extent cx="8401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17" w:right="35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76,940 and 75,120 shares issued and</w:t>
            </w: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2023 and 2022</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7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9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3.6</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37.9</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72.4</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84.0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427.3</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341.7</w:t>
      </w:r>
    </w:p>
    <w:p>
      <w:pPr>
        <w:spacing w:after="0" w:line="8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69850</wp:posOffset>
            </wp:positionV>
            <wp:extent cx="8401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ectPr>
          <w:pgSz w:w="11900" w:h="16838" w:orient="portrait"/>
          <w:cols w:equalWidth="0" w:num="2">
            <w:col w:w="10040" w:space="720"/>
            <w:col w:w="460"/>
          </w:cols>
          <w:pgMar w:left="320" w:top="117" w:right="359" w:bottom="144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379.6</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7"/>
        </w:trPr>
        <w:tc>
          <w:tcPr>
            <w:tcW w:w="7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r>
      <w:tr>
        <w:trPr>
          <w:trHeight w:val="22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gains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7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2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 Attributable to</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8"/>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1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64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7046595"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46595" cy="17970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265"/>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48,853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common stock upon initial public offering</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8,338</w:t>
            </w:r>
          </w:p>
        </w:tc>
        <w:tc>
          <w:tcPr>
            <w:tcW w:w="320" w:type="dxa"/>
            <w:vAlign w:val="bottom"/>
          </w:tcPr>
          <w:p>
            <w:pPr>
              <w:spacing w:after="0"/>
              <w:rPr>
                <w:sz w:val="23"/>
                <w:szCs w:val="23"/>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2,322</w:t>
            </w:r>
          </w:p>
        </w:tc>
        <w:tc>
          <w:tcPr>
            <w:tcW w:w="320" w:type="dxa"/>
            <w:vAlign w:val="bottom"/>
          </w:tcPr>
          <w:p>
            <w:pPr>
              <w:spacing w:after="0"/>
              <w:rPr>
                <w:sz w:val="23"/>
                <w:szCs w:val="23"/>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647</w:t>
            </w:r>
          </w:p>
        </w:tc>
        <w:tc>
          <w:tcPr>
            <w:tcW w:w="320" w:type="dxa"/>
            <w:vAlign w:val="bottom"/>
          </w:tcPr>
          <w:p>
            <w:pPr>
              <w:spacing w:after="0"/>
              <w:rPr>
                <w:sz w:val="15"/>
                <w:szCs w:val="15"/>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Class A common stock surrendered for employees’ tax liability upon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spacing w:after="0"/>
              <w:rPr>
                <w:sz w:val="16"/>
                <w:szCs w:val="16"/>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Conversion of Series A redeemable convertible preferred stock to Class A</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6"/>
                <w:szCs w:val="16"/>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8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Conversion of Series A redeemable convertible preferred stock to Class A</w:t>
            </w: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tcPr>
          <w:p>
            <w:pPr>
              <w:spacing w:after="0"/>
              <w:rPr>
                <w:sz w:val="15"/>
                <w:szCs w:val="15"/>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upon initial public offering</w:t>
            </w:r>
          </w:p>
        </w:tc>
        <w:tc>
          <w:tcPr>
            <w:tcW w:w="8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-1233805</wp:posOffset>
            </wp:positionV>
            <wp:extent cx="704659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-796925</wp:posOffset>
            </wp:positionV>
            <wp:extent cx="7046595"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-265430</wp:posOffset>
            </wp:positionV>
            <wp:extent cx="704659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Repurchase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34290</wp:posOffset>
            </wp:positionV>
            <wp:extent cx="704659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0.6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r>
      <w:tr>
        <w:trPr>
          <w:trHeight w:val="270"/>
        </w:trPr>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70"/>
        </w:trPr>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18"/>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8"/>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418"/>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0"/>
        </w:trPr>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36" w:lineRule="exact"/>
        <w:rPr>
          <w:sz w:val="20"/>
          <w:szCs w:val="20"/>
          <w:color w:val="auto"/>
        </w:rPr>
      </w:pPr>
    </w:p>
    <w:p>
      <w:pPr>
        <w:sectPr>
          <w:pgSz w:w="11900" w:h="16838" w:orient="portrait"/>
          <w:cols w:equalWidth="0" w:num="2">
            <w:col w:w="8360" w:space="600"/>
            <w:col w:w="2220"/>
          </w:cols>
          <w:pgMar w:left="320" w:top="117" w:right="399" w:bottom="1440" w:gutter="0" w:footer="0" w:header="0"/>
          <w:type w:val="continuous"/>
        </w:sectPr>
      </w:pP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Repurchase of early exercised stock options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Repurchase of Class F common stock</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ind w:left="981" w:hanging="801"/>
        <w:spacing w:after="0"/>
        <w:tabs>
          <w:tab w:leader="none" w:pos="9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981" w:hanging="891"/>
        <w:spacing w:after="0"/>
        <w:tabs>
          <w:tab w:leader="none" w:pos="9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34290</wp:posOffset>
            </wp:positionV>
            <wp:extent cx="704659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43" w:lineRule="exact"/>
        <w:rPr>
          <w:sz w:val="20"/>
          <w:szCs w:val="20"/>
          <w:color w:val="auto"/>
        </w:rPr>
      </w:pPr>
    </w:p>
    <w:p>
      <w:pPr>
        <w:ind w:left="981" w:hanging="981"/>
        <w:spacing w:after="0"/>
        <w:tabs>
          <w:tab w:leader="none" w:pos="9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34290</wp:posOffset>
            </wp:positionV>
            <wp:extent cx="704659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377190</wp:posOffset>
            </wp:positionV>
            <wp:extent cx="704659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465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0"/>
        </w:trPr>
        <w:tc>
          <w:tcPr>
            <w:tcW w:w="15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97"/>
        </w:trPr>
        <w:tc>
          <w:tcPr>
            <w:tcW w:w="15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92"/>
              </w:rPr>
              <w:t>(0.1)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45" w:lineRule="exact"/>
        <w:rPr>
          <w:sz w:val="20"/>
          <w:szCs w:val="20"/>
          <w:color w:val="auto"/>
        </w:rPr>
      </w:pPr>
    </w:p>
    <w:p>
      <w:pPr>
        <w:sectPr>
          <w:pgSz w:w="11900" w:h="16838" w:orient="portrait"/>
          <w:cols w:equalWidth="0" w:num="3">
            <w:col w:w="5419" w:space="720"/>
            <w:col w:w="2021" w:space="720"/>
            <w:col w:w="2300"/>
          </w:cols>
          <w:pgMar w:left="320" w:top="117" w:right="399" w:bottom="1440" w:gutter="0" w:footer="0" w:header="0"/>
          <w:type w:val="continuous"/>
        </w:sectPr>
      </w:pPr>
    </w:p>
    <w:tbl>
      <w:tblPr>
        <w:tblLayout w:type="fixed"/>
        <w:tblInd w:w="100" w:type="dxa"/>
        <w:tblCellMar>
          <w:top w:w="0" w:type="dxa"/>
          <w:left w:w="0" w:type="dxa"/>
          <w:bottom w:w="0" w:type="dxa"/>
          <w:right w:w="0" w:type="dxa"/>
        </w:tblCellMar>
      </w:tblPr>
      <w:tr>
        <w:trPr>
          <w:trHeight w:val="26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66,722</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5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units</w:t>
            </w: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common stock for business combination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75,120</w:t>
            </w:r>
          </w:p>
        </w:tc>
        <w:tc>
          <w:tcPr>
            <w:tcW w:w="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-1773555</wp:posOffset>
            </wp:positionV>
            <wp:extent cx="704659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-1336675</wp:posOffset>
            </wp:positionV>
            <wp:extent cx="7046595"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-899795</wp:posOffset>
            </wp:positionV>
            <wp:extent cx="704659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-556895</wp:posOffset>
            </wp:positionV>
            <wp:extent cx="704659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46595"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-213995</wp:posOffset>
            </wp:positionV>
            <wp:extent cx="7046595"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4659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257.6</w:t>
            </w:r>
          </w:p>
        </w:tc>
      </w:tr>
      <w:tr>
        <w:trPr>
          <w:trHeight w:val="270"/>
        </w:trPr>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419"/>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0"/>
        </w:trPr>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97"/>
        </w:trPr>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(1.4)</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r>
      <w:tr>
        <w:trPr>
          <w:trHeight w:val="20"/>
        </w:trPr>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-7620</wp:posOffset>
            </wp:positionV>
            <wp:extent cx="634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520"/>
            <w:col w:w="2300"/>
          </w:cols>
          <w:pgMar w:left="320" w:top="11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75,120</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427.3</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341.7</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92"/>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3"/>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76,940</w:t>
            </w:r>
          </w:p>
        </w:tc>
        <w:tc>
          <w:tcPr>
            <w:tcW w:w="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(0.3)</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366.9</w:t>
            </w:r>
          </w:p>
        </w:tc>
      </w:tr>
      <w:tr>
        <w:trPr>
          <w:trHeight w:val="21"/>
        </w:trPr>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117" w:right="33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 related to earnouts</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combination, net of cash acquired</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repayment of subordinated promissory notes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Series A redeemable convertible preferred stock</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initial public offering, net of underwriting discounts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1"/>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commissions</w:t>
            </w:r>
          </w:p>
        </w:tc>
        <w:tc>
          <w:tcPr>
            <w:tcW w:w="2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offering costs related to initial public offering</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stock options</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36"/>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6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100"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10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82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recorded in accounts payable and accrued expenses and other</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Offering costs related to initial public offering not yet paid</w:t>
            </w:r>
          </w:p>
        </w:tc>
        <w:tc>
          <w:tcPr>
            <w:tcW w:w="78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82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78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38"/>
        </w:trPr>
        <w:tc>
          <w:tcPr>
            <w:tcW w:w="744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its Significant Accounting Policies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The consolidated financial statements include the accounts of the Company and its wholly-owned subsidiaries. All intercompany transactions and balances have been eliminated in consolidation. Certain comparative amounts for the prior fiscal year have been reclassified to conform to the financial statement presentation as of and for the year ended December 31, 2023.</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Segments—</w:t>
      </w:r>
      <w:r>
        <w:rPr>
          <w:rFonts w:ascii="Times New Roman" w:cs="Times New Roman" w:eastAsia="Times New Roman" w:hAnsi="Times New Roman"/>
          <w:sz w:val="18"/>
          <w:szCs w:val="18"/>
          <w:color w:val="auto"/>
        </w:rPr>
        <w:t>Operating segments are defined as components of an enterprise for which discrete financial information is available that is reviewed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regularly by the Chief Operating Decision Maker (CODM) in deciding how to allocate resources and in assessing performance. The Company’s CODM is its Chief Executive Officer, who reviews financial information presented on a consolidated basis for purposes of allocating resources and evaluating financial performance. As a result, the Company has concluded that it has one operating segment. Significantly all of the Company’s revenue in 2023, 2022 and 2021 was from customers located in the United States. Significantly all of the Company’s long-lived assets as of December 31, 2023 and 2022 were located in the United States.</w:t>
      </w:r>
    </w:p>
    <w:p>
      <w:pPr>
        <w:spacing w:after="0" w:line="12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Significant estimates and assumptions made by management include determination of stock-based compensation, valuation of embedded derivative, capitalization of software development costs, valuation of contingent consideration, valuation of goodwill and intangible assets, determination of associated useful lives of intangible assets and valuation of deferred tax assets. Management bases its estimates on historical experience and also on assumptions that it believes are reasonable.</w:t>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Concentrations of Credit Risk—</w:t>
      </w:r>
      <w:r>
        <w:rPr>
          <w:rFonts w:ascii="Times New Roman" w:cs="Times New Roman" w:eastAsia="Times New Roman" w:hAnsi="Times New Roman"/>
          <w:sz w:val="18"/>
          <w:szCs w:val="18"/>
          <w:color w:val="auto"/>
        </w:rPr>
        <w:t>Financial instruments that potentially subject the Company to concentrations of credit risk consist primarily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While the Company deposits cash and cash equivalents with high credit quality financial institutions, including First Citizens Bank &amp; Trust Company (through its Silicon Valley Bank division), HSBC and JPMorgan Chase Bank, N.A., to lessen the Company’s exposure, such cash deposits may exceed federally insured limits at these financial institutions. To mitigate the risk associated with deposits exceeding federally insured limits, the Company manages exposure by utilizing deposit accounts which include sweep features to third-party money market funds, with total money market funds of $89.8 million and $75.4 million as of December 31, 2023 and 2022, respectively. Based on these facts, collectability of bank balances appears to be adequately assured.</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one customer which accounted for 14% of total accounts receivable as of December 31, 2023, and two customers which accounted for 15% and 12% of total accounts receivable as of December 31, 2022. The Company had two customers which accounted for 13% and 11% of revenue in 2023, one customer which accounted for 12% of revenue in 2022, and no customer which accounted for more than 10% of revenue in 2021. Under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Company’s customers are considered to be financial services providers (e.g., banks, credit card issuers, lenders, investment brokers and other entities) that seek to reach and receive leads, matches and referrals to the Company’s substantial audience of consumers (including SMBs) in exchange for agreed-upon fees.</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Transactions—</w:t>
      </w:r>
      <w:r>
        <w:rPr>
          <w:rFonts w:ascii="Times New Roman" w:cs="Times New Roman" w:eastAsia="Times New Roman" w:hAnsi="Times New Roman"/>
          <w:sz w:val="18"/>
          <w:szCs w:val="18"/>
          <w:color w:val="auto"/>
        </w:rPr>
        <w:t>The functional currency of the Company’s foreign subsidiaries is the respective local currency. All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on the consolidated statement of comprehensive income (loss), and in effect of exchange rate changes on cash and cash equivalents on the consolidated statement of cash flows. Transaction gains and losses including intercompany transactions denominated in a currency other than the functional currency of the entity involved are included in other gains (losses), net on our consolidated statement of operations and were immaterial for all periods presented.</w:t>
      </w:r>
    </w:p>
    <w:p>
      <w:pPr>
        <w:spacing w:after="0" w:line="12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Cash and cash equivalents include on demand deposits and money market funds with banks that have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maturities at the date of purchase of less than 90 days.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The Company determines fair value based upon the exit price that would be received to sell an asset or paid to transfer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hierarchy gives the highest priority to Level 1 inputs.</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quoted prices included within Level 1, including quoted prices for similar assets or liabilities in active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that are not active; and inputs other than quoted prices that are observable or are derived principally from, or corroborated by, observable market data by correlation or other means.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 inputs.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among Level 1, Level 2 and Level 3 classifications as of the actual date of the events or change in circumstances that caused the transfers.</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Trade Accounts Receivable</w:t>
      </w:r>
      <w:r>
        <w:rPr>
          <w:rFonts w:ascii="Times New Roman" w:cs="Times New Roman" w:eastAsia="Times New Roman" w:hAnsi="Times New Roman"/>
          <w:sz w:val="18"/>
          <w:szCs w:val="18"/>
          <w:color w:val="auto"/>
        </w:rPr>
        <w:t>—Trade accounts receivable are recorded at the invoiced amount or amounts due from customers via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at the end of each month. Invoiced amounts do not bear interest. The Company generally does not require collateral or other security in support of accounts receivable. Accounts receivable are past due when they are outstanding longer than the contractual payment terms. The Company determines an allowance for credit losses by considering available information, including the length of time accounts receivable are past due, previous loss history, and reasonable and supportable expectations regarding the specific customer’s ability to pay its financial obligations. If the Company becomes aware of changes in circumstances that are indicative of a customer’s inability to meet its financial obligations, such as in the case of bankruptcy, deterioration in operating results or changes in financial position, estimates of the allowance for credit losses are further adjusted. The allowance for doubtful accounts was $1.3 million and $1.4 million as of December 31, 2023 and 2022, respectively. The Company does not have any off-balance-sheet credit exposure related to its customers.</w:t>
      </w:r>
    </w:p>
    <w:p>
      <w:pPr>
        <w:spacing w:after="0" w:line="13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Property, Equipment, and Software, Net</w:t>
      </w:r>
      <w:r>
        <w:rPr>
          <w:rFonts w:ascii="Times New Roman" w:cs="Times New Roman" w:eastAsia="Times New Roman" w:hAnsi="Times New Roman"/>
          <w:sz w:val="18"/>
          <w:szCs w:val="18"/>
          <w:color w:val="auto"/>
        </w:rPr>
        <w:t>—Property, equipment, and software are stated at cost, less accumulated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 of operations.</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Capitalized Software Development Costs</w:t>
      </w:r>
      <w:r>
        <w:rPr>
          <w:rFonts w:ascii="Times New Roman" w:cs="Times New Roman" w:eastAsia="Times New Roman" w:hAnsi="Times New Roman"/>
          <w:sz w:val="18"/>
          <w:szCs w:val="18"/>
          <w:color w:val="auto"/>
        </w:rPr>
        <w:t>—The costs incurred in the preliminary stages of website and software development are expensed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is included within cost of revenue in the consolidated statement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—The Company recognizes identifiable assets acquired and liabilities assumed at their acquisition date fair value. Goodwill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 of operations. As of December 31, 2023, the Company has not recorded material measurement period adjustments in connection with its business combinations.</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Contingent Consideration</w:t>
      </w:r>
      <w:r>
        <w:rPr>
          <w:rFonts w:ascii="Times New Roman" w:cs="Times New Roman" w:eastAsia="Times New Roman" w:hAnsi="Times New Roman"/>
          <w:sz w:val="18"/>
          <w:szCs w:val="18"/>
          <w:color w:val="auto"/>
        </w:rPr>
        <w:t>—The fair value measurements of contingent consideration liabilities established in connection with business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determined as of the acquisition date based on significant unobservable inputs, including forecasted revenues and costs of the acquired companies, the probability of meeting certain revenue or earnings targets defined in the merger agreements, and the discount rate. Contingent consideration liabilities were remeasured to fair value at each subsequent reporting date until the related contingency was resolved, with the remeasurement adjustment reported in the consolidated statement of operations. Changes to the fair value of the contingent consideration liabilities resulted from changes to one or a number of inputs, including discount rates, the probabilities of achieving the milestones, the time required to achieve the milestones and estimated future sales. Significant judgment was employed in determining the appropriateness of these inputs.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—The Company evaluates goodwill for impairment annually or more frequently when an event occurs or circumstances change that indicate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carrying value may not be recoverable. The Company may elect to utilize a qualitative assessment to evaluate whether it is more likely than not that the fair value of a reporting unit is less than its carrying value and if so, the quantitative test is performed. Under the qualitative assessment, factors that are considered include industry and market considerations, overall financial performance and other relevant events and factors affecting the reporting unit. Under the quantitative test, the Company first compares the carrying value of each reporting unit to its estimated fair value and if the fair value is determined to be less than the carrying value, we recognize an impairment loss for the difference.</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Intangible Assets</w:t>
      </w:r>
      <w:r>
        <w:rPr>
          <w:rFonts w:ascii="Times New Roman" w:cs="Times New Roman" w:eastAsia="Times New Roman" w:hAnsi="Times New Roman"/>
          <w:sz w:val="18"/>
          <w:szCs w:val="18"/>
          <w:color w:val="auto"/>
        </w:rPr>
        <w:t>—Intangible assets include acquired intangible assets identified through business combinations, which are carried at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 of operations. Intangible assets are reviewed for impairment whenever events or changes in circumstances indicate that the carrying amount of the asset may not be recoverable.</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—The Company reviews long-lived assets, including property and equipment, capitalized software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intangible assets and right-of-use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w:t>
      </w:r>
    </w:p>
    <w:p>
      <w:pPr>
        <w:spacing w:after="0" w:line="12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generates substantially all its revenue through fees paid by its financial services partners in the form of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per action, revenue per click, revenue per lead and revenue per funded loan arrangements. For these revenue arrangements, in which a partner pays only when a consumer satisfies the criteria set forth within the arrangement, revenue is recognized generally when the Company matches the consumer with the financial services partner. For some of the Company’s arrangements, the transaction price is considered variable and an estimate of the transaction price is recorded when the match occurs.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revenue recognition guidance, revenue is recognized when performance obligations under the terms of a contract with a customer are satisfied and promised goods and services have transferred to the customer, in an amount that reflects the consideration the Company expects to be entitled to in exchange for those goods or services.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revenue generated from revenue per action or revenue per funded loan arrangements in which fees are earned from customers for approved actions such as when credit cards are issued to consumers or when loans to consumers are funded, the Company’s contractual right to fees is not contemporaneous with the satisfaction of the performance obligation to match the consumer with the customer. As such, the Company records a contract asset at the end of each reporting period related to the estimated variable consideration on fees for which the Company has satisfied the related performance obligation but are still pending the financial product approval before the Company has a contractual right to payment. This estimate is based on the Company’s historical closing rates and historical time between when a consumer request for a financial product is delivered to the customer and when the financial product is approved by the customer. The time between satisfaction of the Company’s performance obligation and when the Company’s right to consideration becomes unconditional is generally less than 90 days and no significant judgment is required in determining whether the estimate of variable consideration should be constrained. The Company records a deferred revenue liability for fees received related to unsatisfied performance obligations at the end of each reporting period, with the performance obligations expected to be satisfied in the following reporting period.</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revenue generated from revenue per lead or revenue per click in which fees are earned from customers when a consumer clicks on a tagged link to the customer’s website or lead is delivered to the customer, the Company’s contractual right to fees is contemporaneous with the satisfaction of the performance obligation to match the consumer with the customer. The Company’s services are generally transferred to the customer at a point in time, when the performance obligation is met.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payment terms vary by customer and verticals. The term between invoicing and when payment is due is generally 30 days or less.</w:t>
      </w:r>
    </w:p>
    <w:p>
      <w:pPr>
        <w:spacing w:after="0" w:line="16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Cost of Revenue</w:t>
      </w:r>
      <w:r>
        <w:rPr>
          <w:rFonts w:ascii="Times New Roman" w:cs="Times New Roman" w:eastAsia="Times New Roman" w:hAnsi="Times New Roman"/>
          <w:sz w:val="18"/>
          <w:szCs w:val="18"/>
          <w:color w:val="auto"/>
        </w:rPr>
        <w:t>—Cost of revenue consists primarily of amortization expense associated with capitalized software development costs and developed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credit scoring fees and account linking fees; and third-party data center costs.</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—Research and development expenses primarily consist of personnel related costs, technology and facility-related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and contractor expense for our engineering, product management, data and other personnel engaged in maintaining and enhancing the functionality of our platform. Research and development costs are expensed as incurred.</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color w:val="auto"/>
        </w:rPr>
        <w:t>—Sales and marketing expenses include advertising and promotion costs, costs related to brand campaign fees,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operations team and editorial personnel and related costs, including stock-based compensation. Advertising is expensed as incurred. Advertising expense was $294.7 million, $278.9 million, and $197.3 million for 2023, 2022 and 2021, respectively.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—The Company leases real estate facilities and general office equipment under operating leases expiring at various dates through 2029.</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right-of-use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 of operations.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Nonlease components that are not fixed are expensed as incurred as variable lease payments. The Company’s lease agreements generally do not contain any residual guarantees or restrictive covenants.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Operating and finance leases are included in other assets, accrued expenses and other current liabilities, and other liabilities-noncurrent in the consolidated balance sheets.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measures compensation expense for all stock-based payment awards granted to employees,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nonemployees, including restricted stock units (RSUs), stock options and purchase rights granted under its employee stock purchase plan (ESPP), based on the estimated fair value of the awards on the date of grant. For RSUs, fair value is based on the fair value of our common stock on the grant date. For stock options, fair value is estimated using the Black-Scholes-Merton option-pricing model. For purchase rights granted under its ESPP, the Company estimates fair value using the component measurement approach with valuations of the components based on the Company’s stock price on the date of the grant and/or the Black-Scholes-Merton option-pricing model, as appropriate for the applicable components. Stock-based compensation is recognized on a straight-line basis over the requisite service period. The requisite service period of the awards is generally the same as the vesting period. The Company recognizes forfeitures as they occur for equity awards with only a service condition.</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accounts for income taxes under an asset and liability approach. Deferred income taxes reflect the impact of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Comprehensive Income (Loss)</w:t>
      </w:r>
      <w:r>
        <w:rPr>
          <w:rFonts w:ascii="Times New Roman" w:cs="Times New Roman" w:eastAsia="Times New Roman" w:hAnsi="Times New Roman"/>
          <w:sz w:val="18"/>
          <w:szCs w:val="18"/>
          <w:color w:val="auto"/>
        </w:rPr>
        <w:t>—Comprehensive income (loss) is defined as a change in equity resulting from transactions from non-owner sources.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(loss) is comprised of all components of net income (loss) and all components of other comprehensive income (loss) within stockholders’ equity. Other comprehensive income (loss) includes adjustments for foreign currency translation.</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Subsequent Events</w:t>
      </w:r>
      <w:r>
        <w:rPr>
          <w:rFonts w:ascii="Times New Roman" w:cs="Times New Roman" w:eastAsia="Times New Roman" w:hAnsi="Times New Roman"/>
          <w:sz w:val="18"/>
          <w:szCs w:val="18"/>
          <w:color w:val="auto"/>
        </w:rPr>
        <w:t>—The Company evaluated subsequent events through February 20, 2024, the date its consolidated financial statements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w:t>
      </w:r>
    </w:p>
    <w:p>
      <w:pPr>
        <w:spacing w:after="0" w:line="10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JOBS Act Accounting Election</w:t>
      </w:r>
      <w:r>
        <w:rPr>
          <w:rFonts w:ascii="Times New Roman" w:cs="Times New Roman" w:eastAsia="Times New Roman" w:hAnsi="Times New Roman"/>
          <w:sz w:val="18"/>
          <w:szCs w:val="18"/>
          <w:color w:val="auto"/>
        </w:rPr>
        <w:t>—The Company qualifies as an “emerging growth company” (EGC) as defined in the JOBS Act, and, as such,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elect to delay adopting new or revised accounting standards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As a result, the Company’s financial condition and results of operations within its consolidated financial statements may not be comparable to those of other companies that have adopted new or revised accounting standards at an earlier date.</w:t>
      </w:r>
    </w:p>
    <w:p>
      <w:pPr>
        <w:spacing w:after="0" w:line="12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r>
        <w:rPr>
          <w:rFonts w:ascii="Times New Roman" w:cs="Times New Roman" w:eastAsia="Times New Roman" w:hAnsi="Times New Roman"/>
          <w:sz w:val="18"/>
          <w:szCs w:val="18"/>
          <w:color w:val="auto"/>
        </w:rPr>
        <w:t>—In November 2023, the FASB issued ASU No.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which is intended to improve reportable segment disclosure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through enhanced disclosures about significant segment expenses. The guidance in ASU 2023-07 will be required to be applied for the year ending December 31, 2024 and for the interim periods within the following year ending December 31, 2025. Early adoption is permitted. The guidance is to be applied retrospectively to all prior periods presented in the financial statements.</w:t>
      </w:r>
    </w:p>
    <w:p>
      <w:pPr>
        <w:spacing w:after="0" w:line="1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addresses investor requests for more transparency about income tax information through improvements to income tax disclosures primarily related to the income tax rate reconciliation and income taxes paid information. The guidance in ASU 2023-09 is effective on an annual basis and will be required to be applied for the year ending December 31, 2025 for public business entities, or the year ending December 31, 2026 for EGCs under the JOBS Act accounting election. Early adoption is permitted for annual financial statements that have not yet been issued or made available for issuance. The guidance should be applied on a prospective basis, but retrospective application is permitted.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Given the disclosure focus of both ASU 2023-07 and ASU 2023-09, the applications of these new standards will not have an effect on the Company’s financial position and results of operations in its consolidated financial statements.</w:t>
      </w:r>
    </w:p>
    <w:p>
      <w:pPr>
        <w:spacing w:after="0" w:line="104"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consolidated balance sheet related to estimated variable consideration was $5.5 million and $5.8 million as of December 31, 2023 and 2022, respectively.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Credit cards revenue is primarily generated through revenue per action arrangements. Loans revenue is primarily generated through revenue per funded loan and revenue per lead arrangements. SMB products revenue is primarily generated through revenue per funded loan, revenue per action and revenue per lead arrangements. Emerging verticals revenue is primarily generated through revenue per click, revenue per action and revenue per lead arrangements.</w:t>
      </w:r>
    </w:p>
    <w:p>
      <w:pPr>
        <w:spacing w:after="0" w:line="12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by level, within the fair value hierarchy are summarized as follows: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36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00" w:type="dxa"/>
            <w:vAlign w:val="bottom"/>
          </w:tcPr>
          <w:p>
            <w:pPr>
              <w:spacing w:after="0"/>
              <w:rPr>
                <w:sz w:val="14"/>
                <w:szCs w:val="14"/>
                <w:color w:val="auto"/>
              </w:rPr>
            </w:pPr>
          </w:p>
        </w:tc>
      </w:tr>
      <w:tr>
        <w:trPr>
          <w:trHeight w:val="175"/>
        </w:trPr>
        <w:tc>
          <w:tcPr>
            <w:tcW w:w="3700" w:type="dxa"/>
            <w:vAlign w:val="bottom"/>
          </w:tcPr>
          <w:p>
            <w:pPr>
              <w:spacing w:after="0"/>
              <w:rPr>
                <w:sz w:val="15"/>
                <w:szCs w:val="15"/>
                <w:color w:val="auto"/>
              </w:rPr>
            </w:pPr>
          </w:p>
        </w:tc>
        <w:tc>
          <w:tcPr>
            <w:tcW w:w="336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9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5"/>
        </w:trPr>
        <w:tc>
          <w:tcPr>
            <w:tcW w:w="3700" w:type="dxa"/>
            <w:vAlign w:val="bottom"/>
          </w:tcPr>
          <w:p>
            <w:pPr>
              <w:spacing w:after="0"/>
              <w:rPr>
                <w:sz w:val="15"/>
                <w:szCs w:val="15"/>
                <w:color w:val="auto"/>
              </w:rPr>
            </w:pPr>
          </w:p>
        </w:tc>
        <w:tc>
          <w:tcPr>
            <w:tcW w:w="3360" w:type="dxa"/>
            <w:vAlign w:val="bottom"/>
          </w:tcPr>
          <w:p>
            <w:pPr>
              <w:jc w:val="center"/>
              <w:ind w:left="180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9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36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7"/>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tcPr>
          <w:p>
            <w:pPr>
              <w:spacing w:after="0"/>
              <w:rPr>
                <w:sz w:val="20"/>
                <w:szCs w:val="20"/>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4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p>
        </w:tc>
        <w:tc>
          <w:tcPr>
            <w:tcW w:w="1140" w:type="dxa"/>
            <w:vAlign w:val="bottom"/>
            <w:gridSpan w:val="3"/>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4560" w:type="dxa"/>
            <w:vAlign w:val="bottom"/>
          </w:tcPr>
          <w:p>
            <w:pPr>
              <w:spacing w:after="0"/>
              <w:rPr>
                <w:sz w:val="24"/>
                <w:szCs w:val="24"/>
                <w:color w:val="auto"/>
              </w:rPr>
            </w:pPr>
          </w:p>
        </w:tc>
        <w:tc>
          <w:tcPr>
            <w:tcW w:w="13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liabilities previously consisted entirely of contingent consideration, and the changes in fair values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6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Contingent consideration liabilities related to acquisitions were measured at fair value each reporting period using Level 3 unobservable inputs. The contingent consideration liability was the estimated fair value of the earnout payments for the Fundera, Inc. (Fundera) and Know Your Money (KYM) business combinations in 2020.</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Fundera’s revenue and profitability milestones for 2022 were achieved and the contingent consideration liability was recorded at the full payout amount, with the contingent consideration liability paid in full during 2023. The fair values of the estimated contingent considerations were previously determined based on the Company’s evaluation of the probability and amount of earnout that would be achieved based on expected future performance by the acquired entity.</w:t>
      </w:r>
    </w:p>
    <w:p>
      <w:pPr>
        <w:spacing w:after="0" w:line="122"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Consolidated Balance Sheet Components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capitalized $34.0 million, $34.1 million and $24.2 million of software development costs, and recorded amortization expense of $28.9 million, $22.1 million and $16.7 million, during 2023, 2022 and 2021, respectively. Losses on disposal related to software development costs were $0.8 million for 2021, with no losses in 2023 or 2022.</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exclusive of amortization of capitalized software development costs and intangible assets, was $2.3 million, $1.9 million and $2.4 million in 2023, 2022 and 2021, respectively.</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 related to earnouts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Other liabilities—noncurrent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liability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85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liabilities—noncurrent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On the Barrelhead, Inc.</w:t>
      </w:r>
      <w:r>
        <w:rPr>
          <w:rFonts w:ascii="Times New Roman" w:cs="Times New Roman" w:eastAsia="Times New Roman" w:hAnsi="Times New Roman"/>
          <w:sz w:val="18"/>
          <w:szCs w:val="18"/>
          <w:color w:val="auto"/>
        </w:rPr>
        <w:t>—On July 11, 2022, the Company completed the acquisition of On the Barrelhead, Inc. (OTB), a data-driven platform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consumers and SMBs with credit-driven product recommendations. The Company completed the acquisition of OTB under an Agreement and Plan of Merger and Reorganization.</w:t>
      </w:r>
    </w:p>
    <w:p>
      <w:pPr>
        <w:sectPr>
          <w:pgSz w:w="11900" w:h="16838" w:orient="portrait"/>
          <w:cols w:equalWidth="0" w:num="1">
            <w:col w:w="11240"/>
          </w:cols>
          <w:pgMar w:left="320" w:top="171" w:right="3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Consideration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purchase consideration consisted of the following:</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3"/>
          <w:szCs w:val="23"/>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consideration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amounts considered separate from the business combination and attributable to post-combination expense</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115" w:lineRule="exact"/>
        <w:rPr>
          <w:sz w:val="20"/>
          <w:szCs w:val="20"/>
          <w:color w:val="auto"/>
        </w:rPr>
      </w:pPr>
    </w:p>
    <w:p>
      <w:pPr>
        <w:ind w:left="925" w:hanging="925"/>
        <w:spacing w:after="0"/>
        <w:tabs>
          <w:tab w:leader="none" w:pos="9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w:t>
      </w:r>
    </w:p>
    <w:p>
      <w:pPr>
        <w:spacing w:after="0" w:line="63" w:lineRule="exact"/>
        <w:rPr>
          <w:rFonts w:ascii="Times New Roman" w:cs="Times New Roman" w:eastAsia="Times New Roman" w:hAnsi="Times New Roman"/>
          <w:sz w:val="18"/>
          <w:szCs w:val="18"/>
          <w:color w:val="auto"/>
        </w:rPr>
      </w:pPr>
    </w:p>
    <w:p>
      <w:pPr>
        <w:ind w:left="9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118.9</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(0.7)</w:t>
      </w:r>
    </w:p>
    <w:p>
      <w:pPr>
        <w:spacing w:after="0" w:line="32" w:lineRule="exact"/>
        <w:rPr>
          <w:sz w:val="20"/>
          <w:szCs w:val="20"/>
          <w:color w:val="auto"/>
        </w:rPr>
      </w:pPr>
    </w:p>
    <w:p>
      <w:pPr>
        <w:ind w:left="845" w:hanging="845"/>
        <w:spacing w:after="0"/>
        <w:tabs>
          <w:tab w:leader="none" w:pos="84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8401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215" w:space="720"/>
            <w:col w:w="1305"/>
          </w:cols>
          <w:pgMar w:left="320" w:top="171" w:right="339" w:bottom="1440" w:gutter="0" w:footer="0" w:header="0"/>
          <w:type w:val="continuous"/>
        </w:sectPr>
      </w:pPr>
    </w:p>
    <w:p>
      <w:pPr>
        <w:spacing w:after="0" w:line="176"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$12.2 million of cash which was deposited in escrow for the settlement of breaches, if any, of certain representations, warranties, agreements and covenants.</w:t>
      </w:r>
    </w:p>
    <w:p>
      <w:pPr>
        <w:spacing w:after="0" w:line="27"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59"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fair value of 4.9 million shares issued of the Company’s Class A common stock based on the closing price of the stock on the acquisition date of July 11, 2022, which was $8.75 per share.</w:t>
      </w: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the additional fair value of unvested OTB option awards discretionally accelerated by the Company and attributable to post-combination expense.</w:t>
      </w:r>
    </w:p>
    <w:p>
      <w:pPr>
        <w:spacing w:after="0" w:line="16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Half of the stock consideration is subject to a lockup arrangement whereby such shares may not be sold or otherwise transferred prior to expiration of the 24-month period following the acquisition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 Agreements and Inducement Awards</w:t>
      </w:r>
    </w:p>
    <w:p>
      <w:pPr>
        <w:spacing w:after="0" w:line="17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closing of the acquisition, the Company provided employment offer letters to OTB’s employees, including compensatory retention agreements with the co-founders of OTB which could result in up to $15.0 million of cash awards. Cash awards under these retention agreements are payable in equal installments on the first, second and third anniversary dates of the closing of the acquisition. Also concurrently with the closing of the acquisition, the Compensation Committee of the Company’s Board of Directors granted RSU awards under the NerdWallet, Inc. 2022 Inducement Equity Incentive Plan (the Inducement Plan) to employees of OTB who were offered employment with the Company, which RSU awards had an aggregate grant date fair value on the acquisition date of $17.5 million, including $12.8 million of RSU awards to the co-founders of OTB, $2.3 million of RSU awards to six non-management employees of OTB and $2.4 million of RSU awards to all fourteen employees of OTB. The $12.8 million of RSU awards to the co-founders of OTB will generally vest in full upon the third anniversary of the closing of the acquisition. The $2.3 million of RSU awards to non-management employees of OTB will vest annually over four years, with 20% of the RSUs subject to vest on each of the first, second and third annual vesting dates and the remaining 40% of the RSUs subject to vest on the fourth annual vesting date. The $2.4 million of RSU awards granted to all employees of OTB will generally vest over four years subject to a one-year cliff and quarterly vesting thereafter. RSU awards under the Inducement Plan are subject to the conditions of the Inducement Plan and the terms and conditions of the grant agreements covering such awards. Compensation expenses under these employment offer letters and vesting of awards under these retention agreements and Inducement Plan are generally subject to the employees’ continued employment with the Company, and the fair value of such compensation and awards are excluded from the purchase price and accounted for separately from the business combination. The value of cash awards under these retention agreements are recognized as compensation expense ratably over the three-year period following the close of the acquisition. The value of RSU awards under the Inducement Plan are recognized as stock-based compensation ratably over the respective vesting terms of the awards.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Accounting</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allocation of purchase consideration to the assets acquired and liabilities assumed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3"/>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r>
      <w:tr>
        <w:trPr>
          <w:trHeight w:val="24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Assets Acquired</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0"/>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50"/>
        </w:trPr>
        <w:tc>
          <w:tcPr>
            <w:tcW w:w="99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Liabilities Assumed</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7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9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9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9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0"/>
        </w:trPr>
        <w:tc>
          <w:tcPr>
            <w:tcW w:w="9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 Net Assets Acquired</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r>
      <w:tr>
        <w:trPr>
          <w:trHeight w:val="248"/>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acquired intangible assets consist of definite-lived assets with estimated fair values and useful lives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7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83"/>
        </w:trPr>
        <w:tc>
          <w:tcPr>
            <w:tcW w:w="3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intangible assets</w:t>
            </w:r>
          </w:p>
        </w:tc>
        <w:tc>
          <w:tcPr>
            <w:tcW w:w="5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6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acquired intangible assets was determined using the multi-period excess earnings method of the income approach for developed technology, and the replacement cost method for customer relationships.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deferred tax liability of $12.1 million primarily relates to identified intangible assets.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goodwill of $68.1 million, which represents the excess of the purchase consideration over the estimated fair value of the assets acquired, net of the liabilities assumed. The goodwill is primarily attributable to synergies from combining the operations of the Company and OTB, as well as the value ascribed to the knowledge and experience of the OTB co-founders and employees. For income tax purposes, the acquisition is a stock purchase and goodwill is not tax deductible.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Acquisition-related costs of $3.5 million were incurred during 2022, and are included in general and administrative expense on the consolidated statements of operations. Due to the extensive level of integration of OTB’s technology and operations into the Company’s operations following the closing of the acquisition, the Company is not able to quantify the acquisition’s contribution following the closing of the acquisition to the Company’s revenue and operating loss for 2022, as the ability to objectively quantify such amounts would require a significant level of estimation.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years ended December 31, 2022 and 2021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preliminary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respective periods.The unaudited pro forma financial information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583.9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417.7</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1"/>
                <w:szCs w:val="21"/>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(51.7)</w:t>
            </w:r>
          </w:p>
        </w:tc>
      </w:tr>
    </w:tbl>
    <w:p>
      <w:pPr>
        <w:spacing w:after="0" w:line="2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is not intended to present, or be indicative of, what the results of operations would have been for the combined company for the periods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pacing w:after="0" w:line="1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of goodwill, net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of OTB</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1"/>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charges have been recorded for goodwill in 2023, 2022 or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with definite lives related to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23"/>
        </w:trPr>
        <w:tc>
          <w:tcPr>
            <w:tcW w:w="5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 w:type="dxa"/>
            <w:vAlign w:val="bottom"/>
          </w:tcPr>
          <w:p>
            <w:pPr>
              <w:spacing w:after="0"/>
              <w:rPr>
                <w:sz w:val="16"/>
                <w:szCs w:val="16"/>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37"/>
        </w:trPr>
        <w:tc>
          <w:tcPr>
            <w:tcW w:w="55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28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4"/>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20" w:type="dxa"/>
            <w:vAlign w:val="bottom"/>
          </w:tcPr>
          <w:p>
            <w:pPr>
              <w:spacing w:after="0"/>
              <w:rPr>
                <w:sz w:val="17"/>
                <w:szCs w:val="17"/>
                <w:color w:val="auto"/>
              </w:rPr>
            </w:pPr>
          </w:p>
        </w:tc>
        <w:tc>
          <w:tcPr>
            <w:tcW w:w="13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37"/>
        </w:trPr>
        <w:tc>
          <w:tcPr>
            <w:tcW w:w="5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base</w:t>
            </w:r>
          </w:p>
        </w:tc>
        <w:tc>
          <w:tcPr>
            <w:tcW w:w="14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$17.3 million, $13.0 million and $8.0 million in 2023, 2022 and 2021,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amortization expense as of December 31, 2023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9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9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charges have been recorded for intangible assets in 2023, 2022 or 2021.</w:t>
      </w:r>
    </w:p>
    <w:p>
      <w:pPr>
        <w:spacing w:after="0" w:line="167"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Credit Facility</w:t>
      </w:r>
      <w:r>
        <w:rPr>
          <w:rFonts w:ascii="Times New Roman" w:cs="Times New Roman" w:eastAsia="Times New Roman" w:hAnsi="Times New Roman"/>
          <w:sz w:val="18"/>
          <w:szCs w:val="18"/>
          <w:color w:val="auto"/>
        </w:rPr>
        <w:t>—On September 26, 2023, NerdWallet, Inc. and three of its wholly-owned subsidiaries entered into a credit agreement which over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amended (as amended,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the Company and certain of its domestic subsidiaries for general corporate purposes, including acquisitions. The Credit Agreement includes a letter of credit sub-facility in the aggregate amount of $10.0 million and a swingline sub-facility in the aggregate amount of $10.0 million. The Credit Facility is secured by substantially all of the Company’s assets. The Company and each of its material domestic subsidiaries is a guarantor of all of the obligations under the Credit Facility. The Credit Facility matures on September 26, 2028.</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Credit Facility replaced the Company’s prior credit facility under the Amended and Restated Senior Secured Credit Facilities Credit Agreement dated February 19, 2021 between the Company and Silicon Valley Bank, as administrative agent (the Prior Credit Agreement), which was terminated substantially concurrently with the Company’s entering into the Credit Agreement.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charged a commitment fee of between 0.25% and 0.35% of the total facility commitments, depending on the Company’s total net leverage ratio.</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a floating rate and may be maintained as alternate base rate loans (tied to the prime rate, the federal funds rate plus 0.50%, the overnight bank funding rate plus 0.50%, or the adjusted term secured overnight financing rate (SOFR) for a one-month period plus 1.00%) or as term benchmark loans tied to adjusted term SOFR plus 0.10%, in each case plus a margin of 2.25% to 2.75% depending on the Company’s total net leverage ratio.</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outstanding balance under the Credit Agreement at December 31, 2023. The available amount to borrow under the Credit Facility was $123.7 million at December 31, 2023, which was equal to the available amount under the agreement of $125.0 million net of letters of credit of $1.3 million.</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requires the Company to comply with maximum total net leverage and minimum fixed charge coverage ratios. In addition, the Credit Agreement contains other standard affirmative and negative covenants such as those which (subject to certain thresholds) limit the ability of the Company and its subsidiaries to, among other things, incur debt, incur liens, engage in mergers, consolidations, liquidations or acquisitions, enter into new lines of business not related to the Company’s current lines of business, make certain investments, make distributions on or repurchase its equity securities, engage in transactions with affiliates, or enter into certain hedging obligations. Events of default under the Credit Agreement include, among other things, payment defaults, breaches of representations, warranties or covenants, defaults under material indebtedness, certain events of bankruptcy or insolvency, judgment defaults, certain defaults or events relating to employee benefit plans or a change in control of the Company. The events of default would permit the lenders to terminate commitments and accelerate the maturity of borrowings under the Credit Facility if not cured within applicable grace periods. The Company was in compliance with all covenants as of December 31, 2023.</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Prior Credit Agreement with Silicon Valley Bank, which over time had been amended and restated was secured by certain qualifying accounts receivable of the Company. The Prior Credit Agreement provided for a revolving line of credit of up to $100.0 million with the option to increase up to an additional $25.0 million, including a letter of credit sub-facility in the aggregate amount of $10.0 million, and a swingline sub-facility in the aggregate amount of $10.0 million, and had a scheduled termination date of December 2, 2023. Under the terms of the Prior Credit Agreement, revolving loans could be either SOFR Loans or Alternative Base Rate (ABR) Loans. Outstanding SOFR Loans incurred interest at the Adjusted SOFR Rate (which is defined in the Prior Credit Agreement as Term SOFR plus a Term SOFR Adjustment equal to 0.10% for 1-month interest periods, 0.15% for 3-month interest periods, and 0.25% for 6-month interest periods, and, in each case, subject to a 1.00% floor), plus a margin of either 3.00% or 2.75% depending on usage. Outstanding ABR Loans would incur interest at the highest of the Prime Rate, as published by the Wall Street Journal, the federal funds rate in effect for such day plus 0.50%, and 3.25%, in each case a margin of either 1.75% or 2.00% will be applicable, depending on usage. The Company was charged a commitment fee of 0.30% per year for committed but unused amounts.</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7, 2022, the Company borrowed $70.0 million under the Prior Credit Agreement to finance the cash portion of the purchase consideration for the acquisition of OTB. This borrowing was fully repaid by the Company in December 2022.</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outstanding balance under the Prior Credit Agreement at December 31, 2022. The available amount to borrow under the Prior Credit Agreement was $98.3 million as of December 31, 2022, which was equal to the available amount under the Prior Credit Agreement of $100.0 million net of letters of credit of $1.7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Prior Credit Agreement contained covenants which limited the Company’s ability to, among other things, dispose of assets, undergo a change in control, merge or consolidate, make acquisitions, incur debt, incur liens, pay dividends, repurchase stock, and make investments, in each case subject to certain exceptions.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Prior Credit Agreement also contained financial covenants which required the Company to maintain a minimum adjusted quick ratio and a minimum consolidated adjusted EBITDA if the adjusted quick ratio fell below a specified level, measured in each case at the end of each fiscal quarter. The Company was required to furnish audited financial statements within 90 days after the end of the fiscal year. The Company was in compliance with all covenants as of December 31,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Subordinated Promissory Notes</w:t>
      </w:r>
      <w:r>
        <w:rPr>
          <w:rFonts w:ascii="Times New Roman" w:cs="Times New Roman" w:eastAsia="Times New Roman" w:hAnsi="Times New Roman"/>
          <w:sz w:val="18"/>
          <w:szCs w:val="18"/>
          <w:color w:val="auto"/>
        </w:rPr>
        <w:t>—During 2017, the Company entered into a stock repurchase agreement to repurchase a specific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G common stock from one of the Company’s co-founders. In connection with the stock repurchase agreement, the Company issued subordinated promissory notes (the Notes) with a principal amount totaling $28.5 million to the co-founder. The Notes bore interest on the outstanding principal amount at the rate of 4.2922% per year and were scheduled to mature in January 2026. In November 2021, in connection with the Company’s initial public offering (IPO), the Company repaid in full the outstanding principal amount of $28.5 million and accrued interest on the Notes. Upon repayment of the Notes in November 2021, the Company recognized the remaining unamortized debt premium of $1.5 million as a gain on extinguishment of debt recorded to other gains (losses), net in the consolidated statement of operations.</w:t>
      </w:r>
    </w:p>
    <w:p>
      <w:pPr>
        <w:spacing w:after="0" w:line="129"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and commitments under leases. See Note 7–Debt and Note 9–Leases for further discussion.</w:t>
      </w:r>
    </w:p>
    <w:p>
      <w:pPr>
        <w:spacing w:after="0" w:line="10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December 31, 2023 or 2022.</w:t>
      </w:r>
    </w:p>
    <w:p>
      <w:pPr>
        <w:sectPr>
          <w:pgSz w:w="11900" w:h="16838" w:orient="portrait"/>
          <w:cols w:equalWidth="0" w:num="1">
            <w:col w:w="11240"/>
          </w:cols>
          <w:pgMar w:left="320" w:top="171" w:right="339" w:bottom="1440" w:gutter="0" w:footer="0" w:header="0"/>
        </w:sectPr>
      </w:pPr>
    </w:p>
    <w:p>
      <w:pPr>
        <w:spacing w:after="0" w:line="13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Components of operating lease costs are as follows: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Sublease income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lease cost</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term and discount rate are as follows: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9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7"/>
              </w:rPr>
              <w:t>8.6</w:t>
            </w:r>
          </w:p>
        </w:tc>
      </w:tr>
      <w:tr>
        <w:trPr>
          <w:trHeight w:val="270"/>
        </w:trPr>
        <w:tc>
          <w:tcPr>
            <w:tcW w:w="920" w:type="dxa"/>
            <w:vAlign w:val="bottom"/>
          </w:tcPr>
          <w:p>
            <w:pPr>
              <w:spacing w:after="0"/>
              <w:rPr>
                <w:sz w:val="23"/>
                <w:szCs w:val="23"/>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3"/>
                <w:szCs w:val="23"/>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7"/>
              </w:rPr>
              <w:t>7.1</w:t>
            </w:r>
          </w:p>
        </w:tc>
      </w:tr>
      <w:tr>
        <w:trPr>
          <w:trHeight w:val="27"/>
        </w:trPr>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-213995</wp:posOffset>
            </wp:positionV>
            <wp:extent cx="7132320"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-565150</wp:posOffset>
            </wp:positionV>
            <wp:extent cx="7132320"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40"/>
        <w:spacing w:after="0"/>
        <w:tabs>
          <w:tab w:leader="none" w:pos="32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41910</wp:posOffset>
            </wp:positionV>
            <wp:extent cx="713232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5" w:lineRule="exact"/>
        <w:rPr>
          <w:sz w:val="20"/>
          <w:szCs w:val="20"/>
          <w:color w:val="auto"/>
        </w:rPr>
      </w:pPr>
    </w:p>
    <w:p>
      <w:pPr>
        <w:ind w:left="2360"/>
        <w:spacing w:after="0"/>
        <w:tabs>
          <w:tab w:leader="none" w:pos="388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4.6</w:t>
      </w:r>
    </w:p>
    <w:p>
      <w:pPr>
        <w:spacing w:after="0" w:line="36" w:lineRule="exact"/>
        <w:rPr>
          <w:sz w:val="20"/>
          <w:szCs w:val="20"/>
          <w:color w:val="auto"/>
        </w:rPr>
      </w:pPr>
    </w:p>
    <w:p>
      <w:pPr>
        <w:ind w:left="2160"/>
        <w:spacing w:after="0"/>
        <w:tabs>
          <w:tab w:leader="none" w:pos="3680" w:val="left"/>
        </w:tabs>
        <w:rPr>
          <w:sz w:val="20"/>
          <w:szCs w:val="20"/>
          <w:color w:val="auto"/>
        </w:rPr>
      </w:pPr>
      <w:r>
        <w:rPr>
          <w:rFonts w:ascii="Times New Roman" w:cs="Times New Roman" w:eastAsia="Times New Roman" w:hAnsi="Times New Roman"/>
          <w:sz w:val="18"/>
          <w:szCs w:val="18"/>
          <w:color w:val="auto"/>
        </w:rPr>
        <w:t>5.3 %</w:t>
      </w:r>
      <w:r>
        <w:rPr>
          <w:sz w:val="20"/>
          <w:szCs w:val="20"/>
          <w:color w:val="auto"/>
        </w:rPr>
        <w:tab/>
      </w:r>
      <w:r>
        <w:rPr>
          <w:rFonts w:ascii="Times New Roman" w:cs="Times New Roman" w:eastAsia="Times New Roman" w:hAnsi="Times New Roman"/>
          <w:sz w:val="17"/>
          <w:szCs w:val="17"/>
          <w:color w:val="auto"/>
        </w:rPr>
        <w:t>5.3 %</w:t>
      </w:r>
    </w:p>
    <w:p>
      <w:pPr>
        <w:spacing w:after="0" w:line="200" w:lineRule="exact"/>
        <w:rPr>
          <w:sz w:val="20"/>
          <w:szCs w:val="20"/>
          <w:color w:val="auto"/>
        </w:rPr>
      </w:pPr>
    </w:p>
    <w:p>
      <w:pPr>
        <w:sectPr>
          <w:pgSz w:w="11900" w:h="16838" w:orient="portrait"/>
          <w:cols w:equalWidth="0" w:num="2">
            <w:col w:w="6380" w:space="720"/>
            <w:col w:w="4140"/>
          </w:cols>
          <w:pgMar w:left="320" w:top="171" w:right="339" w:bottom="1440" w:gutter="0" w:footer="0" w:header="0"/>
          <w:type w:val="continuous"/>
        </w:sectPr>
      </w:pP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2023, the Company entered into a sublease agreement for a portion of the Company’s office space in San Francisco. The sublease expires concurrently with the corresponding head lease, but does not relieve the Company of its obligations under the head lease. The Company determined that the sublease arrangement was an operating lease at inception, and is recognizing sublease income on a straight-line basis over the sublease term as a reduction of rent expense. As a result of the sublease, the Company evaluated the associated head lease ROU asset and sublease-related furniture and fixtures and leasehold improvements for impairment, as the change in circumstances indicated that the carrying amount of such assets may not be recoverable. The Company estimated the fair value of these assets as of the effective date of the sublease agreement using an income approach based on expected future cash flows from the subleased property. The Company recognized impairment charges of $1.6 million related to the sublease which are included in general and administrative expense on the consolidated statements of operations, including a $1.4 million impairment of ROU asset and $0.2 million of loss on disposal of sublease-related furniture and fixtures and leasehold improvements. Right-of-use assets were $7.2 million and $11.3 million as of December 31, 2023 and 2022,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maturities of lease liabilities as of December 31,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9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9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9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9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lease liabilities,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 noncurrent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Company’s IPO which was completed on November 8, 2021, all 7.5 million shares of the Company’s then-outstanding Series A redeemable convertible preferred stock automatically converted into an equal number of shares of Class A common stock.</w:t>
      </w:r>
    </w:p>
    <w:p>
      <w:pPr>
        <w:sectPr>
          <w:pgSz w:w="11900" w:h="16838" w:orient="portrait"/>
          <w:cols w:equalWidth="0" w:num="1">
            <w:col w:w="11240"/>
          </w:cols>
          <w:pgMar w:left="320" w:top="171" w:right="339" w:bottom="1440" w:gutter="0" w:footer="0" w:header="0"/>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summary of the Company’s Series A redeemable convertible preferred stock activity is as follows: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Repurchase of Series A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Conversion of Series A redeemable convertible preferred stock to Class A common stock</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Conversion of Series A redeemable convertible preferred stock to Class A common stock upon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96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41910</wp:posOffset>
            </wp:positionV>
            <wp:extent cx="17399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6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88" w:lineRule="exact"/>
        <w:rPr>
          <w:sz w:val="20"/>
          <w:szCs w:val="20"/>
          <w:color w:val="auto"/>
        </w:rPr>
      </w:pPr>
    </w:p>
    <w:p>
      <w:pPr>
        <w:ind w:left="380"/>
        <w:spacing w:after="0"/>
        <w:tabs>
          <w:tab w:leader="none" w:pos="960" w:val="left"/>
          <w:tab w:leader="none" w:pos="1880" w:val="left"/>
        </w:tabs>
        <w:rPr>
          <w:sz w:val="20"/>
          <w:szCs w:val="20"/>
          <w:color w:val="auto"/>
        </w:rPr>
      </w:pPr>
      <w:r>
        <w:rPr>
          <w:rFonts w:ascii="Times New Roman" w:cs="Times New Roman" w:eastAsia="Times New Roman" w:hAnsi="Times New Roman"/>
          <w:sz w:val="18"/>
          <w:szCs w:val="18"/>
          <w:color w:val="auto"/>
        </w:rPr>
        <w:t>7,687</w:t>
        <w:tab/>
        <w:t>$</w:t>
      </w:r>
      <w:r>
        <w:rPr>
          <w:sz w:val="20"/>
          <w:szCs w:val="20"/>
          <w:color w:val="auto"/>
        </w:rPr>
        <w:tab/>
      </w:r>
      <w:r>
        <w:rPr>
          <w:rFonts w:ascii="Times New Roman" w:cs="Times New Roman" w:eastAsia="Times New Roman" w:hAnsi="Times New Roman"/>
          <w:sz w:val="17"/>
          <w:szCs w:val="17"/>
          <w:color w:val="auto"/>
        </w:rPr>
        <w:t>68.8</w:t>
      </w:r>
    </w:p>
    <w:p>
      <w:pPr>
        <w:spacing w:after="0" w:line="63" w:lineRule="exact"/>
        <w:rPr>
          <w:sz w:val="20"/>
          <w:szCs w:val="20"/>
          <w:color w:val="auto"/>
        </w:rPr>
      </w:pPr>
    </w:p>
    <w:p>
      <w:pPr>
        <w:ind w:left="1900" w:hanging="1454"/>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63" w:lineRule="exact"/>
        <w:rPr>
          <w:sz w:val="20"/>
          <w:szCs w:val="20"/>
          <w:color w:val="auto"/>
        </w:rPr>
      </w:pPr>
    </w:p>
    <w:p>
      <w:pPr>
        <w:ind w:left="1900" w:hanging="1364"/>
        <w:spacing w:after="0"/>
        <w:tabs>
          <w:tab w:leader="none" w:pos="1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w:t>
      </w:r>
    </w:p>
    <w:p>
      <w:pPr>
        <w:spacing w:after="0" w:line="6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(7,527)(66.2)</w:t>
      </w:r>
    </w:p>
    <w:p>
      <w:pPr>
        <w:spacing w:after="0" w:line="7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60325</wp:posOffset>
            </wp:positionV>
            <wp:extent cx="17399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240" w:space="720"/>
            <w:col w:w="2280"/>
          </w:cols>
          <w:pgMar w:left="320" w:top="171" w:right="339" w:bottom="1440" w:gutter="0" w:footer="0" w:header="0"/>
          <w:type w:val="continuous"/>
        </w:sectPr>
      </w:pPr>
    </w:p>
    <w:p>
      <w:pPr>
        <w:spacing w:after="0" w:line="10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2021, the Company repurchased 0.1 million shares of Series A redeemable convertible preferred stock from an affiliated entity of a former member of its Board of Directors for $2.1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—Under the Company’s amended and restated certificate of incorporation, which became effective upon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IPO on November 8, 2021, the Company is authorized to issue 5.0 million shares of preferred stock with a par value of $0.0001 per share. The Company’s Board of Directors may fix the rights, preferences, privileges and restrictions of the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There were no shares of preferred stock outstanding as of December 31, 2023 or 2022.</w:t>
      </w:r>
    </w:p>
    <w:p>
      <w:pPr>
        <w:spacing w:after="0" w:line="12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—Under the Company’s amended and restated certificate of incorporation, which became effective upon completion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IPO on November 8, 2021, the Company is authorized to issue 296.7 million shares of common stock with a par value of $0.0001 per share, including 265.0 million shares of Class A common stock and 31.7 million shares of Class B common stock. In connection with the Company’s IPO, all 31.7 million shares of the Company’s then-outstanding Class F common stock were converted into an equal number of shares of Class B common stock.</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all classes of common stock are entitled to dividends when, as and if, declared by the Company’s Board of Directors, subject to the rights of the holders of all classes of stock outstanding having priority rights to dividends. The holder of each share of Class A common stock is entitled to one vote, while the holder of each share of Class B common stock is entitled to 10 votes. Prior to the Company’s IPO, the holder of each share of Class F common stock was entitled to 10 votes and the holders of Class G common stock were not entitled to vote.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Shares of Class B common stock are convertible, at any time at the option of the holder, into an equal number of shares of Class A common stock and automatically convertible upon Transfer, as defined below. Prior to the Company’s IPO, shares of Class F common stock and Class G common stock were convertible into an equivalent number of shares of Class A common stock and generally converted into shares of Class A common stock upon Transfer, as defined below. Class F common stock was convertible at the option of the holder at any time upon written notice to the transfer agent of the corporation and was automatically convertible upon Transfer. Class G common stock was not convertible at the option of the holder and was only automatically convertible upon Transfer.</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Transfer is defined as any sale, assignment, transfer, conveyance, hypothecation or other transfer or disposition of such share or any legal or beneficial interest in such share, whether or not for value and whether voluntary or involuntary or by operation of law.</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there were 45.3 million and 43.4 million shares of Class A common stock issued and outstanding,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B common stock issued and outstanding were 31.7 million as of both December 31, 2023 and 2022.</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8, 2021, the Company completed its IPO, in which the Company sold 8.3 million shares of its Class A common stock, which includes the exercise in full of the underwriters’ option to purchase 1.1 million shares of Class A common stock, at a public offering price of $18.00 per share. The net proceeds to the Company from the IPO were $140.0 million after deducting underwriting discounts and commissions of $10.1 million. Additionally, the Company incurred offering costs of $5.2 million related to the IPO.</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Share Repurchase Plans</w:t>
      </w:r>
      <w:r>
        <w:rPr>
          <w:rFonts w:ascii="Times New Roman" w:cs="Times New Roman" w:eastAsia="Times New Roman" w:hAnsi="Times New Roman"/>
          <w:sz w:val="18"/>
          <w:szCs w:val="18"/>
          <w:color w:val="auto"/>
        </w:rPr>
        <w:t>—The Company announced on May 2, 2023 that its Board of Directors authorized a plan under which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up to $20 million of its Class A common stock and, following the Company’s utilization of that share repurchase authorization, the Company announced on October 26, 2023 that its Board of Directors approved a new share repurchase authorization under which the Company may repurchase up to an additional $30 million of its Class A common stock (collectively, the Repurchase Plans). Subject to market conditions and other factors, the Repurchase Plans are intended to make opportunistic repurchases of the Company’s Class A common stock to reduce the Company’s outstanding share count. Under the Repurchase Plans, shares of Class A common stock may be repurchased in the open market through privately negotiated transactions or otherwise, in accordance with applicable securities laws and other restrictions. The Repurchase Plans do not have fixed expiration dates and do not obligate the Company to acquire any specific number of shares. The timing and terms of any repurchases under the Repurchase Plans are at management’s discretion and depend on a variety of factors, including business, economic and market conditions, regulatory requirements, prevailing stock prices and other considerations. Additionally, the Company may, from time to time, enter into Rule 10b-5 trading plans to facilitate repurchases. Shares repurchased under the Repurchase Plans are retired. During 2023, the Company repurchased 2.3 million shares of Class A common stock for $20.0 million, including costs associated with the repurchases.</w:t>
      </w:r>
    </w:p>
    <w:p>
      <w:pPr>
        <w:spacing w:after="0" w:line="13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Common Stock Transfers and Repurchase</w:t>
      </w:r>
      <w:r>
        <w:rPr>
          <w:rFonts w:ascii="Times New Roman" w:cs="Times New Roman" w:eastAsia="Times New Roman" w:hAnsi="Times New Roman"/>
          <w:sz w:val="18"/>
          <w:szCs w:val="18"/>
          <w:color w:val="auto"/>
        </w:rPr>
        <w:t>—In February 2021, the Company waived its right of first refusal and the CEO entered into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agreement to sell approximately 0.1 million shares of Class A common stock to an existing investor at $14.00 per share for an aggregate purchase price of $2.1 million. The price per share was equivalent to the estimated fair value of the Company’s common stock on December 31, 2021 as determined by its Board of Directors with the assistance of a third-party valuation specialist.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Company waived its right of first refusal and the CEO entered into a stock transfer agreement to sell approximately 1.1 million shares of Class F common stock to an existing investor at $14.00 per share for an aggregate purchase price of $15.0 million. Upon consummation of the sale to the third party, the shares of Class F common stock were automatically converted into shares of Class A common stock on a 1:1 basis in accordance with the rights and preferences of the Class F common stock. The price per share was equivalent to the estimated fair value of the Company’s common stock on December 31, 2021 as determined by its Board of Directors with the assistance of a third-party valuation specialist.</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Also in January 2021, the Company entered into a repurchase agreement with the CEO to repurchase approximately 0.9 million shares of Class F common stock at $14.00 per share for an aggregate purchase price of $12.4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Common Shares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reserved the following shares of Class A common stock for future issuance: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from stock options and restricted stock units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equity award grants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ESPP offerings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reserved</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21,272</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—In 2012, the Company’s Board of Directors approved the adoption of the 2012 Equity Incentive Plan (the 2012 Plan).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2021, the Company’s Board of Directors approved the adoption of the 2021 Equity Incentive Plan (the 2021 Plan) and the termination of the 2012 Plan, both of which became effective in connection with the Company’s IPO completed on November 8, 2021.</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2021 Plan had an initial authorization to grant share-based awards for up to 4.1 million shares of Class A common stock, and additionally provides that any shares subject to outstanding awards under the 2012 Plan that are terminated, expire, are forfeited due to a failure to vest, are reacquired or withheld to satisfy a tax withholding obligation or to satisfy the purchase price or exercise price of a stock award will be added to the 2021 Plan and made available for future issuance. The termination of the 2012 Plan had no impact on the terms of outstanding awards under that plan. At the Company’s 2022 annual meeting of stockholders on May 25, 2022, the stockholders approved an amendment to the 2021 Equity Incentive Plan to increase the aggregate number of shares of Class A common stock reserved for issuance thereunder by 8.0 million shares. The number of shares of Class A common stock reserved for issuance under the 2021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concurrent with the closing of the acquisition of OTB on July 11, 2022, the Compensation Committee of the Company’s Board of Directors granted RSU awards under the Inducement Plan to employees of OTB who were offered employment with the Company. See Note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Business Combination for further discussion. The 2021 Plan and the predecessor 2012 Plan, both as amended, along with the Inducement Plan (collectively, the Plans) provide for the grant of incentive and non-statutory stock options, stock appreciation rights, restricted stock units and restricted stock awards to employees, non-employee directors and consultants of the Company. Options to purchase Class A common stock granted under the Plans continue to vest until the last day of employment and generally will vest 25% in the first year and monthly thereafter (for a total vesting period of 4 years), and expire 10 years from the date of grant. Class A common stock awards are generally issued to officers, directors, employees and consultants, and vest according to an award-specific schedule as approved by the Board of Directors.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granted under the Plans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stock option activity for its Plans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spacing w:after="0"/>
              <w:rPr>
                <w:sz w:val="15"/>
                <w:szCs w:val="15"/>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5"/>
                <w:szCs w:val="15"/>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300" w:type="dxa"/>
            <w:vAlign w:val="bottom"/>
          </w:tcPr>
          <w:p>
            <w:pPr>
              <w:spacing w:after="0"/>
              <w:rPr>
                <w:sz w:val="14"/>
                <w:szCs w:val="14"/>
                <w:color w:val="auto"/>
              </w:rPr>
            </w:pPr>
          </w:p>
        </w:tc>
      </w:tr>
      <w:tr>
        <w:trPr>
          <w:trHeight w:val="176"/>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4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6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237"/>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4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2023. The weighted-average grant-date fair value of options granted during 2022 and 2021 was $5.54 and $9.60 per share, respectively. The intrinsic value of options exercised was $14.5 million, $6.7 million and $30.0 million during 2023, 2022 and 2021, respectively.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non-vested stock options granted under the Plans was $7.5 million as of December 31, 2023, with the cost expected to be recognized over a weighted-average period of 1.8 years.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values of options awarded on the date of grant using the Black-Scholes-Merton option-pricing model, which requires inputs, including the fair value of common stock, expected term, expected volatility, risk-free interest and dividend yield.</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estimates the expected term of options using the simplified method described in Staff Accounting Bulletin Topic 14, as amended, as it does not have sufficient historical experience for determining the expected term of the awards granted. Expected volatility is estimated based on the average historical volatility of similar entities with publicly traded shares. The risk-free rate for the expected term of the option is based on the U.S. Treasury yield curve at the date of grant. The expected dividend yield was 0% as the Company has not paid, and does not expect to pay, cash dividends. For awards granted prior to the IPO, the Company’s Board of Directors considered numerous objective and subjective factors to determine the fair value of the Company’s Class A common stock at each meeting at which awards were approved. These factors included, but were not limited to</w:t>
      </w:r>
    </w:p>
    <w:p>
      <w:pPr>
        <w:spacing w:after="0" w:line="5" w:lineRule="exact"/>
        <w:rPr>
          <w:sz w:val="20"/>
          <w:szCs w:val="20"/>
          <w:color w:val="auto"/>
        </w:rPr>
      </w:pPr>
    </w:p>
    <w:p>
      <w:pPr>
        <w:jc w:val="both"/>
        <w:ind w:firstLine="8"/>
        <w:spacing w:after="0" w:line="255" w:lineRule="auto"/>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third-party valuations of Class A common stock; (ii) the rights and preferences of Redeemable Convertible Preferred Stock compared to Class A common stock; (iii) the lack of marketability of Class A common stock; (iv) developments in the business; and (v) the likelihood of achieving a liquidity event, such as an IPO or a sale of the Company, given prevailing market conditions.</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per-share fair value of each stock option was determined on the date of grant using the following weighted-average assumptions and ranges of fair value of common stock: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r>
      <w:tr>
        <w:trPr>
          <w:trHeight w:val="27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an Option Cancellation Agreement with a former member of its Board of Directors and his affiliated entity, pursuant to which the Company cancelled options to purchase an aggregate of 0.2 million shares of Class A common stock. The total consideration paid for the option cancellation was $2.4 million, of which $1.0 million was recognized as compensation expense for the excess amount paid over the purchase-date fair market value of the options.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—The Plans also provide for the issuance of RSUs of the Company’s common stock to eligible participants. During 2020,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began issuing RSUs to certain employees and directors under the 2012 Plan. These RSUs are subject to service-based vesting conditions. The service-based vesting condition is generally satisfied over four years.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outstanding nonvested RSUs for its Plans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6"/>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32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rPr>
              <w:t>7,405</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7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center"/>
              <w:ind w:left="697"/>
              <w:spacing w:after="0"/>
              <w:rPr>
                <w:sz w:val="20"/>
                <w:szCs w:val="20"/>
                <w:color w:val="auto"/>
              </w:rPr>
            </w:pPr>
            <w:r>
              <w:rPr>
                <w:rFonts w:ascii="Times New Roman" w:cs="Times New Roman" w:eastAsia="Times New Roman" w:hAnsi="Times New Roman"/>
                <w:sz w:val="18"/>
                <w:szCs w:val="18"/>
                <w:color w:val="auto"/>
              </w:rPr>
              <w:t>2,719</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7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8"/>
              </w:rPr>
              <w:t>(2,253)</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70"/>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color w:val="auto"/>
                <w:w w:val="98"/>
              </w:rPr>
              <w:t>(1,083)</w:t>
            </w:r>
          </w:p>
        </w:tc>
        <w:tc>
          <w:tcPr>
            <w:tcW w:w="300" w:type="dxa"/>
            <w:vAlign w:val="bottom"/>
            <w:tcBorders>
              <w:bottom w:val="single" w:sz="8" w:color="CCEEFF"/>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88"/>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320" w:type="dxa"/>
            <w:vAlign w:val="bottom"/>
            <w:tcBorders>
              <w:bottom w:val="single" w:sz="8" w:color="auto"/>
            </w:tcBorders>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color w:val="auto"/>
              </w:rPr>
              <w:t>6,788</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target award RSUs with both service-based and performance-based conditions.</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2023, the Company granted 0.2 million of target award RSUs with both service-based and performance-based conditions to certain employees of the Company. Recipients of these performance-based RSUs are eligible to earn between 0% and 200% of their target awards based upon the achievement of (i) an EBITDA-related metric and (ii) a revenue-related metric, both in fiscal year 2023, subject to certification of the attainment of the performance level. These performance-based RSUs are also subject to service-based vesting over a period of three years. Stock-based compensation for performance-based RSUs is recognized over the requisite service period using the accelerated attribution method based on an assessment of the probability of achieving the requisite performance metrics. The Company recognizes forfeitures as they occur for grantees who do not fulfill the service-based conditions.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$27.0 million and $17.7 million during 2023 and 2022, respectively.</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RSUs was $69.9 million as of December 31, 2023, with these costs expected to be recognized over a weighted-average period of approximately 2.4 years.</w:t>
      </w:r>
    </w:p>
    <w:p>
      <w:pPr>
        <w:spacing w:after="0" w:line="10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Company sponsors an ESPP which became effective in connection with the Company’s IPO completed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8, 2021. The ESPP allows eligible employees to buy shares of the Company’s Class A common stock at a 15% discount of the stock’s market value on defined dates. The ESPP authorizes the issuance of 0.8 million shares of the Company’s Class A common stock under purchase rights granted to eligible employees, with automatic increases in the number of shares reserved for issuance on January 1 of each calendar year, beginning in 2023 and through 2031, subject to terms of the ESPP. There were 0.3 million shares of the Company’s Class A common stock purchased under the ESPP during 2023. Prior to capitalizing amounts related to software development costs, the Company recognized stock-based compensation related to the ESPP of $3.6 million and $6.3 million during 2023 and 2022, respectively. There was no unrecognized compensation cost related to the ESPP as of December 31, 2023. The impact of forfeitures under the ESPP are recognized as forfeitures occur.</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purchase rights granted under the ESPP were determined on the date of grant using the following weighted-average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66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79.4 %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6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891"/>
        </w:trPr>
        <w:tc>
          <w:tcPr>
            <w:tcW w:w="3660" w:type="dxa"/>
            <w:vAlign w:val="bottom"/>
          </w:tcPr>
          <w:p>
            <w:pPr>
              <w:spacing w:after="0"/>
              <w:rPr>
                <w:sz w:val="24"/>
                <w:szCs w:val="24"/>
                <w:color w:val="auto"/>
              </w:rPr>
            </w:pPr>
          </w:p>
        </w:tc>
        <w:tc>
          <w:tcPr>
            <w:tcW w:w="4500" w:type="dxa"/>
            <w:vAlign w:val="bottom"/>
          </w:tcPr>
          <w:p>
            <w:pPr>
              <w:jc w:val="right"/>
              <w:ind w:right="235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7"/>
        </w:trPr>
        <w:tc>
          <w:tcPr>
            <w:tcW w:w="36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of $5.5 million, $6.3 million and $3.3 million was capitalized related to software development costs in 2023, 2022 and 2021,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tax benefit for stock-based compensation arrangements in 2023, 2022 or 2021 due to the valuation allowance maintained against our net U.S. deferred tax assets.</w:t>
      </w:r>
    </w:p>
    <w:p>
      <w:pPr>
        <w:spacing w:after="0" w:line="104"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(loss) before the provision for (benefit from) income taxes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42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contingency and interest</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contingent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effective tax rate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and liabilities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9"/>
                <w:szCs w:val="19"/>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difference for fixed assets and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6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deferred tax liability is recorded in other liabilities—noncurrent on the Company’s consolidated balance sheet.</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acquisition of OTB on July 11, 2022, the Company recorded identified intangible assets of $50.1 million. As these identified intangible assets are not deductible for U.S. tax purposes, a related deferred tax liability of $12.1 million was recognized, which provided an additional source of taxable income to support the realization of a portion of the Company’s pre-existing U.S. deferred tax assets. As the Company had previously established a full valuation allowance against its net U.S. deferred tax assets, the Company reduced its deferred tax asset valuation allowance by a corresponding $12.1 million, with the reduction in allowance recognized as an income tax benefit in the consolidated statement of operations for the year ended December 31, 2022.</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91" w:name="page92"/>
    <w:bookmarkEnd w:id="91"/>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federal net operating loss carryforwards of $1.9 million, of which $0.2 million, if not utilized, will begin to expire in 2034, and the remaining $1.7 million can be carried forward indefinitely. As of December 31, 2023, the Company has state net operating loss carryforwards of $26.2 million. The majority of state net operating loss carryforwards, if not utilized, will begin to expire on various dates beginning in 2032.</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of December 31, 2023, the Company has $18.7 million of California research and development credit carryforwards, which can be carried forward indefinitely.</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Utilization of the Company’s federal and state net operating loss carryforwards (NOLs) and tax credit carryforwards, as well as of other temporary differences, is dependent upon the generation of sufficient taxable income in future periods. In the Company’s ongoing assessment of all available evidence, both positive and negative, the Company considers the scheduled reversal of deferred tax liabilities, the Company’s future operating model and the expected impacts on future profitability, and prudent and feasible tax-planning strategies. Accordingly, the Company has established a valuation allowance against these net U.S. deferred tax assets as of December 31, 2023 as the Company concluded that it was more likely than not that the Company will not be able to fully realize such net deferred tax assets. The valuation allowance for deferred tax assets was $40.1 million and $19.3 million as of December 31, 2023 and 2022, respectively, with the increase in 2023 primarily due to higher capitalization of R&amp;D expenses under tax regulations effective in 2022. The Company’s judgment regarding the likelihood of realization of these deferred tax assets could change in future periods, which could result in a material impact to the Company’s income tax provision in the period of change.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unrecognized tax benefits, excluding accrued interest and penalties,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increases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and penalties were not material for 2023, 2022 and 2021. As of December 31, 2023, unrecognized tax benefits of $7.2 million, as well as accrued interest and penalties, would affect the Company’s provision for income taxes if recognized. The Company does not anticipate that its total unrecognized tax benefits will significantly change due to settlement of examination or the expiration of statute of limitations during the next 12 months.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The Company’s tax years for 2014 and forward are subject to examination by U.S. and various state tax authorities due to certain acquired attribute carryforwards.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Basic and Diluted Share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(EPS) in conformity with the two-class method required for participating securities. The two-class method is an earnings allocation method that determines net loss per share for each class of common stock and participating securities according to dividends declared (or accumulated) and participation rights in undistributed earnings or losses. We consider early exercised share options to be participating securities. The impact of early exercised share options on basic and diluted EPS was immaterial for 2023, 2022 and 2021.</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EPS is computed by dividing net loss available to common stockholders by the weighted average number of common stock outstanding during the period. Diluted EPS is computed by dividing net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earnings per share by application of the treasury stock method.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per share computations for net loss attributable to common stockholders:</w:t>
      </w: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stockholders–basic and diluted</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 and diluted</w:t>
            </w:r>
          </w:p>
        </w:tc>
        <w:tc>
          <w:tcPr>
            <w:tcW w:w="82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w w:val="95"/>
              </w:rPr>
              <w:t>51.9</w:t>
            </w: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1"/>
                <w:szCs w:val="21"/>
                <w:color w:val="auto"/>
              </w:rPr>
            </w:pPr>
          </w:p>
        </w:tc>
        <w:tc>
          <w:tcPr>
            <w:tcW w:w="84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(0.82)</w:t>
            </w: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rPr>
              <w:t>(0.82)</w:t>
            </w:r>
          </w:p>
        </w:tc>
      </w:tr>
      <w:tr>
        <w:trPr>
          <w:trHeight w:val="27"/>
        </w:trPr>
        <w:tc>
          <w:tcPr>
            <w:tcW w:w="6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as well as of Class F stock prior to the Company’s IPO in November 2021, are identical, except with respect to voting and conversion. See Note 11–Stockholders’ Equity for further discussion. As the liquidation and dividend rights are identical for Class A, Class B and predecessor Class F common stock, the undistributed earnings are allocated on a proportional basis and the resulting net loss attributable to common stockholders will be the same for Class A, Class B and the predecessor Class F common stock on an individual or combined basis.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loss per share for the periods presented because including them would have been antidilutive:</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58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restricted stock units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5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current policy is to match employee contributions up to certain overall limits. The Company made matching contributions of $4.8 million, $4.3 million and $3.5 million during 2023,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2017, the Company entered into a stock repurchase agreement to repurchase a specific number of shares of Class G common stock from one of the Company’s co-founders. In connection with the stock repurchase agreement, the Company issued Notes with a principal amount totaling $28.5 million to the co-founder. The Notes bore interest on the outstanding principal amount at the rate of 4.2922% per year and were scheduled to mature in 2026. In November 2021, in connection with the Company’s IPO, the Company repaid in full the outstanding principal amount of $28.5 million and accrued interest on the Notes. See Note 7–Debt for further discussion on the Notes. Additionally, see Note 10–Redeemable Convertible Preferred Stock and Note 11– Stockholders’ Equity for discussion on certain equity and options-related transactions with a former member of the Company’s Board of Directors and his affiliated entity, as well as with the Company’s CEO. There were no other material related party transactions during 2023, 2022 or 2021.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management of the Company, with the participation of the Company’s Chief Executive Officer and Chief Financial Officer, has evaluated the effectiveness of the Company’s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the Company, including the Company’s Chief Executive Officer and Chief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2023.</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the Company’s internal control over financial reporting from the Company’s independent registered public accounting firm due to the Company’s status as an “emerging growth company” under the JOBS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December 31, 2023 that have materially affected, or are reasonably likely to materially affect, the Company’s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management of the Company, including the Company’s Chief Executive Officer and Chief Financial Officer, believes that the Company’s disclosure controls and procedures and internal control over financial reporting are designed to provide reasonable assurance of achieving their objectives and are effective at the reasonable assurance level. However, management does not expect that the Company’s disclosure controls and procedures or the Company’s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(as defined in Rule 16a-1 of the Exchange Act) adopted, modified or terminated a Rule 10b5-1 trading arrangement or a non-Rule 10b5-1 trading arrangement (as such terms are defined under Item 408 of Regulation S-K), except as noted below.</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31, 2023, Samuel Yount, General Manager, Consumer Credit, adopted a trading plan that is intended to satisfy the affirmative defense conditions of Rule 10b5-1 of the Exchange Act as currently in effect (the Yount Trading Plan). The Yount Trading Plan has a duration of February 23, 2024 to May 10, 2024 and provides for the sale of up to approximately 12,497 shares of the Company’s Class A common stock, including upon the vesting and settlement of certain equity awards. Because the aggregate number of shares that may be sold under the Yount Trading Plan will be net of shares withheld by the Company to satisfy Mr. Yount’s tax obligations upon the vesting and settlement of certain equity awards, the precise number of shares that may be sold under the Yount Trading Plan is not yet determinable.</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15, 2023, Jennifer Ceran, a member of our Board of Directors, adopted a trading plan that is intended to satisfy the affirmative defense conditions of Rule 10b5-1 of the Exchange Act as currently in effect (the Ceran Trading Plan). The Ceran Trading Plan has a duration of March 15, 2024 to December 31, 2024 and provides for the sale of up to 25,897 shares of the Company’s Class A common stock, including upon the vesting and settlement of certain equity awards.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for our 2024 Annual Meeting of Stockholders which will be filed with the SEC no later than 120 days after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about aggregate fees billed to us by our principal accountant, Deloitte &amp; Touche LLP (PCAOB ID No. 34) is incorporated by reference to the Proxy Statement for our 2024 Annual Meeting of Stockholders which will be filed with the SEC no later than 120 days after December 31,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0" w:type="dxa"/>
            <w:vAlign w:val="bottom"/>
            <w:gridSpan w:val="25"/>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Agreement and Plan of Merger and Reorganization, dated June 23, 2022, by and</w:t>
              </w:r>
            </w:hyperlink>
          </w:p>
        </w:tc>
        <w:tc>
          <w:tcPr>
            <w:tcW w:w="220" w:type="dxa"/>
            <w:vAlign w:val="bottom"/>
            <w:gridSpan w:val="7"/>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among NerdWallet, Inc., On the Barrelhead, Inc., Bighorn Merger Sub Corp.,</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Bighorn Merger Sub 2, LLC, NerdWallet Compare, Inc. and Fortis Advisors LLC,</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as the stockholder representative.</w:t>
              </w:r>
            </w:hyperlink>
          </w:p>
        </w:tc>
        <w:tc>
          <w:tcPr>
            <w:tcW w:w="3520" w:type="dxa"/>
            <w:vAlign w:val="bottom"/>
            <w:tcBorders>
              <w:top w:val="single" w:sz="8" w:color="0000FF"/>
            </w:tcBorders>
            <w:gridSpan w:val="20"/>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Amended and Restated Certificate of Incorporation of the Registrant.</w:t>
              </w:r>
            </w:hyperlink>
          </w:p>
        </w:tc>
        <w:tc>
          <w:tcPr>
            <w:tcW w:w="1020" w:type="dxa"/>
            <w:vAlign w:val="bottom"/>
            <w:gridSpan w:val="17"/>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Bylaws of the Registrant</w:t>
              </w:r>
            </w:hyperlink>
            <w:r>
              <w:rPr>
                <w:rFonts w:ascii="Times New Roman" w:cs="Times New Roman" w:eastAsia="Times New Roman" w:hAnsi="Times New Roman"/>
                <w:sz w:val="18"/>
                <w:szCs w:val="18"/>
                <w:color w:val="000000"/>
              </w:rPr>
              <w:t>.</w:t>
            </w: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Description of Securities of the Registrant.</w:t>
              </w:r>
            </w:hyperlink>
          </w:p>
        </w:tc>
        <w:tc>
          <w:tcPr>
            <w:tcW w:w="400" w:type="dxa"/>
            <w:vAlign w:val="bottom"/>
            <w:tcBorders>
              <w:top w:val="single" w:sz="8" w:color="0000FF"/>
            </w:tcBorders>
            <w:gridSpan w:val="2"/>
          </w:tcPr>
          <w:p>
            <w:pPr>
              <w:spacing w:after="0"/>
              <w:rPr>
                <w:sz w:val="24"/>
                <w:szCs w:val="24"/>
                <w:color w:val="auto"/>
              </w:rPr>
            </w:pPr>
          </w:p>
        </w:tc>
        <w:tc>
          <w:tcPr>
            <w:tcW w:w="2520" w:type="dxa"/>
            <w:vAlign w:val="bottom"/>
            <w:gridSpan w:val="20"/>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Investors’ Rights Agreement, by and between the Registrant and certain holders of</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its capital stock, dated January 30, 2015.</w:t>
              </w:r>
            </w:hyperlink>
          </w:p>
        </w:tc>
        <w:tc>
          <w:tcPr>
            <w:tcW w:w="3020" w:type="dxa"/>
            <w:vAlign w:val="bottom"/>
            <w:tcBorders>
              <w:top w:val="single" w:sz="8" w:color="0000FF"/>
            </w:tcBorders>
            <w:gridSpan w:val="2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Amendment of Investors' Rights Agreement, by and between the Registrant and</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certain holders of its capital stock, dated June 19, 2015.</w:t>
              </w:r>
            </w:hyperlink>
          </w:p>
        </w:tc>
        <w:tc>
          <w:tcPr>
            <w:tcW w:w="260" w:type="dxa"/>
            <w:vAlign w:val="bottom"/>
            <w:gridSpan w:val="8"/>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Second Amendment of Investors' Rights Agreement, by and between the</w:t>
              </w:r>
            </w:hyperlink>
          </w:p>
        </w:tc>
        <w:tc>
          <w:tcPr>
            <w:tcW w:w="760" w:type="dxa"/>
            <w:vAlign w:val="bottom"/>
            <w:gridSpan w:val="13"/>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Registrant and certain holders of its capital stock, dated August 26, 2015.</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Third Amendment of Investors' Rights Agreement, by and between the Registrant</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and certain holders of its capital stock, dated June 29, 2016.</w:t>
              </w:r>
            </w:hyperlink>
          </w:p>
        </w:tc>
        <w:tc>
          <w:tcPr>
            <w:tcW w:w="1580" w:type="dxa"/>
            <w:vAlign w:val="bottom"/>
            <w:tcBorders>
              <w:top w:val="single" w:sz="8" w:color="0000FF"/>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Amendment No. 4 to the Investors' Rights Agreement, by and between the</w:t>
              </w:r>
            </w:hyperlink>
          </w:p>
        </w:tc>
        <w:tc>
          <w:tcPr>
            <w:tcW w:w="640" w:type="dxa"/>
            <w:vAlign w:val="bottom"/>
            <w:gridSpan w:val="11"/>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Registrant and certain holders of its capital stock, dated April 7, 2020.</w:t>
              </w:r>
            </w:hyperlink>
          </w:p>
        </w:tc>
        <w:tc>
          <w:tcPr>
            <w:tcW w:w="960" w:type="dxa"/>
            <w:vAlign w:val="bottom"/>
            <w:gridSpan w:val="16"/>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Side Letter, by and between Innovius Capital Sirius I L.P. and the Registrant, dated</w:t>
              </w:r>
            </w:hyperlink>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04">
              <w:r>
                <w:rPr>
                  <w:rFonts w:ascii="Times New Roman" w:cs="Times New Roman" w:eastAsia="Times New Roman" w:hAnsi="Times New Roman"/>
                  <w:sz w:val="18"/>
                  <w:szCs w:val="18"/>
                  <w:color w:val="0000FF"/>
                  <w:w w:val="97"/>
                </w:rPr>
                <w:t>July 17, 2020.</w:t>
              </w:r>
            </w:hyperlink>
          </w:p>
        </w:tc>
        <w:tc>
          <w:tcPr>
            <w:tcW w:w="4980" w:type="dxa"/>
            <w:vAlign w:val="bottom"/>
            <w:gridSpan w:val="26"/>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Side Letter Amendment Agreement, by and between Innovius Capital Sirius I, L.P.</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and the Registrant, dated October 19, 2021.</w:t>
              </w:r>
            </w:hyperlink>
          </w:p>
        </w:tc>
        <w:tc>
          <w:tcPr>
            <w:tcW w:w="4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Credit Agreement, dated as of September 26, 2023 among NerdWallet, Inc., the</w:t>
            </w: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subsidiary guarantors from time to time party thereto, JPMorgan Chase Bank,</w:t>
            </w:r>
          </w:p>
        </w:tc>
        <w:tc>
          <w:tcPr>
            <w:tcW w:w="280" w:type="dxa"/>
            <w:vAlign w:val="bottom"/>
            <w:gridSpan w:val="9"/>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National Association, as Administrative Agent, and the Lenders party thereto, as</w:t>
            </w:r>
          </w:p>
        </w:tc>
        <w:tc>
          <w:tcPr>
            <w:tcW w:w="200" w:type="dxa"/>
            <w:vAlign w:val="bottom"/>
            <w:gridSpan w:val="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amended by that First Amendment to Credit Agreement, dated November 1, 2023.</w:t>
            </w: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tcBorders>
              <w:top w:val="single" w:sz="8" w:color="0000FF"/>
            </w:tcBorders>
            <w:gridSpan w:val="23"/>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Sublease Agreement between Yelp Inc. and the Registrant, dated April 27, 2021.</w:t>
              </w:r>
            </w:hyperlink>
          </w:p>
        </w:tc>
        <w:tc>
          <w:tcPr>
            <w:tcW w:w="80" w:type="dxa"/>
            <w:vAlign w:val="bottom"/>
            <w:gridSpan w:val="4"/>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2012 Equity Incentive Plan.</w:t>
              </w:r>
            </w:hyperlink>
          </w:p>
        </w:tc>
        <w:tc>
          <w:tcPr>
            <w:tcW w:w="40" w:type="dxa"/>
            <w:vAlign w:val="bottom"/>
          </w:tcPr>
          <w:p>
            <w:pPr>
              <w:spacing w:after="0"/>
              <w:rPr>
                <w:sz w:val="24"/>
                <w:szCs w:val="24"/>
                <w:color w:val="auto"/>
              </w:rPr>
            </w:pPr>
          </w:p>
        </w:tc>
        <w:tc>
          <w:tcPr>
            <w:tcW w:w="680" w:type="dxa"/>
            <w:vAlign w:val="bottom"/>
            <w:tcBorders>
              <w:top w:val="single" w:sz="8" w:color="0000FF"/>
            </w:tcBorders>
            <w:gridSpan w:val="8"/>
          </w:tcPr>
          <w:p>
            <w:pPr>
              <w:spacing w:after="0"/>
              <w:rPr>
                <w:sz w:val="24"/>
                <w:szCs w:val="24"/>
                <w:color w:val="auto"/>
              </w:rPr>
            </w:pPr>
          </w:p>
        </w:tc>
        <w:tc>
          <w:tcPr>
            <w:tcW w:w="200" w:type="dxa"/>
            <w:vAlign w:val="bottom"/>
            <w:gridSpan w:val="6"/>
          </w:tcPr>
          <w:p>
            <w:pPr>
              <w:spacing w:after="0"/>
              <w:rPr>
                <w:sz w:val="24"/>
                <w:szCs w:val="24"/>
                <w:color w:val="auto"/>
              </w:rPr>
            </w:pPr>
          </w:p>
        </w:tc>
      </w:tr>
      <w:tr>
        <w:trPr>
          <w:trHeight w:val="96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tcBorders>
            <w:gridSpan w:val="2"/>
          </w:tcPr>
          <w:p>
            <w:pPr>
              <w:spacing w:after="0"/>
              <w:rPr>
                <w:sz w:val="24"/>
                <w:szCs w:val="24"/>
                <w:color w:val="auto"/>
              </w:rPr>
            </w:pPr>
          </w:p>
        </w:tc>
        <w:tc>
          <w:tcPr>
            <w:tcW w:w="2980" w:type="dxa"/>
            <w:vAlign w:val="bottom"/>
            <w:gridSpan w:val="8"/>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2588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68"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Exhibit 2.1 to the Registrant’s Current Report on Form 8-K (No. 001-40994) filed June 24, 2022</w:t>
      </w:r>
    </w:p>
    <w:p>
      <w:pPr>
        <w:spacing w:after="0" w:line="200" w:lineRule="exact"/>
        <w:rPr>
          <w:sz w:val="20"/>
          <w:szCs w:val="20"/>
          <w:color w:val="auto"/>
        </w:rPr>
      </w:pPr>
    </w:p>
    <w:p>
      <w:pPr>
        <w:spacing w:after="0" w:line="210"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color w:val="auto"/>
        </w:rPr>
        <w:t>Exhibit 3.1 to the Registrant’s Current Report on Form 8-K (No. 001-40994) filed November 10, 2021</w:t>
      </w:r>
    </w:p>
    <w:p>
      <w:pPr>
        <w:spacing w:after="0" w:line="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color w:val="auto"/>
        </w:rPr>
        <w:t>Exhibit 3.2 to the Registrant’s Current Report on Form 8-K (No. 001-40994) filed November 10, 2021</w:t>
      </w:r>
    </w:p>
    <w:p>
      <w:pPr>
        <w:spacing w:after="0" w:line="1"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7"/>
          <w:szCs w:val="17"/>
          <w:color w:val="auto"/>
        </w:rPr>
        <w:t>Exhibit 4.1 to the Registrant’s Annual Report on Form 10-K (No. 001-40994) filed March 24, 2022</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10.1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10.2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10.3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10.4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10.5 to the Registrant’s Registration Statement on Form S-1 (No. 333-260134) filed October 8,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10.20 to the Registrant’s Registration Statement on Form S-1 (No. 333-260134) filed October 8,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10.22 to the Registrant’s Registration Statement on Form S-1 (No. 333-260134) filed October 26,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10.17 to the Registrant’s Registration Statement on Form S-1 (No. 333-260134) filed October 8, 2021</w:t>
      </w:r>
    </w:p>
    <w:p>
      <w:pPr>
        <w:spacing w:after="0" w:line="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Exhibit 10.6 to the Registrant’s Registration Statement on Form S-1 (No. 333-260134) filed October 8, 2021</w:t>
      </w:r>
    </w:p>
    <w:p>
      <w:pPr>
        <w:sectPr>
          <w:pgSz w:w="11900" w:h="16838" w:orient="portrait"/>
          <w:cols w:equalWidth="0" w:num="2">
            <w:col w:w="7060" w:space="120"/>
            <w:col w:w="4020"/>
          </w:cols>
          <w:pgMar w:left="320" w:top="121" w:right="379" w:bottom="1440" w:gutter="0" w:footer="0" w:header="0"/>
        </w:sectPr>
      </w:pPr>
    </w:p>
    <w:bookmarkStart w:id="96" w:name="page97"/>
    <w:bookmarkEnd w:id="96"/>
    <w:p>
      <w:pPr>
        <w:ind w:left="3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40" w:type="dxa"/>
            <w:vAlign w:val="bottom"/>
            <w:gridSpan w:val="21"/>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Forms of Stock Option Agreement, Notice of Stock Option Grant,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Notice under the 2012 Equity Incentive Plan.</w:t>
              </w:r>
            </w:hyperlink>
          </w:p>
        </w:tc>
        <w:tc>
          <w:tcPr>
            <w:tcW w:w="280" w:type="dxa"/>
            <w:vAlign w:val="bottom"/>
            <w:gridSpan w:val="10"/>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Forms of Restricted Stock Unit Grant Notice and Restricted Stock Unit Award</w:t>
              </w:r>
            </w:hyperlink>
          </w:p>
        </w:tc>
        <w:tc>
          <w:tcPr>
            <w:tcW w:w="360" w:type="dxa"/>
            <w:vAlign w:val="bottom"/>
            <w:gridSpan w:val="12"/>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Agreement under the 2012 Equity Incentive Plan.</w:t>
              </w:r>
            </w:hyperlink>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2021 Equity Incentive Plan, as amended.</w:t>
              </w:r>
            </w:hyperlink>
          </w:p>
        </w:tc>
        <w:tc>
          <w:tcPr>
            <w:tcW w:w="620" w:type="dxa"/>
            <w:vAlign w:val="bottom"/>
            <w:tcBorders>
              <w:top w:val="single" w:sz="8" w:color="0000FF"/>
            </w:tcBorders>
            <w:gridSpan w:val="2"/>
          </w:tcPr>
          <w:p>
            <w:pPr>
              <w:spacing w:after="0"/>
              <w:rPr>
                <w:sz w:val="21"/>
                <w:szCs w:val="21"/>
                <w:color w:val="auto"/>
              </w:rPr>
            </w:pPr>
          </w:p>
        </w:tc>
        <w:tc>
          <w:tcPr>
            <w:tcW w:w="2440" w:type="dxa"/>
            <w:vAlign w:val="bottom"/>
            <w:gridSpan w:val="14"/>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Forms of Notice of Stock Option Grant, Stock Option Agreement,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Notice under the 2021 Equity Incentive Plan.</w:t>
              </w:r>
            </w:hyperlink>
          </w:p>
        </w:tc>
        <w:tc>
          <w:tcPr>
            <w:tcW w:w="280" w:type="dxa"/>
            <w:vAlign w:val="bottom"/>
            <w:gridSpan w:val="10"/>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Restricted Stock Unit Grant Notice and Award Agreement under the 2021</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Equity Incentive Plan.</w:t>
              </w:r>
            </w:hyperlink>
          </w:p>
        </w:tc>
        <w:tc>
          <w:tcPr>
            <w:tcW w:w="4340" w:type="dxa"/>
            <w:vAlign w:val="bottom"/>
            <w:tcBorders>
              <w:top w:val="single" w:sz="8" w:color="0000FF"/>
            </w:tcBorders>
            <w:gridSpan w:val="2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Form of PSU Agreement with Change of Control under the 2021 Equity Incentive</w:t>
              </w:r>
            </w:hyperlink>
          </w:p>
        </w:tc>
        <w:tc>
          <w:tcPr>
            <w:tcW w:w="80" w:type="dxa"/>
            <w:vAlign w:val="bottom"/>
            <w:gridSpan w:val="3"/>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2"/>
              </w:rPr>
            </w:pPr>
            <w:hyperlink r:id="rId215">
              <w:r>
                <w:rPr>
                  <w:rFonts w:ascii="Times New Roman" w:cs="Times New Roman" w:eastAsia="Times New Roman" w:hAnsi="Times New Roman"/>
                  <w:sz w:val="18"/>
                  <w:szCs w:val="18"/>
                  <w:color w:val="0000FF"/>
                  <w:w w:val="92"/>
                </w:rPr>
                <w:t>Plan.</w:t>
              </w:r>
            </w:hyperlink>
          </w:p>
        </w:tc>
        <w:tc>
          <w:tcPr>
            <w:tcW w:w="5640" w:type="dxa"/>
            <w:vAlign w:val="bottom"/>
            <w:gridSpan w:val="26"/>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2022 Inducement Equity Incentive Plan.</w:t>
              </w:r>
            </w:hyperlink>
          </w:p>
        </w:tc>
        <w:tc>
          <w:tcPr>
            <w:tcW w:w="3100" w:type="dxa"/>
            <w:vAlign w:val="bottom"/>
            <w:gridSpan w:val="17"/>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RSU Inducement Award Agreement for OTB Founders under the 2022</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Inducement Equity Incentive Plan.</w:t>
              </w:r>
            </w:hyperlink>
          </w:p>
        </w:tc>
        <w:tc>
          <w:tcPr>
            <w:tcW w:w="3220" w:type="dxa"/>
            <w:vAlign w:val="bottom"/>
            <w:tcBorders>
              <w:top w:val="single" w:sz="8" w:color="0000FF"/>
            </w:tcBorders>
            <w:gridSpan w:val="10"/>
          </w:tcPr>
          <w:p>
            <w:pPr>
              <w:spacing w:after="0"/>
              <w:rPr>
                <w:sz w:val="17"/>
                <w:szCs w:val="17"/>
                <w:color w:val="auto"/>
              </w:rPr>
            </w:pPr>
          </w:p>
        </w:tc>
        <w:tc>
          <w:tcPr>
            <w:tcW w:w="280" w:type="dxa"/>
            <w:vAlign w:val="bottom"/>
            <w:gridSpan w:val="10"/>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RSU Inducement Award Agreement for Other Employees under the 2022</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Inducement Equity Incentive Plan.</w:t>
              </w:r>
            </w:hyperlink>
          </w:p>
        </w:tc>
        <w:tc>
          <w:tcPr>
            <w:tcW w:w="3400" w:type="dxa"/>
            <w:vAlign w:val="bottom"/>
            <w:tcBorders>
              <w:top w:val="single" w:sz="8" w:color="0000FF"/>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2021 Employee Stock Purchase Plan.</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Form of Indemnification Agreement entered into by and between the Registrant</w:t>
              </w:r>
            </w:hyperlink>
          </w:p>
        </w:tc>
        <w:tc>
          <w:tcPr>
            <w:tcW w:w="260" w:type="dxa"/>
            <w:vAlign w:val="bottom"/>
            <w:gridSpan w:val="9"/>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7"/>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and each director and executive officer.</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 xml:space="preserve">Amended and Restated Change of </w:t>
              </w:r>
            </w:hyperlink>
            <w:r>
              <w:rPr>
                <w:rFonts w:ascii="Times New Roman" w:cs="Times New Roman" w:eastAsia="Times New Roman" w:hAnsi="Times New Roman"/>
                <w:sz w:val="18"/>
                <w:szCs w:val="18"/>
                <w:color w:val="0000FF"/>
              </w:rPr>
              <w:t xml:space="preserve">Control </w:t>
            </w:r>
            <w:hyperlink r:id="rId221">
              <w:r>
                <w:rPr>
                  <w:rFonts w:ascii="Times New Roman" w:cs="Times New Roman" w:eastAsia="Times New Roman" w:hAnsi="Times New Roman"/>
                  <w:sz w:val="18"/>
                  <w:szCs w:val="18"/>
                  <w:color w:val="0000FF"/>
                </w:rPr>
                <w:t xml:space="preserve">and </w:t>
              </w:r>
            </w:hyperlink>
            <w:r>
              <w:rPr>
                <w:rFonts w:ascii="Times New Roman" w:cs="Times New Roman" w:eastAsia="Times New Roman" w:hAnsi="Times New Roman"/>
                <w:sz w:val="18"/>
                <w:szCs w:val="18"/>
                <w:color w:val="0000FF"/>
              </w:rPr>
              <w:t xml:space="preserve">Severance </w:t>
            </w:r>
            <w:hyperlink r:id="rId221">
              <w:r>
                <w:rPr>
                  <w:rFonts w:ascii="Times New Roman" w:cs="Times New Roman" w:eastAsia="Times New Roman" w:hAnsi="Times New Roman"/>
                  <w:sz w:val="18"/>
                  <w:szCs w:val="18"/>
                  <w:color w:val="0000FF"/>
                </w:rPr>
                <w:t>Policy.</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Offer Letter, by and between Tim Chen and the Registrant, dated June 25, 2021.</w:t>
              </w:r>
            </w:hyperlink>
          </w:p>
        </w:tc>
        <w:tc>
          <w:tcPr>
            <w:tcW w:w="240" w:type="dxa"/>
            <w:vAlign w:val="bottom"/>
            <w:gridSpan w:val="8"/>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Offer Letter, by and between Lauren StClair and the Registrant, dated November</w:t>
              </w:r>
            </w:hyperlink>
          </w:p>
        </w:tc>
        <w:tc>
          <w:tcPr>
            <w:tcW w:w="180" w:type="dxa"/>
            <w:vAlign w:val="bottom"/>
            <w:gridSpan w:val="6"/>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20"/>
              <w:spacing w:after="0" w:line="196" w:lineRule="exact"/>
              <w:rPr>
                <w:rFonts w:ascii="Times New Roman" w:cs="Times New Roman" w:eastAsia="Times New Roman" w:hAnsi="Times New Roman"/>
                <w:sz w:val="18"/>
                <w:szCs w:val="18"/>
                <w:color w:val="0000FF"/>
                <w:w w:val="94"/>
              </w:rPr>
            </w:pPr>
            <w:hyperlink r:id="rId223">
              <w:r>
                <w:rPr>
                  <w:rFonts w:ascii="Times New Roman" w:cs="Times New Roman" w:eastAsia="Times New Roman" w:hAnsi="Times New Roman"/>
                  <w:sz w:val="18"/>
                  <w:szCs w:val="18"/>
                  <w:color w:val="0000FF"/>
                  <w:w w:val="94"/>
                </w:rPr>
                <w:t>23, 2020.</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Subsidiaries of the Registrant.</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w:t>
            </w:r>
          </w:p>
        </w:tc>
        <w:tc>
          <w:tcPr>
            <w:tcW w:w="40" w:type="dxa"/>
            <w:vAlign w:val="bottom"/>
          </w:tcPr>
          <w:p>
            <w:pPr>
              <w:spacing w:after="0"/>
              <w:rPr>
                <w:sz w:val="24"/>
                <w:szCs w:val="24"/>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60" w:type="dxa"/>
            <w:vAlign w:val="bottom"/>
            <w:gridSpan w:val="5"/>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4760" w:type="dxa"/>
            <w:vAlign w:val="bottom"/>
            <w:tcBorders>
              <w:top w:val="single" w:sz="8" w:color="0000FF"/>
            </w:tcBorders>
            <w:gridSpan w:val="12"/>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236"/>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200" w:type="dxa"/>
            <w:vAlign w:val="bottom"/>
            <w:gridSpan w:val="7"/>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13"/>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736"/>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gridSpan w:val="15"/>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2588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6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10.7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10.8 to the Registrant’s Registration Statement on Form S-1 (No. 333-260134) filed October 8, 2021</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99.1 to the Registrant’s Registration Statement on Form S-8 (No. 333-265197) filed May 25, 2022</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10.10 to the Registrant’s Registration Statement on Form S-1 (No. 333-260134) filed October 26,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10.11 to the Registrant’s Registration Statement on Form S-1 (No. 333-260134) filed October 26, 2021</w:t>
      </w:r>
    </w:p>
    <w:p>
      <w:pPr>
        <w:spacing w:after="0" w:line="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Exhibit 10.1 to the Registrant’s Current Report on Form 8-K (001-40994) filed March 17, 2023</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99.1 to the Registrant’s Registration Statement on Form S-8 (No. 333-266087) filed July 11, 2022</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99.2 to the Registrant’s Registration Statement on Form S-8 (No. 333-266087) filed July 11, 2022</w:t>
      </w:r>
    </w:p>
    <w:p>
      <w:pPr>
        <w:spacing w:after="0" w:line="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Exhibit 99.3 to the Registrant’s Registration Statement on Form S-8 (No. 333-266087) filed July 11, 2022</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10.12 to the Registrant’s Registration Statement on Form S-1 (No. 333-260134) filed October 26,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10.13 to the Registrant’s Registration Statement on Form S-1 (No. 333-260134) filed October 8, 2021</w:t>
      </w:r>
    </w:p>
    <w:p>
      <w:pPr>
        <w:spacing w:after="0" w:line="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Exhibit 10.2 to the Registrant’s Current Report on Form 8-K (001-40994) filed March 17, 2023</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10.21 to the Registrant’s Registration Statement on Form S-1 (No. 333-260134) filed October 8, 2021</w:t>
      </w:r>
    </w:p>
    <w:p>
      <w:pPr>
        <w:spacing w:after="0" w:line="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Exhibit 10.17 to the Registrant’s Registration Statement on Form S-1 (No. 333-260134) filed October 8, 2021</w:t>
      </w:r>
    </w:p>
    <w:p>
      <w:pPr>
        <w:spacing w:after="0" w:line="1"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7"/>
          <w:szCs w:val="17"/>
          <w:color w:val="auto"/>
        </w:rPr>
        <w:t>Exhibit 21.1 to the Registrant’s Annual Report on Form 10-K (No. 001-40994) filed March 24,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7060" w:space="120"/>
            <w:col w:w="4020"/>
          </w:cols>
          <w:pgMar w:left="320" w:top="121" w:right="379" w:bottom="1440" w:gutter="0" w:footer="0" w:header="0"/>
          <w:type w:val="continuous"/>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6100" w:type="dxa"/>
            <w:vAlign w:val="bottom"/>
            <w:gridSpan w:val="7"/>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00" w:type="dxa"/>
            <w:vAlign w:val="bottom"/>
            <w:tcBorders>
              <w:top w:val="single" w:sz="8" w:color="0000FF"/>
            </w:tcBorders>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Compensation Recovery Policy of the Registrant.</w:t>
            </w:r>
          </w:p>
        </w:tc>
        <w:tc>
          <w:tcPr>
            <w:tcW w:w="2540" w:type="dxa"/>
            <w:vAlign w:val="bottom"/>
            <w:gridSpan w:val="6"/>
          </w:tcPr>
          <w:p>
            <w:pPr>
              <w:spacing w:after="0"/>
              <w:rPr>
                <w:sz w:val="21"/>
                <w:szCs w:val="21"/>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5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w:t>
      </w:r>
    </w:p>
    <w:p>
      <w:pPr>
        <w:spacing w:after="0" w:line="26" w:lineRule="exact"/>
        <w:rPr>
          <w:sz w:val="20"/>
          <w:szCs w:val="20"/>
          <w:color w:val="auto"/>
        </w:rPr>
      </w:pPr>
    </w:p>
    <w:p>
      <w:pPr>
        <w:jc w:val="right"/>
        <w:ind w:left="340" w:hanging="332"/>
        <w:spacing w:after="0" w:line="237" w:lineRule="auto"/>
        <w:tabs>
          <w:tab w:leader="none" w:pos="2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certifications attached as Exhibits 32.1 and 32.2 that accompany this Annual Report on Form 10-K are deemed furnished and not filed with the Securities and Exchange Commission and are not to be incorporated by reference into any filing under the Securities Act of 1933, as amended, or the Securities Exchange Act of 1934, as amended, whether made before or after the</w:t>
      </w:r>
    </w:p>
    <w:p>
      <w:pPr>
        <w:ind w:left="340"/>
        <w:spacing w:after="0"/>
        <w:rPr>
          <w:sz w:val="20"/>
          <w:szCs w:val="20"/>
          <w:color w:val="auto"/>
        </w:rPr>
      </w:pPr>
      <w:r>
        <w:rPr>
          <w:rFonts w:ascii="Times New Roman" w:cs="Times New Roman" w:eastAsia="Times New Roman" w:hAnsi="Times New Roman"/>
          <w:sz w:val="14"/>
          <w:szCs w:val="14"/>
          <w:color w:val="auto"/>
        </w:rPr>
        <w:t>date of this Annual Report on Form 10-K, irrespective of any general incorporation language contained in such filing.</w:t>
      </w:r>
    </w:p>
    <w:p>
      <w:pPr>
        <w:spacing w:after="0" w:line="15" w:lineRule="exact"/>
        <w:rPr>
          <w:sz w:val="20"/>
          <w:szCs w:val="20"/>
          <w:color w:val="auto"/>
        </w:rPr>
      </w:pPr>
    </w:p>
    <w:p>
      <w:pPr>
        <w:jc w:val="both"/>
        <w:ind w:left="340" w:hanging="332"/>
        <w:spacing w:after="0" w:line="260" w:lineRule="auto"/>
        <w:tabs>
          <w:tab w:leader="none" w:pos="35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 Financial Statement Schedules.</w:t>
      </w:r>
    </w:p>
    <w:p>
      <w:pPr>
        <w:spacing w:after="0" w:line="15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February 20, 2024.</w:t>
      </w:r>
    </w:p>
    <w:p>
      <w:pPr>
        <w:spacing w:after="0" w:line="1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337"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26746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 Chen</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26746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Lauren StClair</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Tim Chen</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680" w:type="dxa"/>
            <w:vAlign w:val="bottom"/>
            <w:gridSpan w:val="2"/>
            <w:vMerge w:val="restart"/>
          </w:tcPr>
          <w:p>
            <w:pPr>
              <w:jc w:val="center"/>
              <w:ind w:right="120"/>
              <w:spacing w:after="0" w:line="128" w:lineRule="exact"/>
              <w:rPr>
                <w:sz w:val="20"/>
                <w:szCs w:val="20"/>
                <w:color w:val="auto"/>
              </w:rPr>
            </w:pPr>
            <w:r>
              <w:rPr>
                <w:rFonts w:ascii="Times New Roman" w:cs="Times New Roman" w:eastAsia="Times New Roman" w:hAnsi="Times New Roman"/>
                <w:sz w:val="13"/>
                <w:szCs w:val="13"/>
                <w:color w:val="auto"/>
              </w:rPr>
              <w:t>Chairman of the Board of Directors</w:t>
            </w: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Tim Chen</w:t>
            </w:r>
          </w:p>
        </w:tc>
        <w:tc>
          <w:tcPr>
            <w:tcW w:w="120" w:type="dxa"/>
            <w:vAlign w:val="bottom"/>
            <w:vMerge w:val="continue"/>
          </w:tcPr>
          <w:p>
            <w:pPr>
              <w:spacing w:after="0"/>
              <w:rPr>
                <w:sz w:val="4"/>
                <w:szCs w:val="4"/>
                <w:color w:val="auto"/>
              </w:rPr>
            </w:pPr>
          </w:p>
        </w:tc>
        <w:tc>
          <w:tcPr>
            <w:tcW w:w="3680" w:type="dxa"/>
            <w:vAlign w:val="bottom"/>
            <w:gridSpan w:val="2"/>
            <w:vMerge w:val="continue"/>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Lauren StClair</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133"/>
        </w:trPr>
        <w:tc>
          <w:tcPr>
            <w:tcW w:w="2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w:t>
            </w:r>
          </w:p>
        </w:tc>
        <w:tc>
          <w:tcPr>
            <w:tcW w:w="2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Lauren StClair</w:t>
            </w:r>
          </w:p>
        </w:tc>
        <w:tc>
          <w:tcPr>
            <w:tcW w:w="12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Jennifer Ceran</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Jennifer Ceran</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Lynne Laube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Lynne Laube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Kenneth McBride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Kenneth McBride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Maurice Taylor</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Maurice Taylor</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6"/>
        </w:trPr>
        <w:tc>
          <w:tcPr>
            <w:tcW w:w="2720" w:type="dxa"/>
            <w:vAlign w:val="bottom"/>
          </w:tcPr>
          <w:p>
            <w:pPr>
              <w:spacing w:after="0"/>
              <w:rPr>
                <w:sz w:val="24"/>
                <w:szCs w:val="24"/>
                <w:color w:val="auto"/>
              </w:rPr>
            </w:pPr>
          </w:p>
        </w:tc>
        <w:tc>
          <w:tcPr>
            <w:tcW w:w="3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 TO CREDIT AGREEMENT</w:t>
      </w:r>
    </w:p>
    <w:p>
      <w:pPr>
        <w:spacing w:after="0" w:line="229" w:lineRule="exact"/>
        <w:rPr>
          <w:sz w:val="20"/>
          <w:szCs w:val="20"/>
          <w:color w:val="auto"/>
        </w:rPr>
      </w:pPr>
    </w:p>
    <w:p>
      <w:pPr>
        <w:jc w:val="both"/>
        <w:ind w:firstLine="1296"/>
        <w:spacing w:after="0" w:line="237" w:lineRule="auto"/>
        <w:rPr>
          <w:sz w:val="20"/>
          <w:szCs w:val="20"/>
          <w:color w:val="auto"/>
        </w:rPr>
      </w:pPr>
      <w:r>
        <w:rPr>
          <w:rFonts w:ascii="Times New Roman" w:cs="Times New Roman" w:eastAsia="Times New Roman" w:hAnsi="Times New Roman"/>
          <w:sz w:val="20"/>
          <w:szCs w:val="20"/>
          <w:color w:val="auto"/>
        </w:rPr>
        <w:t>THIS FIRST AMENDMENT TO CREDIT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November 1, 2023 by and among NerdWallet,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JPMorgan Chase Bank,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under that certain Credit Agreement dated as of September 26, 2023 by and among the Borrower, the subsidiaries of the Borrower from time to time party thereto as Subsidiary Guarantors, the Lenders from time to time party thereto and the Administrative Agent (as further amended, restated, supplemented or otherwise modified from time to time,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Amended Credit Agreement (as defined below).</w:t>
      </w:r>
    </w:p>
    <w:p>
      <w:pPr>
        <w:spacing w:after="0" w:line="20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WHEREAS, the Borrower and the Administrative Agent have agreed to certain amendments to the Existing Credit Agreement pursuant to Section 9.02(e) thereof on the terms and conditions set forth herein;</w:t>
      </w:r>
    </w:p>
    <w:p>
      <w:pPr>
        <w:spacing w:after="0" w:line="17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0"/>
          <w:szCs w:val="20"/>
          <w:color w:val="auto"/>
        </w:rPr>
        <w:t>NOW, THEREFORE, in consideration of the premises set forth above, the terms and conditions contained herein, and other good and valuable consideration, the receipt and sufficiency of which are hereby acknowledged, the Borrower and the Administrative Agent hereby agree to enter into this Amendment.</w:t>
      </w:r>
    </w:p>
    <w:p>
      <w:pPr>
        <w:spacing w:after="0" w:line="194" w:lineRule="exact"/>
        <w:rPr>
          <w:sz w:val="20"/>
          <w:szCs w:val="20"/>
          <w:color w:val="auto"/>
        </w:rPr>
      </w:pPr>
    </w:p>
    <w:p>
      <w:pPr>
        <w:jc w:val="both"/>
        <w:ind w:left="1300" w:hanging="320"/>
        <w:spacing w:after="0" w:line="241" w:lineRule="auto"/>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Existing Credit Agreement</w:t>
      </w:r>
      <w:r>
        <w:rPr>
          <w:rFonts w:ascii="Times New Roman" w:cs="Times New Roman" w:eastAsia="Times New Roman" w:hAnsi="Times New Roman"/>
          <w:sz w:val="20"/>
          <w:szCs w:val="20"/>
          <w:color w:val="auto"/>
        </w:rPr>
        <w:t xml:space="preserve">. Effective as of the First Amendment Effective Date (as defined below), the Existing Credit Agreement is hereby amended to delete the stricken text (indicated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in the same manner as the following example: </w:t>
      </w:r>
      <w:r>
        <w:rPr>
          <w:rFonts w:ascii="Times New Roman" w:cs="Times New Roman" w:eastAsia="Times New Roman" w:hAnsi="Times New Roman"/>
          <w:sz w:val="20"/>
          <w:szCs w:val="20"/>
          <w:u w:val="single" w:color="auto"/>
          <w:color w:val="0E32E1"/>
        </w:rPr>
        <w:t>underlined text</w:t>
      </w:r>
      <w:r>
        <w:rPr>
          <w:rFonts w:ascii="Times New Roman" w:cs="Times New Roman" w:eastAsia="Times New Roman" w:hAnsi="Times New Roman"/>
          <w:sz w:val="20"/>
          <w:szCs w:val="20"/>
          <w:color w:val="000000"/>
        </w:rPr>
        <w:t>) as set forth on</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u w:val="single" w:color="auto"/>
          <w:color w:val="000000"/>
        </w:rPr>
        <w:t>Exhibit A</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hereto (the “</w:t>
      </w:r>
      <w:r>
        <w:rPr>
          <w:rFonts w:ascii="Times New Roman" w:cs="Times New Roman" w:eastAsia="Times New Roman" w:hAnsi="Times New Roman"/>
          <w:sz w:val="20"/>
          <w:szCs w:val="20"/>
          <w:u w:val="single" w:color="auto"/>
          <w:color w:val="000000"/>
        </w:rPr>
        <w:t>Amended Credit Agreement</w:t>
      </w:r>
      <w:r>
        <w:rPr>
          <w:rFonts w:ascii="Times New Roman" w:cs="Times New Roman" w:eastAsia="Times New Roman" w:hAnsi="Times New Roman"/>
          <w:sz w:val="20"/>
          <w:szCs w:val="20"/>
          <w:color w:val="000000"/>
        </w:rPr>
        <w:t>”). On the First Amendment Effective</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Date, (i) Schedule 3.05 to the Existing Credit Agreement shall be amended and restated to read in full as set forth in Annex A hereto, and (ii) Exhibits A and B to the Security Agreement shall be amended and restated to read in full as set forth in Annex B hereto. Any Schedule, Exhibit or other attachment to the Existing Credit Agreement or any other Loan Document not amended pursuant to the terms of this Amendment shall remain in effect without any amendment or other modification thereto.</w:t>
      </w:r>
    </w:p>
    <w:p>
      <w:pPr>
        <w:spacing w:after="0" w:line="216" w:lineRule="exact"/>
        <w:rPr>
          <w:rFonts w:ascii="Times New Roman" w:cs="Times New Roman" w:eastAsia="Times New Roman" w:hAnsi="Times New Roman"/>
          <w:sz w:val="20"/>
          <w:szCs w:val="20"/>
          <w:color w:val="auto"/>
        </w:rPr>
      </w:pPr>
    </w:p>
    <w:p>
      <w:pPr>
        <w:jc w:val="both"/>
        <w:ind w:left="1300" w:hanging="320"/>
        <w:spacing w:after="0" w:line="239" w:lineRule="auto"/>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of Effectiveness</w:t>
      </w:r>
      <w:r>
        <w:rPr>
          <w:rFonts w:ascii="Times New Roman" w:cs="Times New Roman" w:eastAsia="Times New Roman" w:hAnsi="Times New Roman"/>
          <w:sz w:val="20"/>
          <w:szCs w:val="20"/>
          <w:color w:val="auto"/>
        </w:rPr>
        <w:t>. The effectiveness of this Amendment (the “</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is subject to the Administrative Agent’s (or its counsel’s) receipt of executed counterparts of this Amendment signed by or on behalf of the Borrower and the Administrative Agent (which, subject to Section 9.06(b) of the Amended Credit Agreement, may include any Electronic Signatures transmitted by telecopy, emailed pdf. or any other electronic means that reproduces an image of an actual executed signature page).</w:t>
      </w:r>
    </w:p>
    <w:p>
      <w:pPr>
        <w:spacing w:after="0" w:line="20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Existing Credit Agreement</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1960" w:hanging="324"/>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the effectiveness hereof, each reference to the Existing Credit Agreement in the Existing Credit Agreement or any other Loan Document shall mean and be a reference to the Amended Credit Agreement.</w:t>
      </w:r>
    </w:p>
    <w:p>
      <w:pPr>
        <w:sectPr>
          <w:pgSz w:w="11900" w:h="16838" w:orient="portrait"/>
          <w:cols w:equalWidth="0" w:num="1">
            <w:col w:w="11240"/>
          </w:cols>
          <w:pgMar w:left="320" w:top="100" w:right="339" w:bottom="1440" w:gutter="0" w:footer="0" w:header="0"/>
        </w:sectPr>
      </w:pPr>
    </w:p>
    <w:bookmarkStart w:id="100" w:name="page101"/>
    <w:bookmarkEnd w:id="100"/>
    <w:p>
      <w:pPr>
        <w:spacing w:after="0" w:line="189" w:lineRule="exact"/>
        <w:rPr>
          <w:sz w:val="20"/>
          <w:szCs w:val="20"/>
          <w:color w:val="auto"/>
        </w:rPr>
      </w:pPr>
    </w:p>
    <w:p>
      <w:pPr>
        <w:jc w:val="both"/>
        <w:ind w:left="980" w:hanging="332"/>
        <w:spacing w:after="0" w:line="239" w:lineRule="auto"/>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(i) agrees that this Amendment and the transactions contemplated hereby shall not limit or diminish its obligations arising under or pursuant to the Loan Documents to which it is a party, (ii) reaffirms all of its obligations under the Existing Credit Agreement and the other Loan Documents to which it is a party and (iii) acknowledges and agrees that the Existing Credit Agreement and each other Loan Document executed by it remains in full force and effect and is hereby reaffirmed, ratified and confirmed.</w:t>
      </w:r>
    </w:p>
    <w:p>
      <w:pPr>
        <w:spacing w:after="0" w:line="204" w:lineRule="exact"/>
        <w:rPr>
          <w:rFonts w:ascii="Times New Roman" w:cs="Times New Roman" w:eastAsia="Times New Roman" w:hAnsi="Times New Roman"/>
          <w:sz w:val="20"/>
          <w:szCs w:val="20"/>
          <w:color w:val="auto"/>
        </w:rPr>
      </w:pPr>
    </w:p>
    <w:p>
      <w:pPr>
        <w:jc w:val="both"/>
        <w:ind w:left="980" w:hanging="332"/>
        <w:spacing w:after="0" w:line="239" w:lineRule="auto"/>
        <w:tabs>
          <w:tab w:leader="none" w:pos="969"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Amendment shall not operate as a waiver of any right, power or remedy of the Lenders or the Administrative Agent under the Existing Credit Agreement or any of the other Loan Documents, nor constitute a waiver of any provision of any of the Loan Documents or any other documents, instruments and agreements executed and/or delivered in connection therewith.</w:t>
      </w:r>
    </w:p>
    <w:p>
      <w:pPr>
        <w:spacing w:after="0" w:line="217" w:lineRule="exact"/>
        <w:rPr>
          <w:rFonts w:ascii="Times New Roman" w:cs="Times New Roman" w:eastAsia="Times New Roman" w:hAnsi="Times New Roman"/>
          <w:sz w:val="20"/>
          <w:szCs w:val="20"/>
          <w:color w:val="auto"/>
        </w:rPr>
      </w:pPr>
    </w:p>
    <w:p>
      <w:pPr>
        <w:ind w:left="980" w:hanging="332"/>
        <w:spacing w:after="0"/>
        <w:tabs>
          <w:tab w:leader="none" w:pos="9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w:t>
      </w:r>
    </w:p>
    <w:p>
      <w:pPr>
        <w:spacing w:after="0" w:line="229" w:lineRule="exact"/>
        <w:rPr>
          <w:rFonts w:ascii="Times New Roman" w:cs="Times New Roman" w:eastAsia="Times New Roman" w:hAnsi="Times New Roman"/>
          <w:sz w:val="20"/>
          <w:szCs w:val="20"/>
          <w:color w:val="auto"/>
        </w:rPr>
      </w:pPr>
    </w:p>
    <w:p>
      <w:pPr>
        <w:jc w:val="both"/>
        <w:ind w:left="320" w:right="20" w:hanging="320"/>
        <w:spacing w:after="0" w:line="247" w:lineRule="auto"/>
        <w:tabs>
          <w:tab w:leader="none" w:pos="3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Amendment shall be governed by and construed in accordance with and governed by the law of the State of New York. The parties hereto agree that provisions of Sections 9.09 and 9.10 of the Amended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94" w:lineRule="exact"/>
        <w:rPr>
          <w:rFonts w:ascii="Times New Roman" w:cs="Times New Roman" w:eastAsia="Times New Roman" w:hAnsi="Times New Roman"/>
          <w:sz w:val="20"/>
          <w:szCs w:val="20"/>
          <w:color w:val="auto"/>
        </w:rPr>
      </w:pPr>
    </w:p>
    <w:p>
      <w:pPr>
        <w:ind w:left="320" w:hanging="320"/>
        <w:spacing w:after="0" w:line="269" w:lineRule="auto"/>
        <w:tabs>
          <w:tab w:leader="none" w:pos="3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Amendment are included herein for convenience of reference only and shall not constitute a part of this Amendment for any other purpose.</w:t>
      </w:r>
    </w:p>
    <w:p>
      <w:pPr>
        <w:spacing w:after="0" w:line="172" w:lineRule="exact"/>
        <w:rPr>
          <w:rFonts w:ascii="Times New Roman" w:cs="Times New Roman" w:eastAsia="Times New Roman" w:hAnsi="Times New Roman"/>
          <w:sz w:val="20"/>
          <w:szCs w:val="20"/>
          <w:color w:val="auto"/>
        </w:rPr>
      </w:pPr>
    </w:p>
    <w:p>
      <w:pPr>
        <w:jc w:val="both"/>
        <w:ind w:left="320" w:hanging="320"/>
        <w:spacing w:after="0" w:line="233" w:lineRule="auto"/>
        <w:tabs>
          <w:tab w:leader="none" w:pos="3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that is an Electronic Signature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ectPr>
          <w:pgSz w:w="11900" w:h="16838" w:orient="portrait"/>
          <w:cols w:equalWidth="0" w:num="1">
            <w:col w:w="10260"/>
          </w:cols>
          <w:pgMar w:left="1300" w:top="1440" w:right="339" w:bottom="1440" w:gutter="0" w:footer="0" w:header="0"/>
        </w:sectPr>
      </w:pPr>
    </w:p>
    <w:bookmarkStart w:id="101" w:name="page102"/>
    <w:bookmarkEnd w:id="101"/>
    <w:p>
      <w:pPr>
        <w:spacing w:after="0" w:line="189" w:lineRule="exact"/>
        <w:rPr>
          <w:sz w:val="20"/>
          <w:szCs w:val="20"/>
          <w:color w:val="auto"/>
        </w:rPr>
      </w:pPr>
    </w:p>
    <w:p>
      <w:pPr>
        <w:jc w:val="both"/>
        <w:ind w:left="320" w:hanging="320"/>
        <w:spacing w:after="0" w:line="237" w:lineRule="auto"/>
        <w:tabs>
          <w:tab w:leader="none" w:pos="3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Neither the execution, delivery and acceptance of this Amendment nor any of the terms, covenants, conditions or other provisions set forth herein are intended, nor shall they be deemed or construed, to effect a novation of any liens or Obligations under the Existing Credit Agreement or to pay, extinguish, release, satisfy or discharge (a) the Obligations under the Existing Credit Agreement, (b) the liability of any Loan Party under the Existing Credit Agreement or the other Loan Documents executed and delivered in connection therewith or any Obligations or other obligations evidenced thereby, or (c) any mortgages, deeds of trust, liens, security interests or contractual or legal rights securing all or any part of such Obligations.</w:t>
      </w:r>
    </w:p>
    <w:p>
      <w:pPr>
        <w:spacing w:after="0" w:line="205" w:lineRule="exact"/>
        <w:rPr>
          <w:rFonts w:ascii="Times New Roman" w:cs="Times New Roman" w:eastAsia="Times New Roman" w:hAnsi="Times New Roman"/>
          <w:sz w:val="20"/>
          <w:szCs w:val="20"/>
          <w:color w:val="auto"/>
        </w:rPr>
      </w:pPr>
    </w:p>
    <w:p>
      <w:pPr>
        <w:jc w:val="both"/>
        <w:ind w:left="320" w:hanging="320"/>
        <w:spacing w:after="0" w:line="234" w:lineRule="auto"/>
        <w:tabs>
          <w:tab w:leader="none" w:pos="3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Except as expressly modified by this Amendment, all of the terms, provisions and conditions of the Existing Credit Agreement, as heretofore amended, shall remain unchanged and in full force and effect. Each Loan Party, as debtor, grantor, pledgor, guarantor, assignor, or in any other similar capacity in which such Person grants liens or security interests in its property or otherwise acts as accommodation party or guarantor, as the case may be, hereby (i) ratifies and reaffirms all of its payment and performance obligations, contingent or otherwise, under the Existing Credit Agreement and each other Loan Document to which it is a party (after giving effect hereto) and (ii) to the extent such Person granted liens on or security interests in any of its property pursuant to any Loan Documents as security for or otherwise guaranteed the Obligations under or with respect to the Loan Documents, ratifies and reaffirms such guarantee and grant of security interests and liens and confirms and agrees that such security interests and liens hereafter secure all of the Obligations as amended hereby. This Amendment shall not constitute a course of dealing with the Administrative Agent or any Lender at variance with the Existing Credit Agreement or the other Loan Documents such as to require further notice by such Person to require strict compliance with the terms of the Existing Credit Agreement and the other Loan Documents in the future.</w:t>
      </w:r>
    </w:p>
    <w:p>
      <w:pPr>
        <w:spacing w:after="0" w:line="2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0260"/>
          </w:cols>
          <w:pgMar w:left="1300" w:top="1440" w:right="339" w:bottom="1440" w:gutter="0" w:footer="0" w:header="0"/>
        </w:sectPr>
      </w:pPr>
    </w:p>
    <w:bookmarkStart w:id="102" w:name="page103"/>
    <w:bookmarkEnd w:id="102"/>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IN WITNESS WHEREOF, this Amendment has been duly executed as of the day and year first above written.</w:t>
      </w:r>
    </w:p>
    <w:p>
      <w:pPr>
        <w:sectPr>
          <w:pgSz w:w="11900" w:h="16838" w:orient="portrait"/>
          <w:cols w:equalWidth="0" w:num="1">
            <w:col w:w="9019"/>
          </w:cols>
          <w:pgMar w:left="1440" w:top="1440" w:right="1440" w:bottom="1440" w:gutter="0" w:footer="0" w:header="0"/>
        </w:sectPr>
      </w:pP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NERDWALLET, INC.,</w:t>
      </w:r>
    </w:p>
    <w:p>
      <w:pPr>
        <w:spacing w:after="0" w:line="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Lauren StClair</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Lauren StClair</w:t>
      </w:r>
    </w:p>
    <w:p>
      <w:pPr>
        <w:ind w:left="2780"/>
        <w:spacing w:after="0"/>
        <w:rPr>
          <w:sz w:val="20"/>
          <w:szCs w:val="20"/>
          <w:color w:val="auto"/>
        </w:rPr>
      </w:pPr>
      <w:r>
        <w:rPr>
          <w:rFonts w:ascii="Times New Roman" w:cs="Times New Roman" w:eastAsia="Times New Roman" w:hAnsi="Times New Roman"/>
          <w:sz w:val="20"/>
          <w:szCs w:val="20"/>
          <w:color w:val="auto"/>
        </w:rPr>
        <w:t>Title: CFO</w:t>
      </w:r>
    </w:p>
    <w:p>
      <w:pPr>
        <w:sectPr>
          <w:pgSz w:w="11900" w:h="16838" w:orient="portrait"/>
          <w:cols w:equalWidth="0" w:num="1">
            <w:col w:w="9019"/>
          </w:cols>
          <w:pgMar w:left="1440" w:top="1440" w:right="1440" w:bottom="1440" w:gutter="0" w:footer="0" w:header="0"/>
          <w:type w:val="continuous"/>
        </w:sectPr>
      </w:pPr>
    </w:p>
    <w:bookmarkStart w:id="103" w:name="page104"/>
    <w:bookmarkEnd w:id="103"/>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Cameron Gray</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Cameron Gray</w:t>
      </w:r>
    </w:p>
    <w:p>
      <w:pPr>
        <w:ind w:left="2780"/>
        <w:spacing w:after="0"/>
        <w:rPr>
          <w:sz w:val="20"/>
          <w:szCs w:val="20"/>
          <w:color w:val="auto"/>
        </w:rPr>
      </w:pPr>
      <w:r>
        <w:rPr>
          <w:rFonts w:ascii="Times New Roman" w:cs="Times New Roman" w:eastAsia="Times New Roman" w:hAnsi="Times New Roman"/>
          <w:sz w:val="20"/>
          <w:szCs w:val="20"/>
          <w:color w:val="auto"/>
        </w:rPr>
        <w:t>Title: Authorized Officer</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u w:val="single" w:color="auto"/>
          <w:color w:val="auto"/>
        </w:rPr>
        <w:t>Amended Credit Agreement</w:t>
      </w:r>
    </w:p>
    <w:p>
      <w:pPr>
        <w:spacing w:after="0" w:line="25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10120"/>
          </w:cols>
          <w:pgMar w:left="1440" w:top="1440" w:right="3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2925445</wp:posOffset>
            </wp:positionH>
            <wp:positionV relativeFrom="page">
              <wp:posOffset>1529080</wp:posOffset>
            </wp:positionV>
            <wp:extent cx="1697355" cy="360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6973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CREDIT AGREEMENT</w:t>
      </w:r>
      <w:r>
        <w:rPr>
          <w:rFonts w:ascii="Times New Roman" w:cs="Times New Roman" w:eastAsia="Times New Roman" w:hAnsi="Times New Roman"/>
          <w:sz w:val="25"/>
          <w:szCs w:val="25"/>
          <w:u w:val="single" w:color="auto"/>
          <w:color w:val="0000FF"/>
          <w:vertAlign w:val="superscript"/>
        </w:rPr>
        <w:t>1</w:t>
      </w:r>
    </w:p>
    <w:p>
      <w:pPr>
        <w:spacing w:after="0" w:line="2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dated as of</w:t>
      </w:r>
    </w:p>
    <w:p>
      <w:pPr>
        <w:spacing w:after="0" w:line="35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September 26, 2023</w:t>
      </w:r>
    </w:p>
    <w:p>
      <w:pPr>
        <w:spacing w:after="0" w:line="3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among</w:t>
      </w:r>
    </w:p>
    <w:p>
      <w:pPr>
        <w:spacing w:after="0" w:line="3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NERDWALLET, INC.,</w:t>
      </w:r>
    </w:p>
    <w:p>
      <w:pPr>
        <w:jc w:val="center"/>
        <w:ind w:right="-1120"/>
        <w:spacing w:after="0"/>
        <w:rPr>
          <w:sz w:val="20"/>
          <w:szCs w:val="20"/>
          <w:color w:val="auto"/>
        </w:rPr>
      </w:pPr>
      <w:r>
        <w:rPr>
          <w:rFonts w:ascii="Times New Roman" w:cs="Times New Roman" w:eastAsia="Times New Roman" w:hAnsi="Times New Roman"/>
          <w:sz w:val="20"/>
          <w:szCs w:val="20"/>
          <w:color w:val="auto"/>
        </w:rPr>
        <w:t>as the Borrower,</w:t>
      </w:r>
    </w:p>
    <w:p>
      <w:pPr>
        <w:spacing w:after="0" w:line="3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00" w:lineRule="exact"/>
        <w:rPr>
          <w:sz w:val="20"/>
          <w:szCs w:val="20"/>
          <w:color w:val="auto"/>
        </w:rPr>
      </w:pPr>
    </w:p>
    <w:p>
      <w:pPr>
        <w:spacing w:after="0" w:line="25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1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JPMORGAN CHASE BANK, N.A.,</w:t>
      </w: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1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jc w:val="center"/>
        <w:ind w:right="-1120"/>
        <w:spacing w:after="0" w:line="211" w:lineRule="auto"/>
        <w:rPr>
          <w:sz w:val="20"/>
          <w:szCs w:val="20"/>
          <w:color w:val="auto"/>
        </w:rPr>
      </w:pPr>
      <w:r>
        <w:rPr>
          <w:rFonts w:ascii="Times New Roman" w:cs="Times New Roman" w:eastAsia="Times New Roman" w:hAnsi="Times New Roman"/>
          <w:sz w:val="20"/>
          <w:szCs w:val="20"/>
          <w:color w:val="FF0000"/>
          <w:strike w:val="1"/>
        </w:rPr>
        <w:t>as Sole Bookrunner and Sole Lead Arranger</w:t>
      </w:r>
    </w:p>
    <w:p>
      <w:pPr>
        <w:jc w:val="right"/>
        <w:ind w:right="479"/>
        <w:spacing w:after="0" w:line="211" w:lineRule="auto"/>
        <w:rPr>
          <w:sz w:val="20"/>
          <w:szCs w:val="20"/>
          <w:color w:val="auto"/>
        </w:rPr>
      </w:pPr>
      <w:r>
        <w:rPr>
          <w:rFonts w:ascii="Times New Roman" w:cs="Times New Roman" w:eastAsia="Times New Roman" w:hAnsi="Times New Roman"/>
          <w:sz w:val="20"/>
          <w:szCs w:val="20"/>
          <w:u w:val="single" w:color="auto"/>
          <w:color w:val="0000FF"/>
        </w:rPr>
        <w:t>SILICON VALLEY BANK, A DIVISION OF FIRST-CITIZENS BANK &amp; TRUST COMPANY, and</w:t>
      </w:r>
    </w:p>
    <w:p>
      <w:pPr>
        <w:ind w:left="4760"/>
        <w:spacing w:after="0" w:line="197" w:lineRule="auto"/>
        <w:rPr>
          <w:sz w:val="20"/>
          <w:szCs w:val="20"/>
          <w:color w:val="auto"/>
        </w:rPr>
      </w:pPr>
      <w:r>
        <w:rPr>
          <w:rFonts w:ascii="Times New Roman" w:cs="Times New Roman" w:eastAsia="Times New Roman" w:hAnsi="Times New Roman"/>
          <w:sz w:val="20"/>
          <w:szCs w:val="20"/>
          <w:u w:val="single" w:color="auto"/>
          <w:color w:val="0000FF"/>
        </w:rPr>
        <w:t>MUFG BANK, LTD.,</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u w:val="single" w:color="auto"/>
          <w:color w:val="0000FF"/>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1294765</wp:posOffset>
            </wp:positionV>
            <wp:extent cx="1714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hanging="112"/>
        <w:spacing w:after="0"/>
        <w:tabs>
          <w:tab w:leader="none" w:pos="120" w:val="left"/>
        </w:tabs>
        <w:numPr>
          <w:ilvl w:val="0"/>
          <w:numId w:val="6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color w:val="0000FF"/>
        </w:rPr>
        <w:t>As amended by the First Amendment to Credit Agreement, dated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-24765</wp:posOffset>
            </wp:positionV>
            <wp:extent cx="39217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392176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6" w:name="page107"/>
    <w:bookmarkEnd w:id="106"/>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ARTICLE I </w:t>
            </w:r>
            <w:r>
              <w:rPr>
                <w:rFonts w:ascii="Times New Roman" w:cs="Times New Roman" w:eastAsia="Times New Roman" w:hAnsi="Times New Roman"/>
                <w:sz w:val="20"/>
                <w:szCs w:val="20"/>
                <w:color w:val="000000"/>
              </w:rPr>
              <w:t>Definitions</w:t>
            </w:r>
          </w:p>
        </w:tc>
        <w:tc>
          <w:tcPr>
            <w:tcW w:w="9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0"/>
              </w:rPr>
              <w:t>1</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1.01.</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0"/>
              </w:rPr>
              <w:t>1</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010000"/>
              </w:rPr>
              <w:t>SECTION 1.02.</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900" w:type="dxa"/>
            <w:vAlign w:val="bottom"/>
          </w:tcPr>
          <w:p>
            <w:pPr>
              <w:jc w:val="center"/>
              <w:ind w:left="372"/>
              <w:spacing w:after="0"/>
              <w:rPr>
                <w:sz w:val="20"/>
                <w:szCs w:val="20"/>
                <w:color w:val="auto"/>
              </w:rPr>
            </w:pPr>
            <w:r>
              <w:rPr>
                <w:rFonts w:ascii="Times New Roman" w:cs="Times New Roman" w:eastAsia="Times New Roman" w:hAnsi="Times New Roman"/>
                <w:sz w:val="22"/>
                <w:szCs w:val="22"/>
                <w:color w:val="auto"/>
                <w:w w:val="99"/>
              </w:rPr>
              <w:t>32</w:t>
            </w:r>
          </w:p>
        </w:tc>
        <w:tc>
          <w:tcPr>
            <w:tcW w:w="0" w:type="dxa"/>
            <w:vAlign w:val="bottom"/>
          </w:tcPr>
          <w:p>
            <w:pPr>
              <w:spacing w:after="0"/>
              <w:rPr>
                <w:sz w:val="1"/>
                <w:szCs w:val="1"/>
                <w:color w:val="auto"/>
              </w:rPr>
            </w:pPr>
          </w:p>
        </w:tc>
      </w:tr>
      <w:tr>
        <w:trPr>
          <w:trHeight w:val="486"/>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010000"/>
              </w:rPr>
              <w:t>SECTION 1.03.</w:t>
            </w:r>
          </w:p>
        </w:tc>
        <w:tc>
          <w:tcPr>
            <w:tcW w:w="59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Terms Generally</w:t>
            </w:r>
          </w:p>
        </w:tc>
        <w:tc>
          <w:tcPr>
            <w:tcW w:w="900" w:type="dxa"/>
            <w:vAlign w:val="bottom"/>
          </w:tcPr>
          <w:p>
            <w:pPr>
              <w:jc w:val="center"/>
              <w:ind w:left="372"/>
              <w:spacing w:after="0"/>
              <w:rPr>
                <w:sz w:val="20"/>
                <w:szCs w:val="20"/>
                <w:color w:val="auto"/>
              </w:rPr>
            </w:pPr>
            <w:r>
              <w:rPr>
                <w:rFonts w:ascii="Times New Roman" w:cs="Times New Roman" w:eastAsia="Times New Roman" w:hAnsi="Times New Roman"/>
                <w:sz w:val="22"/>
                <w:szCs w:val="22"/>
                <w:color w:val="auto"/>
                <w:w w:val="99"/>
              </w:rPr>
              <w:t>32</w:t>
            </w:r>
          </w:p>
        </w:tc>
        <w:tc>
          <w:tcPr>
            <w:tcW w:w="0" w:type="dxa"/>
            <w:vAlign w:val="bottom"/>
          </w:tcPr>
          <w:p>
            <w:pPr>
              <w:spacing w:after="0"/>
              <w:rPr>
                <w:sz w:val="1"/>
                <w:szCs w:val="1"/>
                <w:color w:val="auto"/>
              </w:rPr>
            </w:pPr>
          </w:p>
        </w:tc>
      </w:tr>
      <w:tr>
        <w:trPr>
          <w:trHeight w:val="467"/>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color w:val="000000"/>
              </w:rPr>
              <w:t>Accounting Terms; GAAP</w:t>
            </w: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33</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1.05.  </w:t>
            </w:r>
            <w:r>
              <w:rPr>
                <w:rFonts w:ascii="Times New Roman" w:cs="Times New Roman" w:eastAsia="Times New Roman" w:hAnsi="Times New Roman"/>
                <w:sz w:val="20"/>
                <w:szCs w:val="20"/>
                <w:color w:val="000000"/>
              </w:rPr>
              <w:t>Pro Forma Adjustments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33</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color w:val="000000"/>
              </w:rPr>
              <w:t>Status of Obligations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34</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1.07.  </w:t>
            </w:r>
            <w:r>
              <w:rPr>
                <w:rFonts w:ascii="Times New Roman" w:cs="Times New Roman" w:eastAsia="Times New Roman" w:hAnsi="Times New Roman"/>
                <w:sz w:val="20"/>
                <w:szCs w:val="20"/>
                <w:color w:val="000000"/>
              </w:rPr>
              <w:t>Interest Rates; Benchmark Notification</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35</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color w:val="000000"/>
              </w:rPr>
              <w:t>Letter of Credit Amounts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35</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1.09.</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Divisions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35</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ARTICLE II </w:t>
            </w:r>
            <w:r>
              <w:rPr>
                <w:rFonts w:ascii="Times New Roman" w:cs="Times New Roman" w:eastAsia="Times New Roman" w:hAnsi="Times New Roman"/>
                <w:sz w:val="20"/>
                <w:szCs w:val="20"/>
                <w:color w:val="000000"/>
              </w:rPr>
              <w:t>The Credits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36</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2.01.</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Revolving Commitments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36</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2.02.  </w:t>
            </w:r>
            <w:r>
              <w:rPr>
                <w:rFonts w:ascii="Times New Roman" w:cs="Times New Roman" w:eastAsia="Times New Roman" w:hAnsi="Times New Roman"/>
                <w:sz w:val="20"/>
                <w:szCs w:val="20"/>
                <w:color w:val="000000"/>
              </w:rPr>
              <w:t>Loans and Borrowings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36</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2.03.  </w:t>
            </w:r>
            <w:r>
              <w:rPr>
                <w:rFonts w:ascii="Times New Roman" w:cs="Times New Roman" w:eastAsia="Times New Roman" w:hAnsi="Times New Roman"/>
                <w:sz w:val="20"/>
                <w:szCs w:val="20"/>
                <w:color w:val="000000"/>
              </w:rPr>
              <w:t>Requests for Borrowings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37</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2.04.</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[Intentionally Omitted]</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37</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2.05.</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Swingline Loans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37</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2.06.  </w:t>
            </w:r>
            <w:r>
              <w:rPr>
                <w:rFonts w:ascii="Times New Roman" w:cs="Times New Roman" w:eastAsia="Times New Roman" w:hAnsi="Times New Roman"/>
                <w:sz w:val="20"/>
                <w:szCs w:val="20"/>
                <w:color w:val="000000"/>
              </w:rPr>
              <w:t>Letters of Credit</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39</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2.07.  </w:t>
            </w:r>
            <w:r>
              <w:rPr>
                <w:rFonts w:ascii="Times New Roman" w:cs="Times New Roman" w:eastAsia="Times New Roman" w:hAnsi="Times New Roman"/>
                <w:sz w:val="20"/>
                <w:szCs w:val="20"/>
                <w:color w:val="000000"/>
              </w:rPr>
              <w:t>Funding of Borrowings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43</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2.08.</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44</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2.09.  </w:t>
            </w:r>
            <w:r>
              <w:rPr>
                <w:rFonts w:ascii="Times New Roman" w:cs="Times New Roman" w:eastAsia="Times New Roman" w:hAnsi="Times New Roman"/>
                <w:sz w:val="20"/>
                <w:szCs w:val="20"/>
                <w:color w:val="000000"/>
              </w:rPr>
              <w:t>Termination and Reduction of Revolving Commitments; Increase in</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7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Revolving Commitments</w:t>
            </w: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45</w:t>
            </w:r>
          </w:p>
        </w:tc>
        <w:tc>
          <w:tcPr>
            <w:tcW w:w="0" w:type="dxa"/>
            <w:vAlign w:val="bottom"/>
          </w:tcPr>
          <w:p>
            <w:pPr>
              <w:spacing w:after="0"/>
              <w:rPr>
                <w:sz w:val="1"/>
                <w:szCs w:val="1"/>
                <w:color w:val="auto"/>
              </w:rPr>
            </w:pPr>
          </w:p>
        </w:tc>
      </w:tr>
      <w:tr>
        <w:trPr>
          <w:trHeight w:val="213"/>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2.10.  </w:t>
            </w:r>
            <w:r>
              <w:rPr>
                <w:rFonts w:ascii="Times New Roman" w:cs="Times New Roman" w:eastAsia="Times New Roman" w:hAnsi="Times New Roman"/>
                <w:sz w:val="20"/>
                <w:szCs w:val="20"/>
                <w:color w:val="000000"/>
              </w:rPr>
              <w:t>Repayment of Loans; Evidence of Debt</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46</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2.11.  </w:t>
            </w:r>
            <w:r>
              <w:rPr>
                <w:rFonts w:ascii="Times New Roman" w:cs="Times New Roman" w:eastAsia="Times New Roman" w:hAnsi="Times New Roman"/>
                <w:sz w:val="20"/>
                <w:szCs w:val="20"/>
                <w:color w:val="000000"/>
              </w:rPr>
              <w:t>Prepayment of Loans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47</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2.12.</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48</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2.13.</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49</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2.14.  </w:t>
            </w:r>
            <w:r>
              <w:rPr>
                <w:rFonts w:ascii="Times New Roman" w:cs="Times New Roman" w:eastAsia="Times New Roman" w:hAnsi="Times New Roman"/>
                <w:sz w:val="20"/>
                <w:szCs w:val="20"/>
                <w:color w:val="000000"/>
              </w:rPr>
              <w:t>Alternate Rate of Interest</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49</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2.15.</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Increased Costs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51</w:t>
            </w:r>
          </w:p>
        </w:tc>
        <w:tc>
          <w:tcPr>
            <w:tcW w:w="0" w:type="dxa"/>
            <w:vAlign w:val="bottom"/>
          </w:tcPr>
          <w:p>
            <w:pPr>
              <w:spacing w:after="0"/>
              <w:rPr>
                <w:sz w:val="1"/>
                <w:szCs w:val="1"/>
                <w:color w:val="auto"/>
              </w:rPr>
            </w:pPr>
          </w:p>
        </w:tc>
      </w:tr>
      <w:tr>
        <w:trPr>
          <w:trHeight w:val="22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10000"/>
              </w:rPr>
              <w:t xml:space="preserve">SECTION 2.16.  </w:t>
            </w:r>
            <w:r>
              <w:rPr>
                <w:rFonts w:ascii="Times New Roman" w:cs="Times New Roman" w:eastAsia="Times New Roman" w:hAnsi="Times New Roman"/>
                <w:sz w:val="20"/>
                <w:szCs w:val="20"/>
                <w:color w:val="000000"/>
              </w:rPr>
              <w:t>Break Funding Payments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40" w:type="dxa"/>
            <w:vAlign w:val="bottom"/>
            <w:gridSpan w:val="2"/>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52</w:t>
            </w:r>
          </w:p>
        </w:tc>
        <w:tc>
          <w:tcPr>
            <w:tcW w:w="0" w:type="dxa"/>
            <w:vAlign w:val="bottom"/>
          </w:tcPr>
          <w:p>
            <w:pPr>
              <w:spacing w:after="0"/>
              <w:rPr>
                <w:sz w:val="1"/>
                <w:szCs w:val="1"/>
                <w:color w:val="auto"/>
              </w:rPr>
            </w:pPr>
          </w:p>
        </w:tc>
      </w:tr>
      <w:tr>
        <w:trPr>
          <w:trHeight w:val="222"/>
        </w:trPr>
        <w:tc>
          <w:tcPr>
            <w:tcW w:w="1380" w:type="dxa"/>
            <w:vAlign w:val="bottom"/>
            <w:vMerge w:val="restart"/>
          </w:tcPr>
          <w:p>
            <w:pPr>
              <w:spacing w:after="0"/>
              <w:rPr>
                <w:sz w:val="20"/>
                <w:szCs w:val="20"/>
                <w:color w:val="auto"/>
              </w:rPr>
            </w:pPr>
            <w:r>
              <w:rPr>
                <w:rFonts w:ascii="Times New Roman" w:cs="Times New Roman" w:eastAsia="Times New Roman" w:hAnsi="Times New Roman"/>
                <w:sz w:val="20"/>
                <w:szCs w:val="20"/>
                <w:color w:val="010000"/>
              </w:rPr>
              <w:t>SECTION 2.17.</w:t>
            </w:r>
          </w:p>
        </w:tc>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80" w:type="dxa"/>
            <w:vAlign w:val="bottom"/>
            <w:vMerge w:val="continue"/>
          </w:tcPr>
          <w:p>
            <w:pPr>
              <w:spacing w:after="0"/>
              <w:rPr>
                <w:sz w:val="21"/>
                <w:szCs w:val="21"/>
                <w:color w:val="auto"/>
              </w:rPr>
            </w:pPr>
          </w:p>
        </w:tc>
        <w:tc>
          <w:tcPr>
            <w:tcW w:w="5960" w:type="dxa"/>
            <w:vAlign w:val="bottom"/>
            <w:vMerge w:val="continue"/>
          </w:tcPr>
          <w:p>
            <w:pPr>
              <w:spacing w:after="0"/>
              <w:rPr>
                <w:sz w:val="21"/>
                <w:szCs w:val="21"/>
                <w:color w:val="auto"/>
              </w:rPr>
            </w:pPr>
          </w:p>
        </w:tc>
        <w:tc>
          <w:tcPr>
            <w:tcW w:w="9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color w:val="auto"/>
                <w:w w:val="99"/>
              </w:rPr>
              <w:t>53</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line="235" w:lineRule="auto"/>
        <w:tabs>
          <w:tab w:leader="none" w:pos="1500" w:val="left"/>
        </w:tabs>
        <w:rPr>
          <w:sz w:val="20"/>
          <w:szCs w:val="20"/>
          <w:color w:val="auto"/>
        </w:rPr>
      </w:pPr>
      <w:r>
        <w:rPr>
          <w:rFonts w:ascii="Times New Roman" w:cs="Times New Roman" w:eastAsia="Times New Roman" w:hAnsi="Times New Roman"/>
          <w:sz w:val="20"/>
          <w:szCs w:val="20"/>
          <w:color w:val="010000"/>
        </w:rPr>
        <w:t>SECTION 2.18.</w:t>
      </w:r>
      <w:r>
        <w:rPr>
          <w:sz w:val="20"/>
          <w:szCs w:val="20"/>
          <w:color w:val="auto"/>
        </w:rPr>
        <w:tab/>
      </w:r>
      <w:r>
        <w:rPr>
          <w:rFonts w:ascii="Times New Roman" w:cs="Times New Roman" w:eastAsia="Times New Roman" w:hAnsi="Times New Roman"/>
          <w:sz w:val="19"/>
          <w:szCs w:val="19"/>
          <w:color w:val="auto"/>
        </w:rPr>
        <w:t>Payments Generally; Allocation of Proceeds; Sharing of Set-offs</w:t>
      </w:r>
    </w:p>
    <w:p>
      <w:pPr>
        <w:ind w:left="7960"/>
        <w:spacing w:after="0"/>
        <w:rPr>
          <w:sz w:val="20"/>
          <w:szCs w:val="20"/>
          <w:color w:val="auto"/>
        </w:rPr>
      </w:pPr>
      <w:r>
        <w:rPr>
          <w:rFonts w:ascii="Times New Roman" w:cs="Times New Roman" w:eastAsia="Times New Roman" w:hAnsi="Times New Roman"/>
          <w:sz w:val="22"/>
          <w:szCs w:val="22"/>
          <w:color w:val="auto"/>
        </w:rPr>
        <w:t>56</w:t>
      </w:r>
    </w:p>
    <w:p>
      <w:pPr>
        <w:sectPr>
          <w:pgSz w:w="11900" w:h="16938" w:orient="portrait"/>
          <w:cols w:equalWidth="0" w:num="1">
            <w:col w:w="9019"/>
          </w:cols>
          <w:pgMar w:left="1440" w:top="1440" w:right="1440" w:bottom="0" w:gutter="0" w:footer="0" w:header="0"/>
        </w:sectPr>
      </w:pPr>
    </w:p>
    <w:bookmarkStart w:id="107" w:name="page108"/>
    <w:bookmarkEnd w:id="107"/>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2.19.</w:t>
      </w:r>
      <w:r>
        <w:rPr>
          <w:sz w:val="20"/>
          <w:szCs w:val="20"/>
          <w:color w:val="auto"/>
        </w:rPr>
        <w:tab/>
      </w:r>
      <w:r>
        <w:rPr>
          <w:rFonts w:ascii="Times New Roman" w:cs="Times New Roman" w:eastAsia="Times New Roman" w:hAnsi="Times New Roman"/>
          <w:sz w:val="19"/>
          <w:szCs w:val="19"/>
          <w:color w:val="auto"/>
        </w:rPr>
        <w:t>Mitigation Obligations; Replacement of Lenders</w:t>
      </w:r>
    </w:p>
    <w:p>
      <w:pPr>
        <w:jc w:val="right"/>
        <w:ind w:right="839"/>
        <w:spacing w:after="0"/>
        <w:rPr>
          <w:sz w:val="20"/>
          <w:szCs w:val="20"/>
          <w:color w:val="auto"/>
        </w:rPr>
      </w:pPr>
      <w:r>
        <w:rPr>
          <w:rFonts w:ascii="Times New Roman" w:cs="Times New Roman" w:eastAsia="Times New Roman" w:hAnsi="Times New Roman"/>
          <w:sz w:val="22"/>
          <w:szCs w:val="22"/>
          <w:color w:val="auto"/>
        </w:rPr>
        <w:t>58</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2.20.</w:t>
      </w:r>
      <w:r>
        <w:rPr>
          <w:sz w:val="20"/>
          <w:szCs w:val="20"/>
          <w:color w:val="auto"/>
        </w:rPr>
        <w:tab/>
      </w:r>
      <w:r>
        <w:rPr>
          <w:rFonts w:ascii="Times New Roman" w:cs="Times New Roman" w:eastAsia="Times New Roman" w:hAnsi="Times New Roman"/>
          <w:sz w:val="19"/>
          <w:szCs w:val="19"/>
          <w:color w:val="auto"/>
        </w:rPr>
        <w:t>Defaulting Lenders</w:t>
      </w:r>
    </w:p>
    <w:p>
      <w:pPr>
        <w:jc w:val="right"/>
        <w:ind w:right="839"/>
        <w:spacing w:after="0"/>
        <w:rPr>
          <w:sz w:val="20"/>
          <w:szCs w:val="20"/>
          <w:color w:val="auto"/>
        </w:rPr>
      </w:pPr>
      <w:r>
        <w:rPr>
          <w:rFonts w:ascii="Times New Roman" w:cs="Times New Roman" w:eastAsia="Times New Roman" w:hAnsi="Times New Roman"/>
          <w:sz w:val="22"/>
          <w:szCs w:val="22"/>
          <w:color w:val="auto"/>
        </w:rPr>
        <w:t>59</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2.21.</w:t>
      </w:r>
      <w:r>
        <w:rPr>
          <w:sz w:val="20"/>
          <w:szCs w:val="20"/>
          <w:color w:val="auto"/>
        </w:rPr>
        <w:tab/>
      </w:r>
      <w:r>
        <w:rPr>
          <w:rFonts w:ascii="Times New Roman" w:cs="Times New Roman" w:eastAsia="Times New Roman" w:hAnsi="Times New Roman"/>
          <w:sz w:val="19"/>
          <w:szCs w:val="19"/>
          <w:color w:val="auto"/>
        </w:rPr>
        <w:t>Returned Payments</w:t>
      </w:r>
    </w:p>
    <w:p>
      <w:pPr>
        <w:jc w:val="right"/>
        <w:ind w:right="839"/>
        <w:spacing w:after="0"/>
        <w:rPr>
          <w:sz w:val="20"/>
          <w:szCs w:val="20"/>
          <w:color w:val="auto"/>
        </w:rPr>
      </w:pPr>
      <w:r>
        <w:rPr>
          <w:rFonts w:ascii="Times New Roman" w:cs="Times New Roman" w:eastAsia="Times New Roman" w:hAnsi="Times New Roman"/>
          <w:sz w:val="22"/>
          <w:szCs w:val="22"/>
          <w:color w:val="auto"/>
        </w:rPr>
        <w:t>61</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2.22.</w:t>
      </w:r>
      <w:r>
        <w:rPr>
          <w:sz w:val="20"/>
          <w:szCs w:val="20"/>
          <w:color w:val="auto"/>
        </w:rPr>
        <w:tab/>
      </w:r>
      <w:r>
        <w:rPr>
          <w:rFonts w:ascii="Times New Roman" w:cs="Times New Roman" w:eastAsia="Times New Roman" w:hAnsi="Times New Roman"/>
          <w:sz w:val="19"/>
          <w:szCs w:val="19"/>
          <w:color w:val="auto"/>
        </w:rPr>
        <w:t>Banking Services and Swap Agreements</w:t>
      </w:r>
    </w:p>
    <w:p>
      <w:pPr>
        <w:jc w:val="right"/>
        <w:ind w:right="839"/>
        <w:spacing w:after="0"/>
        <w:rPr>
          <w:sz w:val="20"/>
          <w:szCs w:val="20"/>
          <w:color w:val="auto"/>
        </w:rPr>
      </w:pPr>
      <w:r>
        <w:rPr>
          <w:rFonts w:ascii="Times New Roman" w:cs="Times New Roman" w:eastAsia="Times New Roman" w:hAnsi="Times New Roman"/>
          <w:sz w:val="22"/>
          <w:szCs w:val="22"/>
          <w:color w:val="auto"/>
        </w:rPr>
        <w:t>61</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ARTICLE III </w:t>
      </w:r>
      <w:r>
        <w:rPr>
          <w:rFonts w:ascii="Times New Roman" w:cs="Times New Roman" w:eastAsia="Times New Roman" w:hAnsi="Times New Roman"/>
          <w:sz w:val="20"/>
          <w:szCs w:val="20"/>
          <w:color w:val="000000"/>
        </w:rPr>
        <w:t>Representations and Warranties</w:t>
      </w:r>
    </w:p>
    <w:p>
      <w:pPr>
        <w:jc w:val="right"/>
        <w:ind w:right="839"/>
        <w:spacing w:after="0"/>
        <w:rPr>
          <w:sz w:val="20"/>
          <w:szCs w:val="20"/>
          <w:color w:val="auto"/>
        </w:rPr>
      </w:pPr>
      <w:r>
        <w:rPr>
          <w:rFonts w:ascii="Times New Roman" w:cs="Times New Roman" w:eastAsia="Times New Roman" w:hAnsi="Times New Roman"/>
          <w:sz w:val="22"/>
          <w:szCs w:val="22"/>
          <w:color w:val="auto"/>
        </w:rPr>
        <w:t>62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3.01.</w:t>
      </w:r>
      <w:r>
        <w:rPr>
          <w:sz w:val="20"/>
          <w:szCs w:val="20"/>
          <w:color w:val="auto"/>
        </w:rPr>
        <w:tab/>
      </w:r>
      <w:r>
        <w:rPr>
          <w:rFonts w:ascii="Times New Roman" w:cs="Times New Roman" w:eastAsia="Times New Roman" w:hAnsi="Times New Roman"/>
          <w:sz w:val="19"/>
          <w:szCs w:val="19"/>
          <w:color w:val="auto"/>
        </w:rPr>
        <w:t>Organization; Powers</w:t>
      </w:r>
    </w:p>
    <w:p>
      <w:pPr>
        <w:jc w:val="right"/>
        <w:ind w:right="839"/>
        <w:spacing w:after="0"/>
        <w:rPr>
          <w:sz w:val="20"/>
          <w:szCs w:val="20"/>
          <w:color w:val="auto"/>
        </w:rPr>
      </w:pPr>
      <w:r>
        <w:rPr>
          <w:rFonts w:ascii="Times New Roman" w:cs="Times New Roman" w:eastAsia="Times New Roman" w:hAnsi="Times New Roman"/>
          <w:sz w:val="22"/>
          <w:szCs w:val="22"/>
          <w:color w:val="auto"/>
        </w:rPr>
        <w:t>62</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3.02.</w:t>
      </w:r>
      <w:r>
        <w:rPr>
          <w:sz w:val="20"/>
          <w:szCs w:val="20"/>
          <w:color w:val="auto"/>
        </w:rPr>
        <w:tab/>
      </w:r>
      <w:r>
        <w:rPr>
          <w:rFonts w:ascii="Times New Roman" w:cs="Times New Roman" w:eastAsia="Times New Roman" w:hAnsi="Times New Roman"/>
          <w:sz w:val="19"/>
          <w:szCs w:val="19"/>
          <w:color w:val="auto"/>
        </w:rPr>
        <w:t>Authorization; Enforceability</w:t>
      </w:r>
    </w:p>
    <w:p>
      <w:pPr>
        <w:jc w:val="right"/>
        <w:ind w:right="83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9019"/>
          </w:cols>
          <w:pgMar w:left="1440" w:top="149" w:right="1440" w:bottom="1440" w:gutter="0" w:footer="0" w:header="0"/>
        </w:sectPr>
      </w:pPr>
    </w:p>
    <w:bookmarkStart w:id="108" w:name="page109"/>
    <w:bookmarkEnd w:id="108"/>
    <w:p>
      <w:pPr>
        <w:spacing w:after="0" w:line="37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3.03.</w:t>
      </w:r>
      <w:r>
        <w:rPr>
          <w:sz w:val="20"/>
          <w:szCs w:val="20"/>
          <w:color w:val="auto"/>
        </w:rPr>
        <w:tab/>
      </w:r>
      <w:r>
        <w:rPr>
          <w:rFonts w:ascii="Times New Roman" w:cs="Times New Roman" w:eastAsia="Times New Roman" w:hAnsi="Times New Roman"/>
          <w:sz w:val="19"/>
          <w:szCs w:val="19"/>
          <w:color w:val="auto"/>
        </w:rPr>
        <w:t>Governmental Approvals; No Conflicts</w:t>
      </w:r>
    </w:p>
    <w:p>
      <w:pPr>
        <w:jc w:val="right"/>
        <w:ind w:right="839"/>
        <w:spacing w:after="0"/>
        <w:rPr>
          <w:sz w:val="20"/>
          <w:szCs w:val="20"/>
          <w:color w:val="auto"/>
        </w:rPr>
      </w:pPr>
      <w:r>
        <w:rPr>
          <w:rFonts w:ascii="Times New Roman" w:cs="Times New Roman" w:eastAsia="Times New Roman" w:hAnsi="Times New Roman"/>
          <w:sz w:val="22"/>
          <w:szCs w:val="22"/>
          <w:color w:val="auto"/>
        </w:rPr>
        <w:t>62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3.04.</w:t>
      </w:r>
      <w:r>
        <w:rPr>
          <w:sz w:val="20"/>
          <w:szCs w:val="20"/>
          <w:color w:val="auto"/>
        </w:rPr>
        <w:tab/>
      </w:r>
      <w:r>
        <w:rPr>
          <w:rFonts w:ascii="Times New Roman" w:cs="Times New Roman" w:eastAsia="Times New Roman" w:hAnsi="Times New Roman"/>
          <w:sz w:val="19"/>
          <w:szCs w:val="19"/>
          <w:color w:val="auto"/>
        </w:rPr>
        <w:t>Financial Condition; No Material Adverse Change</w:t>
      </w:r>
    </w:p>
    <w:p>
      <w:pPr>
        <w:jc w:val="right"/>
        <w:ind w:right="839"/>
        <w:spacing w:after="0"/>
        <w:rPr>
          <w:sz w:val="20"/>
          <w:szCs w:val="20"/>
          <w:color w:val="auto"/>
        </w:rPr>
      </w:pPr>
      <w:r>
        <w:rPr>
          <w:rFonts w:ascii="Times New Roman" w:cs="Times New Roman" w:eastAsia="Times New Roman" w:hAnsi="Times New Roman"/>
          <w:sz w:val="22"/>
          <w:szCs w:val="22"/>
          <w:color w:val="auto"/>
        </w:rPr>
        <w:t>62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3.05.</w:t>
      </w:r>
      <w:r>
        <w:rPr>
          <w:sz w:val="20"/>
          <w:szCs w:val="20"/>
          <w:color w:val="auto"/>
        </w:rPr>
        <w:tab/>
      </w:r>
      <w:r>
        <w:rPr>
          <w:rFonts w:ascii="Times New Roman" w:cs="Times New Roman" w:eastAsia="Times New Roman" w:hAnsi="Times New Roman"/>
          <w:sz w:val="19"/>
          <w:szCs w:val="19"/>
          <w:color w:val="auto"/>
        </w:rPr>
        <w:t>Properties</w:t>
      </w:r>
    </w:p>
    <w:p>
      <w:pPr>
        <w:jc w:val="right"/>
        <w:ind w:right="839"/>
        <w:spacing w:after="0"/>
        <w:rPr>
          <w:sz w:val="20"/>
          <w:szCs w:val="20"/>
          <w:color w:val="auto"/>
        </w:rPr>
      </w:pPr>
      <w:r>
        <w:rPr>
          <w:rFonts w:ascii="Times New Roman" w:cs="Times New Roman" w:eastAsia="Times New Roman" w:hAnsi="Times New Roman"/>
          <w:sz w:val="22"/>
          <w:szCs w:val="22"/>
          <w:color w:val="auto"/>
        </w:rPr>
        <w:t>62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3.06.</w:t>
      </w:r>
      <w:r>
        <w:rPr>
          <w:sz w:val="20"/>
          <w:szCs w:val="20"/>
          <w:color w:val="auto"/>
        </w:rPr>
        <w:tab/>
      </w:r>
      <w:r>
        <w:rPr>
          <w:rFonts w:ascii="Times New Roman" w:cs="Times New Roman" w:eastAsia="Times New Roman" w:hAnsi="Times New Roman"/>
          <w:sz w:val="19"/>
          <w:szCs w:val="19"/>
          <w:color w:val="auto"/>
        </w:rPr>
        <w:t>Litigation and Environmental Matters</w:t>
      </w:r>
    </w:p>
    <w:p>
      <w:pPr>
        <w:jc w:val="right"/>
        <w:ind w:right="839"/>
        <w:spacing w:after="0"/>
        <w:rPr>
          <w:sz w:val="20"/>
          <w:szCs w:val="20"/>
          <w:color w:val="auto"/>
        </w:rPr>
      </w:pPr>
      <w:r>
        <w:rPr>
          <w:rFonts w:ascii="Times New Roman" w:cs="Times New Roman" w:eastAsia="Times New Roman" w:hAnsi="Times New Roman"/>
          <w:sz w:val="22"/>
          <w:szCs w:val="22"/>
          <w:color w:val="auto"/>
        </w:rPr>
        <w:t>63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3.07.</w:t>
      </w:r>
      <w:r>
        <w:rPr>
          <w:sz w:val="20"/>
          <w:szCs w:val="20"/>
          <w:color w:val="auto"/>
        </w:rPr>
        <w:tab/>
      </w:r>
      <w:r>
        <w:rPr>
          <w:rFonts w:ascii="Times New Roman" w:cs="Times New Roman" w:eastAsia="Times New Roman" w:hAnsi="Times New Roman"/>
          <w:sz w:val="19"/>
          <w:szCs w:val="19"/>
          <w:color w:val="auto"/>
        </w:rPr>
        <w:t>Compliance with Laws and Agreements; No Default</w:t>
      </w:r>
    </w:p>
    <w:p>
      <w:pPr>
        <w:jc w:val="right"/>
        <w:ind w:right="839"/>
        <w:spacing w:after="0"/>
        <w:rPr>
          <w:sz w:val="20"/>
          <w:szCs w:val="20"/>
          <w:color w:val="auto"/>
        </w:rPr>
      </w:pPr>
      <w:r>
        <w:rPr>
          <w:rFonts w:ascii="Times New Roman" w:cs="Times New Roman" w:eastAsia="Times New Roman" w:hAnsi="Times New Roman"/>
          <w:sz w:val="22"/>
          <w:szCs w:val="22"/>
          <w:color w:val="auto"/>
        </w:rPr>
        <w:t>63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3.08.</w:t>
      </w:r>
      <w:r>
        <w:rPr>
          <w:sz w:val="20"/>
          <w:szCs w:val="20"/>
          <w:color w:val="auto"/>
        </w:rPr>
        <w:tab/>
      </w:r>
      <w:r>
        <w:rPr>
          <w:rFonts w:ascii="Times New Roman" w:cs="Times New Roman" w:eastAsia="Times New Roman" w:hAnsi="Times New Roman"/>
          <w:sz w:val="19"/>
          <w:szCs w:val="19"/>
          <w:color w:val="auto"/>
        </w:rPr>
        <w:t>Investment Company Status</w:t>
      </w:r>
    </w:p>
    <w:p>
      <w:pPr>
        <w:jc w:val="right"/>
        <w:ind w:right="839"/>
        <w:spacing w:after="0"/>
        <w:rPr>
          <w:sz w:val="20"/>
          <w:szCs w:val="20"/>
          <w:color w:val="auto"/>
        </w:rPr>
      </w:pPr>
      <w:r>
        <w:rPr>
          <w:rFonts w:ascii="Times New Roman" w:cs="Times New Roman" w:eastAsia="Times New Roman" w:hAnsi="Times New Roman"/>
          <w:sz w:val="22"/>
          <w:szCs w:val="22"/>
          <w:color w:val="auto"/>
        </w:rPr>
        <w:t>63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3.09.</w:t>
      </w:r>
      <w:r>
        <w:rPr>
          <w:sz w:val="20"/>
          <w:szCs w:val="20"/>
          <w:color w:val="auto"/>
        </w:rPr>
        <w:tab/>
      </w:r>
      <w:r>
        <w:rPr>
          <w:rFonts w:ascii="Times New Roman" w:cs="Times New Roman" w:eastAsia="Times New Roman" w:hAnsi="Times New Roman"/>
          <w:sz w:val="18"/>
          <w:szCs w:val="18"/>
          <w:color w:val="auto"/>
        </w:rPr>
        <w:t>Taxes</w:t>
      </w:r>
    </w:p>
    <w:p>
      <w:pPr>
        <w:jc w:val="right"/>
        <w:ind w:right="839"/>
        <w:spacing w:after="0"/>
        <w:rPr>
          <w:sz w:val="20"/>
          <w:szCs w:val="20"/>
          <w:color w:val="auto"/>
        </w:rPr>
      </w:pPr>
      <w:r>
        <w:rPr>
          <w:rFonts w:ascii="Times New Roman" w:cs="Times New Roman" w:eastAsia="Times New Roman" w:hAnsi="Times New Roman"/>
          <w:sz w:val="22"/>
          <w:szCs w:val="22"/>
          <w:color w:val="auto"/>
        </w:rPr>
        <w:t>63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3.10.</w:t>
      </w:r>
      <w:r>
        <w:rPr>
          <w:sz w:val="20"/>
          <w:szCs w:val="20"/>
          <w:color w:val="auto"/>
        </w:rPr>
        <w:tab/>
      </w:r>
      <w:r>
        <w:rPr>
          <w:rFonts w:ascii="Times New Roman" w:cs="Times New Roman" w:eastAsia="Times New Roman" w:hAnsi="Times New Roman"/>
          <w:sz w:val="19"/>
          <w:szCs w:val="19"/>
          <w:color w:val="auto"/>
        </w:rPr>
        <w:t>ERISA</w:t>
      </w:r>
    </w:p>
    <w:p>
      <w:pPr>
        <w:jc w:val="right"/>
        <w:ind w:right="839"/>
        <w:spacing w:after="0"/>
        <w:rPr>
          <w:sz w:val="20"/>
          <w:szCs w:val="20"/>
          <w:color w:val="auto"/>
        </w:rPr>
      </w:pPr>
      <w:r>
        <w:rPr>
          <w:rFonts w:ascii="Times New Roman" w:cs="Times New Roman" w:eastAsia="Times New Roman" w:hAnsi="Times New Roman"/>
          <w:sz w:val="22"/>
          <w:szCs w:val="22"/>
          <w:color w:val="auto"/>
        </w:rPr>
        <w:t>63</w:t>
      </w:r>
    </w:p>
    <w:p>
      <w:pPr>
        <w:ind w:left="40"/>
        <w:spacing w:after="0" w:line="229" w:lineRule="auto"/>
        <w:tabs>
          <w:tab w:leader="none" w:pos="1480" w:val="left"/>
        </w:tabs>
        <w:rPr>
          <w:sz w:val="20"/>
          <w:szCs w:val="20"/>
          <w:color w:val="auto"/>
        </w:rPr>
      </w:pPr>
      <w:r>
        <w:rPr>
          <w:rFonts w:ascii="Times New Roman" w:cs="Times New Roman" w:eastAsia="Times New Roman" w:hAnsi="Times New Roman"/>
          <w:sz w:val="20"/>
          <w:szCs w:val="20"/>
          <w:color w:val="010000"/>
        </w:rPr>
        <w:t>SECTION 3.11.</w:t>
      </w:r>
      <w:r>
        <w:rPr>
          <w:rFonts w:ascii="Times New Roman" w:cs="Times New Roman" w:eastAsia="Times New Roman" w:hAnsi="Times New Roman"/>
          <w:sz w:val="20"/>
          <w:szCs w:val="20"/>
          <w:color w:val="auto"/>
        </w:rPr>
        <w:tab/>
        <w:t>Disclosure</w:t>
      </w:r>
    </w:p>
    <w:p>
      <w:pPr>
        <w:jc w:val="right"/>
        <w:ind w:right="839"/>
        <w:spacing w:after="0"/>
        <w:rPr>
          <w:sz w:val="20"/>
          <w:szCs w:val="20"/>
          <w:color w:val="auto"/>
        </w:rPr>
      </w:pPr>
      <w:r>
        <w:rPr>
          <w:rFonts w:ascii="Times New Roman" w:cs="Times New Roman" w:eastAsia="Times New Roman" w:hAnsi="Times New Roman"/>
          <w:sz w:val="22"/>
          <w:szCs w:val="22"/>
          <w:color w:val="auto"/>
        </w:rPr>
        <w:t>64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3.12.</w:t>
      </w:r>
      <w:r>
        <w:rPr>
          <w:sz w:val="20"/>
          <w:szCs w:val="20"/>
          <w:color w:val="auto"/>
        </w:rPr>
        <w:tab/>
      </w:r>
      <w:r>
        <w:rPr>
          <w:rFonts w:ascii="Times New Roman" w:cs="Times New Roman" w:eastAsia="Times New Roman" w:hAnsi="Times New Roman"/>
          <w:sz w:val="19"/>
          <w:szCs w:val="19"/>
          <w:color w:val="auto"/>
        </w:rPr>
        <w:t>Material Agreements</w:t>
      </w:r>
    </w:p>
    <w:p>
      <w:pPr>
        <w:jc w:val="right"/>
        <w:ind w:right="839"/>
        <w:spacing w:after="0"/>
        <w:rPr>
          <w:sz w:val="20"/>
          <w:szCs w:val="20"/>
          <w:color w:val="auto"/>
        </w:rPr>
      </w:pPr>
      <w:r>
        <w:rPr>
          <w:rFonts w:ascii="Times New Roman" w:cs="Times New Roman" w:eastAsia="Times New Roman" w:hAnsi="Times New Roman"/>
          <w:sz w:val="22"/>
          <w:szCs w:val="22"/>
          <w:color w:val="auto"/>
        </w:rPr>
        <w:t>64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3.13.</w:t>
      </w:r>
      <w:r>
        <w:rPr>
          <w:sz w:val="20"/>
          <w:szCs w:val="20"/>
          <w:color w:val="auto"/>
        </w:rPr>
        <w:tab/>
      </w:r>
      <w:r>
        <w:rPr>
          <w:rFonts w:ascii="Times New Roman" w:cs="Times New Roman" w:eastAsia="Times New Roman" w:hAnsi="Times New Roman"/>
          <w:sz w:val="19"/>
          <w:szCs w:val="19"/>
          <w:color w:val="auto"/>
        </w:rPr>
        <w:t>Solvency</w:t>
      </w:r>
    </w:p>
    <w:p>
      <w:pPr>
        <w:jc w:val="right"/>
        <w:ind w:right="839"/>
        <w:spacing w:after="0"/>
        <w:rPr>
          <w:sz w:val="20"/>
          <w:szCs w:val="20"/>
          <w:color w:val="auto"/>
        </w:rPr>
      </w:pPr>
      <w:r>
        <w:rPr>
          <w:rFonts w:ascii="Times New Roman" w:cs="Times New Roman" w:eastAsia="Times New Roman" w:hAnsi="Times New Roman"/>
          <w:sz w:val="22"/>
          <w:szCs w:val="22"/>
          <w:color w:val="auto"/>
        </w:rPr>
        <w:t>64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3.14.</w:t>
      </w:r>
      <w:r>
        <w:rPr>
          <w:sz w:val="20"/>
          <w:szCs w:val="20"/>
          <w:color w:val="auto"/>
        </w:rPr>
        <w:tab/>
      </w:r>
      <w:r>
        <w:rPr>
          <w:rFonts w:ascii="Times New Roman" w:cs="Times New Roman" w:eastAsia="Times New Roman" w:hAnsi="Times New Roman"/>
          <w:sz w:val="19"/>
          <w:szCs w:val="19"/>
          <w:color w:val="auto"/>
        </w:rPr>
        <w:t>Insurance</w:t>
      </w:r>
    </w:p>
    <w:p>
      <w:pPr>
        <w:jc w:val="right"/>
        <w:ind w:right="839"/>
        <w:spacing w:after="0"/>
        <w:rPr>
          <w:sz w:val="20"/>
          <w:szCs w:val="20"/>
          <w:color w:val="auto"/>
        </w:rPr>
      </w:pPr>
      <w:r>
        <w:rPr>
          <w:rFonts w:ascii="Times New Roman" w:cs="Times New Roman" w:eastAsia="Times New Roman" w:hAnsi="Times New Roman"/>
          <w:sz w:val="22"/>
          <w:szCs w:val="22"/>
          <w:color w:val="auto"/>
        </w:rPr>
        <w:t>64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3.15.</w:t>
      </w:r>
      <w:r>
        <w:rPr>
          <w:sz w:val="20"/>
          <w:szCs w:val="20"/>
          <w:color w:val="auto"/>
        </w:rPr>
        <w:tab/>
      </w:r>
      <w:r>
        <w:rPr>
          <w:rFonts w:ascii="Times New Roman" w:cs="Times New Roman" w:eastAsia="Times New Roman" w:hAnsi="Times New Roman"/>
          <w:sz w:val="19"/>
          <w:szCs w:val="19"/>
          <w:color w:val="auto"/>
        </w:rPr>
        <w:t>Capitalization and Subsidiaries</w:t>
      </w:r>
    </w:p>
    <w:p>
      <w:pPr>
        <w:jc w:val="right"/>
        <w:ind w:right="839"/>
        <w:spacing w:after="0"/>
        <w:rPr>
          <w:sz w:val="20"/>
          <w:szCs w:val="20"/>
          <w:color w:val="auto"/>
        </w:rPr>
      </w:pPr>
      <w:r>
        <w:rPr>
          <w:rFonts w:ascii="Times New Roman" w:cs="Times New Roman" w:eastAsia="Times New Roman" w:hAnsi="Times New Roman"/>
          <w:sz w:val="22"/>
          <w:szCs w:val="22"/>
          <w:color w:val="auto"/>
        </w:rPr>
        <w:t>64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3.16.</w:t>
      </w:r>
      <w:r>
        <w:rPr>
          <w:sz w:val="20"/>
          <w:szCs w:val="20"/>
          <w:color w:val="auto"/>
        </w:rPr>
        <w:tab/>
      </w:r>
      <w:r>
        <w:rPr>
          <w:rFonts w:ascii="Times New Roman" w:cs="Times New Roman" w:eastAsia="Times New Roman" w:hAnsi="Times New Roman"/>
          <w:sz w:val="19"/>
          <w:szCs w:val="19"/>
          <w:color w:val="auto"/>
        </w:rPr>
        <w:t>Security Interest in Collateral</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3.17.</w:t>
      </w:r>
      <w:r>
        <w:rPr>
          <w:sz w:val="20"/>
          <w:szCs w:val="20"/>
          <w:color w:val="auto"/>
        </w:rPr>
        <w:tab/>
      </w:r>
      <w:r>
        <w:rPr>
          <w:rFonts w:ascii="Times New Roman" w:cs="Times New Roman" w:eastAsia="Times New Roman" w:hAnsi="Times New Roman"/>
          <w:sz w:val="19"/>
          <w:szCs w:val="19"/>
          <w:color w:val="auto"/>
        </w:rPr>
        <w:t>Employment Matters</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3.18.</w:t>
      </w:r>
      <w:r>
        <w:rPr>
          <w:sz w:val="20"/>
          <w:szCs w:val="20"/>
          <w:color w:val="auto"/>
        </w:rPr>
        <w:tab/>
      </w:r>
      <w:r>
        <w:rPr>
          <w:rFonts w:ascii="Times New Roman" w:cs="Times New Roman" w:eastAsia="Times New Roman" w:hAnsi="Times New Roman"/>
          <w:sz w:val="19"/>
          <w:szCs w:val="19"/>
          <w:color w:val="auto"/>
        </w:rPr>
        <w:t>Margin Regulations</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3.19.</w:t>
      </w:r>
      <w:r>
        <w:rPr>
          <w:sz w:val="20"/>
          <w:szCs w:val="20"/>
          <w:color w:val="auto"/>
        </w:rPr>
        <w:tab/>
      </w:r>
      <w:r>
        <w:rPr>
          <w:rFonts w:ascii="Times New Roman" w:cs="Times New Roman" w:eastAsia="Times New Roman" w:hAnsi="Times New Roman"/>
          <w:sz w:val="19"/>
          <w:szCs w:val="19"/>
          <w:color w:val="auto"/>
        </w:rPr>
        <w:t>Use of Proceeds</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3.20.</w:t>
      </w:r>
      <w:r>
        <w:rPr>
          <w:sz w:val="20"/>
          <w:szCs w:val="20"/>
          <w:color w:val="auto"/>
        </w:rPr>
        <w:tab/>
      </w:r>
      <w:r>
        <w:rPr>
          <w:rFonts w:ascii="Times New Roman" w:cs="Times New Roman" w:eastAsia="Times New Roman" w:hAnsi="Times New Roman"/>
          <w:sz w:val="19"/>
          <w:szCs w:val="19"/>
          <w:color w:val="auto"/>
        </w:rPr>
        <w:t>No Burdensome Restrictions</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3.21.</w:t>
      </w:r>
      <w:r>
        <w:rPr>
          <w:sz w:val="20"/>
          <w:szCs w:val="20"/>
          <w:color w:val="auto"/>
        </w:rPr>
        <w:tab/>
      </w:r>
      <w:r>
        <w:rPr>
          <w:rFonts w:ascii="Times New Roman" w:cs="Times New Roman" w:eastAsia="Times New Roman" w:hAnsi="Times New Roman"/>
          <w:sz w:val="19"/>
          <w:szCs w:val="19"/>
          <w:color w:val="auto"/>
        </w:rPr>
        <w:t>Anti-Corruption Laws and Sanctions</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3.22.</w:t>
      </w:r>
      <w:r>
        <w:rPr>
          <w:sz w:val="20"/>
          <w:szCs w:val="20"/>
          <w:color w:val="auto"/>
        </w:rPr>
        <w:tab/>
      </w:r>
      <w:r>
        <w:rPr>
          <w:rFonts w:ascii="Times New Roman" w:cs="Times New Roman" w:eastAsia="Times New Roman" w:hAnsi="Times New Roman"/>
          <w:sz w:val="19"/>
          <w:szCs w:val="19"/>
          <w:color w:val="auto"/>
        </w:rPr>
        <w:t>Affected Financial Institutions</w:t>
      </w:r>
    </w:p>
    <w:p>
      <w:pPr>
        <w:jc w:val="right"/>
        <w:ind w:right="839"/>
        <w:spacing w:after="0"/>
        <w:rPr>
          <w:sz w:val="20"/>
          <w:szCs w:val="20"/>
          <w:color w:val="auto"/>
        </w:rPr>
      </w:pPr>
      <w:r>
        <w:rPr>
          <w:rFonts w:ascii="Times New Roman" w:cs="Times New Roman" w:eastAsia="Times New Roman" w:hAnsi="Times New Roman"/>
          <w:sz w:val="22"/>
          <w:szCs w:val="22"/>
          <w:color w:val="auto"/>
        </w:rPr>
        <w:t>65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3.23.</w:t>
      </w:r>
      <w:r>
        <w:rPr>
          <w:sz w:val="20"/>
          <w:szCs w:val="20"/>
          <w:color w:val="auto"/>
        </w:rPr>
        <w:tab/>
      </w:r>
      <w:r>
        <w:rPr>
          <w:rFonts w:ascii="Times New Roman" w:cs="Times New Roman" w:eastAsia="Times New Roman" w:hAnsi="Times New Roman"/>
          <w:sz w:val="19"/>
          <w:szCs w:val="19"/>
          <w:color w:val="auto"/>
        </w:rPr>
        <w:t>Plan Assets; Prohibited Transactions</w:t>
      </w:r>
    </w:p>
    <w:p>
      <w:pPr>
        <w:jc w:val="right"/>
        <w:ind w:right="839"/>
        <w:spacing w:after="0"/>
        <w:rPr>
          <w:sz w:val="20"/>
          <w:szCs w:val="20"/>
          <w:color w:val="auto"/>
        </w:rPr>
      </w:pPr>
      <w:r>
        <w:rPr>
          <w:rFonts w:ascii="Times New Roman" w:cs="Times New Roman" w:eastAsia="Times New Roman" w:hAnsi="Times New Roman"/>
          <w:sz w:val="22"/>
          <w:szCs w:val="22"/>
          <w:color w:val="auto"/>
        </w:rPr>
        <w:t>66</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3.24.</w:t>
      </w:r>
      <w:r>
        <w:rPr>
          <w:sz w:val="20"/>
          <w:szCs w:val="20"/>
          <w:color w:val="auto"/>
        </w:rPr>
        <w:tab/>
      </w:r>
      <w:r>
        <w:rPr>
          <w:rFonts w:ascii="Times New Roman" w:cs="Times New Roman" w:eastAsia="Times New Roman" w:hAnsi="Times New Roman"/>
          <w:sz w:val="19"/>
          <w:szCs w:val="19"/>
          <w:color w:val="auto"/>
        </w:rPr>
        <w:t>Data Security and Privacy.</w:t>
      </w:r>
    </w:p>
    <w:p>
      <w:pPr>
        <w:jc w:val="right"/>
        <w:ind w:right="839"/>
        <w:spacing w:after="0"/>
        <w:rPr>
          <w:sz w:val="20"/>
          <w:szCs w:val="20"/>
          <w:color w:val="auto"/>
        </w:rPr>
      </w:pPr>
      <w:r>
        <w:rPr>
          <w:rFonts w:ascii="Times New Roman" w:cs="Times New Roman" w:eastAsia="Times New Roman" w:hAnsi="Times New Roman"/>
          <w:sz w:val="22"/>
          <w:szCs w:val="22"/>
          <w:color w:val="auto"/>
        </w:rPr>
        <w:t>66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ARTICLE IV </w:t>
      </w:r>
      <w:r>
        <w:rPr>
          <w:rFonts w:ascii="Times New Roman" w:cs="Times New Roman" w:eastAsia="Times New Roman" w:hAnsi="Times New Roman"/>
          <w:sz w:val="20"/>
          <w:szCs w:val="20"/>
          <w:color w:val="000000"/>
        </w:rPr>
        <w:t>Conditions</w:t>
      </w:r>
    </w:p>
    <w:p>
      <w:pPr>
        <w:jc w:val="right"/>
        <w:ind w:right="839"/>
        <w:spacing w:after="0"/>
        <w:rPr>
          <w:sz w:val="20"/>
          <w:szCs w:val="20"/>
          <w:color w:val="auto"/>
        </w:rPr>
      </w:pPr>
      <w:r>
        <w:rPr>
          <w:rFonts w:ascii="Times New Roman" w:cs="Times New Roman" w:eastAsia="Times New Roman" w:hAnsi="Times New Roman"/>
          <w:sz w:val="22"/>
          <w:szCs w:val="22"/>
          <w:color w:val="auto"/>
        </w:rPr>
        <w:t>67</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4.01.</w:t>
      </w:r>
      <w:r>
        <w:rPr>
          <w:sz w:val="20"/>
          <w:szCs w:val="20"/>
          <w:color w:val="auto"/>
        </w:rPr>
        <w:tab/>
      </w:r>
      <w:r>
        <w:rPr>
          <w:rFonts w:ascii="Times New Roman" w:cs="Times New Roman" w:eastAsia="Times New Roman" w:hAnsi="Times New Roman"/>
          <w:sz w:val="19"/>
          <w:szCs w:val="19"/>
          <w:color w:val="auto"/>
        </w:rPr>
        <w:t>Effective Date</w:t>
      </w:r>
    </w:p>
    <w:p>
      <w:pPr>
        <w:jc w:val="right"/>
        <w:ind w:right="839"/>
        <w:spacing w:after="0"/>
        <w:rPr>
          <w:sz w:val="20"/>
          <w:szCs w:val="20"/>
          <w:color w:val="auto"/>
        </w:rPr>
      </w:pPr>
      <w:r>
        <w:rPr>
          <w:rFonts w:ascii="Times New Roman" w:cs="Times New Roman" w:eastAsia="Times New Roman" w:hAnsi="Times New Roman"/>
          <w:sz w:val="22"/>
          <w:szCs w:val="22"/>
          <w:color w:val="auto"/>
        </w:rPr>
        <w:t>67</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4.02.</w:t>
      </w:r>
      <w:r>
        <w:rPr>
          <w:sz w:val="20"/>
          <w:szCs w:val="20"/>
          <w:color w:val="auto"/>
        </w:rPr>
        <w:tab/>
      </w:r>
      <w:r>
        <w:rPr>
          <w:rFonts w:ascii="Times New Roman" w:cs="Times New Roman" w:eastAsia="Times New Roman" w:hAnsi="Times New Roman"/>
          <w:sz w:val="19"/>
          <w:szCs w:val="19"/>
          <w:color w:val="auto"/>
        </w:rPr>
        <w:t>Each Credit Event</w:t>
      </w:r>
    </w:p>
    <w:p>
      <w:pPr>
        <w:jc w:val="right"/>
        <w:ind w:right="839"/>
        <w:spacing w:after="0"/>
        <w:rPr>
          <w:sz w:val="20"/>
          <w:szCs w:val="20"/>
          <w:color w:val="auto"/>
        </w:rPr>
      </w:pPr>
      <w:r>
        <w:rPr>
          <w:rFonts w:ascii="Times New Roman" w:cs="Times New Roman" w:eastAsia="Times New Roman" w:hAnsi="Times New Roman"/>
          <w:sz w:val="22"/>
          <w:szCs w:val="22"/>
          <w:color w:val="auto"/>
        </w:rPr>
        <w:t>69</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ARTICLE V </w:t>
      </w:r>
      <w:r>
        <w:rPr>
          <w:rFonts w:ascii="Times New Roman" w:cs="Times New Roman" w:eastAsia="Times New Roman" w:hAnsi="Times New Roman"/>
          <w:sz w:val="20"/>
          <w:szCs w:val="20"/>
          <w:color w:val="000000"/>
        </w:rPr>
        <w:t>Affirmative Covenants</w:t>
      </w:r>
    </w:p>
    <w:p>
      <w:pPr>
        <w:jc w:val="right"/>
        <w:ind w:right="839"/>
        <w:spacing w:after="0"/>
        <w:rPr>
          <w:sz w:val="20"/>
          <w:szCs w:val="20"/>
          <w:color w:val="auto"/>
        </w:rPr>
      </w:pPr>
      <w:r>
        <w:rPr>
          <w:rFonts w:ascii="Times New Roman" w:cs="Times New Roman" w:eastAsia="Times New Roman" w:hAnsi="Times New Roman"/>
          <w:sz w:val="22"/>
          <w:szCs w:val="22"/>
          <w:color w:val="auto"/>
        </w:rPr>
        <w:t>70</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5.01.</w:t>
      </w:r>
      <w:r>
        <w:rPr>
          <w:sz w:val="20"/>
          <w:szCs w:val="20"/>
          <w:color w:val="auto"/>
        </w:rPr>
        <w:tab/>
      </w:r>
      <w:r>
        <w:rPr>
          <w:rFonts w:ascii="Times New Roman" w:cs="Times New Roman" w:eastAsia="Times New Roman" w:hAnsi="Times New Roman"/>
          <w:sz w:val="19"/>
          <w:szCs w:val="19"/>
          <w:color w:val="auto"/>
        </w:rPr>
        <w:t>Financial Statements and Other Information</w:t>
      </w:r>
    </w:p>
    <w:p>
      <w:pPr>
        <w:jc w:val="right"/>
        <w:ind w:right="839"/>
        <w:spacing w:after="0"/>
        <w:rPr>
          <w:sz w:val="20"/>
          <w:szCs w:val="20"/>
          <w:color w:val="auto"/>
        </w:rPr>
      </w:pPr>
      <w:r>
        <w:rPr>
          <w:rFonts w:ascii="Times New Roman" w:cs="Times New Roman" w:eastAsia="Times New Roman" w:hAnsi="Times New Roman"/>
          <w:sz w:val="22"/>
          <w:szCs w:val="22"/>
          <w:color w:val="auto"/>
        </w:rPr>
        <w:t>70</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5.02.</w:t>
      </w:r>
      <w:r>
        <w:rPr>
          <w:sz w:val="20"/>
          <w:szCs w:val="20"/>
          <w:color w:val="auto"/>
        </w:rPr>
        <w:tab/>
      </w:r>
      <w:r>
        <w:rPr>
          <w:rFonts w:ascii="Times New Roman" w:cs="Times New Roman" w:eastAsia="Times New Roman" w:hAnsi="Times New Roman"/>
          <w:sz w:val="19"/>
          <w:szCs w:val="19"/>
          <w:color w:val="auto"/>
        </w:rPr>
        <w:t>Notices of Material Events</w:t>
      </w:r>
    </w:p>
    <w:p>
      <w:pPr>
        <w:jc w:val="right"/>
        <w:ind w:right="839"/>
        <w:spacing w:after="0"/>
        <w:rPr>
          <w:sz w:val="20"/>
          <w:szCs w:val="20"/>
          <w:color w:val="auto"/>
        </w:rPr>
      </w:pPr>
      <w:r>
        <w:rPr>
          <w:rFonts w:ascii="Times New Roman" w:cs="Times New Roman" w:eastAsia="Times New Roman" w:hAnsi="Times New Roman"/>
          <w:sz w:val="22"/>
          <w:szCs w:val="22"/>
          <w:color w:val="auto"/>
        </w:rPr>
        <w:t>71</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5.03.</w:t>
      </w:r>
      <w:r>
        <w:rPr>
          <w:sz w:val="20"/>
          <w:szCs w:val="20"/>
          <w:color w:val="auto"/>
        </w:rPr>
        <w:tab/>
      </w:r>
      <w:r>
        <w:rPr>
          <w:rFonts w:ascii="Times New Roman" w:cs="Times New Roman" w:eastAsia="Times New Roman" w:hAnsi="Times New Roman"/>
          <w:sz w:val="19"/>
          <w:szCs w:val="19"/>
          <w:color w:val="auto"/>
        </w:rPr>
        <w:t>Existence; Conduct of Business</w:t>
      </w:r>
    </w:p>
    <w:p>
      <w:pPr>
        <w:jc w:val="right"/>
        <w:ind w:right="839"/>
        <w:spacing w:after="0"/>
        <w:rPr>
          <w:sz w:val="20"/>
          <w:szCs w:val="20"/>
          <w:color w:val="auto"/>
        </w:rPr>
      </w:pPr>
      <w:r>
        <w:rPr>
          <w:rFonts w:ascii="Times New Roman" w:cs="Times New Roman" w:eastAsia="Times New Roman" w:hAnsi="Times New Roman"/>
          <w:sz w:val="22"/>
          <w:szCs w:val="22"/>
          <w:color w:val="auto"/>
        </w:rPr>
        <w:t>72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5.04.</w:t>
      </w:r>
      <w:r>
        <w:rPr>
          <w:sz w:val="20"/>
          <w:szCs w:val="20"/>
          <w:color w:val="auto"/>
        </w:rPr>
        <w:tab/>
      </w:r>
      <w:r>
        <w:rPr>
          <w:rFonts w:ascii="Times New Roman" w:cs="Times New Roman" w:eastAsia="Times New Roman" w:hAnsi="Times New Roman"/>
          <w:sz w:val="19"/>
          <w:szCs w:val="19"/>
          <w:color w:val="auto"/>
        </w:rPr>
        <w:t>Payment of Obligations</w:t>
      </w:r>
    </w:p>
    <w:p>
      <w:pPr>
        <w:jc w:val="right"/>
        <w:ind w:right="839"/>
        <w:spacing w:after="0"/>
        <w:rPr>
          <w:sz w:val="20"/>
          <w:szCs w:val="20"/>
          <w:color w:val="auto"/>
        </w:rPr>
      </w:pPr>
      <w:r>
        <w:rPr>
          <w:rFonts w:ascii="Times New Roman" w:cs="Times New Roman" w:eastAsia="Times New Roman" w:hAnsi="Times New Roman"/>
          <w:sz w:val="22"/>
          <w:szCs w:val="22"/>
          <w:color w:val="auto"/>
        </w:rPr>
        <w:t>72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5.05.</w:t>
      </w:r>
      <w:r>
        <w:rPr>
          <w:sz w:val="20"/>
          <w:szCs w:val="20"/>
          <w:color w:val="auto"/>
        </w:rPr>
        <w:tab/>
      </w:r>
      <w:r>
        <w:rPr>
          <w:rFonts w:ascii="Times New Roman" w:cs="Times New Roman" w:eastAsia="Times New Roman" w:hAnsi="Times New Roman"/>
          <w:sz w:val="19"/>
          <w:szCs w:val="19"/>
          <w:color w:val="auto"/>
        </w:rPr>
        <w:t>Maintenance of Properties</w:t>
      </w:r>
    </w:p>
    <w:p>
      <w:pPr>
        <w:jc w:val="right"/>
        <w:ind w:right="839"/>
        <w:spacing w:after="0"/>
        <w:rPr>
          <w:sz w:val="20"/>
          <w:szCs w:val="20"/>
          <w:color w:val="auto"/>
        </w:rPr>
      </w:pPr>
      <w:r>
        <w:rPr>
          <w:rFonts w:ascii="Times New Roman" w:cs="Times New Roman" w:eastAsia="Times New Roman" w:hAnsi="Times New Roman"/>
          <w:sz w:val="22"/>
          <w:szCs w:val="22"/>
          <w:color w:val="auto"/>
        </w:rPr>
        <w:t>72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5.06.</w:t>
      </w:r>
      <w:r>
        <w:rPr>
          <w:sz w:val="20"/>
          <w:szCs w:val="20"/>
          <w:color w:val="auto"/>
        </w:rPr>
        <w:tab/>
      </w:r>
      <w:r>
        <w:rPr>
          <w:rFonts w:ascii="Times New Roman" w:cs="Times New Roman" w:eastAsia="Times New Roman" w:hAnsi="Times New Roman"/>
          <w:sz w:val="19"/>
          <w:szCs w:val="19"/>
          <w:color w:val="auto"/>
        </w:rPr>
        <w:t>Books and Records; Inspection Rights</w:t>
      </w:r>
    </w:p>
    <w:p>
      <w:pPr>
        <w:jc w:val="right"/>
        <w:ind w:right="839"/>
        <w:spacing w:after="0"/>
        <w:rPr>
          <w:sz w:val="20"/>
          <w:szCs w:val="20"/>
          <w:color w:val="auto"/>
        </w:rPr>
      </w:pPr>
      <w:r>
        <w:rPr>
          <w:rFonts w:ascii="Times New Roman" w:cs="Times New Roman" w:eastAsia="Times New Roman" w:hAnsi="Times New Roman"/>
          <w:sz w:val="22"/>
          <w:szCs w:val="22"/>
          <w:color w:val="auto"/>
        </w:rPr>
        <w:t>73</w:t>
      </w:r>
    </w:p>
    <w:p>
      <w:pPr>
        <w:sectPr>
          <w:pgSz w:w="11900" w:h="16992" w:orient="portrait"/>
          <w:cols w:equalWidth="0" w:num="1">
            <w:col w:w="9019"/>
          </w:cols>
          <w:pgMar w:left="1440" w:top="1440" w:right="1440" w:bottom="0" w:gutter="0" w:footer="0" w:header="0"/>
        </w:sectPr>
      </w:pPr>
    </w:p>
    <w:bookmarkStart w:id="109" w:name="page110"/>
    <w:bookmarkEnd w:id="109"/>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5.07.</w:t>
      </w:r>
      <w:r>
        <w:rPr>
          <w:sz w:val="20"/>
          <w:szCs w:val="20"/>
          <w:color w:val="auto"/>
        </w:rPr>
        <w:tab/>
      </w:r>
      <w:r>
        <w:rPr>
          <w:rFonts w:ascii="Times New Roman" w:cs="Times New Roman" w:eastAsia="Times New Roman" w:hAnsi="Times New Roman"/>
          <w:sz w:val="19"/>
          <w:szCs w:val="19"/>
          <w:color w:val="auto"/>
        </w:rPr>
        <w:t>Compliance with Laws and Material Contractual Obligations</w:t>
      </w:r>
    </w:p>
    <w:p>
      <w:pPr>
        <w:jc w:val="right"/>
        <w:ind w:right="839"/>
        <w:spacing w:after="0"/>
        <w:rPr>
          <w:sz w:val="20"/>
          <w:szCs w:val="20"/>
          <w:color w:val="auto"/>
        </w:rPr>
      </w:pPr>
      <w:r>
        <w:rPr>
          <w:rFonts w:ascii="Times New Roman" w:cs="Times New Roman" w:eastAsia="Times New Roman" w:hAnsi="Times New Roman"/>
          <w:sz w:val="22"/>
          <w:szCs w:val="22"/>
          <w:color w:val="auto"/>
        </w:rPr>
        <w:t>73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5.08.</w:t>
      </w:r>
      <w:r>
        <w:rPr>
          <w:sz w:val="20"/>
          <w:szCs w:val="20"/>
          <w:color w:val="auto"/>
        </w:rPr>
        <w:tab/>
      </w:r>
      <w:r>
        <w:rPr>
          <w:rFonts w:ascii="Times New Roman" w:cs="Times New Roman" w:eastAsia="Times New Roman" w:hAnsi="Times New Roman"/>
          <w:sz w:val="19"/>
          <w:szCs w:val="19"/>
          <w:color w:val="auto"/>
        </w:rPr>
        <w:t>Use of Proceeds</w:t>
      </w:r>
    </w:p>
    <w:p>
      <w:pPr>
        <w:jc w:val="right"/>
        <w:ind w:right="839"/>
        <w:spacing w:after="0"/>
        <w:rPr>
          <w:sz w:val="20"/>
          <w:szCs w:val="20"/>
          <w:color w:val="auto"/>
        </w:rPr>
      </w:pPr>
      <w:r>
        <w:rPr>
          <w:rFonts w:ascii="Times New Roman" w:cs="Times New Roman" w:eastAsia="Times New Roman" w:hAnsi="Times New Roman"/>
          <w:sz w:val="22"/>
          <w:szCs w:val="22"/>
          <w:color w:val="auto"/>
        </w:rPr>
        <w:t>73</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5.09.</w:t>
      </w:r>
      <w:r>
        <w:rPr>
          <w:sz w:val="20"/>
          <w:szCs w:val="20"/>
          <w:color w:val="auto"/>
        </w:rPr>
        <w:tab/>
      </w:r>
      <w:r>
        <w:rPr>
          <w:rFonts w:ascii="Times New Roman" w:cs="Times New Roman" w:eastAsia="Times New Roman" w:hAnsi="Times New Roman"/>
          <w:sz w:val="19"/>
          <w:szCs w:val="19"/>
          <w:color w:val="auto"/>
        </w:rPr>
        <w:t>Accuracy of Information</w:t>
      </w:r>
    </w:p>
    <w:p>
      <w:pPr>
        <w:jc w:val="right"/>
        <w:ind w:right="839"/>
        <w:spacing w:after="0"/>
        <w:rPr>
          <w:sz w:val="20"/>
          <w:szCs w:val="20"/>
          <w:color w:val="auto"/>
        </w:rPr>
      </w:pPr>
      <w:r>
        <w:rPr>
          <w:rFonts w:ascii="Times New Roman" w:cs="Times New Roman" w:eastAsia="Times New Roman" w:hAnsi="Times New Roman"/>
          <w:sz w:val="22"/>
          <w:szCs w:val="22"/>
          <w:color w:val="auto"/>
        </w:rPr>
        <w:t>73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5.10.</w:t>
      </w:r>
      <w:r>
        <w:rPr>
          <w:sz w:val="20"/>
          <w:szCs w:val="20"/>
          <w:color w:val="auto"/>
        </w:rPr>
        <w:tab/>
      </w:r>
      <w:r>
        <w:rPr>
          <w:rFonts w:ascii="Times New Roman" w:cs="Times New Roman" w:eastAsia="Times New Roman" w:hAnsi="Times New Roman"/>
          <w:sz w:val="19"/>
          <w:szCs w:val="19"/>
          <w:color w:val="auto"/>
        </w:rPr>
        <w:t>Insurance</w:t>
      </w:r>
    </w:p>
    <w:p>
      <w:pPr>
        <w:jc w:val="right"/>
        <w:ind w:right="839"/>
        <w:spacing w:after="0"/>
        <w:rPr>
          <w:sz w:val="20"/>
          <w:szCs w:val="20"/>
          <w:color w:val="auto"/>
        </w:rPr>
      </w:pPr>
      <w:r>
        <w:rPr>
          <w:rFonts w:ascii="Times New Roman" w:cs="Times New Roman" w:eastAsia="Times New Roman" w:hAnsi="Times New Roman"/>
          <w:sz w:val="22"/>
          <w:szCs w:val="22"/>
          <w:color w:val="auto"/>
        </w:rPr>
        <w:t>74</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5.11.</w:t>
      </w:r>
      <w:r>
        <w:rPr>
          <w:sz w:val="20"/>
          <w:szCs w:val="20"/>
          <w:color w:val="auto"/>
        </w:rPr>
        <w:tab/>
      </w:r>
      <w:r>
        <w:rPr>
          <w:rFonts w:ascii="Times New Roman" w:cs="Times New Roman" w:eastAsia="Times New Roman" w:hAnsi="Times New Roman"/>
          <w:sz w:val="19"/>
          <w:szCs w:val="19"/>
          <w:color w:val="auto"/>
        </w:rPr>
        <w:t>Casualty and Condemnation</w:t>
      </w:r>
    </w:p>
    <w:p>
      <w:pPr>
        <w:jc w:val="right"/>
        <w:ind w:right="839"/>
        <w:spacing w:after="0"/>
        <w:rPr>
          <w:sz w:val="20"/>
          <w:szCs w:val="20"/>
          <w:color w:val="auto"/>
        </w:rPr>
      </w:pPr>
      <w:r>
        <w:rPr>
          <w:rFonts w:ascii="Times New Roman" w:cs="Times New Roman" w:eastAsia="Times New Roman" w:hAnsi="Times New Roman"/>
          <w:sz w:val="22"/>
          <w:szCs w:val="22"/>
          <w:color w:val="auto"/>
        </w:rPr>
        <w:t>74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5.12.</w:t>
      </w:r>
      <w:r>
        <w:rPr>
          <w:sz w:val="20"/>
          <w:szCs w:val="20"/>
          <w:color w:val="auto"/>
        </w:rPr>
        <w:tab/>
      </w:r>
      <w:r>
        <w:rPr>
          <w:rFonts w:ascii="Times New Roman" w:cs="Times New Roman" w:eastAsia="Times New Roman" w:hAnsi="Times New Roman"/>
          <w:sz w:val="19"/>
          <w:szCs w:val="19"/>
          <w:color w:val="auto"/>
        </w:rPr>
        <w:t>Depository Banks</w:t>
      </w:r>
    </w:p>
    <w:p>
      <w:pPr>
        <w:jc w:val="right"/>
        <w:ind w:right="839"/>
        <w:spacing w:after="0"/>
        <w:rPr>
          <w:sz w:val="20"/>
          <w:szCs w:val="20"/>
          <w:color w:val="auto"/>
        </w:rPr>
      </w:pPr>
      <w:r>
        <w:rPr>
          <w:rFonts w:ascii="Times New Roman" w:cs="Times New Roman" w:eastAsia="Times New Roman" w:hAnsi="Times New Roman"/>
          <w:sz w:val="22"/>
          <w:szCs w:val="22"/>
          <w:color w:val="auto"/>
        </w:rPr>
        <w:t>74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5.13.</w:t>
      </w:r>
      <w:r>
        <w:rPr>
          <w:sz w:val="20"/>
          <w:szCs w:val="20"/>
          <w:color w:val="auto"/>
        </w:rPr>
        <w:tab/>
      </w:r>
      <w:r>
        <w:rPr>
          <w:rFonts w:ascii="Times New Roman" w:cs="Times New Roman" w:eastAsia="Times New Roman" w:hAnsi="Times New Roman"/>
          <w:sz w:val="19"/>
          <w:szCs w:val="19"/>
          <w:color w:val="auto"/>
        </w:rPr>
        <w:t>Subsidiary Guarantors; Additional Collateral; Further Assurances</w:t>
      </w:r>
    </w:p>
    <w:p>
      <w:pPr>
        <w:jc w:val="right"/>
        <w:ind w:right="839"/>
        <w:spacing w:after="0"/>
        <w:rPr>
          <w:sz w:val="20"/>
          <w:szCs w:val="20"/>
          <w:color w:val="auto"/>
        </w:rPr>
      </w:pPr>
      <w:r>
        <w:rPr>
          <w:rFonts w:ascii="Times New Roman" w:cs="Times New Roman" w:eastAsia="Times New Roman" w:hAnsi="Times New Roman"/>
          <w:sz w:val="22"/>
          <w:szCs w:val="22"/>
          <w:color w:val="auto"/>
        </w:rPr>
        <w:t>74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5.14.</w:t>
      </w:r>
      <w:r>
        <w:rPr>
          <w:sz w:val="20"/>
          <w:szCs w:val="20"/>
          <w:color w:val="auto"/>
        </w:rPr>
        <w:tab/>
      </w:r>
      <w:r>
        <w:rPr>
          <w:rFonts w:ascii="Times New Roman" w:cs="Times New Roman" w:eastAsia="Times New Roman" w:hAnsi="Times New Roman"/>
          <w:sz w:val="19"/>
          <w:szCs w:val="19"/>
          <w:color w:val="auto"/>
        </w:rPr>
        <w:t>Data Security and Privacy.</w:t>
      </w:r>
    </w:p>
    <w:p>
      <w:pPr>
        <w:jc w:val="right"/>
        <w:ind w:right="839"/>
        <w:spacing w:after="0"/>
        <w:rPr>
          <w:sz w:val="20"/>
          <w:szCs w:val="20"/>
          <w:color w:val="auto"/>
        </w:rPr>
      </w:pPr>
      <w:r>
        <w:rPr>
          <w:rFonts w:ascii="Times New Roman" w:cs="Times New Roman" w:eastAsia="Times New Roman" w:hAnsi="Times New Roman"/>
          <w:sz w:val="22"/>
          <w:szCs w:val="22"/>
          <w:color w:val="auto"/>
        </w:rPr>
        <w:t>75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5.15.</w:t>
      </w:r>
      <w:r>
        <w:rPr>
          <w:sz w:val="20"/>
          <w:szCs w:val="20"/>
          <w:color w:val="auto"/>
        </w:rPr>
        <w:tab/>
      </w:r>
      <w:r>
        <w:rPr>
          <w:rFonts w:ascii="Times New Roman" w:cs="Times New Roman" w:eastAsia="Times New Roman" w:hAnsi="Times New Roman"/>
          <w:sz w:val="19"/>
          <w:szCs w:val="19"/>
          <w:color w:val="auto"/>
        </w:rPr>
        <w:t>Post-Closing Requirements</w:t>
      </w:r>
    </w:p>
    <w:p>
      <w:pPr>
        <w:jc w:val="right"/>
        <w:ind w:right="83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9019"/>
          </w:cols>
          <w:pgMar w:left="1440" w:top="203" w:right="1440" w:bottom="1440" w:gutter="0" w:footer="0" w:header="0"/>
        </w:sectPr>
      </w:pPr>
    </w:p>
    <w:bookmarkStart w:id="110" w:name="page111"/>
    <w:bookmarkEnd w:id="110"/>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10000"/>
        </w:rPr>
        <w:t xml:space="preserve">ARTICLE VI </w:t>
      </w:r>
      <w:r>
        <w:rPr>
          <w:rFonts w:ascii="Times New Roman" w:cs="Times New Roman" w:eastAsia="Times New Roman" w:hAnsi="Times New Roman"/>
          <w:sz w:val="20"/>
          <w:szCs w:val="20"/>
          <w:color w:val="000000"/>
        </w:rPr>
        <w:t>Negative Covenants</w:t>
      </w:r>
    </w:p>
    <w:p>
      <w:pPr>
        <w:ind w:left="7960"/>
        <w:spacing w:after="0"/>
        <w:rPr>
          <w:sz w:val="20"/>
          <w:szCs w:val="20"/>
          <w:color w:val="auto"/>
        </w:rPr>
      </w:pPr>
      <w:r>
        <w:rPr>
          <w:rFonts w:ascii="Times New Roman" w:cs="Times New Roman" w:eastAsia="Times New Roman" w:hAnsi="Times New Roman"/>
          <w:sz w:val="22"/>
          <w:szCs w:val="22"/>
          <w:color w:val="auto"/>
        </w:rPr>
        <w:t>76</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6.01.</w:t>
      </w:r>
      <w:r>
        <w:rPr>
          <w:sz w:val="20"/>
          <w:szCs w:val="20"/>
          <w:color w:val="auto"/>
        </w:rPr>
        <w:tab/>
      </w:r>
      <w:r>
        <w:rPr>
          <w:rFonts w:ascii="Times New Roman" w:cs="Times New Roman" w:eastAsia="Times New Roman" w:hAnsi="Times New Roman"/>
          <w:sz w:val="19"/>
          <w:szCs w:val="19"/>
          <w:color w:val="auto"/>
        </w:rPr>
        <w:t>Indebtedness</w:t>
      </w:r>
    </w:p>
    <w:p>
      <w:pPr>
        <w:ind w:left="7960"/>
        <w:spacing w:after="0"/>
        <w:rPr>
          <w:sz w:val="20"/>
          <w:szCs w:val="20"/>
          <w:color w:val="auto"/>
        </w:rPr>
      </w:pPr>
      <w:r>
        <w:rPr>
          <w:rFonts w:ascii="Times New Roman" w:cs="Times New Roman" w:eastAsia="Times New Roman" w:hAnsi="Times New Roman"/>
          <w:sz w:val="22"/>
          <w:szCs w:val="22"/>
          <w:color w:val="auto"/>
        </w:rPr>
        <w:t>76</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6.02.</w:t>
      </w:r>
      <w:r>
        <w:rPr>
          <w:sz w:val="20"/>
          <w:szCs w:val="20"/>
          <w:color w:val="auto"/>
        </w:rPr>
        <w:tab/>
      </w:r>
      <w:r>
        <w:rPr>
          <w:rFonts w:ascii="Times New Roman" w:cs="Times New Roman" w:eastAsia="Times New Roman" w:hAnsi="Times New Roman"/>
          <w:sz w:val="19"/>
          <w:szCs w:val="19"/>
          <w:color w:val="auto"/>
        </w:rPr>
        <w:t>Liens</w:t>
      </w:r>
    </w:p>
    <w:p>
      <w:pPr>
        <w:ind w:left="7960"/>
        <w:spacing w:after="0"/>
        <w:rPr>
          <w:sz w:val="20"/>
          <w:szCs w:val="20"/>
          <w:color w:val="auto"/>
        </w:rPr>
      </w:pPr>
      <w:r>
        <w:rPr>
          <w:rFonts w:ascii="Times New Roman" w:cs="Times New Roman" w:eastAsia="Times New Roman" w:hAnsi="Times New Roman"/>
          <w:sz w:val="22"/>
          <w:szCs w:val="22"/>
          <w:color w:val="auto"/>
        </w:rPr>
        <w:t>78</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6.03.</w:t>
      </w:r>
      <w:r>
        <w:rPr>
          <w:sz w:val="20"/>
          <w:szCs w:val="20"/>
          <w:color w:val="auto"/>
        </w:rPr>
        <w:tab/>
      </w:r>
      <w:r>
        <w:rPr>
          <w:rFonts w:ascii="Times New Roman" w:cs="Times New Roman" w:eastAsia="Times New Roman" w:hAnsi="Times New Roman"/>
          <w:sz w:val="19"/>
          <w:szCs w:val="19"/>
          <w:color w:val="auto"/>
        </w:rPr>
        <w:t>Fundamental Changes</w:t>
      </w:r>
    </w:p>
    <w:p>
      <w:pPr>
        <w:ind w:left="7960"/>
        <w:spacing w:after="0"/>
        <w:rPr>
          <w:sz w:val="20"/>
          <w:szCs w:val="20"/>
          <w:color w:val="auto"/>
        </w:rPr>
      </w:pPr>
      <w:r>
        <w:rPr>
          <w:rFonts w:ascii="Times New Roman" w:cs="Times New Roman" w:eastAsia="Times New Roman" w:hAnsi="Times New Roman"/>
          <w:sz w:val="22"/>
          <w:szCs w:val="22"/>
          <w:color w:val="auto"/>
        </w:rPr>
        <w:t>79</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6.04.</w:t>
      </w:r>
      <w:r>
        <w:rPr>
          <w:sz w:val="20"/>
          <w:szCs w:val="20"/>
          <w:color w:val="auto"/>
        </w:rPr>
        <w:tab/>
      </w:r>
      <w:r>
        <w:rPr>
          <w:rFonts w:ascii="Times New Roman" w:cs="Times New Roman" w:eastAsia="Times New Roman" w:hAnsi="Times New Roman"/>
          <w:sz w:val="19"/>
          <w:szCs w:val="19"/>
          <w:color w:val="auto"/>
        </w:rPr>
        <w:t>Investments, Loans, Advances, Guarantees and Acquisitions</w:t>
      </w:r>
    </w:p>
    <w:p>
      <w:pPr>
        <w:ind w:left="7960"/>
        <w:spacing w:after="0"/>
        <w:rPr>
          <w:sz w:val="20"/>
          <w:szCs w:val="20"/>
          <w:color w:val="auto"/>
        </w:rPr>
      </w:pPr>
      <w:r>
        <w:rPr>
          <w:rFonts w:ascii="Times New Roman" w:cs="Times New Roman" w:eastAsia="Times New Roman" w:hAnsi="Times New Roman"/>
          <w:sz w:val="22"/>
          <w:szCs w:val="22"/>
          <w:color w:val="auto"/>
        </w:rPr>
        <w:t>80</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6.05.</w:t>
      </w:r>
      <w:r>
        <w:rPr>
          <w:sz w:val="20"/>
          <w:szCs w:val="20"/>
          <w:color w:val="auto"/>
        </w:rPr>
        <w:tab/>
      </w:r>
      <w:r>
        <w:rPr>
          <w:rFonts w:ascii="Times New Roman" w:cs="Times New Roman" w:eastAsia="Times New Roman" w:hAnsi="Times New Roman"/>
          <w:sz w:val="19"/>
          <w:szCs w:val="19"/>
          <w:color w:val="auto"/>
        </w:rPr>
        <w:t>Asset Sales</w:t>
      </w:r>
    </w:p>
    <w:p>
      <w:pPr>
        <w:ind w:left="7960"/>
        <w:spacing w:after="0"/>
        <w:rPr>
          <w:sz w:val="20"/>
          <w:szCs w:val="20"/>
          <w:color w:val="auto"/>
        </w:rPr>
      </w:pPr>
      <w:r>
        <w:rPr>
          <w:rFonts w:ascii="Times New Roman" w:cs="Times New Roman" w:eastAsia="Times New Roman" w:hAnsi="Times New Roman"/>
          <w:sz w:val="22"/>
          <w:szCs w:val="22"/>
          <w:color w:val="auto"/>
        </w:rPr>
        <w:t>82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6.06.</w:t>
      </w:r>
      <w:r>
        <w:rPr>
          <w:sz w:val="20"/>
          <w:szCs w:val="20"/>
          <w:color w:val="auto"/>
        </w:rPr>
        <w:tab/>
      </w:r>
      <w:r>
        <w:rPr>
          <w:rFonts w:ascii="Times New Roman" w:cs="Times New Roman" w:eastAsia="Times New Roman" w:hAnsi="Times New Roman"/>
          <w:sz w:val="19"/>
          <w:szCs w:val="19"/>
          <w:color w:val="auto"/>
        </w:rPr>
        <w:t>Sale and Leaseback Transactions</w:t>
      </w:r>
    </w:p>
    <w:p>
      <w:pPr>
        <w:ind w:left="7960"/>
        <w:spacing w:after="0"/>
        <w:rPr>
          <w:sz w:val="20"/>
          <w:szCs w:val="20"/>
          <w:color w:val="auto"/>
        </w:rPr>
      </w:pPr>
      <w:r>
        <w:rPr>
          <w:rFonts w:ascii="Times New Roman" w:cs="Times New Roman" w:eastAsia="Times New Roman" w:hAnsi="Times New Roman"/>
          <w:sz w:val="22"/>
          <w:szCs w:val="22"/>
          <w:color w:val="auto"/>
        </w:rPr>
        <w:t>83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6.07.</w:t>
      </w:r>
      <w:r>
        <w:rPr>
          <w:sz w:val="20"/>
          <w:szCs w:val="20"/>
          <w:color w:val="auto"/>
        </w:rPr>
        <w:tab/>
      </w:r>
      <w:r>
        <w:rPr>
          <w:rFonts w:ascii="Times New Roman" w:cs="Times New Roman" w:eastAsia="Times New Roman" w:hAnsi="Times New Roman"/>
          <w:sz w:val="19"/>
          <w:szCs w:val="19"/>
          <w:color w:val="auto"/>
        </w:rPr>
        <w:t>Swap Agreements</w:t>
      </w:r>
    </w:p>
    <w:p>
      <w:pPr>
        <w:ind w:left="7960"/>
        <w:spacing w:after="0"/>
        <w:rPr>
          <w:sz w:val="20"/>
          <w:szCs w:val="20"/>
          <w:color w:val="auto"/>
        </w:rPr>
      </w:pPr>
      <w:r>
        <w:rPr>
          <w:rFonts w:ascii="Times New Roman" w:cs="Times New Roman" w:eastAsia="Times New Roman" w:hAnsi="Times New Roman"/>
          <w:sz w:val="22"/>
          <w:szCs w:val="22"/>
          <w:color w:val="auto"/>
        </w:rPr>
        <w:t>83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6.08.</w:t>
      </w:r>
      <w:r>
        <w:rPr>
          <w:sz w:val="20"/>
          <w:szCs w:val="20"/>
          <w:color w:val="auto"/>
        </w:rPr>
        <w:tab/>
      </w:r>
      <w:r>
        <w:rPr>
          <w:rFonts w:ascii="Times New Roman" w:cs="Times New Roman" w:eastAsia="Times New Roman" w:hAnsi="Times New Roman"/>
          <w:sz w:val="19"/>
          <w:szCs w:val="19"/>
          <w:color w:val="auto"/>
        </w:rPr>
        <w:t>Restricted Payments; Certain Payments of Indebtedness</w:t>
      </w:r>
    </w:p>
    <w:p>
      <w:pPr>
        <w:ind w:left="7960"/>
        <w:spacing w:after="0"/>
        <w:rPr>
          <w:sz w:val="20"/>
          <w:szCs w:val="20"/>
          <w:color w:val="auto"/>
        </w:rPr>
      </w:pPr>
      <w:r>
        <w:rPr>
          <w:rFonts w:ascii="Times New Roman" w:cs="Times New Roman" w:eastAsia="Times New Roman" w:hAnsi="Times New Roman"/>
          <w:sz w:val="22"/>
          <w:szCs w:val="22"/>
          <w:color w:val="auto"/>
        </w:rPr>
        <w:t>83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6.09.</w:t>
      </w:r>
      <w:r>
        <w:rPr>
          <w:sz w:val="20"/>
          <w:szCs w:val="20"/>
          <w:color w:val="auto"/>
        </w:rPr>
        <w:tab/>
      </w:r>
      <w:r>
        <w:rPr>
          <w:rFonts w:ascii="Times New Roman" w:cs="Times New Roman" w:eastAsia="Times New Roman" w:hAnsi="Times New Roman"/>
          <w:sz w:val="19"/>
          <w:szCs w:val="19"/>
          <w:color w:val="auto"/>
        </w:rPr>
        <w:t>Transactions with Affiliates</w:t>
      </w:r>
    </w:p>
    <w:p>
      <w:pPr>
        <w:ind w:left="7960"/>
        <w:spacing w:after="0"/>
        <w:rPr>
          <w:sz w:val="20"/>
          <w:szCs w:val="20"/>
          <w:color w:val="auto"/>
        </w:rPr>
      </w:pPr>
      <w:r>
        <w:rPr>
          <w:rFonts w:ascii="Times New Roman" w:cs="Times New Roman" w:eastAsia="Times New Roman" w:hAnsi="Times New Roman"/>
          <w:sz w:val="22"/>
          <w:szCs w:val="22"/>
          <w:color w:val="auto"/>
        </w:rPr>
        <w:t>85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6.10.</w:t>
      </w:r>
      <w:r>
        <w:rPr>
          <w:sz w:val="20"/>
          <w:szCs w:val="20"/>
          <w:color w:val="auto"/>
        </w:rPr>
        <w:tab/>
      </w:r>
      <w:r>
        <w:rPr>
          <w:rFonts w:ascii="Times New Roman" w:cs="Times New Roman" w:eastAsia="Times New Roman" w:hAnsi="Times New Roman"/>
          <w:sz w:val="19"/>
          <w:szCs w:val="19"/>
          <w:color w:val="auto"/>
        </w:rPr>
        <w:t>Restrictive Agreements</w:t>
      </w:r>
    </w:p>
    <w:p>
      <w:pPr>
        <w:ind w:left="7960"/>
        <w:spacing w:after="0"/>
        <w:rPr>
          <w:sz w:val="20"/>
          <w:szCs w:val="20"/>
          <w:color w:val="auto"/>
        </w:rPr>
      </w:pPr>
      <w:r>
        <w:rPr>
          <w:rFonts w:ascii="Times New Roman" w:cs="Times New Roman" w:eastAsia="Times New Roman" w:hAnsi="Times New Roman"/>
          <w:sz w:val="22"/>
          <w:szCs w:val="22"/>
          <w:color w:val="auto"/>
        </w:rPr>
        <w:t>85</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6.11.</w:t>
      </w:r>
      <w:r>
        <w:rPr>
          <w:sz w:val="20"/>
          <w:szCs w:val="20"/>
          <w:color w:val="auto"/>
        </w:rPr>
        <w:tab/>
      </w:r>
      <w:r>
        <w:rPr>
          <w:rFonts w:ascii="Times New Roman" w:cs="Times New Roman" w:eastAsia="Times New Roman" w:hAnsi="Times New Roman"/>
          <w:sz w:val="19"/>
          <w:szCs w:val="19"/>
          <w:color w:val="auto"/>
        </w:rPr>
        <w:t>Amendment of Material Documents</w:t>
      </w:r>
    </w:p>
    <w:p>
      <w:pPr>
        <w:ind w:left="7960"/>
        <w:spacing w:after="0"/>
        <w:rPr>
          <w:sz w:val="20"/>
          <w:szCs w:val="20"/>
          <w:color w:val="auto"/>
        </w:rPr>
      </w:pPr>
      <w:r>
        <w:rPr>
          <w:rFonts w:ascii="Times New Roman" w:cs="Times New Roman" w:eastAsia="Times New Roman" w:hAnsi="Times New Roman"/>
          <w:sz w:val="22"/>
          <w:szCs w:val="22"/>
          <w:color w:val="auto"/>
        </w:rPr>
        <w:t>85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6.12.</w:t>
      </w:r>
      <w:r>
        <w:rPr>
          <w:sz w:val="20"/>
          <w:szCs w:val="20"/>
          <w:color w:val="auto"/>
        </w:rPr>
        <w:tab/>
      </w:r>
      <w:r>
        <w:rPr>
          <w:rFonts w:ascii="Times New Roman" w:cs="Times New Roman" w:eastAsia="Times New Roman" w:hAnsi="Times New Roman"/>
          <w:sz w:val="19"/>
          <w:szCs w:val="19"/>
          <w:color w:val="auto"/>
        </w:rPr>
        <w:t>Financial Covenants</w:t>
      </w:r>
    </w:p>
    <w:p>
      <w:pPr>
        <w:ind w:left="7960"/>
        <w:spacing w:after="0"/>
        <w:rPr>
          <w:sz w:val="20"/>
          <w:szCs w:val="20"/>
          <w:color w:val="auto"/>
        </w:rPr>
      </w:pPr>
      <w:r>
        <w:rPr>
          <w:rFonts w:ascii="Times New Roman" w:cs="Times New Roman" w:eastAsia="Times New Roman" w:hAnsi="Times New Roman"/>
          <w:sz w:val="22"/>
          <w:szCs w:val="22"/>
          <w:color w:val="auto"/>
        </w:rPr>
        <w:t>85</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ARTICLE VII </w:t>
      </w:r>
      <w:r>
        <w:rPr>
          <w:rFonts w:ascii="Times New Roman" w:cs="Times New Roman" w:eastAsia="Times New Roman" w:hAnsi="Times New Roman"/>
          <w:sz w:val="20"/>
          <w:szCs w:val="20"/>
          <w:color w:val="000000"/>
        </w:rPr>
        <w:t>Events of Default</w:t>
      </w:r>
    </w:p>
    <w:p>
      <w:pPr>
        <w:ind w:left="7960"/>
        <w:spacing w:after="0"/>
        <w:rPr>
          <w:sz w:val="20"/>
          <w:szCs w:val="20"/>
          <w:color w:val="auto"/>
        </w:rPr>
      </w:pPr>
      <w:r>
        <w:rPr>
          <w:rFonts w:ascii="Times New Roman" w:cs="Times New Roman" w:eastAsia="Times New Roman" w:hAnsi="Times New Roman"/>
          <w:sz w:val="22"/>
          <w:szCs w:val="22"/>
          <w:color w:val="auto"/>
        </w:rPr>
        <w:t>86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ARTICLE VIII </w:t>
      </w:r>
      <w:r>
        <w:rPr>
          <w:rFonts w:ascii="Times New Roman" w:cs="Times New Roman" w:eastAsia="Times New Roman" w:hAnsi="Times New Roman"/>
          <w:sz w:val="20"/>
          <w:szCs w:val="20"/>
          <w:color w:val="000000"/>
        </w:rPr>
        <w:t>The Administrative Agent</w:t>
      </w:r>
    </w:p>
    <w:p>
      <w:pPr>
        <w:ind w:left="7960"/>
        <w:spacing w:after="0"/>
        <w:rPr>
          <w:sz w:val="20"/>
          <w:szCs w:val="20"/>
          <w:color w:val="auto"/>
        </w:rPr>
      </w:pPr>
      <w:r>
        <w:rPr>
          <w:rFonts w:ascii="Times New Roman" w:cs="Times New Roman" w:eastAsia="Times New Roman" w:hAnsi="Times New Roman"/>
          <w:sz w:val="22"/>
          <w:szCs w:val="22"/>
          <w:color w:val="auto"/>
        </w:rPr>
        <w:t>89</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8.01.</w:t>
      </w:r>
      <w:r>
        <w:rPr>
          <w:sz w:val="20"/>
          <w:szCs w:val="20"/>
          <w:color w:val="auto"/>
        </w:rPr>
        <w:tab/>
      </w:r>
      <w:r>
        <w:rPr>
          <w:rFonts w:ascii="Times New Roman" w:cs="Times New Roman" w:eastAsia="Times New Roman" w:hAnsi="Times New Roman"/>
          <w:sz w:val="19"/>
          <w:szCs w:val="19"/>
          <w:color w:val="auto"/>
        </w:rPr>
        <w:t>Authorization and Action</w:t>
      </w:r>
    </w:p>
    <w:p>
      <w:pPr>
        <w:ind w:left="7960"/>
        <w:spacing w:after="0"/>
        <w:rPr>
          <w:sz w:val="20"/>
          <w:szCs w:val="20"/>
          <w:color w:val="auto"/>
        </w:rPr>
      </w:pPr>
      <w:r>
        <w:rPr>
          <w:rFonts w:ascii="Times New Roman" w:cs="Times New Roman" w:eastAsia="Times New Roman" w:hAnsi="Times New Roman"/>
          <w:sz w:val="22"/>
          <w:szCs w:val="22"/>
          <w:color w:val="auto"/>
        </w:rPr>
        <w:t>89</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8.02.</w:t>
      </w:r>
      <w:r>
        <w:rPr>
          <w:sz w:val="20"/>
          <w:szCs w:val="20"/>
          <w:color w:val="auto"/>
        </w:rPr>
        <w:tab/>
      </w:r>
      <w:r>
        <w:rPr>
          <w:rFonts w:ascii="Times New Roman" w:cs="Times New Roman" w:eastAsia="Times New Roman" w:hAnsi="Times New Roman"/>
          <w:sz w:val="19"/>
          <w:szCs w:val="19"/>
          <w:color w:val="auto"/>
        </w:rPr>
        <w:t>Administrative Agent’s Reliance, Limitation of Liability, Indemnification,</w:t>
      </w:r>
    </w:p>
    <w:p>
      <w:pPr>
        <w:ind w:left="40"/>
        <w:spacing w:after="0" w:line="194" w:lineRule="auto"/>
        <w:rPr>
          <w:sz w:val="20"/>
          <w:szCs w:val="20"/>
          <w:color w:val="auto"/>
        </w:rPr>
      </w:pPr>
      <w:r>
        <w:rPr>
          <w:rFonts w:ascii="Times New Roman" w:cs="Times New Roman" w:eastAsia="Times New Roman" w:hAnsi="Times New Roman"/>
          <w:sz w:val="20"/>
          <w:szCs w:val="20"/>
          <w:color w:val="auto"/>
        </w:rPr>
        <w:t>Etc.</w:t>
      </w:r>
    </w:p>
    <w:p>
      <w:pPr>
        <w:ind w:left="7960"/>
        <w:spacing w:after="0"/>
        <w:rPr>
          <w:sz w:val="20"/>
          <w:szCs w:val="20"/>
          <w:color w:val="auto"/>
        </w:rPr>
      </w:pPr>
      <w:r>
        <w:rPr>
          <w:rFonts w:ascii="Times New Roman" w:cs="Times New Roman" w:eastAsia="Times New Roman" w:hAnsi="Times New Roman"/>
          <w:sz w:val="22"/>
          <w:szCs w:val="22"/>
          <w:color w:val="auto"/>
        </w:rPr>
        <w:t>91</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8.03.</w:t>
      </w:r>
      <w:r>
        <w:rPr>
          <w:sz w:val="20"/>
          <w:szCs w:val="20"/>
          <w:color w:val="auto"/>
        </w:rPr>
        <w:tab/>
      </w:r>
      <w:r>
        <w:rPr>
          <w:rFonts w:ascii="Times New Roman" w:cs="Times New Roman" w:eastAsia="Times New Roman" w:hAnsi="Times New Roman"/>
          <w:sz w:val="19"/>
          <w:szCs w:val="19"/>
          <w:color w:val="auto"/>
        </w:rPr>
        <w:t>Posting of Communications</w:t>
      </w:r>
    </w:p>
    <w:p>
      <w:pPr>
        <w:ind w:left="7960"/>
        <w:spacing w:after="0"/>
        <w:rPr>
          <w:sz w:val="20"/>
          <w:szCs w:val="20"/>
          <w:color w:val="auto"/>
        </w:rPr>
      </w:pPr>
      <w:r>
        <w:rPr>
          <w:rFonts w:ascii="Times New Roman" w:cs="Times New Roman" w:eastAsia="Times New Roman" w:hAnsi="Times New Roman"/>
          <w:sz w:val="22"/>
          <w:szCs w:val="22"/>
          <w:color w:val="auto"/>
        </w:rPr>
        <w:t>92</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8.04.</w:t>
      </w:r>
      <w:r>
        <w:rPr>
          <w:sz w:val="20"/>
          <w:szCs w:val="20"/>
          <w:color w:val="auto"/>
        </w:rPr>
        <w:tab/>
      </w:r>
      <w:r>
        <w:rPr>
          <w:rFonts w:ascii="Times New Roman" w:cs="Times New Roman" w:eastAsia="Times New Roman" w:hAnsi="Times New Roman"/>
          <w:sz w:val="19"/>
          <w:szCs w:val="19"/>
          <w:color w:val="auto"/>
        </w:rPr>
        <w:t>The Administrative Agent Individually</w:t>
      </w:r>
    </w:p>
    <w:p>
      <w:pPr>
        <w:ind w:left="7960"/>
        <w:spacing w:after="0"/>
        <w:rPr>
          <w:sz w:val="20"/>
          <w:szCs w:val="20"/>
          <w:color w:val="auto"/>
        </w:rPr>
      </w:pPr>
      <w:r>
        <w:rPr>
          <w:rFonts w:ascii="Times New Roman" w:cs="Times New Roman" w:eastAsia="Times New Roman" w:hAnsi="Times New Roman"/>
          <w:sz w:val="22"/>
          <w:szCs w:val="22"/>
          <w:color w:val="auto"/>
        </w:rPr>
        <w:t>93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8.05.</w:t>
      </w:r>
      <w:r>
        <w:rPr>
          <w:sz w:val="20"/>
          <w:szCs w:val="20"/>
          <w:color w:val="auto"/>
        </w:rPr>
        <w:tab/>
      </w:r>
      <w:r>
        <w:rPr>
          <w:rFonts w:ascii="Times New Roman" w:cs="Times New Roman" w:eastAsia="Times New Roman" w:hAnsi="Times New Roman"/>
          <w:sz w:val="19"/>
          <w:szCs w:val="19"/>
          <w:color w:val="auto"/>
        </w:rPr>
        <w:t>Successor Administrative Agent</w:t>
      </w:r>
    </w:p>
    <w:p>
      <w:pPr>
        <w:ind w:left="7960"/>
        <w:spacing w:after="0"/>
        <w:rPr>
          <w:sz w:val="20"/>
          <w:szCs w:val="20"/>
          <w:color w:val="auto"/>
        </w:rPr>
      </w:pPr>
      <w:r>
        <w:rPr>
          <w:rFonts w:ascii="Times New Roman" w:cs="Times New Roman" w:eastAsia="Times New Roman" w:hAnsi="Times New Roman"/>
          <w:sz w:val="22"/>
          <w:szCs w:val="22"/>
          <w:color w:val="auto"/>
        </w:rPr>
        <w:t>93</w:t>
      </w: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8.06.</w:t>
      </w:r>
      <w:r>
        <w:rPr>
          <w:sz w:val="20"/>
          <w:szCs w:val="20"/>
          <w:color w:val="auto"/>
        </w:rPr>
        <w:tab/>
      </w:r>
      <w:r>
        <w:rPr>
          <w:rFonts w:ascii="Times New Roman" w:cs="Times New Roman" w:eastAsia="Times New Roman" w:hAnsi="Times New Roman"/>
          <w:sz w:val="19"/>
          <w:szCs w:val="19"/>
          <w:color w:val="auto"/>
        </w:rPr>
        <w:t>Acknowledgments of Lenders and Issuing Banks</w:t>
      </w:r>
    </w:p>
    <w:p>
      <w:pPr>
        <w:ind w:left="7960"/>
        <w:spacing w:after="0"/>
        <w:rPr>
          <w:sz w:val="20"/>
          <w:szCs w:val="20"/>
          <w:color w:val="auto"/>
        </w:rPr>
      </w:pPr>
      <w:r>
        <w:rPr>
          <w:rFonts w:ascii="Times New Roman" w:cs="Times New Roman" w:eastAsia="Times New Roman" w:hAnsi="Times New Roman"/>
          <w:sz w:val="22"/>
          <w:szCs w:val="22"/>
          <w:color w:val="auto"/>
        </w:rPr>
        <w:t>94</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8.07.</w:t>
      </w:r>
      <w:r>
        <w:rPr>
          <w:sz w:val="20"/>
          <w:szCs w:val="20"/>
          <w:color w:val="auto"/>
        </w:rPr>
        <w:tab/>
      </w:r>
      <w:r>
        <w:rPr>
          <w:rFonts w:ascii="Times New Roman" w:cs="Times New Roman" w:eastAsia="Times New Roman" w:hAnsi="Times New Roman"/>
          <w:sz w:val="19"/>
          <w:szCs w:val="19"/>
          <w:color w:val="auto"/>
        </w:rPr>
        <w:t>Collateral Matters</w:t>
      </w:r>
    </w:p>
    <w:p>
      <w:pPr>
        <w:ind w:left="7960"/>
        <w:spacing w:after="0"/>
        <w:rPr>
          <w:sz w:val="20"/>
          <w:szCs w:val="20"/>
          <w:color w:val="auto"/>
        </w:rPr>
      </w:pPr>
      <w:r>
        <w:rPr>
          <w:rFonts w:ascii="Times New Roman" w:cs="Times New Roman" w:eastAsia="Times New Roman" w:hAnsi="Times New Roman"/>
          <w:sz w:val="22"/>
          <w:szCs w:val="22"/>
          <w:color w:val="auto"/>
        </w:rPr>
        <w:t>96</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8.08.</w:t>
      </w:r>
      <w:r>
        <w:rPr>
          <w:sz w:val="20"/>
          <w:szCs w:val="20"/>
          <w:color w:val="auto"/>
        </w:rPr>
        <w:tab/>
      </w:r>
      <w:r>
        <w:rPr>
          <w:rFonts w:ascii="Times New Roman" w:cs="Times New Roman" w:eastAsia="Times New Roman" w:hAnsi="Times New Roman"/>
          <w:sz w:val="19"/>
          <w:szCs w:val="19"/>
          <w:color w:val="auto"/>
        </w:rPr>
        <w:t>Credit Bidding</w:t>
      </w:r>
    </w:p>
    <w:p>
      <w:pPr>
        <w:ind w:left="7960"/>
        <w:spacing w:after="0"/>
        <w:rPr>
          <w:sz w:val="20"/>
          <w:szCs w:val="20"/>
          <w:color w:val="auto"/>
        </w:rPr>
      </w:pPr>
      <w:r>
        <w:rPr>
          <w:rFonts w:ascii="Times New Roman" w:cs="Times New Roman" w:eastAsia="Times New Roman" w:hAnsi="Times New Roman"/>
          <w:sz w:val="22"/>
          <w:szCs w:val="22"/>
          <w:color w:val="auto"/>
        </w:rPr>
        <w:t>96</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8.09.</w:t>
      </w:r>
      <w:r>
        <w:rPr>
          <w:sz w:val="20"/>
          <w:szCs w:val="20"/>
          <w:color w:val="auto"/>
        </w:rPr>
        <w:tab/>
      </w:r>
      <w:r>
        <w:rPr>
          <w:rFonts w:ascii="Times New Roman" w:cs="Times New Roman" w:eastAsia="Times New Roman" w:hAnsi="Times New Roman"/>
          <w:sz w:val="19"/>
          <w:szCs w:val="19"/>
          <w:color w:val="auto"/>
        </w:rPr>
        <w:t>Certain ERISA Matters</w:t>
      </w:r>
    </w:p>
    <w:p>
      <w:pPr>
        <w:ind w:left="7960"/>
        <w:spacing w:after="0"/>
        <w:rPr>
          <w:sz w:val="20"/>
          <w:szCs w:val="20"/>
          <w:color w:val="auto"/>
        </w:rPr>
      </w:pPr>
      <w:r>
        <w:rPr>
          <w:rFonts w:ascii="Times New Roman" w:cs="Times New Roman" w:eastAsia="Times New Roman" w:hAnsi="Times New Roman"/>
          <w:sz w:val="22"/>
          <w:szCs w:val="22"/>
          <w:color w:val="auto"/>
        </w:rPr>
        <w:t>97</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ARTICLE IX </w:t>
      </w:r>
      <w:r>
        <w:rPr>
          <w:rFonts w:ascii="Times New Roman" w:cs="Times New Roman" w:eastAsia="Times New Roman" w:hAnsi="Times New Roman"/>
          <w:sz w:val="20"/>
          <w:szCs w:val="20"/>
          <w:color w:val="000000"/>
        </w:rPr>
        <w:t>Miscellaneous</w:t>
      </w:r>
    </w:p>
    <w:p>
      <w:pPr>
        <w:ind w:left="7960"/>
        <w:spacing w:after="0"/>
        <w:rPr>
          <w:sz w:val="20"/>
          <w:szCs w:val="20"/>
          <w:color w:val="auto"/>
        </w:rPr>
      </w:pPr>
      <w:r>
        <w:rPr>
          <w:rFonts w:ascii="Times New Roman" w:cs="Times New Roman" w:eastAsia="Times New Roman" w:hAnsi="Times New Roman"/>
          <w:sz w:val="22"/>
          <w:szCs w:val="22"/>
          <w:color w:val="auto"/>
        </w:rPr>
        <w:t>99</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9.01.</w:t>
      </w:r>
      <w:r>
        <w:rPr>
          <w:sz w:val="20"/>
          <w:szCs w:val="20"/>
          <w:color w:val="auto"/>
        </w:rPr>
        <w:tab/>
      </w:r>
      <w:r>
        <w:rPr>
          <w:rFonts w:ascii="Times New Roman" w:cs="Times New Roman" w:eastAsia="Times New Roman" w:hAnsi="Times New Roman"/>
          <w:sz w:val="19"/>
          <w:szCs w:val="19"/>
          <w:color w:val="auto"/>
        </w:rPr>
        <w:t>Notices</w:t>
      </w:r>
    </w:p>
    <w:p>
      <w:pPr>
        <w:ind w:left="7960"/>
        <w:spacing w:after="0"/>
        <w:rPr>
          <w:sz w:val="20"/>
          <w:szCs w:val="20"/>
          <w:color w:val="auto"/>
        </w:rPr>
      </w:pPr>
      <w:r>
        <w:rPr>
          <w:rFonts w:ascii="Times New Roman" w:cs="Times New Roman" w:eastAsia="Times New Roman" w:hAnsi="Times New Roman"/>
          <w:sz w:val="22"/>
          <w:szCs w:val="22"/>
          <w:color w:val="auto"/>
        </w:rPr>
        <w:t>99</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9.02.</w:t>
      </w:r>
      <w:r>
        <w:rPr>
          <w:sz w:val="20"/>
          <w:szCs w:val="20"/>
          <w:color w:val="auto"/>
        </w:rPr>
        <w:tab/>
      </w:r>
      <w:r>
        <w:rPr>
          <w:rFonts w:ascii="Times New Roman" w:cs="Times New Roman" w:eastAsia="Times New Roman" w:hAnsi="Times New Roman"/>
          <w:sz w:val="19"/>
          <w:szCs w:val="19"/>
          <w:color w:val="auto"/>
        </w:rPr>
        <w:t>Waivers; Amendments</w:t>
      </w:r>
    </w:p>
    <w:p>
      <w:pPr>
        <w:jc w:val="right"/>
        <w:ind w:right="779"/>
        <w:spacing w:after="0"/>
        <w:rPr>
          <w:sz w:val="20"/>
          <w:szCs w:val="20"/>
          <w:color w:val="auto"/>
        </w:rPr>
      </w:pPr>
      <w:r>
        <w:rPr>
          <w:rFonts w:ascii="Times New Roman" w:cs="Times New Roman" w:eastAsia="Times New Roman" w:hAnsi="Times New Roman"/>
          <w:sz w:val="22"/>
          <w:szCs w:val="22"/>
          <w:color w:val="auto"/>
        </w:rPr>
        <w:t>100</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9.03.</w:t>
      </w:r>
      <w:r>
        <w:rPr>
          <w:sz w:val="20"/>
          <w:szCs w:val="20"/>
          <w:color w:val="auto"/>
        </w:rPr>
        <w:tab/>
      </w:r>
      <w:r>
        <w:rPr>
          <w:rFonts w:ascii="Times New Roman" w:cs="Times New Roman" w:eastAsia="Times New Roman" w:hAnsi="Times New Roman"/>
          <w:sz w:val="19"/>
          <w:szCs w:val="19"/>
          <w:color w:val="auto"/>
        </w:rPr>
        <w:t>Expenses; Limitation of Liability; Indemnity; Etc</w:t>
      </w:r>
    </w:p>
    <w:p>
      <w:pPr>
        <w:jc w:val="right"/>
        <w:ind w:right="779"/>
        <w:spacing w:after="0"/>
        <w:rPr>
          <w:sz w:val="20"/>
          <w:szCs w:val="20"/>
          <w:color w:val="auto"/>
        </w:rPr>
      </w:pPr>
      <w:r>
        <w:rPr>
          <w:rFonts w:ascii="Times New Roman" w:cs="Times New Roman" w:eastAsia="Times New Roman" w:hAnsi="Times New Roman"/>
          <w:sz w:val="22"/>
          <w:szCs w:val="22"/>
          <w:color w:val="auto"/>
        </w:rPr>
        <w:t>103</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9.04.</w:t>
      </w:r>
      <w:r>
        <w:rPr>
          <w:sz w:val="20"/>
          <w:szCs w:val="20"/>
          <w:color w:val="auto"/>
        </w:rPr>
        <w:tab/>
      </w:r>
      <w:r>
        <w:rPr>
          <w:rFonts w:ascii="Times New Roman" w:cs="Times New Roman" w:eastAsia="Times New Roman" w:hAnsi="Times New Roman"/>
          <w:sz w:val="19"/>
          <w:szCs w:val="19"/>
          <w:color w:val="auto"/>
        </w:rPr>
        <w:t>Successors and Assigns</w:t>
      </w:r>
    </w:p>
    <w:p>
      <w:pPr>
        <w:jc w:val="right"/>
        <w:ind w:right="779"/>
        <w:spacing w:after="0"/>
        <w:rPr>
          <w:sz w:val="20"/>
          <w:szCs w:val="20"/>
          <w:color w:val="auto"/>
        </w:rPr>
      </w:pPr>
      <w:r>
        <w:rPr>
          <w:rFonts w:ascii="Times New Roman" w:cs="Times New Roman" w:eastAsia="Times New Roman" w:hAnsi="Times New Roman"/>
          <w:sz w:val="22"/>
          <w:szCs w:val="22"/>
          <w:color w:val="auto"/>
        </w:rPr>
        <w:t>105</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9.05.</w:t>
      </w:r>
      <w:r>
        <w:rPr>
          <w:sz w:val="20"/>
          <w:szCs w:val="20"/>
          <w:color w:val="auto"/>
        </w:rPr>
        <w:tab/>
      </w:r>
      <w:r>
        <w:rPr>
          <w:rFonts w:ascii="Times New Roman" w:cs="Times New Roman" w:eastAsia="Times New Roman" w:hAnsi="Times New Roman"/>
          <w:sz w:val="19"/>
          <w:szCs w:val="19"/>
          <w:color w:val="auto"/>
        </w:rPr>
        <w:t>Survival</w:t>
      </w:r>
    </w:p>
    <w:p>
      <w:pPr>
        <w:jc w:val="right"/>
        <w:ind w:right="779"/>
        <w:spacing w:after="0"/>
        <w:rPr>
          <w:sz w:val="20"/>
          <w:szCs w:val="20"/>
          <w:color w:val="auto"/>
        </w:rPr>
      </w:pPr>
      <w:r>
        <w:rPr>
          <w:rFonts w:ascii="Times New Roman" w:cs="Times New Roman" w:eastAsia="Times New Roman" w:hAnsi="Times New Roman"/>
          <w:sz w:val="22"/>
          <w:szCs w:val="22"/>
          <w:color w:val="auto"/>
        </w:rPr>
        <w:t>108</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9.06.</w:t>
      </w:r>
      <w:r>
        <w:rPr>
          <w:sz w:val="20"/>
          <w:szCs w:val="20"/>
          <w:color w:val="auto"/>
        </w:rPr>
        <w:tab/>
      </w:r>
      <w:r>
        <w:rPr>
          <w:rFonts w:ascii="Times New Roman" w:cs="Times New Roman" w:eastAsia="Times New Roman" w:hAnsi="Times New Roman"/>
          <w:sz w:val="19"/>
          <w:szCs w:val="19"/>
          <w:color w:val="auto"/>
        </w:rPr>
        <w:t>Counterparts; Integration; Effectiveness; Electronic Execution</w:t>
      </w:r>
    </w:p>
    <w:p>
      <w:pPr>
        <w:jc w:val="right"/>
        <w:ind w:right="779"/>
        <w:spacing w:after="0"/>
        <w:rPr>
          <w:sz w:val="20"/>
          <w:szCs w:val="20"/>
          <w:color w:val="auto"/>
        </w:rPr>
      </w:pPr>
      <w:r>
        <w:rPr>
          <w:rFonts w:ascii="Times New Roman" w:cs="Times New Roman" w:eastAsia="Times New Roman" w:hAnsi="Times New Roman"/>
          <w:sz w:val="22"/>
          <w:szCs w:val="22"/>
          <w:color w:val="auto"/>
        </w:rPr>
        <w:t>108</w:t>
      </w:r>
    </w:p>
    <w:p>
      <w:pPr>
        <w:spacing w:after="0" w:line="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9.07.</w:t>
      </w:r>
      <w:r>
        <w:rPr>
          <w:sz w:val="20"/>
          <w:szCs w:val="20"/>
          <w:color w:val="auto"/>
        </w:rPr>
        <w:tab/>
      </w:r>
      <w:r>
        <w:rPr>
          <w:rFonts w:ascii="Times New Roman" w:cs="Times New Roman" w:eastAsia="Times New Roman" w:hAnsi="Times New Roman"/>
          <w:sz w:val="19"/>
          <w:szCs w:val="19"/>
          <w:color w:val="auto"/>
        </w:rPr>
        <w:t>Severability</w:t>
      </w:r>
    </w:p>
    <w:p>
      <w:pPr>
        <w:sectPr>
          <w:pgSz w:w="11900" w:h="16944" w:orient="portrait"/>
          <w:cols w:equalWidth="0" w:num="1">
            <w:col w:w="9019"/>
          </w:cols>
          <w:pgMar w:left="1440" w:top="1440" w:right="1440" w:bottom="0" w:gutter="0" w:footer="0" w:header="0"/>
        </w:sectPr>
      </w:pPr>
    </w:p>
    <w:bookmarkStart w:id="111" w:name="page112"/>
    <w:bookmarkEnd w:id="111"/>
    <w:p>
      <w:pPr>
        <w:jc w:val="right"/>
        <w:ind w:right="779"/>
        <w:spacing w:after="0"/>
        <w:rPr>
          <w:sz w:val="20"/>
          <w:szCs w:val="20"/>
          <w:color w:val="auto"/>
        </w:rPr>
      </w:pPr>
      <w:r>
        <w:rPr>
          <w:rFonts w:ascii="Times New Roman" w:cs="Times New Roman" w:eastAsia="Times New Roman" w:hAnsi="Times New Roman"/>
          <w:sz w:val="22"/>
          <w:szCs w:val="22"/>
          <w:color w:val="auto"/>
        </w:rPr>
        <w:t>109</w:t>
      </w:r>
    </w:p>
    <w:p>
      <w:pPr>
        <w:spacing w:after="0" w:line="14"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9.08.</w:t>
      </w:r>
      <w:r>
        <w:rPr>
          <w:sz w:val="20"/>
          <w:szCs w:val="20"/>
          <w:color w:val="auto"/>
        </w:rPr>
        <w:tab/>
      </w:r>
      <w:r>
        <w:rPr>
          <w:rFonts w:ascii="Times New Roman" w:cs="Times New Roman" w:eastAsia="Times New Roman" w:hAnsi="Times New Roman"/>
          <w:sz w:val="19"/>
          <w:szCs w:val="19"/>
          <w:color w:val="auto"/>
        </w:rPr>
        <w:t>Right of Setoff</w:t>
      </w:r>
    </w:p>
    <w:p>
      <w:pPr>
        <w:jc w:val="right"/>
        <w:ind w:right="779"/>
        <w:spacing w:after="0"/>
        <w:rPr>
          <w:sz w:val="20"/>
          <w:szCs w:val="20"/>
          <w:color w:val="auto"/>
        </w:rPr>
      </w:pPr>
      <w:r>
        <w:rPr>
          <w:rFonts w:ascii="Times New Roman" w:cs="Times New Roman" w:eastAsia="Times New Roman" w:hAnsi="Times New Roman"/>
          <w:sz w:val="22"/>
          <w:szCs w:val="22"/>
          <w:color w:val="auto"/>
        </w:rPr>
        <w:t>109</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9.09.</w:t>
      </w:r>
      <w:r>
        <w:rPr>
          <w:sz w:val="20"/>
          <w:szCs w:val="20"/>
          <w:color w:val="auto"/>
        </w:rPr>
        <w:tab/>
      </w:r>
      <w:r>
        <w:rPr>
          <w:rFonts w:ascii="Times New Roman" w:cs="Times New Roman" w:eastAsia="Times New Roman" w:hAnsi="Times New Roman"/>
          <w:sz w:val="19"/>
          <w:szCs w:val="19"/>
          <w:color w:val="auto"/>
        </w:rPr>
        <w:t>Governing Law; Jurisdiction; Consent to Service of Process</w:t>
      </w:r>
    </w:p>
    <w:p>
      <w:pPr>
        <w:jc w:val="right"/>
        <w:ind w:right="779"/>
        <w:spacing w:after="0"/>
        <w:rPr>
          <w:sz w:val="20"/>
          <w:szCs w:val="20"/>
          <w:color w:val="auto"/>
        </w:rPr>
      </w:pPr>
      <w:r>
        <w:rPr>
          <w:rFonts w:ascii="Times New Roman" w:cs="Times New Roman" w:eastAsia="Times New Roman" w:hAnsi="Times New Roman"/>
          <w:sz w:val="22"/>
          <w:szCs w:val="22"/>
          <w:color w:val="auto"/>
        </w:rPr>
        <w:t>109</w:t>
      </w: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9.10.</w:t>
      </w:r>
      <w:r>
        <w:rPr>
          <w:sz w:val="20"/>
          <w:szCs w:val="20"/>
          <w:color w:val="auto"/>
        </w:rPr>
        <w:tab/>
      </w:r>
      <w:r>
        <w:rPr>
          <w:rFonts w:ascii="Times New Roman" w:cs="Times New Roman" w:eastAsia="Times New Roman" w:hAnsi="Times New Roman"/>
          <w:sz w:val="19"/>
          <w:szCs w:val="19"/>
          <w:color w:val="auto"/>
        </w:rPr>
        <w:t>WAIVER OF JURY TRIAL</w:t>
      </w:r>
    </w:p>
    <w:p>
      <w:pPr>
        <w:ind w:left="7920"/>
        <w:spacing w:after="0"/>
        <w:rPr>
          <w:sz w:val="20"/>
          <w:szCs w:val="20"/>
          <w:color w:val="auto"/>
        </w:rPr>
      </w:pPr>
      <w:r>
        <w:rPr>
          <w:rFonts w:ascii="Times New Roman" w:cs="Times New Roman" w:eastAsia="Times New Roman" w:hAnsi="Times New Roman"/>
          <w:sz w:val="21"/>
          <w:szCs w:val="21"/>
          <w:color w:val="auto"/>
        </w:rPr>
        <w:t>110</w:t>
      </w:r>
    </w:p>
    <w:p>
      <w:pPr>
        <w:spacing w:after="0" w:line="1"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9.11.</w:t>
      </w:r>
      <w:r>
        <w:rPr>
          <w:rFonts w:ascii="Times New Roman" w:cs="Times New Roman" w:eastAsia="Times New Roman" w:hAnsi="Times New Roman"/>
          <w:sz w:val="20"/>
          <w:szCs w:val="20"/>
          <w:color w:val="auto"/>
        </w:rPr>
        <w:tab/>
        <w:t>Headings</w:t>
      </w:r>
    </w:p>
    <w:p>
      <w:pPr>
        <w:ind w:left="7920"/>
        <w:spacing w:after="0"/>
        <w:rPr>
          <w:sz w:val="20"/>
          <w:szCs w:val="20"/>
          <w:color w:val="auto"/>
        </w:rPr>
      </w:pPr>
      <w:r>
        <w:rPr>
          <w:rFonts w:ascii="Times New Roman" w:cs="Times New Roman" w:eastAsia="Times New Roman" w:hAnsi="Times New Roman"/>
          <w:sz w:val="21"/>
          <w:szCs w:val="21"/>
          <w:color w:val="auto"/>
        </w:rPr>
        <w:t>110</w:t>
      </w:r>
    </w:p>
    <w:p>
      <w:pPr>
        <w:spacing w:after="0" w:line="1"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9.12.</w:t>
      </w:r>
      <w:r>
        <w:rPr>
          <w:sz w:val="20"/>
          <w:szCs w:val="20"/>
          <w:color w:val="auto"/>
        </w:rPr>
        <w:tab/>
      </w:r>
      <w:r>
        <w:rPr>
          <w:rFonts w:ascii="Times New Roman" w:cs="Times New Roman" w:eastAsia="Times New Roman" w:hAnsi="Times New Roman"/>
          <w:sz w:val="19"/>
          <w:szCs w:val="19"/>
          <w:color w:val="auto"/>
        </w:rPr>
        <w:t>Confidentiality</w:t>
      </w:r>
    </w:p>
    <w:p>
      <w:pPr>
        <w:ind w:left="7920"/>
        <w:spacing w:after="0"/>
        <w:rPr>
          <w:sz w:val="20"/>
          <w:szCs w:val="20"/>
          <w:color w:val="auto"/>
        </w:rPr>
      </w:pPr>
      <w:r>
        <w:rPr>
          <w:rFonts w:ascii="Times New Roman" w:cs="Times New Roman" w:eastAsia="Times New Roman" w:hAnsi="Times New Roman"/>
          <w:sz w:val="21"/>
          <w:szCs w:val="21"/>
          <w:color w:val="auto"/>
        </w:rPr>
        <w:t>111</w:t>
      </w:r>
    </w:p>
    <w:p>
      <w:pPr>
        <w:spacing w:after="0" w:line="1"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9.13.</w:t>
      </w:r>
      <w:r>
        <w:rPr>
          <w:sz w:val="20"/>
          <w:szCs w:val="20"/>
          <w:color w:val="auto"/>
        </w:rPr>
        <w:tab/>
      </w:r>
      <w:r>
        <w:rPr>
          <w:rFonts w:ascii="Times New Roman" w:cs="Times New Roman" w:eastAsia="Times New Roman" w:hAnsi="Times New Roman"/>
          <w:sz w:val="19"/>
          <w:szCs w:val="19"/>
          <w:color w:val="auto"/>
        </w:rPr>
        <w:t>Several Obligations; Nonreliance; Violation of Law</w:t>
      </w:r>
    </w:p>
    <w:p>
      <w:pPr>
        <w:ind w:left="7920"/>
        <w:spacing w:after="0"/>
        <w:rPr>
          <w:sz w:val="20"/>
          <w:szCs w:val="20"/>
          <w:color w:val="auto"/>
        </w:rPr>
      </w:pPr>
      <w:r>
        <w:rPr>
          <w:rFonts w:ascii="Times New Roman" w:cs="Times New Roman" w:eastAsia="Times New Roman" w:hAnsi="Times New Roman"/>
          <w:sz w:val="21"/>
          <w:szCs w:val="21"/>
          <w:color w:val="auto"/>
        </w:rPr>
        <w:t>112</w:t>
      </w:r>
    </w:p>
    <w:p>
      <w:pPr>
        <w:spacing w:after="0" w:line="1"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9.14.</w:t>
      </w:r>
      <w:r>
        <w:rPr>
          <w:sz w:val="20"/>
          <w:szCs w:val="20"/>
          <w:color w:val="auto"/>
        </w:rPr>
        <w:tab/>
      </w:r>
      <w:r>
        <w:rPr>
          <w:rFonts w:ascii="Times New Roman" w:cs="Times New Roman" w:eastAsia="Times New Roman" w:hAnsi="Times New Roman"/>
          <w:sz w:val="19"/>
          <w:szCs w:val="19"/>
          <w:color w:val="auto"/>
        </w:rPr>
        <w:t>USA PATRIOT Act</w:t>
      </w:r>
    </w:p>
    <w:p>
      <w:pPr>
        <w:ind w:left="7920"/>
        <w:spacing w:after="0"/>
        <w:rPr>
          <w:sz w:val="20"/>
          <w:szCs w:val="20"/>
          <w:color w:val="auto"/>
        </w:rPr>
      </w:pPr>
      <w:r>
        <w:rPr>
          <w:rFonts w:ascii="Times New Roman" w:cs="Times New Roman" w:eastAsia="Times New Roman" w:hAnsi="Times New Roman"/>
          <w:sz w:val="21"/>
          <w:szCs w:val="21"/>
          <w:color w:val="auto"/>
        </w:rPr>
        <w:t>112</w:t>
      </w:r>
    </w:p>
    <w:p>
      <w:pPr>
        <w:spacing w:after="0" w:line="1"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0"/>
          <w:szCs w:val="20"/>
          <w:color w:val="010000"/>
        </w:rPr>
        <w:t>SECTION 9.15.</w:t>
      </w:r>
      <w:r>
        <w:rPr>
          <w:sz w:val="20"/>
          <w:szCs w:val="20"/>
          <w:color w:val="auto"/>
        </w:rPr>
        <w:tab/>
      </w:r>
      <w:r>
        <w:rPr>
          <w:rFonts w:ascii="Times New Roman" w:cs="Times New Roman" w:eastAsia="Times New Roman" w:hAnsi="Times New Roman"/>
          <w:sz w:val="19"/>
          <w:szCs w:val="19"/>
          <w:color w:val="auto"/>
        </w:rPr>
        <w:t>Disclosure</w:t>
      </w:r>
    </w:p>
    <w:p>
      <w:pPr>
        <w:ind w:left="7920"/>
        <w:spacing w:after="0"/>
        <w:rPr>
          <w:sz w:val="20"/>
          <w:szCs w:val="20"/>
          <w:color w:val="auto"/>
        </w:rPr>
      </w:pPr>
      <w:r>
        <w:rPr>
          <w:rFonts w:ascii="Times New Roman" w:cs="Times New Roman" w:eastAsia="Times New Roman" w:hAnsi="Times New Roman"/>
          <w:sz w:val="21"/>
          <w:szCs w:val="21"/>
          <w:color w:val="auto"/>
        </w:rPr>
        <w:t>112</w:t>
      </w:r>
    </w:p>
    <w:p>
      <w:pPr>
        <w:spacing w:after="0" w:line="1"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0"/>
          <w:szCs w:val="20"/>
          <w:color w:val="010000"/>
        </w:rPr>
        <w:t>SECTION 9.16.</w:t>
      </w:r>
      <w:r>
        <w:rPr>
          <w:sz w:val="20"/>
          <w:szCs w:val="20"/>
          <w:color w:val="auto"/>
        </w:rPr>
        <w:tab/>
      </w:r>
      <w:r>
        <w:rPr>
          <w:rFonts w:ascii="Times New Roman" w:cs="Times New Roman" w:eastAsia="Times New Roman" w:hAnsi="Times New Roman"/>
          <w:sz w:val="19"/>
          <w:szCs w:val="19"/>
          <w:color w:val="auto"/>
        </w:rPr>
        <w:t>Appointment for Perfection</w:t>
      </w:r>
    </w:p>
    <w:p>
      <w:pPr>
        <w:ind w:left="7920"/>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9019"/>
          </w:cols>
          <w:pgMar w:left="1440" w:top="126" w:right="1440" w:bottom="1440" w:gutter="0" w:footer="0" w:header="0"/>
        </w:sectPr>
      </w:pPr>
    </w:p>
    <w:bookmarkStart w:id="112" w:name="page113"/>
    <w:bookmarkEnd w:id="112"/>
    <w:p>
      <w:pPr>
        <w:spacing w:after="0" w:line="222" w:lineRule="exact"/>
        <w:rPr>
          <w:sz w:val="20"/>
          <w:szCs w:val="20"/>
          <w:color w:val="auto"/>
        </w:rPr>
      </w:pPr>
    </w:p>
    <w:p>
      <w:pPr>
        <w:ind w:left="60"/>
        <w:spacing w:after="0"/>
        <w:tabs>
          <w:tab w:leader="none" w:pos="1520" w:val="left"/>
        </w:tabs>
        <w:rPr>
          <w:sz w:val="20"/>
          <w:szCs w:val="20"/>
          <w:color w:val="auto"/>
        </w:rPr>
      </w:pPr>
      <w:r>
        <w:rPr>
          <w:rFonts w:ascii="Times New Roman" w:cs="Times New Roman" w:eastAsia="Times New Roman" w:hAnsi="Times New Roman"/>
          <w:sz w:val="20"/>
          <w:szCs w:val="20"/>
          <w:color w:val="010000"/>
        </w:rPr>
        <w:t>SECTION 9.17.</w:t>
      </w:r>
      <w:r>
        <w:rPr>
          <w:sz w:val="20"/>
          <w:szCs w:val="20"/>
          <w:color w:val="auto"/>
        </w:rPr>
        <w:tab/>
      </w:r>
      <w:r>
        <w:rPr>
          <w:rFonts w:ascii="Times New Roman" w:cs="Times New Roman" w:eastAsia="Times New Roman" w:hAnsi="Times New Roman"/>
          <w:sz w:val="19"/>
          <w:szCs w:val="19"/>
          <w:color w:val="auto"/>
        </w:rPr>
        <w:t>Interest Rate Limitation</w:t>
      </w:r>
    </w:p>
    <w:p>
      <w:pPr>
        <w:jc w:val="right"/>
        <w:ind w:right="799"/>
        <w:spacing w:after="0"/>
        <w:rPr>
          <w:sz w:val="20"/>
          <w:szCs w:val="20"/>
          <w:color w:val="auto"/>
        </w:rPr>
      </w:pPr>
      <w:r>
        <w:rPr>
          <w:rFonts w:ascii="Times New Roman" w:cs="Times New Roman" w:eastAsia="Times New Roman" w:hAnsi="Times New Roman"/>
          <w:sz w:val="22"/>
          <w:szCs w:val="22"/>
          <w:color w:val="auto"/>
        </w:rPr>
        <w:t>112</w:t>
      </w:r>
    </w:p>
    <w:p>
      <w:pPr>
        <w:ind w:left="60"/>
        <w:spacing w:after="0"/>
        <w:tabs>
          <w:tab w:leader="none" w:pos="1520" w:val="left"/>
        </w:tabs>
        <w:rPr>
          <w:sz w:val="20"/>
          <w:szCs w:val="20"/>
          <w:color w:val="auto"/>
        </w:rPr>
      </w:pPr>
      <w:r>
        <w:rPr>
          <w:rFonts w:ascii="Times New Roman" w:cs="Times New Roman" w:eastAsia="Times New Roman" w:hAnsi="Times New Roman"/>
          <w:sz w:val="20"/>
          <w:szCs w:val="20"/>
          <w:color w:val="010000"/>
        </w:rPr>
        <w:t>SECTION 9.18.</w:t>
      </w:r>
      <w:r>
        <w:rPr>
          <w:sz w:val="20"/>
          <w:szCs w:val="20"/>
          <w:color w:val="auto"/>
        </w:rPr>
        <w:tab/>
      </w:r>
      <w:r>
        <w:rPr>
          <w:rFonts w:ascii="Times New Roman" w:cs="Times New Roman" w:eastAsia="Times New Roman" w:hAnsi="Times New Roman"/>
          <w:sz w:val="19"/>
          <w:szCs w:val="19"/>
          <w:color w:val="auto"/>
        </w:rPr>
        <w:t>No Fiduciary Duty, etc.</w:t>
      </w:r>
    </w:p>
    <w:p>
      <w:pPr>
        <w:jc w:val="right"/>
        <w:ind w:right="799"/>
        <w:spacing w:after="0"/>
        <w:rPr>
          <w:sz w:val="20"/>
          <w:szCs w:val="20"/>
          <w:color w:val="auto"/>
        </w:rPr>
      </w:pPr>
      <w:r>
        <w:rPr>
          <w:rFonts w:ascii="Times New Roman" w:cs="Times New Roman" w:eastAsia="Times New Roman" w:hAnsi="Times New Roman"/>
          <w:sz w:val="22"/>
          <w:szCs w:val="22"/>
          <w:color w:val="auto"/>
        </w:rPr>
        <w:t>112</w:t>
      </w:r>
    </w:p>
    <w:p>
      <w:pPr>
        <w:ind w:left="60"/>
        <w:spacing w:after="0"/>
        <w:tabs>
          <w:tab w:leader="none" w:pos="1520" w:val="left"/>
        </w:tabs>
        <w:rPr>
          <w:sz w:val="20"/>
          <w:szCs w:val="20"/>
          <w:color w:val="auto"/>
        </w:rPr>
      </w:pPr>
      <w:r>
        <w:rPr>
          <w:rFonts w:ascii="Times New Roman" w:cs="Times New Roman" w:eastAsia="Times New Roman" w:hAnsi="Times New Roman"/>
          <w:sz w:val="20"/>
          <w:szCs w:val="20"/>
          <w:color w:val="010000"/>
        </w:rPr>
        <w:t>SECTION 9.19.</w:t>
      </w:r>
      <w:r>
        <w:rPr>
          <w:sz w:val="20"/>
          <w:szCs w:val="20"/>
          <w:color w:val="auto"/>
        </w:rPr>
        <w:tab/>
      </w:r>
      <w:r>
        <w:rPr>
          <w:rFonts w:ascii="Times New Roman" w:cs="Times New Roman" w:eastAsia="Times New Roman" w:hAnsi="Times New Roman"/>
          <w:sz w:val="19"/>
          <w:szCs w:val="19"/>
          <w:color w:val="auto"/>
        </w:rPr>
        <w:t>Marketing Consent</w:t>
      </w:r>
    </w:p>
    <w:p>
      <w:pPr>
        <w:jc w:val="right"/>
        <w:ind w:right="799"/>
        <w:spacing w:after="0"/>
        <w:rPr>
          <w:sz w:val="20"/>
          <w:szCs w:val="20"/>
          <w:color w:val="auto"/>
        </w:rPr>
      </w:pPr>
      <w:r>
        <w:rPr>
          <w:rFonts w:ascii="Times New Roman" w:cs="Times New Roman" w:eastAsia="Times New Roman" w:hAnsi="Times New Roman"/>
          <w:sz w:val="22"/>
          <w:szCs w:val="22"/>
          <w:color w:val="auto"/>
        </w:rPr>
        <w:t>113</w:t>
      </w:r>
    </w:p>
    <w:p>
      <w:pPr>
        <w:ind w:left="60"/>
        <w:spacing w:after="0"/>
        <w:tabs>
          <w:tab w:leader="none" w:pos="1520" w:val="left"/>
        </w:tabs>
        <w:rPr>
          <w:sz w:val="20"/>
          <w:szCs w:val="20"/>
          <w:color w:val="auto"/>
        </w:rPr>
      </w:pPr>
      <w:r>
        <w:rPr>
          <w:rFonts w:ascii="Times New Roman" w:cs="Times New Roman" w:eastAsia="Times New Roman" w:hAnsi="Times New Roman"/>
          <w:sz w:val="20"/>
          <w:szCs w:val="20"/>
          <w:color w:val="010000"/>
        </w:rPr>
        <w:t>SECTION 9.20.</w:t>
      </w:r>
      <w:r>
        <w:rPr>
          <w:sz w:val="20"/>
          <w:szCs w:val="20"/>
          <w:color w:val="auto"/>
        </w:rPr>
        <w:tab/>
      </w:r>
      <w:r>
        <w:rPr>
          <w:rFonts w:ascii="Times New Roman" w:cs="Times New Roman" w:eastAsia="Times New Roman" w:hAnsi="Times New Roman"/>
          <w:sz w:val="19"/>
          <w:szCs w:val="19"/>
          <w:color w:val="auto"/>
        </w:rPr>
        <w:t>Acknowledgment and Consent to Bail-In of Affected Financial Institutions</w:t>
      </w:r>
    </w:p>
    <w:p>
      <w:pPr>
        <w:jc w:val="right"/>
        <w:ind w:right="799"/>
        <w:spacing w:after="0"/>
        <w:rPr>
          <w:sz w:val="20"/>
          <w:szCs w:val="20"/>
          <w:color w:val="auto"/>
        </w:rPr>
      </w:pPr>
      <w:r>
        <w:rPr>
          <w:rFonts w:ascii="Times New Roman" w:cs="Times New Roman" w:eastAsia="Times New Roman" w:hAnsi="Times New Roman"/>
          <w:sz w:val="22"/>
          <w:szCs w:val="22"/>
          <w:color w:val="auto"/>
        </w:rPr>
        <w:t>113</w:t>
      </w:r>
    </w:p>
    <w:p>
      <w:pPr>
        <w:ind w:left="60"/>
        <w:spacing w:after="0"/>
        <w:tabs>
          <w:tab w:leader="none" w:pos="1520" w:val="left"/>
        </w:tabs>
        <w:rPr>
          <w:sz w:val="20"/>
          <w:szCs w:val="20"/>
          <w:color w:val="auto"/>
        </w:rPr>
      </w:pPr>
      <w:r>
        <w:rPr>
          <w:rFonts w:ascii="Times New Roman" w:cs="Times New Roman" w:eastAsia="Times New Roman" w:hAnsi="Times New Roman"/>
          <w:sz w:val="20"/>
          <w:szCs w:val="20"/>
          <w:color w:val="010000"/>
        </w:rPr>
        <w:t>SECTION 9.21.</w:t>
      </w:r>
      <w:r>
        <w:rPr>
          <w:sz w:val="20"/>
          <w:szCs w:val="20"/>
          <w:color w:val="auto"/>
        </w:rPr>
        <w:tab/>
      </w:r>
      <w:r>
        <w:rPr>
          <w:rFonts w:ascii="Times New Roman" w:cs="Times New Roman" w:eastAsia="Times New Roman" w:hAnsi="Times New Roman"/>
          <w:sz w:val="19"/>
          <w:szCs w:val="19"/>
          <w:color w:val="auto"/>
        </w:rPr>
        <w:t>Acknowledgement Regarding Any Supported QFCs</w:t>
      </w:r>
    </w:p>
    <w:p>
      <w:pPr>
        <w:jc w:val="right"/>
        <w:ind w:right="799"/>
        <w:spacing w:after="0"/>
        <w:rPr>
          <w:sz w:val="20"/>
          <w:szCs w:val="20"/>
          <w:color w:val="auto"/>
        </w:rPr>
      </w:pPr>
      <w:r>
        <w:rPr>
          <w:rFonts w:ascii="Times New Roman" w:cs="Times New Roman" w:eastAsia="Times New Roman" w:hAnsi="Times New Roman"/>
          <w:sz w:val="22"/>
          <w:szCs w:val="22"/>
          <w:color w:val="auto"/>
        </w:rPr>
        <w:t>114</w:t>
      </w:r>
    </w:p>
    <w:p>
      <w:pPr>
        <w:ind w:left="60"/>
        <w:spacing w:after="0" w:line="221" w:lineRule="auto"/>
        <w:rPr>
          <w:sz w:val="20"/>
          <w:szCs w:val="20"/>
          <w:color w:val="auto"/>
        </w:rPr>
      </w:pPr>
      <w:r>
        <w:rPr>
          <w:rFonts w:ascii="Times New Roman" w:cs="Times New Roman" w:eastAsia="Times New Roman" w:hAnsi="Times New Roman"/>
          <w:sz w:val="22"/>
          <w:szCs w:val="22"/>
          <w:color w:val="010000"/>
        </w:rPr>
        <w:t xml:space="preserve">ARTICLE X </w:t>
      </w:r>
      <w:r>
        <w:rPr>
          <w:rFonts w:ascii="Times New Roman" w:cs="Times New Roman" w:eastAsia="Times New Roman" w:hAnsi="Times New Roman"/>
          <w:sz w:val="22"/>
          <w:szCs w:val="22"/>
          <w:color w:val="000000"/>
        </w:rPr>
        <w:t>Loan Guaranty</w:t>
      </w:r>
    </w:p>
    <w:p>
      <w:pPr>
        <w:jc w:val="right"/>
        <w:ind w:right="799"/>
        <w:spacing w:after="0"/>
        <w:rPr>
          <w:sz w:val="20"/>
          <w:szCs w:val="20"/>
          <w:color w:val="auto"/>
        </w:rPr>
      </w:pPr>
      <w:r>
        <w:rPr>
          <w:rFonts w:ascii="Times New Roman" w:cs="Times New Roman" w:eastAsia="Times New Roman" w:hAnsi="Times New Roman"/>
          <w:sz w:val="22"/>
          <w:szCs w:val="22"/>
          <w:color w:val="auto"/>
        </w:rPr>
        <w:t>114</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10.01. </w:t>
      </w:r>
      <w:r>
        <w:rPr>
          <w:rFonts w:ascii="Times New Roman" w:cs="Times New Roman" w:eastAsia="Times New Roman" w:hAnsi="Times New Roman"/>
          <w:sz w:val="20"/>
          <w:szCs w:val="20"/>
          <w:color w:val="000000"/>
        </w:rPr>
        <w:t>Guaranty</w:t>
      </w:r>
    </w:p>
    <w:p>
      <w:pPr>
        <w:jc w:val="right"/>
        <w:ind w:right="799"/>
        <w:spacing w:after="0"/>
        <w:rPr>
          <w:sz w:val="20"/>
          <w:szCs w:val="20"/>
          <w:color w:val="auto"/>
        </w:rPr>
      </w:pPr>
      <w:r>
        <w:rPr>
          <w:rFonts w:ascii="Times New Roman" w:cs="Times New Roman" w:eastAsia="Times New Roman" w:hAnsi="Times New Roman"/>
          <w:sz w:val="22"/>
          <w:szCs w:val="22"/>
          <w:color w:val="auto"/>
        </w:rPr>
        <w:t>114</w:t>
      </w:r>
    </w:p>
    <w:p>
      <w:pPr>
        <w:ind w:left="40"/>
        <w:spacing w:after="0" w:line="221" w:lineRule="auto"/>
        <w:rPr>
          <w:sz w:val="20"/>
          <w:szCs w:val="20"/>
          <w:color w:val="auto"/>
        </w:rPr>
      </w:pPr>
      <w:r>
        <w:rPr>
          <w:rFonts w:ascii="Times New Roman" w:cs="Times New Roman" w:eastAsia="Times New Roman" w:hAnsi="Times New Roman"/>
          <w:sz w:val="22"/>
          <w:szCs w:val="22"/>
          <w:color w:val="010000"/>
        </w:rPr>
        <w:t xml:space="preserve">SECTION 10.02. </w:t>
      </w:r>
      <w:r>
        <w:rPr>
          <w:rFonts w:ascii="Times New Roman" w:cs="Times New Roman" w:eastAsia="Times New Roman" w:hAnsi="Times New Roman"/>
          <w:sz w:val="22"/>
          <w:szCs w:val="22"/>
          <w:color w:val="000000"/>
        </w:rPr>
        <w:t>Guaranty of Payment</w:t>
      </w:r>
    </w:p>
    <w:p>
      <w:pPr>
        <w:jc w:val="right"/>
        <w:ind w:right="799"/>
        <w:spacing w:after="0"/>
        <w:rPr>
          <w:sz w:val="20"/>
          <w:szCs w:val="20"/>
          <w:color w:val="auto"/>
        </w:rPr>
      </w:pPr>
      <w:r>
        <w:rPr>
          <w:rFonts w:ascii="Times New Roman" w:cs="Times New Roman" w:eastAsia="Times New Roman" w:hAnsi="Times New Roman"/>
          <w:sz w:val="22"/>
          <w:szCs w:val="22"/>
          <w:color w:val="auto"/>
        </w:rPr>
        <w:t>114</w:t>
      </w:r>
    </w:p>
    <w:p>
      <w:pPr>
        <w:ind w:left="40"/>
        <w:spacing w:after="0" w:line="221" w:lineRule="auto"/>
        <w:rPr>
          <w:sz w:val="20"/>
          <w:szCs w:val="20"/>
          <w:color w:val="auto"/>
        </w:rPr>
      </w:pPr>
      <w:r>
        <w:rPr>
          <w:rFonts w:ascii="Times New Roman" w:cs="Times New Roman" w:eastAsia="Times New Roman" w:hAnsi="Times New Roman"/>
          <w:sz w:val="22"/>
          <w:szCs w:val="22"/>
          <w:color w:val="010000"/>
        </w:rPr>
        <w:t xml:space="preserve">SECTION 10.03. </w:t>
      </w:r>
      <w:r>
        <w:rPr>
          <w:rFonts w:ascii="Times New Roman" w:cs="Times New Roman" w:eastAsia="Times New Roman" w:hAnsi="Times New Roman"/>
          <w:sz w:val="22"/>
          <w:szCs w:val="22"/>
          <w:color w:val="000000"/>
        </w:rPr>
        <w:t>No Discharge or Diminishment of Loan Guaranty</w:t>
      </w:r>
    </w:p>
    <w:p>
      <w:pPr>
        <w:jc w:val="right"/>
        <w:ind w:right="799"/>
        <w:spacing w:after="0"/>
        <w:rPr>
          <w:sz w:val="20"/>
          <w:szCs w:val="20"/>
          <w:color w:val="auto"/>
        </w:rPr>
      </w:pPr>
      <w:r>
        <w:rPr>
          <w:rFonts w:ascii="Times New Roman" w:cs="Times New Roman" w:eastAsia="Times New Roman" w:hAnsi="Times New Roman"/>
          <w:sz w:val="22"/>
          <w:szCs w:val="22"/>
          <w:color w:val="auto"/>
        </w:rPr>
        <w:t>114</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10.04. </w:t>
      </w:r>
      <w:r>
        <w:rPr>
          <w:rFonts w:ascii="Times New Roman" w:cs="Times New Roman" w:eastAsia="Times New Roman" w:hAnsi="Times New Roman"/>
          <w:sz w:val="20"/>
          <w:szCs w:val="20"/>
          <w:color w:val="000000"/>
        </w:rPr>
        <w:t>Defenses Waived</w:t>
      </w:r>
    </w:p>
    <w:p>
      <w:pPr>
        <w:jc w:val="right"/>
        <w:ind w:right="799"/>
        <w:spacing w:after="0"/>
        <w:rPr>
          <w:sz w:val="20"/>
          <w:szCs w:val="20"/>
          <w:color w:val="auto"/>
        </w:rPr>
      </w:pPr>
      <w:r>
        <w:rPr>
          <w:rFonts w:ascii="Times New Roman" w:cs="Times New Roman" w:eastAsia="Times New Roman" w:hAnsi="Times New Roman"/>
          <w:sz w:val="22"/>
          <w:szCs w:val="22"/>
          <w:color w:val="auto"/>
        </w:rPr>
        <w:t>115</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10.05. </w:t>
      </w:r>
      <w:r>
        <w:rPr>
          <w:rFonts w:ascii="Times New Roman" w:cs="Times New Roman" w:eastAsia="Times New Roman" w:hAnsi="Times New Roman"/>
          <w:sz w:val="20"/>
          <w:szCs w:val="20"/>
          <w:color w:val="000000"/>
        </w:rPr>
        <w:t>Rights of Subrogation</w:t>
      </w:r>
    </w:p>
    <w:p>
      <w:pPr>
        <w:jc w:val="right"/>
        <w:ind w:right="799"/>
        <w:spacing w:after="0"/>
        <w:rPr>
          <w:sz w:val="20"/>
          <w:szCs w:val="20"/>
          <w:color w:val="auto"/>
        </w:rPr>
      </w:pPr>
      <w:r>
        <w:rPr>
          <w:rFonts w:ascii="Times New Roman" w:cs="Times New Roman" w:eastAsia="Times New Roman" w:hAnsi="Times New Roman"/>
          <w:sz w:val="22"/>
          <w:szCs w:val="22"/>
          <w:color w:val="auto"/>
        </w:rPr>
        <w:t>115</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10.06. </w:t>
      </w:r>
      <w:r>
        <w:rPr>
          <w:rFonts w:ascii="Times New Roman" w:cs="Times New Roman" w:eastAsia="Times New Roman" w:hAnsi="Times New Roman"/>
          <w:sz w:val="20"/>
          <w:szCs w:val="20"/>
          <w:color w:val="000000"/>
        </w:rPr>
        <w:t>Reinstatement; Stay of Acceleration</w:t>
      </w:r>
    </w:p>
    <w:p>
      <w:pPr>
        <w:jc w:val="right"/>
        <w:ind w:right="799"/>
        <w:spacing w:after="0"/>
        <w:rPr>
          <w:sz w:val="20"/>
          <w:szCs w:val="20"/>
          <w:color w:val="auto"/>
        </w:rPr>
      </w:pPr>
      <w:r>
        <w:rPr>
          <w:rFonts w:ascii="Times New Roman" w:cs="Times New Roman" w:eastAsia="Times New Roman" w:hAnsi="Times New Roman"/>
          <w:sz w:val="22"/>
          <w:szCs w:val="22"/>
          <w:color w:val="auto"/>
        </w:rPr>
        <w:t>116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10.07. </w:t>
      </w:r>
      <w:r>
        <w:rPr>
          <w:rFonts w:ascii="Times New Roman" w:cs="Times New Roman" w:eastAsia="Times New Roman" w:hAnsi="Times New Roman"/>
          <w:sz w:val="20"/>
          <w:szCs w:val="20"/>
          <w:color w:val="000000"/>
        </w:rPr>
        <w:t>Information</w:t>
      </w:r>
    </w:p>
    <w:p>
      <w:pPr>
        <w:jc w:val="right"/>
        <w:ind w:right="799"/>
        <w:spacing w:after="0"/>
        <w:rPr>
          <w:sz w:val="20"/>
          <w:szCs w:val="20"/>
          <w:color w:val="auto"/>
        </w:rPr>
      </w:pPr>
      <w:r>
        <w:rPr>
          <w:rFonts w:ascii="Times New Roman" w:cs="Times New Roman" w:eastAsia="Times New Roman" w:hAnsi="Times New Roman"/>
          <w:sz w:val="22"/>
          <w:szCs w:val="22"/>
          <w:color w:val="auto"/>
        </w:rPr>
        <w:t>116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10.08. </w:t>
      </w:r>
      <w:r>
        <w:rPr>
          <w:rFonts w:ascii="Times New Roman" w:cs="Times New Roman" w:eastAsia="Times New Roman" w:hAnsi="Times New Roman"/>
          <w:sz w:val="20"/>
          <w:szCs w:val="20"/>
          <w:color w:val="000000"/>
        </w:rPr>
        <w:t>Release of Loan Guarantors</w:t>
      </w:r>
    </w:p>
    <w:p>
      <w:pPr>
        <w:jc w:val="right"/>
        <w:ind w:right="799"/>
        <w:spacing w:after="0"/>
        <w:rPr>
          <w:sz w:val="20"/>
          <w:szCs w:val="20"/>
          <w:color w:val="auto"/>
        </w:rPr>
      </w:pPr>
      <w:r>
        <w:rPr>
          <w:rFonts w:ascii="Times New Roman" w:cs="Times New Roman" w:eastAsia="Times New Roman" w:hAnsi="Times New Roman"/>
          <w:sz w:val="22"/>
          <w:szCs w:val="22"/>
          <w:color w:val="auto"/>
        </w:rPr>
        <w:t>116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10.09. </w:t>
      </w:r>
      <w:r>
        <w:rPr>
          <w:rFonts w:ascii="Times New Roman" w:cs="Times New Roman" w:eastAsia="Times New Roman" w:hAnsi="Times New Roman"/>
          <w:sz w:val="20"/>
          <w:szCs w:val="20"/>
          <w:color w:val="000000"/>
        </w:rPr>
        <w:t>[Reserved].</w:t>
      </w:r>
    </w:p>
    <w:p>
      <w:pPr>
        <w:jc w:val="right"/>
        <w:ind w:right="799"/>
        <w:spacing w:after="0"/>
        <w:rPr>
          <w:sz w:val="20"/>
          <w:szCs w:val="20"/>
          <w:color w:val="auto"/>
        </w:rPr>
      </w:pPr>
      <w:r>
        <w:rPr>
          <w:rFonts w:ascii="Times New Roman" w:cs="Times New Roman" w:eastAsia="Times New Roman" w:hAnsi="Times New Roman"/>
          <w:sz w:val="22"/>
          <w:szCs w:val="22"/>
          <w:color w:val="auto"/>
        </w:rPr>
        <w:t>116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10.10. </w:t>
      </w:r>
      <w:r>
        <w:rPr>
          <w:rFonts w:ascii="Times New Roman" w:cs="Times New Roman" w:eastAsia="Times New Roman" w:hAnsi="Times New Roman"/>
          <w:sz w:val="20"/>
          <w:szCs w:val="20"/>
          <w:color w:val="000000"/>
        </w:rPr>
        <w:t>Maximum Liability</w:t>
      </w:r>
    </w:p>
    <w:p>
      <w:pPr>
        <w:jc w:val="right"/>
        <w:ind w:right="799"/>
        <w:spacing w:after="0"/>
        <w:rPr>
          <w:sz w:val="20"/>
          <w:szCs w:val="20"/>
          <w:color w:val="auto"/>
        </w:rPr>
      </w:pPr>
      <w:r>
        <w:rPr>
          <w:rFonts w:ascii="Times New Roman" w:cs="Times New Roman" w:eastAsia="Times New Roman" w:hAnsi="Times New Roman"/>
          <w:sz w:val="22"/>
          <w:szCs w:val="22"/>
          <w:color w:val="auto"/>
        </w:rPr>
        <w:t>116</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10.11. </w:t>
      </w:r>
      <w:r>
        <w:rPr>
          <w:rFonts w:ascii="Times New Roman" w:cs="Times New Roman" w:eastAsia="Times New Roman" w:hAnsi="Times New Roman"/>
          <w:sz w:val="20"/>
          <w:szCs w:val="20"/>
          <w:color w:val="000000"/>
        </w:rPr>
        <w:t>Contribution</w:t>
      </w:r>
    </w:p>
    <w:p>
      <w:pPr>
        <w:jc w:val="right"/>
        <w:ind w:right="799"/>
        <w:spacing w:after="0"/>
        <w:rPr>
          <w:sz w:val="20"/>
          <w:szCs w:val="20"/>
          <w:color w:val="auto"/>
        </w:rPr>
      </w:pPr>
      <w:r>
        <w:rPr>
          <w:rFonts w:ascii="Times New Roman" w:cs="Times New Roman" w:eastAsia="Times New Roman" w:hAnsi="Times New Roman"/>
          <w:sz w:val="22"/>
          <w:szCs w:val="22"/>
          <w:color w:val="auto"/>
        </w:rPr>
        <w:t>117</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10.12. </w:t>
      </w:r>
      <w:r>
        <w:rPr>
          <w:rFonts w:ascii="Times New Roman" w:cs="Times New Roman" w:eastAsia="Times New Roman" w:hAnsi="Times New Roman"/>
          <w:sz w:val="20"/>
          <w:szCs w:val="20"/>
          <w:color w:val="000000"/>
        </w:rPr>
        <w:t>Liability Cumulative</w:t>
      </w:r>
    </w:p>
    <w:p>
      <w:pPr>
        <w:jc w:val="right"/>
        <w:ind w:right="799"/>
        <w:spacing w:after="0"/>
        <w:rPr>
          <w:sz w:val="20"/>
          <w:szCs w:val="20"/>
          <w:color w:val="auto"/>
        </w:rPr>
      </w:pPr>
      <w:r>
        <w:rPr>
          <w:rFonts w:ascii="Times New Roman" w:cs="Times New Roman" w:eastAsia="Times New Roman" w:hAnsi="Times New Roman"/>
          <w:sz w:val="22"/>
          <w:szCs w:val="22"/>
          <w:color w:val="auto"/>
        </w:rPr>
        <w:t>117</w:t>
      </w:r>
    </w:p>
    <w:p>
      <w:pPr>
        <w:ind w:left="40"/>
        <w:spacing w:after="0" w:line="229" w:lineRule="auto"/>
        <w:rPr>
          <w:sz w:val="20"/>
          <w:szCs w:val="20"/>
          <w:color w:val="auto"/>
        </w:rPr>
      </w:pPr>
      <w:r>
        <w:rPr>
          <w:rFonts w:ascii="Times New Roman" w:cs="Times New Roman" w:eastAsia="Times New Roman" w:hAnsi="Times New Roman"/>
          <w:sz w:val="20"/>
          <w:szCs w:val="20"/>
          <w:color w:val="010000"/>
        </w:rPr>
        <w:t xml:space="preserve">SECTION 10.13. </w:t>
      </w:r>
      <w:r>
        <w:rPr>
          <w:rFonts w:ascii="Times New Roman" w:cs="Times New Roman" w:eastAsia="Times New Roman" w:hAnsi="Times New Roman"/>
          <w:sz w:val="20"/>
          <w:szCs w:val="20"/>
          <w:color w:val="000000"/>
        </w:rPr>
        <w:t>Keepwell</w:t>
      </w:r>
    </w:p>
    <w:p>
      <w:pPr>
        <w:jc w:val="right"/>
        <w:ind w:right="799"/>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222" w:lineRule="auto"/>
        <w:tabs>
          <w:tab w:leader="none" w:pos="1460" w:val="left"/>
        </w:tabs>
        <w:rPr>
          <w:sz w:val="20"/>
          <w:szCs w:val="20"/>
          <w:color w:val="auto"/>
        </w:rPr>
      </w:pPr>
      <w:r>
        <w:rPr>
          <w:rFonts w:ascii="Times New Roman" w:cs="Times New Roman" w:eastAsia="Times New Roman" w:hAnsi="Times New Roman"/>
          <w:sz w:val="20"/>
          <w:szCs w:val="20"/>
          <w:color w:val="auto"/>
        </w:rPr>
        <w:t>Schedule 2.06 –</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222" w:lineRule="auto"/>
        <w:tabs>
          <w:tab w:leader="none" w:pos="1460" w:val="left"/>
        </w:tabs>
        <w:rPr>
          <w:sz w:val="20"/>
          <w:szCs w:val="20"/>
          <w:color w:val="auto"/>
        </w:rPr>
      </w:pPr>
      <w:r>
        <w:rPr>
          <w:rFonts w:ascii="Times New Roman" w:cs="Times New Roman" w:eastAsia="Times New Roman" w:hAnsi="Times New Roman"/>
          <w:sz w:val="20"/>
          <w:szCs w:val="20"/>
          <w:color w:val="auto"/>
        </w:rPr>
        <w:t>Schedule 3.05 –</w:t>
      </w:r>
      <w:r>
        <w:rPr>
          <w:sz w:val="20"/>
          <w:szCs w:val="20"/>
          <w:color w:val="auto"/>
        </w:rPr>
        <w:tab/>
      </w:r>
      <w:r>
        <w:rPr>
          <w:rFonts w:ascii="Times New Roman" w:cs="Times New Roman" w:eastAsia="Times New Roman" w:hAnsi="Times New Roman"/>
          <w:sz w:val="19"/>
          <w:szCs w:val="19"/>
          <w:color w:val="auto"/>
        </w:rPr>
        <w:t>Properties, etc.</w:t>
      </w:r>
    </w:p>
    <w:p>
      <w:pPr>
        <w:spacing w:after="0" w:line="208" w:lineRule="auto"/>
        <w:tabs>
          <w:tab w:leader="none" w:pos="1460" w:val="left"/>
        </w:tabs>
        <w:rPr>
          <w:sz w:val="20"/>
          <w:szCs w:val="20"/>
          <w:color w:val="auto"/>
        </w:rPr>
      </w:pPr>
      <w:r>
        <w:rPr>
          <w:rFonts w:ascii="Times New Roman" w:cs="Times New Roman" w:eastAsia="Times New Roman" w:hAnsi="Times New Roman"/>
          <w:sz w:val="20"/>
          <w:szCs w:val="20"/>
          <w:color w:val="auto"/>
        </w:rPr>
        <w:t>Schedule 3.12 –</w:t>
      </w:r>
      <w:r>
        <w:rPr>
          <w:sz w:val="20"/>
          <w:szCs w:val="20"/>
          <w:color w:val="auto"/>
        </w:rPr>
        <w:tab/>
      </w:r>
      <w:r>
        <w:rPr>
          <w:rFonts w:ascii="Times New Roman" w:cs="Times New Roman" w:eastAsia="Times New Roman" w:hAnsi="Times New Roman"/>
          <w:sz w:val="19"/>
          <w:szCs w:val="19"/>
          <w:color w:val="auto"/>
        </w:rPr>
        <w:t>Material Agreements</w:t>
      </w:r>
    </w:p>
    <w:p>
      <w:pPr>
        <w:spacing w:after="0" w:line="222" w:lineRule="auto"/>
        <w:tabs>
          <w:tab w:leader="none" w:pos="1460" w:val="left"/>
        </w:tabs>
        <w:rPr>
          <w:sz w:val="20"/>
          <w:szCs w:val="20"/>
          <w:color w:val="auto"/>
        </w:rPr>
      </w:pPr>
      <w:r>
        <w:rPr>
          <w:rFonts w:ascii="Times New Roman" w:cs="Times New Roman" w:eastAsia="Times New Roman" w:hAnsi="Times New Roman"/>
          <w:sz w:val="20"/>
          <w:szCs w:val="20"/>
          <w:color w:val="auto"/>
        </w:rPr>
        <w:t>Schedule 3.14 –</w:t>
      </w:r>
      <w:r>
        <w:rPr>
          <w:sz w:val="20"/>
          <w:szCs w:val="20"/>
          <w:color w:val="auto"/>
        </w:rPr>
        <w:tab/>
      </w:r>
      <w:r>
        <w:rPr>
          <w:rFonts w:ascii="Times New Roman" w:cs="Times New Roman" w:eastAsia="Times New Roman" w:hAnsi="Times New Roman"/>
          <w:sz w:val="19"/>
          <w:szCs w:val="19"/>
          <w:color w:val="auto"/>
        </w:rPr>
        <w:t>Insurance</w:t>
      </w:r>
    </w:p>
    <w:p>
      <w:pPr>
        <w:spacing w:after="0" w:line="223" w:lineRule="auto"/>
        <w:tabs>
          <w:tab w:leader="none" w:pos="1460" w:val="left"/>
        </w:tabs>
        <w:rPr>
          <w:sz w:val="20"/>
          <w:szCs w:val="20"/>
          <w:color w:val="auto"/>
        </w:rPr>
      </w:pPr>
      <w:r>
        <w:rPr>
          <w:rFonts w:ascii="Times New Roman" w:cs="Times New Roman" w:eastAsia="Times New Roman" w:hAnsi="Times New Roman"/>
          <w:sz w:val="20"/>
          <w:szCs w:val="20"/>
          <w:color w:val="auto"/>
        </w:rPr>
        <w:t>Schedule 3.15 –</w:t>
      </w:r>
      <w:r>
        <w:rPr>
          <w:sz w:val="20"/>
          <w:szCs w:val="20"/>
          <w:color w:val="auto"/>
        </w:rPr>
        <w:tab/>
      </w:r>
      <w:r>
        <w:rPr>
          <w:rFonts w:ascii="Times New Roman" w:cs="Times New Roman" w:eastAsia="Times New Roman" w:hAnsi="Times New Roman"/>
          <w:sz w:val="19"/>
          <w:szCs w:val="19"/>
          <w:color w:val="auto"/>
        </w:rPr>
        <w:t>Capitalization and Subsidiaries</w:t>
      </w:r>
    </w:p>
    <w:p>
      <w:pPr>
        <w:spacing w:after="0" w:line="207" w:lineRule="auto"/>
        <w:tabs>
          <w:tab w:leader="none" w:pos="1460" w:val="left"/>
        </w:tabs>
        <w:rPr>
          <w:sz w:val="20"/>
          <w:szCs w:val="20"/>
          <w:color w:val="auto"/>
        </w:rPr>
      </w:pPr>
      <w:r>
        <w:rPr>
          <w:rFonts w:ascii="Times New Roman" w:cs="Times New Roman" w:eastAsia="Times New Roman" w:hAnsi="Times New Roman"/>
          <w:sz w:val="20"/>
          <w:szCs w:val="20"/>
          <w:color w:val="auto"/>
        </w:rPr>
        <w:t>Schedule 5.15 –</w:t>
      </w:r>
      <w:r>
        <w:rPr>
          <w:sz w:val="20"/>
          <w:szCs w:val="20"/>
          <w:color w:val="auto"/>
        </w:rPr>
        <w:tab/>
      </w:r>
      <w:r>
        <w:rPr>
          <w:rFonts w:ascii="Times New Roman" w:cs="Times New Roman" w:eastAsia="Times New Roman" w:hAnsi="Times New Roman"/>
          <w:sz w:val="19"/>
          <w:szCs w:val="19"/>
          <w:color w:val="auto"/>
        </w:rPr>
        <w:t>Post-Closing Requirements</w:t>
      </w:r>
    </w:p>
    <w:p>
      <w:pPr>
        <w:spacing w:after="0" w:line="222" w:lineRule="auto"/>
        <w:tabs>
          <w:tab w:leader="none" w:pos="1460" w:val="left"/>
        </w:tabs>
        <w:rPr>
          <w:sz w:val="20"/>
          <w:szCs w:val="20"/>
          <w:color w:val="auto"/>
        </w:rPr>
      </w:pPr>
      <w:r>
        <w:rPr>
          <w:rFonts w:ascii="Times New Roman" w:cs="Times New Roman" w:eastAsia="Times New Roman" w:hAnsi="Times New Roman"/>
          <w:sz w:val="20"/>
          <w:szCs w:val="20"/>
          <w:color w:val="auto"/>
        </w:rPr>
        <w:t>Schedule 6.01 –</w:t>
      </w:r>
      <w:r>
        <w:rPr>
          <w:sz w:val="20"/>
          <w:szCs w:val="20"/>
          <w:color w:val="auto"/>
        </w:rPr>
        <w:tab/>
      </w:r>
      <w:r>
        <w:rPr>
          <w:rFonts w:ascii="Times New Roman" w:cs="Times New Roman" w:eastAsia="Times New Roman" w:hAnsi="Times New Roman"/>
          <w:sz w:val="19"/>
          <w:szCs w:val="19"/>
          <w:color w:val="auto"/>
        </w:rPr>
        <w:t>Existing Indebtedness</w:t>
      </w:r>
    </w:p>
    <w:p>
      <w:pPr>
        <w:spacing w:after="0" w:line="223" w:lineRule="auto"/>
        <w:tabs>
          <w:tab w:leader="none" w:pos="1460" w:val="left"/>
        </w:tabs>
        <w:rPr>
          <w:sz w:val="20"/>
          <w:szCs w:val="20"/>
          <w:color w:val="auto"/>
        </w:rPr>
      </w:pPr>
      <w:r>
        <w:rPr>
          <w:rFonts w:ascii="Times New Roman" w:cs="Times New Roman" w:eastAsia="Times New Roman" w:hAnsi="Times New Roman"/>
          <w:sz w:val="20"/>
          <w:szCs w:val="20"/>
          <w:color w:val="auto"/>
        </w:rPr>
        <w:t>Schedule 6.02 –</w:t>
      </w:r>
      <w:r>
        <w:rPr>
          <w:sz w:val="20"/>
          <w:szCs w:val="20"/>
          <w:color w:val="auto"/>
        </w:rPr>
        <w:tab/>
      </w:r>
      <w:r>
        <w:rPr>
          <w:rFonts w:ascii="Times New Roman" w:cs="Times New Roman" w:eastAsia="Times New Roman" w:hAnsi="Times New Roman"/>
          <w:sz w:val="19"/>
          <w:szCs w:val="19"/>
          <w:color w:val="auto"/>
        </w:rPr>
        <w:t>Existing Liens</w:t>
      </w:r>
    </w:p>
    <w:p>
      <w:pPr>
        <w:spacing w:after="0" w:line="207" w:lineRule="auto"/>
        <w:tabs>
          <w:tab w:leader="none" w:pos="1460" w:val="left"/>
        </w:tabs>
        <w:rPr>
          <w:sz w:val="20"/>
          <w:szCs w:val="20"/>
          <w:color w:val="auto"/>
        </w:rPr>
      </w:pPr>
      <w:r>
        <w:rPr>
          <w:rFonts w:ascii="Times New Roman" w:cs="Times New Roman" w:eastAsia="Times New Roman" w:hAnsi="Times New Roman"/>
          <w:sz w:val="20"/>
          <w:szCs w:val="20"/>
          <w:color w:val="auto"/>
        </w:rPr>
        <w:t>Schedule 6.04 –</w:t>
      </w:r>
      <w:r>
        <w:rPr>
          <w:sz w:val="20"/>
          <w:szCs w:val="20"/>
          <w:color w:val="auto"/>
        </w:rPr>
        <w:tab/>
      </w:r>
      <w:r>
        <w:rPr>
          <w:rFonts w:ascii="Times New Roman" w:cs="Times New Roman" w:eastAsia="Times New Roman" w:hAnsi="Times New Roman"/>
          <w:sz w:val="19"/>
          <w:szCs w:val="19"/>
          <w:color w:val="auto"/>
        </w:rPr>
        <w:t>Existing Investments</w:t>
      </w:r>
    </w:p>
    <w:p>
      <w:pPr>
        <w:spacing w:after="0"/>
        <w:tabs>
          <w:tab w:leader="none" w:pos="1460" w:val="left"/>
        </w:tabs>
        <w:rPr>
          <w:sz w:val="20"/>
          <w:szCs w:val="20"/>
          <w:color w:val="auto"/>
        </w:rPr>
      </w:pPr>
      <w:r>
        <w:rPr>
          <w:rFonts w:ascii="Times New Roman" w:cs="Times New Roman" w:eastAsia="Times New Roman" w:hAnsi="Times New Roman"/>
          <w:sz w:val="20"/>
          <w:szCs w:val="20"/>
          <w:color w:val="auto"/>
        </w:rPr>
        <w:t>Schedule 6.10 –</w:t>
      </w:r>
      <w:r>
        <w:rPr>
          <w:sz w:val="20"/>
          <w:szCs w:val="20"/>
          <w:color w:val="auto"/>
        </w:rPr>
        <w:tab/>
      </w:r>
      <w:r>
        <w:rPr>
          <w:rFonts w:ascii="Times New Roman" w:cs="Times New Roman" w:eastAsia="Times New Roman" w:hAnsi="Times New Roman"/>
          <w:sz w:val="19"/>
          <w:szCs w:val="19"/>
          <w:color w:val="auto"/>
        </w:rPr>
        <w:t>Existing Restrictions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A –</w:t>
      </w:r>
      <w:r>
        <w:rPr>
          <w:sz w:val="20"/>
          <w:szCs w:val="20"/>
          <w:color w:val="auto"/>
        </w:rPr>
        <w:tab/>
      </w:r>
      <w:r>
        <w:rPr>
          <w:rFonts w:ascii="Times New Roman" w:cs="Times New Roman" w:eastAsia="Times New Roman" w:hAnsi="Times New Roman"/>
          <w:sz w:val="19"/>
          <w:szCs w:val="19"/>
          <w:color w:val="auto"/>
        </w:rPr>
        <w:t>Assignment and Assumption</w:t>
      </w:r>
    </w:p>
    <w:p>
      <w:pPr>
        <w:spacing w:after="0" w:line="211" w:lineRule="auto"/>
        <w:tabs>
          <w:tab w:leader="none" w:pos="1140" w:val="left"/>
        </w:tabs>
        <w:rPr>
          <w:sz w:val="20"/>
          <w:szCs w:val="20"/>
          <w:color w:val="auto"/>
        </w:rPr>
      </w:pPr>
      <w:r>
        <w:rPr>
          <w:rFonts w:ascii="Times New Roman" w:cs="Times New Roman" w:eastAsia="Times New Roman" w:hAnsi="Times New Roman"/>
          <w:sz w:val="20"/>
          <w:szCs w:val="20"/>
          <w:color w:val="auto"/>
        </w:rPr>
        <w:t>Exhibit B –</w:t>
        <w:tab/>
        <w:t>[Reserved]</w:t>
      </w:r>
    </w:p>
    <w:p>
      <w:pPr>
        <w:spacing w:after="0" w:line="222" w:lineRule="auto"/>
        <w:tabs>
          <w:tab w:leader="none" w:pos="1320" w:val="left"/>
        </w:tabs>
        <w:rPr>
          <w:sz w:val="20"/>
          <w:szCs w:val="20"/>
          <w:color w:val="auto"/>
        </w:rPr>
      </w:pPr>
      <w:r>
        <w:rPr>
          <w:rFonts w:ascii="Times New Roman" w:cs="Times New Roman" w:eastAsia="Times New Roman" w:hAnsi="Times New Roman"/>
          <w:sz w:val="20"/>
          <w:szCs w:val="20"/>
          <w:color w:val="auto"/>
        </w:rPr>
        <w:t>Exhibit C-1 –</w:t>
      </w:r>
      <w:r>
        <w:rPr>
          <w:sz w:val="20"/>
          <w:szCs w:val="20"/>
          <w:color w:val="auto"/>
        </w:rPr>
        <w:tab/>
      </w:r>
      <w:r>
        <w:rPr>
          <w:rFonts w:ascii="Times New Roman" w:cs="Times New Roman" w:eastAsia="Times New Roman" w:hAnsi="Times New Roman"/>
          <w:sz w:val="19"/>
          <w:szCs w:val="19"/>
          <w:color w:val="auto"/>
        </w:rPr>
        <w:t>Borrowing Request</w:t>
      </w:r>
    </w:p>
    <w:p>
      <w:pPr>
        <w:spacing w:after="0" w:line="208" w:lineRule="auto"/>
        <w:tabs>
          <w:tab w:leader="none" w:pos="1320" w:val="left"/>
        </w:tabs>
        <w:rPr>
          <w:sz w:val="20"/>
          <w:szCs w:val="20"/>
          <w:color w:val="auto"/>
        </w:rPr>
      </w:pPr>
      <w:r>
        <w:rPr>
          <w:rFonts w:ascii="Times New Roman" w:cs="Times New Roman" w:eastAsia="Times New Roman" w:hAnsi="Times New Roman"/>
          <w:sz w:val="20"/>
          <w:szCs w:val="20"/>
          <w:color w:val="auto"/>
        </w:rPr>
        <w:t>Exhibit C-2 –</w:t>
      </w:r>
      <w:r>
        <w:rPr>
          <w:sz w:val="20"/>
          <w:szCs w:val="20"/>
          <w:color w:val="auto"/>
        </w:rPr>
        <w:tab/>
      </w:r>
      <w:r>
        <w:rPr>
          <w:rFonts w:ascii="Times New Roman" w:cs="Times New Roman" w:eastAsia="Times New Roman" w:hAnsi="Times New Roman"/>
          <w:sz w:val="19"/>
          <w:szCs w:val="19"/>
          <w:color w:val="auto"/>
        </w:rPr>
        <w:t>Interest Election Request</w:t>
      </w:r>
    </w:p>
    <w:p>
      <w:pPr>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Exhibit D-1 –</w:t>
      </w:r>
      <w:r>
        <w:rPr>
          <w:sz w:val="20"/>
          <w:szCs w:val="20"/>
          <w:color w:val="auto"/>
        </w:rPr>
        <w:tab/>
      </w:r>
      <w:r>
        <w:rPr>
          <w:rFonts w:ascii="Times New Roman" w:cs="Times New Roman" w:eastAsia="Times New Roman" w:hAnsi="Times New Roman"/>
          <w:sz w:val="19"/>
          <w:szCs w:val="19"/>
          <w:color w:val="auto"/>
        </w:rPr>
        <w:t>U.S. Tax Compliance Certificate (For Foreign Lenders That Are Not Partnerships For U.S. Federal Income Tax Purposes)</w:t>
      </w:r>
    </w:p>
    <w:p>
      <w:pPr>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Exhibit D-2 –</w:t>
      </w:r>
      <w:r>
        <w:rPr>
          <w:sz w:val="20"/>
          <w:szCs w:val="20"/>
          <w:color w:val="auto"/>
        </w:rPr>
        <w:tab/>
      </w:r>
      <w:r>
        <w:rPr>
          <w:rFonts w:ascii="Times New Roman" w:cs="Times New Roman" w:eastAsia="Times New Roman" w:hAnsi="Times New Roman"/>
          <w:sz w:val="19"/>
          <w:szCs w:val="19"/>
          <w:color w:val="auto"/>
        </w:rPr>
        <w:t>U.S. Tax Compliance Certificate (For Foreign Participants That Are Not Partnerships For U.S. Federal Income Tax Purposes)</w:t>
      </w:r>
    </w:p>
    <w:p>
      <w:pPr>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Exhibit D-3 –</w:t>
      </w:r>
      <w:r>
        <w:rPr>
          <w:sz w:val="20"/>
          <w:szCs w:val="20"/>
          <w:color w:val="auto"/>
        </w:rPr>
        <w:tab/>
      </w:r>
      <w:r>
        <w:rPr>
          <w:rFonts w:ascii="Times New Roman" w:cs="Times New Roman" w:eastAsia="Times New Roman" w:hAnsi="Times New Roman"/>
          <w:sz w:val="19"/>
          <w:szCs w:val="19"/>
          <w:color w:val="auto"/>
        </w:rPr>
        <w:t>U.S. Tax Compliance Certificate (For Foreign Participants That Are Partnerships For U.S. Federal Income Tax Purposes)</w:t>
      </w:r>
    </w:p>
    <w:p>
      <w:pPr>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Exhibit D-4 –</w:t>
      </w:r>
      <w:r>
        <w:rPr>
          <w:sz w:val="20"/>
          <w:szCs w:val="20"/>
          <w:color w:val="auto"/>
        </w:rPr>
        <w:tab/>
      </w:r>
      <w:r>
        <w:rPr>
          <w:rFonts w:ascii="Times New Roman" w:cs="Times New Roman" w:eastAsia="Times New Roman" w:hAnsi="Times New Roman"/>
          <w:sz w:val="19"/>
          <w:szCs w:val="19"/>
          <w:color w:val="auto"/>
        </w:rPr>
        <w:t>U.S. Tax Compliance Certificate (For Foreign Lenders That Are Partnerships For U.S. Federal Income Tax Purposes)</w:t>
      </w:r>
    </w:p>
    <w:p>
      <w:pPr>
        <w:spacing w:after="0" w:line="207" w:lineRule="auto"/>
        <w:tabs>
          <w:tab w:leader="none" w:pos="1080" w:val="left"/>
        </w:tabs>
        <w:rPr>
          <w:sz w:val="20"/>
          <w:szCs w:val="20"/>
          <w:color w:val="auto"/>
        </w:rPr>
      </w:pPr>
      <w:r>
        <w:rPr>
          <w:rFonts w:ascii="Times New Roman" w:cs="Times New Roman" w:eastAsia="Times New Roman" w:hAnsi="Times New Roman"/>
          <w:sz w:val="20"/>
          <w:szCs w:val="20"/>
          <w:color w:val="auto"/>
        </w:rPr>
        <w:t>Exhibit E –</w:t>
      </w:r>
      <w:r>
        <w:rPr>
          <w:sz w:val="20"/>
          <w:szCs w:val="20"/>
          <w:color w:val="auto"/>
        </w:rPr>
        <w:tab/>
      </w:r>
      <w:r>
        <w:rPr>
          <w:rFonts w:ascii="Times New Roman" w:cs="Times New Roman" w:eastAsia="Times New Roman" w:hAnsi="Times New Roman"/>
          <w:sz w:val="19"/>
          <w:szCs w:val="19"/>
          <w:color w:val="auto"/>
        </w:rPr>
        <w:t>Compliance Certificate</w:t>
      </w: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F –</w:t>
      </w:r>
      <w:r>
        <w:rPr>
          <w:sz w:val="20"/>
          <w:szCs w:val="20"/>
          <w:color w:val="auto"/>
        </w:rPr>
        <w:tab/>
      </w:r>
      <w:r>
        <w:rPr>
          <w:rFonts w:ascii="Times New Roman" w:cs="Times New Roman" w:eastAsia="Times New Roman" w:hAnsi="Times New Roman"/>
          <w:sz w:val="19"/>
          <w:szCs w:val="19"/>
          <w:color w:val="auto"/>
        </w:rPr>
        <w:t>Joinder Agreement</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Loan and Agency Servicing</w:t>
      </w:r>
    </w:p>
    <w:p>
      <w:pPr>
        <w:ind w:left="1960"/>
        <w:spacing w:after="0"/>
        <w:rPr>
          <w:sz w:val="20"/>
          <w:szCs w:val="20"/>
          <w:color w:val="auto"/>
        </w:rPr>
      </w:pPr>
      <w:r>
        <w:rPr>
          <w:rFonts w:ascii="Times New Roman" w:cs="Times New Roman" w:eastAsia="Times New Roman" w:hAnsi="Times New Roman"/>
          <w:sz w:val="20"/>
          <w:szCs w:val="20"/>
          <w:color w:val="auto"/>
        </w:rPr>
        <w:t>Email: jpm.agency.cri@jpmorgan.com</w:t>
      </w:r>
    </w:p>
    <w:p>
      <w:pPr>
        <w:spacing w:after="0" w:line="153" w:lineRule="exact"/>
        <w:rPr>
          <w:sz w:val="20"/>
          <w:szCs w:val="20"/>
          <w:color w:val="auto"/>
        </w:rPr>
      </w:pPr>
    </w:p>
    <w:p>
      <w:pPr>
        <w:ind w:left="1800" w:hanging="496"/>
        <w:spacing w:after="0"/>
        <w:tabs>
          <w:tab w:leader="none" w:pos="1800"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other Lender or Issuing Bank, to it at its address or fax number set forth in its Administrative Questionnaire.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such notices and other communications (i) sent by hand or overnight courier service, or mailed by certified or registered mail shall be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deemed to have been given when received, (ii) sent by fax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such notice or communication shall be deemed to have been given at the opening of business 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next Business Day of the recipient, or (iii) delivered through any Electronic Systems or Approved Electronic Platforms, as applicable, to the extent provided in paragraph (b) below shall be effective as provided in such paragraph (b).</w:t>
      </w:r>
    </w:p>
    <w:p>
      <w:pPr>
        <w:spacing w:after="0" w:line="149" w:lineRule="exact"/>
        <w:rPr>
          <w:sz w:val="20"/>
          <w:szCs w:val="20"/>
          <w:color w:val="auto"/>
        </w:rPr>
      </w:pPr>
    </w:p>
    <w:p>
      <w:pPr>
        <w:jc w:val="both"/>
        <w:ind w:firstLine="656"/>
        <w:spacing w:after="0" w:line="210" w:lineRule="auto"/>
        <w:tabs>
          <w:tab w:leader="none" w:pos="1211"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Notices and other communications to any Loan Party or any Lender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67" w:lineRule="exact"/>
        <w:rPr>
          <w:rFonts w:ascii="Times New Roman" w:cs="Times New Roman" w:eastAsia="Times New Roman" w:hAnsi="Times New Roman"/>
          <w:sz w:val="20"/>
          <w:szCs w:val="20"/>
          <w:color w:val="010000"/>
        </w:rPr>
      </w:pPr>
    </w:p>
    <w:p>
      <w:pPr>
        <w:ind w:firstLine="656"/>
        <w:spacing w:after="0"/>
        <w:tabs>
          <w:tab w:leader="none" w:pos="1092"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148"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079"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69"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30"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provided in Section 2.09 with respect to any Incremental Facility Amendment or modification of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and subject to Sections 2.14(b) and (c) and Sections 9.02(c) and (e), neither this Agreement nor any other Loan Document nor any provision hereof or thereof may be waived, amended or modified except (i) in the case of this Agreement, pursuant to an agreement or</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agreements in writing entered into by the Borrower and the Required Lenders or (ii) in the case of any other Loan Document, pursuant to an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 or agreements in writing entered into by the Administrative Agent and the Loan Party or Loan Parties that are parties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(A) increase the Revolving Commitment of any Lender without the written consent of such Lender</w:t>
      </w:r>
    </w:p>
    <w:p>
      <w:pPr>
        <w:spacing w:after="0" w:line="211" w:lineRule="auto"/>
        <w:rPr>
          <w:sz w:val="20"/>
          <w:szCs w:val="20"/>
          <w:color w:val="auto"/>
        </w:rPr>
      </w:pPr>
      <w:r>
        <w:rPr>
          <w:rFonts w:ascii="Times New Roman" w:cs="Times New Roman" w:eastAsia="Times New Roman" w:hAnsi="Times New Roman"/>
          <w:sz w:val="20"/>
          <w:szCs w:val="20"/>
          <w:color w:val="auto"/>
        </w:rPr>
        <w:t>(including any such Lender that is a Defaulting Lender), (B) reduce or forgive the principal amount of any Loan or LC Disbursement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reduce the rate of interest thereon, or reduce or forgive any interest or fees payable hereunder, without the written consent of each Lender (including any such Lender that is a Defaulting Lender) directly affected thereby (except that any amendment or modification of the financial</w:t>
      </w:r>
    </w:p>
    <w:p>
      <w:pPr>
        <w:spacing w:after="0" w:line="222" w:lineRule="auto"/>
        <w:rPr>
          <w:sz w:val="20"/>
          <w:szCs w:val="20"/>
          <w:color w:val="auto"/>
        </w:rPr>
      </w:pPr>
      <w:r>
        <w:rPr>
          <w:rFonts w:ascii="Times New Roman" w:cs="Times New Roman" w:eastAsia="Times New Roman" w:hAnsi="Times New Roman"/>
          <w:sz w:val="19"/>
          <w:szCs w:val="19"/>
          <w:color w:val="auto"/>
        </w:rPr>
        <w:t>covenants in this Agreement (or defined terms used in the financial covenants in this Agreement) shall not constitute a reduction in the rate of</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interest or fees for purposes of this clause (B)), (C) postpone any scheduled date of payment of the principal amount of any Loan or LC Disbursement, or any date for the payment of any interest, fees or other Secured Obligations payable hereunder, or reduce the amount of,</w:t>
      </w:r>
    </w:p>
    <w:p>
      <w:pPr>
        <w:spacing w:after="0" w:line="223" w:lineRule="auto"/>
        <w:rPr>
          <w:sz w:val="20"/>
          <w:szCs w:val="20"/>
          <w:color w:val="auto"/>
        </w:rPr>
      </w:pPr>
      <w:r>
        <w:rPr>
          <w:rFonts w:ascii="Times New Roman" w:cs="Times New Roman" w:eastAsia="Times New Roman" w:hAnsi="Times New Roman"/>
          <w:sz w:val="19"/>
          <w:szCs w:val="19"/>
          <w:color w:val="auto"/>
        </w:rPr>
        <w:t>waive or excuse any such payment, or postpone the scheduled date of expiration of any Revolving Commitment, without the written consent</w:t>
      </w:r>
    </w:p>
    <w:p>
      <w:pPr>
        <w:jc w:val="both"/>
        <w:spacing w:after="0" w:line="204" w:lineRule="auto"/>
        <w:rPr>
          <w:sz w:val="20"/>
          <w:szCs w:val="20"/>
          <w:color w:val="auto"/>
        </w:rPr>
      </w:pPr>
      <w:r>
        <w:rPr>
          <w:rFonts w:ascii="Times New Roman" w:cs="Times New Roman" w:eastAsia="Times New Roman" w:hAnsi="Times New Roman"/>
          <w:sz w:val="20"/>
          <w:szCs w:val="20"/>
          <w:color w:val="auto"/>
        </w:rPr>
        <w:t>of each Lender (including any such Lender that is a Defaulting Lender) directly affected thereby, (D) change Section 2.09(d) or Section 2.18(b) or (d) in a manner that would alter the ratable reduction of Revolving Commitments or the manner in which payments are shared,</w:t>
      </w:r>
    </w:p>
    <w:p>
      <w:pPr>
        <w:spacing w:after="0" w:line="211" w:lineRule="auto"/>
        <w:rPr>
          <w:sz w:val="20"/>
          <w:szCs w:val="20"/>
          <w:color w:val="auto"/>
        </w:rPr>
      </w:pPr>
      <w:r>
        <w:rPr>
          <w:rFonts w:ascii="Times New Roman" w:cs="Times New Roman" w:eastAsia="Times New Roman" w:hAnsi="Times New Roman"/>
          <w:sz w:val="20"/>
          <w:szCs w:val="20"/>
          <w:color w:val="auto"/>
        </w:rPr>
        <w:t>without the written consent of each Lender (other than any Defaulting Lender), (E) change any of the provisions of this Section or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definition of “Required Lenders” or any other provision of any Loan Document specifying the number or percentage of Lenders required to waive, amend or modify any rights thereunder or make any determination or grant any consent thereunder, without the written consent of</w:t>
      </w:r>
    </w:p>
    <w:p>
      <w:pPr>
        <w:spacing w:after="0" w:line="223" w:lineRule="auto"/>
        <w:rPr>
          <w:sz w:val="20"/>
          <w:szCs w:val="20"/>
          <w:color w:val="auto"/>
        </w:rPr>
      </w:pPr>
      <w:r>
        <w:rPr>
          <w:rFonts w:ascii="Times New Roman" w:cs="Times New Roman" w:eastAsia="Times New Roman" w:hAnsi="Times New Roman"/>
          <w:sz w:val="19"/>
          <w:szCs w:val="19"/>
          <w:color w:val="auto"/>
        </w:rPr>
        <w:t>each Lender (other than any Defaulting Lender) (it being understood that, solely with the consent of the parties prescribed by Section 2.09 to</w:t>
      </w:r>
    </w:p>
    <w:p>
      <w:pPr>
        <w:spacing w:after="0" w:line="204" w:lineRule="auto"/>
        <w:rPr>
          <w:sz w:val="20"/>
          <w:szCs w:val="20"/>
          <w:color w:val="auto"/>
        </w:rPr>
      </w:pPr>
      <w:r>
        <w:rPr>
          <w:rFonts w:ascii="Times New Roman" w:cs="Times New Roman" w:eastAsia="Times New Roman" w:hAnsi="Times New Roman"/>
          <w:sz w:val="20"/>
          <w:szCs w:val="20"/>
          <w:color w:val="auto"/>
        </w:rPr>
        <w:t>be parties to an Incremental Facility Amendment, additional Revolving Commitments may be included in the determination of Required Lenders on substantially the same basis as the initial Revolving Commitments and Loans are included on the Effective Date), (F) release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Borrower or release any Loan Guarantor from its obligation under its Loan Guaranty (except as otherwise permitted herein or in the other Loan Documents), without the written consent of each Lender (other than any Defaulting Lender), (G) except as provided in clause (c) of this</w:t>
      </w:r>
    </w:p>
    <w:p>
      <w:pPr>
        <w:spacing w:after="0" w:line="222" w:lineRule="auto"/>
        <w:rPr>
          <w:sz w:val="20"/>
          <w:szCs w:val="20"/>
          <w:color w:val="auto"/>
        </w:rPr>
      </w:pPr>
      <w:r>
        <w:rPr>
          <w:rFonts w:ascii="Times New Roman" w:cs="Times New Roman" w:eastAsia="Times New Roman" w:hAnsi="Times New Roman"/>
          <w:sz w:val="19"/>
          <w:szCs w:val="19"/>
          <w:color w:val="auto"/>
        </w:rPr>
        <w:t>Section or in any Collateral Document, release all or substantially all of the Collateral without the written consent of each Lender (other than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Defaulting Lender), or (H) subordinate the Liens on the Collateral or subordinate the right of payment of the Secured Obligations without the written consent of each Lender;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such agreement shall amend, modify or otherwise affect the rights or duties of</w:t>
      </w:r>
    </w:p>
    <w:p>
      <w:pPr>
        <w:spacing w:after="0" w:line="222" w:lineRule="auto"/>
        <w:rPr>
          <w:sz w:val="20"/>
          <w:szCs w:val="20"/>
          <w:color w:val="auto"/>
        </w:rPr>
      </w:pPr>
      <w:r>
        <w:rPr>
          <w:rFonts w:ascii="Times New Roman" w:cs="Times New Roman" w:eastAsia="Times New Roman" w:hAnsi="Times New Roman"/>
          <w:sz w:val="19"/>
          <w:szCs w:val="19"/>
          <w:color w:val="auto"/>
        </w:rPr>
        <w:t>the Administrative Agent, the Swingline Lender or the Issuing Bank hereunder without the prior written consent of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the Swingline Lender or the Issuing Bank, as the case may be (it being understood that any amendment to Section 2.20 shall require the consent of the Administrative Agent, the Swingline Lender and the Issuing Bank); provided further that no such agreement shall amend or</w:t>
      </w:r>
    </w:p>
    <w:p>
      <w:pPr>
        <w:spacing w:after="0" w:line="211" w:lineRule="auto"/>
        <w:rPr>
          <w:sz w:val="20"/>
          <w:szCs w:val="20"/>
          <w:color w:val="auto"/>
        </w:rPr>
      </w:pPr>
      <w:r>
        <w:rPr>
          <w:rFonts w:ascii="Times New Roman" w:cs="Times New Roman" w:eastAsia="Times New Roman" w:hAnsi="Times New Roman"/>
          <w:sz w:val="20"/>
          <w:szCs w:val="20"/>
          <w:color w:val="auto"/>
        </w:rPr>
        <w:t>modify the provisions of Section 2.06 or any Letter of Credit Agreement or any letter of credit application and any bilateral agreement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between the Borrower and the Issuing Bank regarding the Issuing Bank’s Issuing Bank Sublimit or the respective rights and obligations between the Borrower and the Issuing Bank in connection with the issuance of Letters of Credit without the prior written consent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Administrative Agent and the Issuing Bank, respectively.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Section 9.04.</w:t>
      </w:r>
    </w:p>
    <w:p>
      <w:pPr>
        <w:spacing w:after="0" w:line="149" w:lineRule="exact"/>
        <w:rPr>
          <w:sz w:val="20"/>
          <w:szCs w:val="20"/>
          <w:color w:val="auto"/>
        </w:rPr>
      </w:pPr>
    </w:p>
    <w:p>
      <w:pPr>
        <w:jc w:val="both"/>
        <w:ind w:firstLine="656"/>
        <w:spacing w:after="0" w:line="212" w:lineRule="auto"/>
        <w:tabs>
          <w:tab w:leader="none" w:pos="1187"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Parties hereby irrevocably authorize the Administrative Agent (or its designee), at its option and in its sole discretion, to release any Liens granted to the Administrative Agent by the Loan Parties on any Collateral (i) upon the Payment in Full of all Secured Obligations, and the cash collateralization (or receipt of a backstop letter of credit if agreed by the affected Lender) of all Unliquidated Obligations in a manner reasonably satisfactory to each affected Lender, (ii) constituting property being Disposed of if the Loan Party Disposing of such property certifies to the Administrative Agent that the Disposition is made in compliance with the terms of this Agreement (and the Administrative Agent may rely conclusively on any such certificate, without further inquiry), and to the extent that the property being Disposed of constitutes 100% of the Equity Interests of a Subsidiary, the Administrative Agent is authorized to release the Loan Guaranty provided by such Subsidiary, (iii) constituting property leased to a Loan Party under a lease which has expired or been terminated in a transaction permitted under this Agreement, (iv) as required to effect any Disposition of such Collateral in connection with any exercise of remedies of the Administrative Agent and the Lenders pursuant to Article VII, (v) in the event such property becomes an Excluded Asset and no longer constitutes Collateral or (vi) owned by a Subsidiary that ceases to be a Loan Party. Except as provided in the preceding sentence, the</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will not release any Liens on Collateral without the prior written authorization of the Required Lenders or, to the extent</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required by Section 9.02(b), all of the Lenders (and it is acknowledged and agreed that the Administrative Agent may release any Collateral with such written authorization). Any such release shall not in any manner discharge, affect, or impair the Secured Obligations or any Liens</w:t>
      </w:r>
    </w:p>
    <w:p>
      <w:pPr>
        <w:spacing w:after="0" w:line="211" w:lineRule="auto"/>
        <w:rPr>
          <w:sz w:val="20"/>
          <w:szCs w:val="20"/>
          <w:color w:val="auto"/>
        </w:rPr>
      </w:pPr>
      <w:r>
        <w:rPr>
          <w:rFonts w:ascii="Times New Roman" w:cs="Times New Roman" w:eastAsia="Times New Roman" w:hAnsi="Times New Roman"/>
          <w:sz w:val="20"/>
          <w:szCs w:val="20"/>
          <w:color w:val="auto"/>
        </w:rPr>
        <w:t>(other than those expressly being released) upon (or obligations of the Loan Parties in respect of) all interests retained by the Loan Parties,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including the proceeds of any sale, all of which shall continue to constitute part of the Collateral. In connection with any release pursuant to this Section, the Administrative Agent shall (and is hereby irrevocably authorized by each Secured Party to) execute and deliver to any Loan</w:t>
      </w:r>
    </w:p>
    <w:p>
      <w:pPr>
        <w:spacing w:after="0" w:line="211" w:lineRule="auto"/>
        <w:rPr>
          <w:sz w:val="20"/>
          <w:szCs w:val="20"/>
          <w:color w:val="auto"/>
        </w:rPr>
      </w:pPr>
      <w:r>
        <w:rPr>
          <w:rFonts w:ascii="Times New Roman" w:cs="Times New Roman" w:eastAsia="Times New Roman" w:hAnsi="Times New Roman"/>
          <w:sz w:val="20"/>
          <w:szCs w:val="20"/>
          <w:color w:val="auto"/>
        </w:rPr>
        <w:t>Party, at such Loan Party’s expense and without recourse or warranty to or by the Administrative Agent or any other Secured Party, all</w:t>
      </w:r>
    </w:p>
    <w:p>
      <w:pPr>
        <w:spacing w:after="0" w:line="204" w:lineRule="auto"/>
        <w:rPr>
          <w:sz w:val="20"/>
          <w:szCs w:val="20"/>
          <w:color w:val="auto"/>
        </w:rPr>
      </w:pPr>
      <w:r>
        <w:rPr>
          <w:rFonts w:ascii="Times New Roman" w:cs="Times New Roman" w:eastAsia="Times New Roman" w:hAnsi="Times New Roman"/>
          <w:sz w:val="20"/>
          <w:szCs w:val="20"/>
          <w:color w:val="auto"/>
        </w:rPr>
        <w:t>documents that such Loan Party shall reasonably request to evidence such release. Any execution and delivery by the Administrative Agent of documents in connection with any such release shall be without recourse to or warranty by the Administrative Agent. In addition, each of</w:t>
      </w:r>
    </w:p>
    <w:p>
      <w:pPr>
        <w:spacing w:after="0" w:line="211" w:lineRule="auto"/>
        <w:rPr>
          <w:sz w:val="20"/>
          <w:szCs w:val="20"/>
          <w:color w:val="auto"/>
        </w:rPr>
      </w:pPr>
      <w:r>
        <w:rPr>
          <w:rFonts w:ascii="Times New Roman" w:cs="Times New Roman" w:eastAsia="Times New Roman" w:hAnsi="Times New Roman"/>
          <w:sz w:val="20"/>
          <w:szCs w:val="20"/>
          <w:color w:val="auto"/>
        </w:rPr>
        <w:t>the Secured Parties, on behalf of itself and any of its Affiliates that are Secured Parties, irrevocably authorizes the Administrative Agent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its designee), at its option and in its discretion, (x) to subordinate any Lien on any assets granted to or held by the Administrative Agent under any Loan Document to the holder of any Lien on such property that is permitted by Section 6.02(b) or 6.02(d) (each as in effect on the</w:t>
      </w:r>
    </w:p>
    <w:p>
      <w:pPr>
        <w:spacing w:after="0" w:line="222" w:lineRule="auto"/>
        <w:rPr>
          <w:sz w:val="20"/>
          <w:szCs w:val="20"/>
          <w:color w:val="auto"/>
        </w:rPr>
      </w:pPr>
      <w:r>
        <w:rPr>
          <w:rFonts w:ascii="Times New Roman" w:cs="Times New Roman" w:eastAsia="Times New Roman" w:hAnsi="Times New Roman"/>
          <w:sz w:val="19"/>
          <w:szCs w:val="19"/>
          <w:color w:val="auto"/>
        </w:rPr>
        <w:t>date hereof), or (y) in the event that the Borrower shall have advised the Administrative Agent that, notwithstanding the use by the Borrower</w:t>
      </w:r>
    </w:p>
    <w:p>
      <w:pPr>
        <w:spacing w:after="0" w:line="215" w:lineRule="auto"/>
        <w:rPr>
          <w:sz w:val="20"/>
          <w:szCs w:val="20"/>
          <w:color w:val="auto"/>
        </w:rPr>
      </w:pPr>
      <w:r>
        <w:rPr>
          <w:rFonts w:ascii="Times New Roman" w:cs="Times New Roman" w:eastAsia="Times New Roman" w:hAnsi="Times New Roman"/>
          <w:sz w:val="19"/>
          <w:szCs w:val="19"/>
          <w:color w:val="auto"/>
        </w:rPr>
        <w:t>of commercially reasonable efforts to obtain the consent of such holder (but without the requirement to pay any sums to obtain such consent) to permit the Administrative Agent to retain its liens (on a subordinated basis as contemplated by clause (x) above), the holder of such other</w:t>
      </w:r>
    </w:p>
    <w:p>
      <w:pPr>
        <w:spacing w:after="0" w:line="211" w:lineRule="auto"/>
        <w:rPr>
          <w:sz w:val="20"/>
          <w:szCs w:val="20"/>
          <w:color w:val="auto"/>
        </w:rPr>
      </w:pPr>
      <w:r>
        <w:rPr>
          <w:rFonts w:ascii="Times New Roman" w:cs="Times New Roman" w:eastAsia="Times New Roman" w:hAnsi="Times New Roman"/>
          <w:sz w:val="20"/>
          <w:szCs w:val="20"/>
          <w:color w:val="auto"/>
        </w:rPr>
        <w:t>Indebtedness requires, as a condition to the extension of such credit, that the Liens on such assets granted to or held by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 under any Loan Document be released, to release the Administrative Agent’s Liens on such assets. The Administrative Agent shall not be responsible for or have a duty to ascertain or inquire into any representation or warranty regarding the existence, value or collectability of</w:t>
      </w:r>
    </w:p>
    <w:p>
      <w:pPr>
        <w:spacing w:after="0" w:line="215" w:lineRule="auto"/>
        <w:rPr>
          <w:sz w:val="20"/>
          <w:szCs w:val="20"/>
          <w:color w:val="auto"/>
        </w:rPr>
      </w:pPr>
      <w:r>
        <w:rPr>
          <w:rFonts w:ascii="Times New Roman" w:cs="Times New Roman" w:eastAsia="Times New Roman" w:hAnsi="Times New Roman"/>
          <w:sz w:val="19"/>
          <w:szCs w:val="19"/>
          <w:color w:val="auto"/>
        </w:rPr>
        <w:t>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w:t>
      </w:r>
    </w:p>
    <w:p>
      <w:pPr>
        <w:spacing w:after="0"/>
        <w:rPr>
          <w:sz w:val="20"/>
          <w:szCs w:val="20"/>
          <w:color w:val="auto"/>
        </w:rPr>
      </w:pPr>
      <w:r>
        <w:rPr>
          <w:rFonts w:ascii="Times New Roman" w:cs="Times New Roman" w:eastAsia="Times New Roman" w:hAnsi="Times New Roman"/>
          <w:sz w:val="20"/>
          <w:szCs w:val="20"/>
          <w:color w:val="auto"/>
        </w:rPr>
        <w:t>to monitor or maintain any portion of the Collateral.</w:t>
      </w:r>
    </w:p>
    <w:p>
      <w:pPr>
        <w:spacing w:after="0" w:line="167" w:lineRule="exact"/>
        <w:rPr>
          <w:sz w:val="20"/>
          <w:szCs w:val="20"/>
          <w:color w:val="auto"/>
        </w:rPr>
      </w:pPr>
    </w:p>
    <w:p>
      <w:pPr>
        <w:jc w:val="both"/>
        <w:ind w:firstLine="656"/>
        <w:spacing w:after="0" w:line="209" w:lineRule="auto"/>
        <w:tabs>
          <w:tab w:leader="none" w:pos="1076"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in connection with any proposed amendment, restatement, supplement, modification,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(other than any Ineligible Institution) which is reasonably satisfactory to the Borrower, the Administrative Agent,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such replacement Lender agrees to the applicable proposed amendment, restatement, supplement, modification, waiver or consent and (iii)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6" w:lineRule="exact"/>
        <w:rPr>
          <w:sz w:val="20"/>
          <w:szCs w:val="20"/>
          <w:color w:val="auto"/>
        </w:rPr>
      </w:pPr>
    </w:p>
    <w:p>
      <w:pPr>
        <w:jc w:val="both"/>
        <w:ind w:right="20" w:firstLine="656"/>
        <w:spacing w:after="0" w:line="266" w:lineRule="auto"/>
        <w:tabs>
          <w:tab w:leader="none" w:pos="1092" w:val="left"/>
        </w:tabs>
        <w:numPr>
          <w:ilvl w:val="0"/>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2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9.03.</w:t>
      </w:r>
      <w:r>
        <w:rPr>
          <w:sz w:val="20"/>
          <w:szCs w:val="20"/>
          <w:color w:val="auto"/>
        </w:rPr>
        <w:tab/>
      </w:r>
      <w:r>
        <w:rPr>
          <w:rFonts w:ascii="Times New Roman" w:cs="Times New Roman" w:eastAsia="Times New Roman" w:hAnsi="Times New Roman"/>
          <w:sz w:val="19"/>
          <w:szCs w:val="19"/>
          <w:u w:val="single" w:color="auto"/>
          <w:color w:val="auto"/>
        </w:rPr>
        <w:t>Expenses; Limitation of Liability; Indemnity;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1" w:lineRule="auto"/>
        <w:tabs>
          <w:tab w:leader="none" w:pos="1079"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Loan Parties, jointly and severally, shall pay all (i) reasonable and documented out-of-pocket expenses incurred by the Administrative Agent and its Affiliates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 connection with the syndication and distribution (including, without limitation, via the internet or through an Electronic System or Approved Electronic Platform) of the credit facility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reasonable and documented out-of-pocket expenses incurred by the Administrative Agent, the Issuing Bank or any Lender, including the fees, charges and disbursements of any counsel (but limited to the reasonable and documented fees and out-of-pocket expenses of one primary counsel and one local counsel in each relevant material jurisdiction and one additional counsel in the case of any conflicts (in each case, excluding allocated costs of in-house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8" w:lineRule="exact"/>
        <w:rPr>
          <w:rFonts w:ascii="Times New Roman" w:cs="Times New Roman" w:eastAsia="Times New Roman" w:hAnsi="Times New Roman"/>
          <w:sz w:val="19"/>
          <w:szCs w:val="19"/>
          <w:color w:val="010000"/>
        </w:rPr>
      </w:pPr>
    </w:p>
    <w:p>
      <w:pPr>
        <w:jc w:val="both"/>
        <w:ind w:firstLine="656"/>
        <w:spacing w:after="0" w:line="219" w:lineRule="auto"/>
        <w:tabs>
          <w:tab w:leader="none" w:pos="1076"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xml:space="preserve">. To the extent permitted by applicable law (i) neither the Borrower nor any other Loan Party shall assert, and the Borrower and each other Loan Party hereby waives, any claim against the Administrative Agent, the </w:t>
      </w:r>
      <w:r>
        <w:rPr>
          <w:rFonts w:ascii="Times New Roman" w:cs="Times New Roman" w:eastAsia="Times New Roman" w:hAnsi="Times New Roman"/>
          <w:sz w:val="19"/>
          <w:szCs w:val="19"/>
          <w:color w:val="FF0000"/>
          <w:strike w:val="1"/>
        </w:rPr>
        <w:t>Arranger</w:t>
      </w:r>
      <w:r>
        <w:rPr>
          <w:rFonts w:ascii="Times New Roman" w:cs="Times New Roman" w:eastAsia="Times New Roman" w:hAnsi="Times New Roman"/>
          <w:sz w:val="19"/>
          <w:szCs w:val="19"/>
          <w:u w:val="single" w:color="auto"/>
          <w:color w:val="0000FF"/>
        </w:rPr>
        <w:t>Arrangers</w:t>
      </w:r>
      <w:r>
        <w:rPr>
          <w:rFonts w:ascii="Times New Roman" w:cs="Times New Roman" w:eastAsia="Times New Roman" w:hAnsi="Times New Roman"/>
          <w:sz w:val="19"/>
          <w:szCs w:val="19"/>
          <w:color w:val="auto"/>
        </w:rPr>
        <w:t>, the Issuing Bank and any Lender, and any Related Party of any of the foregoing Persons (each such Person being called a “</w:t>
      </w:r>
      <w:r>
        <w:rPr>
          <w:rFonts w:ascii="Times New Roman" w:cs="Times New Roman" w:eastAsia="Times New Roman" w:hAnsi="Times New Roman"/>
          <w:sz w:val="19"/>
          <w:szCs w:val="19"/>
          <w:u w:val="single" w:color="auto"/>
          <w:color w:val="auto"/>
        </w:rPr>
        <w:t>Lender-Related Person</w:t>
      </w:r>
      <w:r>
        <w:rPr>
          <w:rFonts w:ascii="Times New Roman" w:cs="Times New Roman" w:eastAsia="Times New Roman" w:hAnsi="Times New Roman"/>
          <w:sz w:val="19"/>
          <w:szCs w:val="19"/>
          <w:color w:val="auto"/>
        </w:rPr>
        <w:t>”) for any Liabilities arising from the use by others of information or other materials (including, without limitation, any personal data) obtained through telecommunications, electronic or other information transmission systems (including the Internet), except to the extent they are found by a final, non-appealable judgment of a court of competent jurisdiction to result from the willful misconduct, bad faith or gross negligence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other Loan Party of any obligation it may have to indemnify an Indemnitee, as provided in Section</w:t>
      </w:r>
    </w:p>
    <w:p>
      <w:pPr>
        <w:spacing w:after="0" w:line="2"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9.03(c), against any special, indirect, consequential or punitive damages asserted against such Indemnitee by a third party.</w:t>
      </w:r>
    </w:p>
    <w:p>
      <w:pPr>
        <w:spacing w:after="0" w:line="166" w:lineRule="exact"/>
        <w:rPr>
          <w:rFonts w:ascii="Times New Roman" w:cs="Times New Roman" w:eastAsia="Times New Roman" w:hAnsi="Times New Roman"/>
          <w:sz w:val="19"/>
          <w:szCs w:val="19"/>
          <w:color w:val="010000"/>
        </w:rPr>
      </w:pPr>
    </w:p>
    <w:p>
      <w:pPr>
        <w:jc w:val="both"/>
        <w:ind w:firstLine="656"/>
        <w:spacing w:after="0" w:line="224" w:lineRule="auto"/>
        <w:tabs>
          <w:tab w:leader="none" w:pos="1187" w:val="left"/>
        </w:tabs>
        <w:numPr>
          <w:ilvl w:val="0"/>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xml:space="preserve">. The Loan Parties, jointly and severally, shall indemnify the Administrative Agent, the </w:t>
      </w:r>
      <w:r>
        <w:rPr>
          <w:rFonts w:ascii="Times New Roman" w:cs="Times New Roman" w:eastAsia="Times New Roman" w:hAnsi="Times New Roman"/>
          <w:sz w:val="19"/>
          <w:szCs w:val="19"/>
          <w:color w:val="FF0000"/>
          <w:strike w:val="1"/>
        </w:rPr>
        <w:t>Arranger</w:t>
      </w:r>
      <w:r>
        <w:rPr>
          <w:rFonts w:ascii="Times New Roman" w:cs="Times New Roman" w:eastAsia="Times New Roman" w:hAnsi="Times New Roman"/>
          <w:sz w:val="19"/>
          <w:szCs w:val="19"/>
          <w:u w:val="single" w:color="auto"/>
          <w:color w:val="0000FF"/>
        </w:rPr>
        <w:t>Arrangers</w:t>
      </w:r>
      <w:r>
        <w:rPr>
          <w:rFonts w:ascii="Times New Roman" w:cs="Times New Roman" w:eastAsia="Times New Roman" w:hAnsi="Times New Roman"/>
          <w:sz w:val="19"/>
          <w:szCs w:val="19"/>
          <w:color w:val="auto"/>
        </w:rPr>
        <w:t>, the Issuing Bank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against, and hold each Indemnitee harmless from, any and all Liabilities and related expenses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presented in connection with such demand do not strictly comply with the terms of such Letter of Credit), (iii) any actual or alleged presence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Release of Hazardous Materials on or from any property owned or operated by a Loan Party or a Subsidiary, or any Environmental Liability related in any way to a Loan Party or a Subsidiary, (iv) [reserved], or (v) any actual or prospective Proceeding relating to any of the</w:t>
      </w:r>
    </w:p>
    <w:p>
      <w:pPr>
        <w:spacing w:after="0" w:line="211" w:lineRule="auto"/>
        <w:rPr>
          <w:sz w:val="20"/>
          <w:szCs w:val="20"/>
          <w:color w:val="auto"/>
        </w:rPr>
      </w:pPr>
      <w:r>
        <w:rPr>
          <w:rFonts w:ascii="Times New Roman" w:cs="Times New Roman" w:eastAsia="Times New Roman" w:hAnsi="Times New Roman"/>
          <w:sz w:val="20"/>
          <w:szCs w:val="20"/>
          <w:color w:val="auto"/>
        </w:rPr>
        <w:t>foregoing, whether or not such Proceeding is brought by any Loan Party or their respective equity holders, Affiliates, creditors or any other</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third Person and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Liabilities or related expenses are determined by a</w:t>
      </w:r>
    </w:p>
    <w:p>
      <w:pPr>
        <w:spacing w:after="0" w:line="211" w:lineRule="auto"/>
        <w:rPr>
          <w:sz w:val="20"/>
          <w:szCs w:val="20"/>
          <w:color w:val="auto"/>
        </w:rPr>
      </w:pPr>
      <w:r>
        <w:rPr>
          <w:rFonts w:ascii="Times New Roman" w:cs="Times New Roman" w:eastAsia="Times New Roman" w:hAnsi="Times New Roman"/>
          <w:sz w:val="20"/>
          <w:szCs w:val="20"/>
          <w:color w:val="auto"/>
        </w:rPr>
        <w:t>court of competent jurisdiction by final and nonappealable judgment to have resulted from (x) the bad faith, gross negligence or willful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misconduct of such Indemnitee, (y) the breach by such Indemnitee of its express funding obligations under this Agreement pursuant to a claim initiated by the Borrower or (z) any disputes solely among Indemnitees and not arising out of any act or omission of the Borrower or</w:t>
      </w:r>
    </w:p>
    <w:p>
      <w:pPr>
        <w:spacing w:after="0" w:line="211" w:lineRule="auto"/>
        <w:rPr>
          <w:sz w:val="20"/>
          <w:szCs w:val="20"/>
          <w:color w:val="auto"/>
        </w:rPr>
      </w:pPr>
      <w:r>
        <w:rPr>
          <w:rFonts w:ascii="Times New Roman" w:cs="Times New Roman" w:eastAsia="Times New Roman" w:hAnsi="Times New Roman"/>
          <w:sz w:val="20"/>
          <w:szCs w:val="20"/>
          <w:color w:val="auto"/>
        </w:rPr>
        <w:t>any of its Affiliates (other than any proceeding against any Indemnitee solely in its capacity or in fulfilling its role as Administrative Agent,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Issuing Bank, Swingline Lender, lead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bookrunner or any other similar role with respect to the credit facility evidenced by this Agreement), and in the case of legal fees and expenses, shall be limited to the reasonable fees and reasonable documented out-of-pocket</w:t>
      </w:r>
    </w:p>
    <w:p>
      <w:pPr>
        <w:spacing w:after="0" w:line="211" w:lineRule="auto"/>
        <w:rPr>
          <w:sz w:val="20"/>
          <w:szCs w:val="20"/>
          <w:color w:val="auto"/>
        </w:rPr>
      </w:pPr>
      <w:r>
        <w:rPr>
          <w:rFonts w:ascii="Times New Roman" w:cs="Times New Roman" w:eastAsia="Times New Roman" w:hAnsi="Times New Roman"/>
          <w:sz w:val="20"/>
          <w:szCs w:val="20"/>
          <w:color w:val="auto"/>
        </w:rPr>
        <w:t>expenses of one primary counsel and one local counsel in each relevant material jurisdiction (in each case, excluding allocated costs of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house counsel). This Section 9.03(c) shall not apply with respect to Taxes other than any Taxes that represent losses, claims or damages arising from any non-Tax claim.</w:t>
      </w:r>
    </w:p>
    <w:p>
      <w:pPr>
        <w:spacing w:after="0" w:line="162" w:lineRule="exact"/>
        <w:rPr>
          <w:sz w:val="20"/>
          <w:szCs w:val="20"/>
          <w:color w:val="auto"/>
        </w:rPr>
      </w:pPr>
    </w:p>
    <w:p>
      <w:pPr>
        <w:jc w:val="both"/>
        <w:ind w:firstLine="656"/>
        <w:spacing w:after="0" w:line="209" w:lineRule="auto"/>
        <w:tabs>
          <w:tab w:leader="none" w:pos="1211"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xml:space="preserve">. Each Lender severally agrees to pay any amount required to be paid by any Loan Party under paragraphs (a), (b) or (c)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the Swingline Lender and the Issuing Bank,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bad faith, gross negligence or willful misconduct, and in the case of legal fees and expenses, shall be limited to the reasonable fees and reasonable documented out-of-pocket expenses of one primary counsel and one local counsel in each relevant material jurisdiction, except in cases where there is a conflict of interest (in each case, excluding allocated costs of in-house counsel). The agreements in this Section shall survive the termination of this Agreement and Payment in Full of the Secured Obligations.</w:t>
      </w:r>
    </w:p>
    <w:p>
      <w:pPr>
        <w:spacing w:after="0" w:line="163"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9.03 shall be payable promptly after written demand therefor.</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7" w:lineRule="auto"/>
        <w:tabs>
          <w:tab w:leader="none" w:pos="116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this Section. Nothing in this Agreement, expressed or implied, shall be construed to confer upon any Person (other than the parties</w:t>
      </w:r>
    </w:p>
    <w:p>
      <w:pPr>
        <w:spacing w:after="0" w:line="215" w:lineRule="auto"/>
        <w:rPr>
          <w:sz w:val="20"/>
          <w:szCs w:val="20"/>
          <w:color w:val="auto"/>
        </w:rPr>
      </w:pPr>
      <w:r>
        <w:rPr>
          <w:rFonts w:ascii="Times New Roman" w:cs="Times New Roman" w:eastAsia="Times New Roman" w:hAnsi="Times New Roman"/>
          <w:sz w:val="19"/>
          <w:szCs w:val="19"/>
          <w:color w:val="auto"/>
        </w:rPr>
        <w:t>hereto, their respective successors and assigns permitted hereby (including any Affiliate of the Issuing Bank that issues any Letter of Credit), Participants (to the extent provided in paragraph (c) of this Section) and, to the extent expressly contemplated hereby, the Related Parties of</w:t>
      </w:r>
    </w:p>
    <w:p>
      <w:pPr>
        <w:ind w:right="20"/>
        <w:spacing w:after="0" w:line="228" w:lineRule="auto"/>
        <w:rPr>
          <w:sz w:val="20"/>
          <w:szCs w:val="20"/>
          <w:color w:val="auto"/>
        </w:rPr>
      </w:pPr>
      <w:r>
        <w:rPr>
          <w:rFonts w:ascii="Times New Roman" w:cs="Times New Roman" w:eastAsia="Times New Roman" w:hAnsi="Times New Roman"/>
          <w:sz w:val="20"/>
          <w:szCs w:val="20"/>
          <w:color w:val="auto"/>
        </w:rPr>
        <w:t>each of the Administrative Agent, the Issuing Bank and the Lenders) any legal or equitable right, remedy or claim under or by reason of this Agreement.</w:t>
      </w:r>
    </w:p>
    <w:p>
      <w:pPr>
        <w:spacing w:after="0" w:line="149" w:lineRule="exact"/>
        <w:rPr>
          <w:sz w:val="20"/>
          <w:szCs w:val="20"/>
          <w:color w:val="auto"/>
        </w:rPr>
      </w:pPr>
    </w:p>
    <w:p>
      <w:pPr>
        <w:jc w:val="both"/>
        <w:ind w:firstLine="656"/>
        <w:spacing w:after="0" w:line="222" w:lineRule="auto"/>
        <w:tabs>
          <w:tab w:leader="none" w:pos="1076"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conditioned or delayed) of:</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6" w:lineRule="auto"/>
        <w:tabs>
          <w:tab w:leader="none" w:pos="2515" w:val="left"/>
        </w:tabs>
        <w:numPr>
          <w:ilvl w:val="2"/>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 assignment of all or a portion of the Revolving Loans and Revolving Commitments unless it shall object thereto by written notice to the Administrative Agent within ten (10) Business Days after having received notice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an Event of Default under clauses (a), (b), (d) (solely with respect to a breach of Section 6.12), (h), (i) or (m) under Article VII has occurred and is continuing, any other assignee;</w:t>
      </w:r>
    </w:p>
    <w:p>
      <w:pPr>
        <w:spacing w:after="0" w:line="162"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771" w:val="left"/>
        </w:tabs>
        <w:numPr>
          <w:ilvl w:val="1"/>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an assignee that is a Lender (other than a Defaulting Lender) with a Revolving Commitment immediately prior to giving effect to such assignment;</w:t>
      </w:r>
    </w:p>
    <w:p>
      <w:pPr>
        <w:spacing w:after="0" w:line="160"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2"/>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Issuing Bank; and</w:t>
      </w:r>
    </w:p>
    <w:p>
      <w:pPr>
        <w:spacing w:after="0" w:line="175"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2"/>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Swingline Lender.</w:t>
      </w:r>
    </w:p>
    <w:p>
      <w:pPr>
        <w:spacing w:after="0" w:line="189" w:lineRule="exact"/>
        <w:rPr>
          <w:sz w:val="20"/>
          <w:szCs w:val="20"/>
          <w:color w:val="auto"/>
        </w:rPr>
      </w:pPr>
    </w:p>
    <w:p>
      <w:pPr>
        <w:ind w:left="1740" w:hanging="436"/>
        <w:spacing w:after="0"/>
        <w:tabs>
          <w:tab w:leader="none" w:pos="1740"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010000"/>
        </w:rPr>
      </w:pPr>
    </w:p>
    <w:p>
      <w:pPr>
        <w:jc w:val="both"/>
        <w:ind w:left="1300" w:firstLine="652"/>
        <w:spacing w:after="0" w:line="215" w:lineRule="auto"/>
        <w:tabs>
          <w:tab w:leader="none" w:pos="2528"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under clauses (a), (b), (d) (solely with respect to a breach of Section 6.12), (h), (i) or (m) has occurred and is continuing under Article VII has occurred and is continuing;</w:t>
      </w:r>
    </w:p>
    <w:p>
      <w:pPr>
        <w:spacing w:after="0" w:line="150" w:lineRule="exact"/>
        <w:rPr>
          <w:rFonts w:ascii="Times New Roman" w:cs="Times New Roman" w:eastAsia="Times New Roman" w:hAnsi="Times New Roman"/>
          <w:sz w:val="20"/>
          <w:szCs w:val="20"/>
          <w:color w:val="010000"/>
        </w:rPr>
      </w:pPr>
    </w:p>
    <w:p>
      <w:pPr>
        <w:ind w:left="1300" w:firstLine="652"/>
        <w:spacing w:after="0"/>
        <w:tabs>
          <w:tab w:leader="none" w:pos="2464"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22" w:lineRule="auto"/>
        <w:tabs>
          <w:tab w:leader="none" w:pos="2464"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48" w:lineRule="exact"/>
        <w:rPr>
          <w:rFonts w:ascii="Times New Roman" w:cs="Times New Roman" w:eastAsia="Times New Roman" w:hAnsi="Times New Roman"/>
          <w:sz w:val="20"/>
          <w:szCs w:val="20"/>
          <w:color w:val="010000"/>
        </w:rPr>
      </w:pPr>
    </w:p>
    <w:p>
      <w:pPr>
        <w:jc w:val="both"/>
        <w:ind w:left="1300" w:firstLine="652"/>
        <w:spacing w:after="0" w:line="230" w:lineRule="auto"/>
        <w:tabs>
          <w:tab w:leader="none" w:pos="2609" w:val="left"/>
        </w:tabs>
        <w:numPr>
          <w:ilvl w:val="1"/>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76" w:lineRule="exact"/>
        <w:rPr>
          <w:sz w:val="20"/>
          <w:szCs w:val="20"/>
          <w:color w:val="auto"/>
        </w:rPr>
      </w:pPr>
    </w:p>
    <w:p>
      <w:pPr>
        <w:ind w:left="1300" w:right="20"/>
        <w:spacing w:after="0"/>
        <w:rPr>
          <w:sz w:val="20"/>
          <w:szCs w:val="20"/>
          <w:color w:val="auto"/>
        </w:rPr>
      </w:pPr>
      <w:r>
        <w:rPr>
          <w:rFonts w:ascii="Times New Roman" w:cs="Times New Roman" w:eastAsia="Times New Roman" w:hAnsi="Times New Roman"/>
          <w:sz w:val="20"/>
          <w:szCs w:val="20"/>
          <w:color w:val="auto"/>
        </w:rPr>
        <w:t>Related Parties or their respective securities) will be made available and who may receive such information in accordance with the assignee’s compliance procedures and applicable laws, including federal and state securities laws.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loans and similar extensions of credit in the ordinary course of its business and that is administered or managed by (a) a Lender, (b) an Affiliate of a Lender or (c) an entity or an Affiliate of an entity that administers or manages a Lender.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Defaulting Lender or its Parent, (c) company, investment vehicle or trust for,</w:t>
      </w:r>
    </w:p>
    <w:p>
      <w:pPr>
        <w:spacing w:after="0" w:line="221" w:lineRule="auto"/>
        <w:rPr>
          <w:sz w:val="20"/>
          <w:szCs w:val="20"/>
          <w:color w:val="auto"/>
        </w:rPr>
      </w:pPr>
      <w:r>
        <w:rPr>
          <w:rFonts w:ascii="Times New Roman" w:cs="Times New Roman" w:eastAsia="Times New Roman" w:hAnsi="Times New Roman"/>
          <w:sz w:val="20"/>
          <w:szCs w:val="20"/>
          <w:color w:val="auto"/>
        </w:rPr>
        <w:t>or owned and operated for the primary benefit of, a natural person or relative(s) thereof, or (d) a Loan Party or a Subsidiary or other Affiliate of a Loan Party.</w:t>
      </w:r>
    </w:p>
    <w:p>
      <w:pPr>
        <w:spacing w:after="0" w:line="162" w:lineRule="exact"/>
        <w:rPr>
          <w:sz w:val="20"/>
          <w:szCs w:val="20"/>
          <w:color w:val="auto"/>
        </w:rPr>
      </w:pPr>
    </w:p>
    <w:p>
      <w:pPr>
        <w:jc w:val="both"/>
        <w:ind w:firstLine="1304"/>
        <w:spacing w:after="0" w:line="226" w:lineRule="auto"/>
        <w:tabs>
          <w:tab w:leader="none" w:pos="1817" w:val="left"/>
        </w:tabs>
        <w:numPr>
          <w:ilvl w:val="1"/>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49" w:lineRule="exact"/>
        <w:rPr>
          <w:rFonts w:ascii="Times New Roman" w:cs="Times New Roman" w:eastAsia="Times New Roman" w:hAnsi="Times New Roman"/>
          <w:sz w:val="19"/>
          <w:szCs w:val="19"/>
          <w:color w:val="010000"/>
        </w:rPr>
      </w:pPr>
    </w:p>
    <w:p>
      <w:pPr>
        <w:jc w:val="both"/>
        <w:ind w:firstLine="1304"/>
        <w:spacing w:after="0" w:line="215" w:lineRule="auto"/>
        <w:tabs>
          <w:tab w:leader="none" w:pos="1779"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47"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724" w:val="left"/>
        </w:tabs>
        <w:numPr>
          <w:ilvl w:val="1"/>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the tax forms required by Section 2.17(f)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8"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33"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or notice to, the Borrower, the Administrative Agent, the Swingline Lender or the Issuing Bank,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other than an Ineligible Institution in all or a portion of such Lender’s rights and obligations under this Agreement (including all or a portion of its Revolving Commitment and the Loans</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w:t>
      </w:r>
    </w:p>
    <w:p>
      <w:pPr>
        <w:spacing w:after="0" w:line="204" w:lineRule="auto"/>
        <w:rPr>
          <w:sz w:val="20"/>
          <w:szCs w:val="20"/>
          <w:color w:val="auto"/>
        </w:rPr>
      </w:pPr>
      <w:r>
        <w:rPr>
          <w:rFonts w:ascii="Times New Roman" w:cs="Times New Roman" w:eastAsia="Times New Roman" w:hAnsi="Times New Roman"/>
          <w:sz w:val="20"/>
          <w:szCs w:val="20"/>
          <w:color w:val="auto"/>
        </w:rPr>
        <w:t>responsible to the other parties hereto for the performance of such obligations; and (iii) the Borrower, the Administrative Agent, the Issuing Bank and the other Lenders shall continue to deal solely and directly with such Lender in connection with such Lender’s rights and</w:t>
      </w:r>
    </w:p>
    <w:p>
      <w:pPr>
        <w:spacing w:after="0" w:line="211" w:lineRule="auto"/>
        <w:rPr>
          <w:sz w:val="20"/>
          <w:szCs w:val="20"/>
          <w:color w:val="auto"/>
        </w:rPr>
      </w:pPr>
      <w:r>
        <w:rPr>
          <w:rFonts w:ascii="Times New Roman" w:cs="Times New Roman" w:eastAsia="Times New Roman" w:hAnsi="Times New Roman"/>
          <w:sz w:val="20"/>
          <w:szCs w:val="20"/>
          <w:color w:val="auto"/>
        </w:rPr>
        <w:t>obligations under this Agreement. Any agreement or instrument pursuant to which a Lender sells such a participation shall provide that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w:t>
      </w:r>
    </w:p>
    <w:p>
      <w:pPr>
        <w:spacing w:after="0" w:line="223" w:lineRule="auto"/>
        <w:rPr>
          <w:sz w:val="20"/>
          <w:szCs w:val="20"/>
          <w:color w:val="auto"/>
        </w:rPr>
      </w:pPr>
      <w:r>
        <w:rPr>
          <w:rFonts w:ascii="Times New Roman" w:cs="Times New Roman" w:eastAsia="Times New Roman" w:hAnsi="Times New Roman"/>
          <w:sz w:val="19"/>
          <w:szCs w:val="19"/>
          <w:color w:val="auto"/>
        </w:rPr>
        <w:t>to any amendment, modification or waiver described in the first proviso to Section 9.02(b) that affects such Participant. The Borrower agrees</w:t>
      </w:r>
    </w:p>
    <w:p>
      <w:pPr>
        <w:spacing w:after="0" w:line="215" w:lineRule="auto"/>
        <w:rPr>
          <w:sz w:val="20"/>
          <w:szCs w:val="20"/>
          <w:color w:val="auto"/>
        </w:rPr>
      </w:pPr>
      <w:r>
        <w:rPr>
          <w:rFonts w:ascii="Times New Roman" w:cs="Times New Roman" w:eastAsia="Times New Roman" w:hAnsi="Times New Roman"/>
          <w:sz w:val="19"/>
          <w:szCs w:val="19"/>
          <w:color w:val="auto"/>
        </w:rPr>
        <w:t>that each Participant shall be entitled to the benefits of Sections 2.15, 2.16 and 2.17 (subject to the requirements and limitations therein, including the requirements under Sections 2.17(f) and (g) (it being understood that the documentation required under Section 2.17(f) shall be</w:t>
      </w:r>
    </w:p>
    <w:p>
      <w:pPr>
        <w:spacing w:after="0" w:line="211" w:lineRule="auto"/>
        <w:rPr>
          <w:sz w:val="20"/>
          <w:szCs w:val="20"/>
          <w:color w:val="auto"/>
        </w:rPr>
      </w:pPr>
      <w:r>
        <w:rPr>
          <w:rFonts w:ascii="Times New Roman" w:cs="Times New Roman" w:eastAsia="Times New Roman" w:hAnsi="Times New Roman"/>
          <w:sz w:val="20"/>
          <w:szCs w:val="20"/>
          <w:color w:val="auto"/>
        </w:rPr>
        <w:t>delivered to the participating Lender)) to the same extent as if it were a Lender and had acquired its interest by assignment pursuant to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Sections 2.18 and 2.19 as if it were an assignee under paragraph (b) of this Section; and (B) shall not be entitled to receive any greater payment under Section 2.15 or 2.17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be entitled to the benefits of Section 9.08 as though it were a Lender, provided such Participant agrees to be subject to Section 2.18(d) as though it were a Lender. Each Lender that sells a participation shall, acting solely for this purpose as a non-fiduciary agent of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or any information relating to a Participant’s interest in any Revolving Commitments, Loans, Letters of Credit or its other obligations under any Loan Document) to any Person except to the extent that such disclosure is necessary to establish that such Revolving</w:t>
      </w:r>
    </w:p>
    <w:p>
      <w:pPr>
        <w:spacing w:after="0" w:line="211" w:lineRule="auto"/>
        <w:rPr>
          <w:sz w:val="20"/>
          <w:szCs w:val="20"/>
          <w:color w:val="auto"/>
        </w:rPr>
      </w:pPr>
      <w:r>
        <w:rPr>
          <w:rFonts w:ascii="Times New Roman" w:cs="Times New Roman" w:eastAsia="Times New Roman" w:hAnsi="Times New Roman"/>
          <w:sz w:val="20"/>
          <w:szCs w:val="20"/>
          <w:color w:val="auto"/>
        </w:rPr>
        <w:t>Commitment, Loan, Letter of Credit or other obligation is in registered form under Section 5f.103-1(c) of the United States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w:t>
      </w:r>
    </w:p>
    <w:p>
      <w:pPr>
        <w:spacing w:after="0" w:line="228" w:lineRule="auto"/>
        <w:rPr>
          <w:sz w:val="20"/>
          <w:szCs w:val="20"/>
          <w:color w:val="auto"/>
        </w:rPr>
      </w:pPr>
      <w:r>
        <w:rPr>
          <w:rFonts w:ascii="Times New Roman" w:cs="Times New Roman" w:eastAsia="Times New Roman" w:hAnsi="Times New Roman"/>
          <w:sz w:val="20"/>
          <w:szCs w:val="20"/>
          <w:color w:val="auto"/>
        </w:rPr>
        <w:t>to the contrary. For the avoidance of doubt, the Administrative Agent (in its capacity as Administrative Agent) shall have no responsibility for maintaining a Participant Register.</w:t>
      </w:r>
    </w:p>
    <w:p>
      <w:pPr>
        <w:spacing w:after="0" w:line="149" w:lineRule="exact"/>
        <w:rPr>
          <w:sz w:val="20"/>
          <w:szCs w:val="20"/>
          <w:color w:val="auto"/>
        </w:rPr>
      </w:pPr>
    </w:p>
    <w:p>
      <w:pPr>
        <w:jc w:val="both"/>
        <w:ind w:firstLine="656"/>
        <w:spacing w:after="0" w:line="220" w:lineRule="auto"/>
        <w:tabs>
          <w:tab w:leader="none" w:pos="1076"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9.05. </w:t>
      </w:r>
      <w:r>
        <w:rPr>
          <w:rFonts w:ascii="Times New Roman" w:cs="Times New Roman" w:eastAsia="Times New Roman" w:hAnsi="Times New Roman"/>
          <w:sz w:val="20"/>
          <w:szCs w:val="20"/>
          <w:u w:val="single" w:color="auto"/>
          <w:color w:val="000000"/>
        </w:rPr>
        <w:t>Survival</w:t>
      </w:r>
      <w:r>
        <w:rPr>
          <w:rFonts w:ascii="Times New Roman" w:cs="Times New Roman" w:eastAsia="Times New Roman" w:hAnsi="Times New Roman"/>
          <w:sz w:val="20"/>
          <w:szCs w:val="20"/>
          <w:color w:val="000000"/>
        </w:rPr>
        <w:t>. All covenants, agreements, representations and warranties made by the Loan Parties in the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and in the certificates or other instruments delivered in connection with or pursuant to this Agreement or any other Loan</w:t>
      </w:r>
    </w:p>
    <w:p>
      <w:pPr>
        <w:spacing w:after="0" w:line="212" w:lineRule="auto"/>
        <w:rPr>
          <w:sz w:val="20"/>
          <w:szCs w:val="20"/>
          <w:color w:val="auto"/>
        </w:rPr>
      </w:pPr>
      <w:r>
        <w:rPr>
          <w:rFonts w:ascii="Times New Roman" w:cs="Times New Roman" w:eastAsia="Times New Roman" w:hAnsi="Times New Roman"/>
          <w:sz w:val="20"/>
          <w:szCs w:val="20"/>
          <w:color w:val="auto"/>
        </w:rPr>
        <w:t>Document shall be considered to have been relied upon by the other parties hereto and shall survive the execution and delivery of the Loan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Documents and the making of any Loans and issuance of any Letters of Credit, regardless of any investigation made by any such other party or on its behalf and notwithstanding that the Administrative Agent, the Issuing Bank or any Lender may have had notice or knowledge of any</w:t>
      </w:r>
    </w:p>
    <w:p>
      <w:pPr>
        <w:spacing w:after="0" w:line="211" w:lineRule="auto"/>
        <w:rPr>
          <w:sz w:val="20"/>
          <w:szCs w:val="20"/>
          <w:color w:val="auto"/>
        </w:rPr>
      </w:pPr>
      <w:r>
        <w:rPr>
          <w:rFonts w:ascii="Times New Roman" w:cs="Times New Roman" w:eastAsia="Times New Roman" w:hAnsi="Times New Roman"/>
          <w:sz w:val="20"/>
          <w:szCs w:val="20"/>
          <w:color w:val="auto"/>
        </w:rPr>
        <w:t>Default or incorrect representation or warranty at the time any credit is extended hereunder, and shall continue in full force and effect until</w:t>
      </w:r>
    </w:p>
    <w:p>
      <w:pPr>
        <w:spacing w:after="0" w:line="215" w:lineRule="auto"/>
        <w:rPr>
          <w:sz w:val="20"/>
          <w:szCs w:val="20"/>
          <w:color w:val="auto"/>
        </w:rPr>
      </w:pPr>
      <w:r>
        <w:rPr>
          <w:rFonts w:ascii="Times New Roman" w:cs="Times New Roman" w:eastAsia="Times New Roman" w:hAnsi="Times New Roman"/>
          <w:sz w:val="19"/>
          <w:szCs w:val="19"/>
          <w:color w:val="auto"/>
        </w:rPr>
        <w:t>Payment in Full of the Secured Obligations. The provisions of Sections 2.15, 2.16, 2.17 and 9.03 and Article VIII shall survive and remain in full force and effect regardless of the consummation of the transactions contemplated hereby, the repayment of the Loans, the expiration or</w:t>
      </w:r>
    </w:p>
    <w:p>
      <w:pPr>
        <w:spacing w:after="0"/>
        <w:rPr>
          <w:sz w:val="20"/>
          <w:szCs w:val="20"/>
          <w:color w:val="auto"/>
        </w:rPr>
      </w:pPr>
      <w:r>
        <w:rPr>
          <w:rFonts w:ascii="Times New Roman" w:cs="Times New Roman" w:eastAsia="Times New Roman" w:hAnsi="Times New Roman"/>
          <w:sz w:val="20"/>
          <w:szCs w:val="20"/>
          <w:color w:val="auto"/>
        </w:rPr>
        <w:t>termination of the Letters of Credit</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Revolving Commitments or the termination of this Agreement or any other Loan Document or any provision hereof or thereof.</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5" w:lineRule="auto"/>
        <w:tabs>
          <w:tab w:leader="none" w:pos="1079"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0" w:lineRule="exact"/>
        <w:rPr>
          <w:rFonts w:ascii="Times New Roman" w:cs="Times New Roman" w:eastAsia="Times New Roman" w:hAnsi="Times New Roman"/>
          <w:sz w:val="20"/>
          <w:szCs w:val="20"/>
          <w:color w:val="010000"/>
        </w:rPr>
      </w:pPr>
    </w:p>
    <w:p>
      <w:pPr>
        <w:jc w:val="both"/>
        <w:ind w:firstLine="656"/>
        <w:spacing w:after="0" w:line="208" w:lineRule="auto"/>
        <w:tabs>
          <w:tab w:leader="none" w:pos="1130"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and/or any Loan Party to use any available security measures in connection with the execution, delivery or transmission of any Electronic Signature.</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9.07. </w:t>
      </w:r>
      <w:r>
        <w:rPr>
          <w:rFonts w:ascii="Times New Roman" w:cs="Times New Roman" w:eastAsia="Times New Roman" w:hAnsi="Times New Roman"/>
          <w:sz w:val="19"/>
          <w:szCs w:val="19"/>
          <w:u w:val="single" w:color="auto"/>
          <w:color w:val="000000"/>
        </w:rPr>
        <w:t>Severability</w:t>
      </w:r>
      <w:r>
        <w:rPr>
          <w:rFonts w:ascii="Times New Roman" w:cs="Times New Roman" w:eastAsia="Times New Roman" w:hAnsi="Times New Roman"/>
          <w:sz w:val="19"/>
          <w:szCs w:val="19"/>
          <w:color w:val="000000"/>
        </w:rPr>
        <w:t>. Any provision of any Loan Document held to be invalid, illegal or unenforceable in any jurisdiction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as to such jurisdiction, be ineffective to the extent of such invalidity, illegality or unenforceability without affecting the validity, legality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and enforceability of the remaining provisions thereof; and the invalidity of a particular provision in a particular jurisdiction shall not invalidate such provision in any other jurisdiction.</w:t>
      </w:r>
    </w:p>
    <w:p>
      <w:pPr>
        <w:spacing w:after="0" w:line="156"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0"/>
          <w:szCs w:val="20"/>
          <w:color w:val="010000"/>
        </w:rPr>
        <w:t>SECTION 9.08.</w:t>
      </w:r>
      <w:r>
        <w:rPr>
          <w:sz w:val="20"/>
          <w:szCs w:val="20"/>
          <w:color w:val="auto"/>
        </w:rPr>
        <w:tab/>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If an Event of Default shall have occurred and be continuing, each Lender, the Issuing Bank,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w:t>
      </w:r>
    </w:p>
    <w:p>
      <w:pPr>
        <w:spacing w:after="0" w:line="211" w:lineRule="auto"/>
        <w:rPr>
          <w:sz w:val="20"/>
          <w:szCs w:val="20"/>
          <w:color w:val="auto"/>
        </w:rPr>
      </w:pPr>
      <w:r>
        <w:rPr>
          <w:rFonts w:ascii="Times New Roman" w:cs="Times New Roman" w:eastAsia="Times New Roman" w:hAnsi="Times New Roman"/>
          <w:sz w:val="20"/>
          <w:szCs w:val="20"/>
          <w:color w:val="auto"/>
        </w:rPr>
        <w:t>and other obligations at any time owing, by such Lender, the Issuing Bank or any such Affiliate, to or for the credit or the account of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Loan Party against any and all of the Secured Obligations now or hereafter existing and owing to such Lender or the Issuing Bank or their respective Affiliates, irrespective of whether or not such Lender, the Issuing Bank or such Affiliate shall have made any demand under this</w:t>
      </w:r>
    </w:p>
    <w:p>
      <w:pPr>
        <w:spacing w:after="0" w:line="223" w:lineRule="auto"/>
        <w:rPr>
          <w:sz w:val="20"/>
          <w:szCs w:val="20"/>
          <w:color w:val="auto"/>
        </w:rPr>
      </w:pPr>
      <w:r>
        <w:rPr>
          <w:rFonts w:ascii="Times New Roman" w:cs="Times New Roman" w:eastAsia="Times New Roman" w:hAnsi="Times New Roman"/>
          <w:sz w:val="19"/>
          <w:szCs w:val="19"/>
          <w:color w:val="auto"/>
        </w:rPr>
        <w:t>Agreement or any other Loan Document and although such obligations of the Loan Parties may be contingent or unmatured or are owed to a</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w:t>
      </w:r>
    </w:p>
    <w:p>
      <w:pPr>
        <w:spacing w:after="0" w:line="211" w:lineRule="auto"/>
        <w:rPr>
          <w:sz w:val="20"/>
          <w:szCs w:val="20"/>
          <w:color w:val="auto"/>
        </w:rPr>
      </w:pPr>
      <w:r>
        <w:rPr>
          <w:rFonts w:ascii="Times New Roman" w:cs="Times New Roman" w:eastAsia="Times New Roman" w:hAnsi="Times New Roman"/>
          <w:sz w:val="20"/>
          <w:szCs w:val="20"/>
          <w:color w:val="auto"/>
        </w:rPr>
        <w:t>shall be paid over immediately to the Administrative Agent for further application in accordance with the provisions of Section 2.20 and,</w:t>
      </w:r>
    </w:p>
    <w:p>
      <w:pPr>
        <w:spacing w:after="0" w:line="215" w:lineRule="auto"/>
        <w:rPr>
          <w:sz w:val="20"/>
          <w:szCs w:val="20"/>
          <w:color w:val="auto"/>
        </w:rPr>
      </w:pPr>
      <w:r>
        <w:rPr>
          <w:rFonts w:ascii="Times New Roman" w:cs="Times New Roman" w:eastAsia="Times New Roman" w:hAnsi="Times New Roman"/>
          <w:sz w:val="19"/>
          <w:szCs w:val="19"/>
          <w:color w:val="auto"/>
        </w:rPr>
        <w:t>pending such payment, shall be segregated by such Defaulting Lender from its other funds and deemed held in trust for the benefit of the Administrative Agent, the Issuing Banks, and the Lenders, and (y) the Defaulting Lender shall provide promptly to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a statement describing in reasonable detail the Secured Obligations owing to such Defaulting Lender as to which it exercised such right of setoff. The applicable Lender, the Issuing Bank or such Affiliate shall notify the Borrower and the Administrative Agent of such setoff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or application under this Section.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33" w:lineRule="auto"/>
        <w:tabs>
          <w:tab w:leader="none" w:pos="1187"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Documents (other than those containing a contrary express choice of law provision) shall be governed by and construed in accordance with and governed by the law of the State of New York.</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57"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41" w:val="left"/>
        </w:tabs>
        <w:numPr>
          <w:ilvl w:val="0"/>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 shall (i) affect any right that the Administrative Agent, the Issuing Bank or any Lender may otherwise have to bring any</w:t>
      </w:r>
    </w:p>
    <w:p>
      <w:pPr>
        <w:spacing w:after="0" w:line="215" w:lineRule="auto"/>
        <w:rPr>
          <w:sz w:val="20"/>
          <w:szCs w:val="20"/>
          <w:color w:val="auto"/>
        </w:rPr>
      </w:pPr>
      <w:r>
        <w:rPr>
          <w:rFonts w:ascii="Times New Roman" w:cs="Times New Roman" w:eastAsia="Times New Roman" w:hAnsi="Times New Roman"/>
          <w:sz w:val="19"/>
          <w:szCs w:val="19"/>
          <w:color w:val="auto"/>
        </w:rPr>
        <w:t>action or proceeding relating to this Agreement or any other Loan Document against any Loan Party or its properties in the courts of any jurisdiction, (ii) waive any statutory, regulatory, common law, or other rule, doctrine, legal restriction, provision or the like providing for the</w:t>
      </w:r>
    </w:p>
    <w:p>
      <w:pPr>
        <w:spacing w:after="0" w:line="211" w:lineRule="auto"/>
        <w:rPr>
          <w:sz w:val="20"/>
          <w:szCs w:val="20"/>
          <w:color w:val="auto"/>
        </w:rPr>
      </w:pPr>
      <w:r>
        <w:rPr>
          <w:rFonts w:ascii="Times New Roman" w:cs="Times New Roman" w:eastAsia="Times New Roman" w:hAnsi="Times New Roman"/>
          <w:sz w:val="20"/>
          <w:szCs w:val="20"/>
          <w:color w:val="auto"/>
        </w:rPr>
        <w:t>treatment of bank branches, bank agencies, or other bank offices as if they were separate juridical entities for certain purposes, including</w:t>
      </w:r>
    </w:p>
    <w:p>
      <w:pPr>
        <w:spacing w:after="0" w:line="215" w:lineRule="auto"/>
        <w:rPr>
          <w:sz w:val="20"/>
          <w:szCs w:val="20"/>
          <w:color w:val="auto"/>
        </w:rPr>
      </w:pPr>
      <w:r>
        <w:rPr>
          <w:rFonts w:ascii="Times New Roman" w:cs="Times New Roman" w:eastAsia="Times New Roman" w:hAnsi="Times New Roman"/>
          <w:sz w:val="19"/>
          <w:szCs w:val="19"/>
          <w:color w:val="auto"/>
        </w:rPr>
        <w:t>UCC Sections 4-106, 4-A-105(1)(b), and 5-116(b), UCP 600 Article 3 and ISP98 Rule 2.02, and URDG 758 Article 3(a), or (iii) affect which courts have or do not have personal jurisdiction over the issuing bank or beneficiary of any Letter of Credit or any advising bank, nominated</w:t>
      </w:r>
    </w:p>
    <w:p>
      <w:pPr>
        <w:spacing w:after="0" w:line="211" w:lineRule="auto"/>
        <w:rPr>
          <w:sz w:val="20"/>
          <w:szCs w:val="20"/>
          <w:color w:val="auto"/>
        </w:rPr>
      </w:pPr>
      <w:r>
        <w:rPr>
          <w:rFonts w:ascii="Times New Roman" w:cs="Times New Roman" w:eastAsia="Times New Roman" w:hAnsi="Times New Roman"/>
          <w:sz w:val="20"/>
          <w:szCs w:val="20"/>
          <w:color w:val="auto"/>
        </w:rPr>
        <w:t>bank or assignee of proceeds thereunder or proper venue with respect to any litigation arising out of or relating to such Letter of Credit with,</w:t>
      </w:r>
    </w:p>
    <w:p>
      <w:pPr>
        <w:spacing w:after="0" w:line="221" w:lineRule="auto"/>
        <w:rPr>
          <w:sz w:val="20"/>
          <w:szCs w:val="20"/>
          <w:color w:val="auto"/>
        </w:rPr>
      </w:pPr>
      <w:r>
        <w:rPr>
          <w:rFonts w:ascii="Times New Roman" w:cs="Times New Roman" w:eastAsia="Times New Roman" w:hAnsi="Times New Roman"/>
          <w:sz w:val="20"/>
          <w:szCs w:val="20"/>
          <w:color w:val="auto"/>
        </w:rPr>
        <w:t>or affecting the rights of, any Person not a party to this Agreement, whether or not such Letter of Credit contains its own jurisdiction submission clause.</w:t>
      </w:r>
    </w:p>
    <w:p>
      <w:pPr>
        <w:spacing w:after="0" w:line="162" w:lineRule="exact"/>
        <w:rPr>
          <w:sz w:val="20"/>
          <w:szCs w:val="20"/>
          <w:color w:val="auto"/>
        </w:rPr>
      </w:pPr>
    </w:p>
    <w:p>
      <w:pPr>
        <w:jc w:val="both"/>
        <w:ind w:firstLine="656"/>
        <w:spacing w:after="0" w:line="220" w:lineRule="auto"/>
        <w:tabs>
          <w:tab w:leader="none" w:pos="1090"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33"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43" w:lineRule="exact"/>
        <w:rPr>
          <w:sz w:val="20"/>
          <w:szCs w:val="20"/>
          <w:color w:val="auto"/>
        </w:rPr>
      </w:pPr>
    </w:p>
    <w:p>
      <w:pPr>
        <w:ind w:left="660"/>
        <w:spacing w:after="0"/>
        <w:tabs>
          <w:tab w:leader="none" w:pos="2380" w:val="left"/>
        </w:tabs>
        <w:rPr>
          <w:sz w:val="20"/>
          <w:szCs w:val="20"/>
          <w:color w:val="auto"/>
        </w:rPr>
      </w:pPr>
      <w:r>
        <w:rPr>
          <w:rFonts w:ascii="Times New Roman" w:cs="Times New Roman" w:eastAsia="Times New Roman" w:hAnsi="Times New Roman"/>
          <w:sz w:val="20"/>
          <w:szCs w:val="20"/>
          <w:color w:val="010000"/>
        </w:rPr>
        <w:t>SECTION 9.10.</w:t>
      </w:r>
      <w:r>
        <w:rPr>
          <w:sz w:val="20"/>
          <w:szCs w:val="20"/>
          <w:color w:val="auto"/>
        </w:rPr>
        <w:tab/>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w:t>
      </w:r>
    </w:p>
    <w:p>
      <w:pPr>
        <w:spacing w:after="0" w:line="204" w:lineRule="auto"/>
        <w:rPr>
          <w:sz w:val="20"/>
          <w:szCs w:val="20"/>
          <w:color w:val="auto"/>
        </w:rPr>
      </w:pPr>
      <w:r>
        <w:rPr>
          <w:rFonts w:ascii="Times New Roman" w:cs="Times New Roman" w:eastAsia="Times New Roman" w:hAnsi="Times New Roman"/>
          <w:sz w:val="20"/>
          <w:szCs w:val="20"/>
          <w:color w:val="auto"/>
        </w:rPr>
        <w:t>FULLEST EXTENT PERMITTED BY APPLICABLE LAW, ANY RIGHT IT MAY HAVE TO A TRIAL BY JURY IN ANY LEGAL PROCEEDING DIRECTLY OR INDIRECTLY ARISING OUT OF OR RELATING TO THIS AGREEMENT, ANY OTHER LOAN</w:t>
      </w:r>
    </w:p>
    <w:p>
      <w:pPr>
        <w:spacing w:after="0" w:line="211" w:lineRule="auto"/>
        <w:rPr>
          <w:sz w:val="20"/>
          <w:szCs w:val="20"/>
          <w:color w:val="auto"/>
        </w:rPr>
      </w:pPr>
      <w:r>
        <w:rPr>
          <w:rFonts w:ascii="Times New Roman" w:cs="Times New Roman" w:eastAsia="Times New Roman" w:hAnsi="Times New Roman"/>
          <w:sz w:val="20"/>
          <w:szCs w:val="20"/>
          <w:color w:val="auto"/>
        </w:rPr>
        <w:t>DOCUMENT OR THE TRANSACTIONS CONTEMPLATED HEREBY OR THEREBY (WHETHER BASED ON CONTRACT, TORT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ANY OTHER THEORY). EACH PARTY HERETO (A) CERTIFIES THAT NO REPRESENTATIVE OR OTHER AGENT (INCLUDING ANY ATTORNEY) OF ANY OTHER PARTY HAS REPRESENTED, EXPRESSLY OR OTHERWISE, THAT SUCH</w:t>
      </w:r>
    </w:p>
    <w:p>
      <w:pPr>
        <w:spacing w:after="0" w:line="211" w:lineRule="auto"/>
        <w:rPr>
          <w:sz w:val="20"/>
          <w:szCs w:val="20"/>
          <w:color w:val="auto"/>
        </w:rPr>
      </w:pPr>
      <w:r>
        <w:rPr>
          <w:rFonts w:ascii="Times New Roman" w:cs="Times New Roman" w:eastAsia="Times New Roman" w:hAnsi="Times New Roman"/>
          <w:sz w:val="20"/>
          <w:szCs w:val="20"/>
          <w:color w:val="auto"/>
        </w:rPr>
        <w:t>OTHER PARTY WOULD NOT, IN THE EVENT OF LITIGATION, SEEK TO ENFORCE THE FOREGOING WAIVER AND (B)</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BY, AMONG OTHER THINGS, THE MUTUAL WAIVERS AND CERTIFICATIONS IN THIS SECTION.</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 reference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only, are not part of this Agreement and shall not affect the construction of, or be taken into consideration in interpreting, this Agreement.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9.12. </w:t>
      </w:r>
      <w:r>
        <w:rPr>
          <w:rFonts w:ascii="Times New Roman" w:cs="Times New Roman" w:eastAsia="Times New Roman" w:hAnsi="Times New Roman"/>
          <w:sz w:val="20"/>
          <w:szCs w:val="20"/>
          <w:u w:val="single" w:color="auto"/>
          <w:color w:val="000000"/>
        </w:rPr>
        <w:t>Confidentiality</w:t>
      </w:r>
      <w:r>
        <w:rPr>
          <w:rFonts w:ascii="Times New Roman" w:cs="Times New Roman" w:eastAsia="Times New Roman" w:hAnsi="Times New Roman"/>
          <w:sz w:val="20"/>
          <w:szCs w:val="20"/>
          <w:color w:val="000000"/>
        </w:rPr>
        <w:t>. Each of the Administrative Agent, the Issuing Bank and the Lenders agrees to maintain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confidentiality of the Information (as defined below), except that Information may be disclosed (a) to its Affiliates and to its and their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respective directors, officers, employees and agents, including accountants, legal counsel and other advisors (it being understood that the Persons to whom such disclosure is made will be informed of the confidential nature of such Information and instructed to keep such</w:t>
      </w:r>
    </w:p>
    <w:p>
      <w:pPr>
        <w:spacing w:after="0" w:line="211" w:lineRule="auto"/>
        <w:rPr>
          <w:sz w:val="20"/>
          <w:szCs w:val="20"/>
          <w:color w:val="auto"/>
        </w:rPr>
      </w:pPr>
      <w:r>
        <w:rPr>
          <w:rFonts w:ascii="Times New Roman" w:cs="Times New Roman" w:eastAsia="Times New Roman" w:hAnsi="Times New Roman"/>
          <w:sz w:val="20"/>
          <w:szCs w:val="20"/>
          <w:color w:val="auto"/>
        </w:rPr>
        <w:t>Information confidential), (b) to the extent requested by any Governmental Authority (including any self-regulatory authority, such as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National Association of Insurance Commissioners), (c) to the extent required by any Requirement of Law or by any subpoena or similar legal process, (d) to any other party to this Agreement, (e) in connection with the exercise of any remedies hereunder or under any other Loan</w:t>
      </w:r>
    </w:p>
    <w:p>
      <w:pPr>
        <w:spacing w:after="0" w:line="222" w:lineRule="auto"/>
        <w:rPr>
          <w:sz w:val="20"/>
          <w:szCs w:val="20"/>
          <w:color w:val="auto"/>
        </w:rPr>
      </w:pPr>
      <w:r>
        <w:rPr>
          <w:rFonts w:ascii="Times New Roman" w:cs="Times New Roman" w:eastAsia="Times New Roman" w:hAnsi="Times New Roman"/>
          <w:sz w:val="19"/>
          <w:szCs w:val="19"/>
          <w:color w:val="auto"/>
        </w:rPr>
        <w:t>Document or any suit, action or proceeding relating to this Agreement or any other Loan Document or the enforcement of rights hereunder or</w:t>
      </w:r>
    </w:p>
    <w:p>
      <w:pPr>
        <w:spacing w:after="0" w:line="204" w:lineRule="auto"/>
        <w:rPr>
          <w:sz w:val="20"/>
          <w:szCs w:val="20"/>
          <w:color w:val="auto"/>
        </w:rPr>
      </w:pPr>
      <w:r>
        <w:rPr>
          <w:rFonts w:ascii="Times New Roman" w:cs="Times New Roman" w:eastAsia="Times New Roman" w:hAnsi="Times New Roman"/>
          <w:sz w:val="20"/>
          <w:szCs w:val="20"/>
          <w:color w:val="auto"/>
        </w:rPr>
        <w:t>thereunder, (f) subject to an agreement containing provisions substantially the same as those of this Section, to (x) any assignee of or Participant in, or any prospective assignee of or Participant in, any of its rights or obligations under this Agreement or (y) any actual or</w:t>
      </w:r>
    </w:p>
    <w:p>
      <w:pPr>
        <w:spacing w:after="0" w:line="211" w:lineRule="auto"/>
        <w:rPr>
          <w:sz w:val="20"/>
          <w:szCs w:val="20"/>
          <w:color w:val="auto"/>
        </w:rPr>
      </w:pPr>
      <w:r>
        <w:rPr>
          <w:rFonts w:ascii="Times New Roman" w:cs="Times New Roman" w:eastAsia="Times New Roman" w:hAnsi="Times New Roman"/>
          <w:sz w:val="20"/>
          <w:szCs w:val="20"/>
          <w:color w:val="auto"/>
        </w:rPr>
        <w:t>prospective counterparty (or its advisors) to any swap or derivative transaction relating to the Loan Parties and their obligations, (g) on a</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confidential basis to (1) any rating agency in connection with rating the Borrower or its Subsidiaries or the credit facility provided for herein or (2) the CUSIP Service Bureau or any similar agency in connection with the issuance and monitoring of CUSIP numbers with respect to the</w:t>
      </w:r>
    </w:p>
    <w:p>
      <w:pPr>
        <w:spacing w:after="0"/>
        <w:rPr>
          <w:sz w:val="20"/>
          <w:szCs w:val="20"/>
          <w:color w:val="auto"/>
        </w:rPr>
      </w:pPr>
      <w:r>
        <w:rPr>
          <w:rFonts w:ascii="Times New Roman" w:cs="Times New Roman" w:eastAsia="Times New Roman" w:hAnsi="Times New Roman"/>
          <w:sz w:val="20"/>
          <w:szCs w:val="20"/>
          <w:color w:val="auto"/>
        </w:rPr>
        <w:t>credit facility provided for herein, (h) with the consent of the</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(i) to any Person providing a Guarantee of all or any portion of the Secured Obligations, or (j) to the extent such Information (x)</w:t>
      </w:r>
    </w:p>
    <w:p>
      <w:pPr>
        <w:jc w:val="both"/>
        <w:spacing w:after="0" w:line="215" w:lineRule="auto"/>
        <w:rPr>
          <w:sz w:val="20"/>
          <w:szCs w:val="20"/>
          <w:color w:val="auto"/>
        </w:rPr>
      </w:pPr>
      <w:r>
        <w:rPr>
          <w:rFonts w:ascii="Times New Roman" w:cs="Times New Roman" w:eastAsia="Times New Roman" w:hAnsi="Times New Roman"/>
          <w:sz w:val="19"/>
          <w:szCs w:val="19"/>
          <w:color w:val="auto"/>
        </w:rPr>
        <w:t>becomes publicly available other than as a result of a breach of this Section or (y) 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means</w:t>
      </w:r>
    </w:p>
    <w:p>
      <w:pPr>
        <w:spacing w:after="0" w:line="211" w:lineRule="auto"/>
        <w:rPr>
          <w:sz w:val="20"/>
          <w:szCs w:val="20"/>
          <w:color w:val="auto"/>
        </w:rPr>
      </w:pPr>
      <w:r>
        <w:rPr>
          <w:rFonts w:ascii="Times New Roman" w:cs="Times New Roman" w:eastAsia="Times New Roman" w:hAnsi="Times New Roman"/>
          <w:sz w:val="20"/>
          <w:szCs w:val="20"/>
          <w:color w:val="auto"/>
        </w:rPr>
        <w:t>all information received from the Borrower relating to the Borrower or its business, other than any such information that is available to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the Issuing Bank or any Lender on a non-confidential basis prior to disclosure by the Borrower and other than information pertaining to this Agreement provided by arrangers to data service providers, including league table providers, that serve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after the date hereof, such information is clearly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w:t>
      </w:r>
    </w:p>
    <w:p>
      <w:pPr>
        <w:spacing w:after="0"/>
        <w:rPr>
          <w:sz w:val="20"/>
          <w:szCs w:val="20"/>
          <w:color w:val="auto"/>
        </w:rPr>
      </w:pPr>
      <w:r>
        <w:rPr>
          <w:rFonts w:ascii="Times New Roman" w:cs="Times New Roman" w:eastAsia="Times New Roman" w:hAnsi="Times New Roman"/>
          <w:sz w:val="20"/>
          <w:szCs w:val="20"/>
          <w:color w:val="auto"/>
        </w:rPr>
        <w:t>confidentiality of such Information as such Person would accord to its own confidential information.</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EACH LENDER ACKNOWLEDGES THAT INFORMATION AS DEFINED IN SECTION 9.12 FURNISHED TO IT PURSUANT TO THIS AGREEMENT MAY INCLUDE MATERIAL NON-PUBLIC INFORMATION CONCERNING THE BORROWER, THE</w:t>
      </w:r>
    </w:p>
    <w:p>
      <w:pPr>
        <w:spacing w:after="0" w:line="222" w:lineRule="auto"/>
        <w:rPr>
          <w:sz w:val="20"/>
          <w:szCs w:val="20"/>
          <w:color w:val="auto"/>
        </w:rPr>
      </w:pPr>
      <w:r>
        <w:rPr>
          <w:rFonts w:ascii="Times New Roman" w:cs="Times New Roman" w:eastAsia="Times New Roman" w:hAnsi="Times New Roman"/>
          <w:sz w:val="19"/>
          <w:szCs w:val="19"/>
          <w:color w:val="auto"/>
        </w:rPr>
        <w:t>OTHER LOAN PARTIES AND THEIR RELATED PARTIES OR THEIR RESPECTIVE SECURITIES, AND CONFIRMS THAT IT HAS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DEVELOPED COMPLIANCE PROCEDURES REGARDING THE USE OF MATERIAL NON-PUBLIC INFORMATION AND THAT IT WILL HANDLE SUCH MATERIAL NON-PUBLIC INFORMATION IN ACCORDANCE WITH THOSE PROCEDURES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LAW, INCLUDING FEDERAL AND STATE SECURITIES LAWS.</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w:t>
      </w:r>
    </w:p>
    <w:p>
      <w:pPr>
        <w:jc w:val="both"/>
        <w:spacing w:after="0" w:line="204" w:lineRule="auto"/>
        <w:rPr>
          <w:sz w:val="20"/>
          <w:szCs w:val="20"/>
          <w:color w:val="auto"/>
        </w:rPr>
      </w:pPr>
      <w:r>
        <w:rPr>
          <w:rFonts w:ascii="Times New Roman" w:cs="Times New Roman" w:eastAsia="Times New Roman" w:hAnsi="Times New Roman"/>
          <w:sz w:val="20"/>
          <w:szCs w:val="20"/>
          <w:color w:val="auto"/>
        </w:rPr>
        <w:t>SYNDICATE-LEVEL INFORMATION, WHICH MAY CONTAIN MATERIAL NON-PUBLIC INFORMATION ABOUT THE BORROWER, THE OTHER LOAN PARTIES AND THEIR RELATED PARTIES OR THEIR RESPECTIVE SECURITIES.</w:t>
      </w:r>
    </w:p>
    <w:p>
      <w:pPr>
        <w:spacing w:after="0" w:line="211" w:lineRule="auto"/>
        <w:rPr>
          <w:sz w:val="20"/>
          <w:szCs w:val="20"/>
          <w:color w:val="auto"/>
        </w:rPr>
      </w:pPr>
      <w:r>
        <w:rPr>
          <w:rFonts w:ascii="Times New Roman" w:cs="Times New Roman" w:eastAsia="Times New Roman" w:hAnsi="Times New Roman"/>
          <w:sz w:val="20"/>
          <w:szCs w:val="20"/>
          <w:color w:val="auto"/>
        </w:rPr>
        <w:t>ACCORDINGLY, EACH LENDER REPRESENTS TO THE BORROWER AND THE ADMINISTRATIVE AGENT THAT IT HAS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IDENTIFIED IN ITS ADMINISTRATIVE QUESTIONNAIRE A CREDIT CONTACT WHO MAY RECEIVE INFORMATION THAT MAY CONTAIN MATERIAL NON-PUBLIC INFORMATION IN ACCORDANCE WITH ITS COMPLIANCE PROCEDURES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LAW, INCLUDING FEDERAL AND STATE SECURITIES LAWS.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9.13. </w:t>
      </w:r>
      <w:r>
        <w:rPr>
          <w:rFonts w:ascii="Times New Roman" w:cs="Times New Roman" w:eastAsia="Times New Roman" w:hAnsi="Times New Roman"/>
          <w:sz w:val="20"/>
          <w:szCs w:val="20"/>
          <w:u w:val="single" w:color="auto"/>
          <w:color w:val="000000"/>
        </w:rPr>
        <w:t>Several Obligations; Nonreliance; Violation of Law</w:t>
      </w:r>
      <w:r>
        <w:rPr>
          <w:rFonts w:ascii="Times New Roman" w:cs="Times New Roman" w:eastAsia="Times New Roman" w:hAnsi="Times New Roman"/>
          <w:sz w:val="20"/>
          <w:szCs w:val="20"/>
          <w:color w:val="000000"/>
        </w:rPr>
        <w:t>. The respective obligations of the Lenders hereunder are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several and not joint and the failure of any Lender to make any Loan or perform any of its obligations hereunder shall not relieve any other</w:t>
      </w:r>
    </w:p>
    <w:p>
      <w:pPr>
        <w:spacing w:after="0" w:line="212" w:lineRule="auto"/>
        <w:rPr>
          <w:sz w:val="20"/>
          <w:szCs w:val="20"/>
          <w:color w:val="auto"/>
        </w:rPr>
      </w:pPr>
      <w:r>
        <w:rPr>
          <w:rFonts w:ascii="Times New Roman" w:cs="Times New Roman" w:eastAsia="Times New Roman" w:hAnsi="Times New Roman"/>
          <w:sz w:val="20"/>
          <w:szCs w:val="20"/>
          <w:color w:val="auto"/>
        </w:rPr>
        <w:t>Lender from any of its obligations hereunder. Each Lender hereby represents that it is not relying on or looking to any margin stock (as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defined in Regulation U of the Federal Reserve Board) for the repayment of the Borrowings provided for herein. Anything contained in this Agreement to the contrary notwithstanding, neither the Issuing Bank nor any Lender shall be obligated to extend credit to the Borrower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violation of any Requirement of Law.</w:t>
      </w:r>
    </w:p>
    <w:p>
      <w:pPr>
        <w:spacing w:after="0" w:line="167" w:lineRule="exact"/>
        <w:rPr>
          <w:sz w:val="20"/>
          <w:szCs w:val="20"/>
          <w:color w:val="auto"/>
        </w:rPr>
      </w:pPr>
    </w:p>
    <w:p>
      <w:pPr>
        <w:jc w:val="both"/>
        <w:ind w:right="20"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9.14. </w:t>
      </w:r>
      <w:r>
        <w:rPr>
          <w:rFonts w:ascii="Times New Roman" w:cs="Times New Roman" w:eastAsia="Times New Roman" w:hAnsi="Times New Roman"/>
          <w:sz w:val="20"/>
          <w:szCs w:val="20"/>
          <w:u w:val="single" w:color="auto"/>
          <w:color w:val="000000"/>
        </w:rPr>
        <w:t>USA PATRIOT Act</w:t>
      </w:r>
      <w:r>
        <w:rPr>
          <w:rFonts w:ascii="Times New Roman" w:cs="Times New Roman" w:eastAsia="Times New Roman" w:hAnsi="Times New Roman"/>
          <w:sz w:val="20"/>
          <w:szCs w:val="20"/>
          <w:color w:val="000000"/>
        </w:rPr>
        <w:t>. Each Lender that is subject to the requirements of the USA PATRIOT Act hereby notifies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Loan Party that pursuant to the requirements of the USA PATRIOT Act, it is required to obtain, verify and record information that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identifies such Loan Party, which information includes the name and address of such Loan Party and other information that will allow such Lender to identify such Loan Party in accordance with the USA PATRIOT Act.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010000"/>
        </w:rPr>
        <w:t xml:space="preserve">SECTION 9.15.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Each Loan Party, each Lender and the Issuing Bank hereby acknowledges and agrees that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Administrative Agent and/or its Affiliates from time to time may hold investments in, make other loans to or have other relationships with, any of the Loan Parties and their respective Affiliates.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010000"/>
        </w:rPr>
        <w:t xml:space="preserve">SECTION 9.16. </w:t>
      </w:r>
      <w:r>
        <w:rPr>
          <w:rFonts w:ascii="Times New Roman" w:cs="Times New Roman" w:eastAsia="Times New Roman" w:hAnsi="Times New Roman"/>
          <w:sz w:val="20"/>
          <w:szCs w:val="20"/>
          <w:u w:val="single" w:color="auto"/>
          <w:color w:val="000000"/>
        </w:rPr>
        <w:t>Appointment for Perfection</w:t>
      </w:r>
      <w:r>
        <w:rPr>
          <w:rFonts w:ascii="Times New Roman" w:cs="Times New Roman" w:eastAsia="Times New Roman" w:hAnsi="Times New Roman"/>
          <w:sz w:val="20"/>
          <w:szCs w:val="20"/>
          <w:color w:val="000000"/>
        </w:rPr>
        <w:t>. Each Lender hereby appoints each other Lender as its agent for the purpose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perfecting Liens, for the benefit of the Administrative Agent and the Secured Parties, in assets which, in accordance with Article 9 of the UCC or any other applicable law can be</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perfected only by possession or control. Should any Lender (other than the Administrative Agent) obtain possession or control of any such</w:t>
      </w:r>
    </w:p>
    <w:p>
      <w:pPr>
        <w:spacing w:after="0" w:line="204" w:lineRule="auto"/>
        <w:rPr>
          <w:sz w:val="20"/>
          <w:szCs w:val="20"/>
          <w:color w:val="auto"/>
        </w:rPr>
      </w:pPr>
      <w:r>
        <w:rPr>
          <w:rFonts w:ascii="Times New Roman" w:cs="Times New Roman" w:eastAsia="Times New Roman" w:hAnsi="Times New Roman"/>
          <w:sz w:val="20"/>
          <w:szCs w:val="20"/>
          <w:color w:val="auto"/>
        </w:rPr>
        <w:t>Collateral, such Lender shall notify the Administrative Agent thereof, and, promptly upon the Administrative Agent’s request therefor shall deliver such Collateral to the Administrative Agent or otherwise deal with such Collateral in accordance with the Administrative Agent’s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instructions.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u w:val="single" w:color="auto"/>
          <w:color w:val="000000"/>
        </w:rPr>
        <w:t>Interest Rate Limitation</w:t>
      </w:r>
      <w:r>
        <w:rPr>
          <w:rFonts w:ascii="Times New Roman" w:cs="Times New Roman" w:eastAsia="Times New Roman" w:hAnsi="Times New Roman"/>
          <w:sz w:val="20"/>
          <w:szCs w:val="20"/>
          <w:color w:val="000000"/>
        </w:rPr>
        <w:t>. Notwithstanding anything herein to the contrary, if at any time the interest rate applicable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any Loan, together with all fees, charges and other amounts which are treated as interest on such Loan under applicable law (collectively</w:t>
      </w:r>
    </w:p>
    <w:p>
      <w:pPr>
        <w:spacing w:after="0" w:line="212"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reserved by the Lender holding such Loan in accordance with applicable law, the rate of interest payable in respect of such Loan hereunder, together with all Charges payable in respect thereof, shall be limited to the Maximum Rate.</w:t>
      </w:r>
    </w:p>
    <w:p>
      <w:pPr>
        <w:spacing w:after="0" w:line="156"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20"/>
          <w:szCs w:val="20"/>
          <w:color w:val="010000"/>
        </w:rPr>
        <w:t>SECTION 9.18.</w:t>
      </w:r>
      <w:r>
        <w:rPr>
          <w:sz w:val="20"/>
          <w:szCs w:val="20"/>
          <w:color w:val="auto"/>
        </w:rPr>
        <w:tab/>
      </w:r>
      <w:r>
        <w:rPr>
          <w:rFonts w:ascii="Times New Roman" w:cs="Times New Roman" w:eastAsia="Times New Roman" w:hAnsi="Times New Roman"/>
          <w:sz w:val="20"/>
          <w:szCs w:val="20"/>
          <w:u w:val="single" w:color="auto"/>
          <w:color w:val="auto"/>
        </w:rPr>
        <w:t>No Fiduciary Duty, etc.</w:t>
      </w:r>
      <w:r>
        <w:rPr>
          <w:rFonts w:ascii="Times New Roman" w:cs="Times New Roman" w:eastAsia="Times New Roman" w:hAnsi="Times New Roman"/>
          <w:sz w:val="20"/>
          <w:szCs w:val="20"/>
          <w:color w:val="auto"/>
        </w:rPr>
        <w:t>. (a) Each Loan Party acknowledges and agrees, and acknowledges its Subsidiaries’</w:t>
      </w:r>
    </w:p>
    <w:p>
      <w:pPr>
        <w:spacing w:after="0" w:line="215" w:lineRule="auto"/>
        <w:rPr>
          <w:sz w:val="20"/>
          <w:szCs w:val="20"/>
          <w:color w:val="auto"/>
        </w:rPr>
      </w:pPr>
      <w:r>
        <w:rPr>
          <w:rFonts w:ascii="Times New Roman" w:cs="Times New Roman" w:eastAsia="Times New Roman" w:hAnsi="Times New Roman"/>
          <w:sz w:val="19"/>
          <w:szCs w:val="19"/>
          <w:color w:val="auto"/>
        </w:rPr>
        <w:t>understanding, that no Credit Party will have any obligations except those obligations expressly set forth herein and in the other Loan Documents and each Credit Party is acting solely in the capacity of an arm’s length contractual counterparty to the Loan Parties with respect</w:t>
      </w:r>
    </w:p>
    <w:p>
      <w:pPr>
        <w:spacing w:after="0" w:line="211" w:lineRule="auto"/>
        <w:rPr>
          <w:sz w:val="20"/>
          <w:szCs w:val="20"/>
          <w:color w:val="auto"/>
        </w:rPr>
      </w:pPr>
      <w:r>
        <w:rPr>
          <w:rFonts w:ascii="Times New Roman" w:cs="Times New Roman" w:eastAsia="Times New Roman" w:hAnsi="Times New Roman"/>
          <w:sz w:val="20"/>
          <w:szCs w:val="20"/>
          <w:color w:val="auto"/>
        </w:rPr>
        <w:t>to the Loan Documents and the transactions contemplated therein and not as a financial advisor or a fiduciary to, or an agent of, any Loan</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Party or any other person. Each Loan Party agrees that it will not assert any claim against any Credit Party based on an alleged breach of fiduciary duty by such Credit Party in connection with this Agreement and the transactions contemplated by the Loan Documents.</w:t>
      </w:r>
    </w:p>
    <w:p>
      <w:pPr>
        <w:spacing w:after="0" w:line="211" w:lineRule="auto"/>
        <w:rPr>
          <w:sz w:val="20"/>
          <w:szCs w:val="20"/>
          <w:color w:val="auto"/>
        </w:rPr>
      </w:pPr>
      <w:r>
        <w:rPr>
          <w:rFonts w:ascii="Times New Roman" w:cs="Times New Roman" w:eastAsia="Times New Roman" w:hAnsi="Times New Roman"/>
          <w:sz w:val="20"/>
          <w:szCs w:val="20"/>
          <w:color w:val="auto"/>
        </w:rPr>
        <w:t>Additionally, each Loan Party acknowledges and agrees that no Credit Party is advising the Loan Parties as to any legal, tax, investment,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accounting, regulatory or any other matters in any jurisdiction. Each Loan Party shall consult with its own advisors concerning such matters and shall be responsible for making its own independent investigation and appraisal of the transactions contemplated by the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and the Credit Parties shall have no responsibility or liability to any Loan Party with respect thereto.</w:t>
      </w:r>
    </w:p>
    <w:p>
      <w:pPr>
        <w:spacing w:after="0" w:line="153" w:lineRule="exact"/>
        <w:rPr>
          <w:sz w:val="20"/>
          <w:szCs w:val="20"/>
          <w:color w:val="auto"/>
        </w:rPr>
      </w:pPr>
    </w:p>
    <w:p>
      <w:pPr>
        <w:jc w:val="both"/>
        <w:ind w:firstLine="656"/>
        <w:spacing w:after="0" w:line="215" w:lineRule="auto"/>
        <w:tabs>
          <w:tab w:leader="none" w:pos="11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or its Affiliates and other companies with which any Loan Party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16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w:t>
      </w:r>
    </w:p>
    <w:p>
      <w:pPr>
        <w:spacing w:after="0" w:line="157"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0"/>
          <w:szCs w:val="20"/>
          <w:color w:val="010000"/>
        </w:rPr>
        <w:t>SECTION 9.19.</w:t>
      </w:r>
      <w:r>
        <w:rPr>
          <w:sz w:val="20"/>
          <w:szCs w:val="20"/>
          <w:color w:val="auto"/>
        </w:rPr>
        <w:tab/>
      </w:r>
      <w:r>
        <w:rPr>
          <w:rFonts w:ascii="Times New Roman" w:cs="Times New Roman" w:eastAsia="Times New Roman" w:hAnsi="Times New Roman"/>
          <w:sz w:val="20"/>
          <w:szCs w:val="20"/>
          <w:u w:val="single" w:color="auto"/>
          <w:color w:val="auto"/>
        </w:rPr>
        <w:t>Marketing Consent</w:t>
      </w:r>
      <w:r>
        <w:rPr>
          <w:rFonts w:ascii="Times New Roman" w:cs="Times New Roman" w:eastAsia="Times New Roman" w:hAnsi="Times New Roman"/>
          <w:sz w:val="20"/>
          <w:szCs w:val="20"/>
          <w:color w:val="auto"/>
        </w:rPr>
        <w:t>. The Borrower hereby authorizes Chase and its affiliates (collectively, the “</w:t>
      </w:r>
      <w:r>
        <w:rPr>
          <w:rFonts w:ascii="Times New Roman" w:cs="Times New Roman" w:eastAsia="Times New Roman" w:hAnsi="Times New Roman"/>
          <w:sz w:val="20"/>
          <w:szCs w:val="20"/>
          <w:u w:val="single" w:color="auto"/>
          <w:color w:val="auto"/>
        </w:rPr>
        <w:t xml:space="preserve">Chase </w:t>
      </w:r>
      <w:r>
        <w:rPr>
          <w:rFonts w:ascii="Times New Roman" w:cs="Times New Roman" w:eastAsia="Times New Roman" w:hAnsi="Times New Roman"/>
          <w:sz w:val="20"/>
          <w:szCs w:val="20"/>
          <w:u w:val="single" w:color="auto"/>
          <w:color w:val="0000FF"/>
        </w:rPr>
        <w:t>Parties”),</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0000FF"/>
        </w:rPr>
        <w:t>MUFG and its affiliates (collectively, the “MUFG Parties”) and SVB and its affiliates (collectively, the “SVB</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Parties</w:t>
      </w:r>
      <w:r>
        <w:rPr>
          <w:rFonts w:ascii="Times New Roman" w:cs="Times New Roman" w:eastAsia="Times New Roman" w:hAnsi="Times New Roman"/>
          <w:sz w:val="20"/>
          <w:szCs w:val="20"/>
          <w:color w:val="000000"/>
        </w:rPr>
        <w:t>”), at their respective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sole expense, and without any prior approval by the Borrower, to include the Borrower’s name and logo in advertising, marketing,</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tombstones, case studies and training materials, and to give such other publicity to this Agreement as </w:t>
      </w:r>
      <w:r>
        <w:rPr>
          <w:rFonts w:ascii="Times New Roman" w:cs="Times New Roman" w:eastAsia="Times New Roman" w:hAnsi="Times New Roman"/>
          <w:sz w:val="19"/>
          <w:szCs w:val="19"/>
          <w:u w:val="single" w:color="auto"/>
          <w:color w:val="0000FF"/>
        </w:rPr>
        <w:t>the</w:t>
      </w:r>
      <w:r>
        <w:rPr>
          <w:rFonts w:ascii="Times New Roman" w:cs="Times New Roman" w:eastAsia="Times New Roman" w:hAnsi="Times New Roman"/>
          <w:sz w:val="19"/>
          <w:szCs w:val="19"/>
          <w:color w:val="auto"/>
        </w:rPr>
        <w:t xml:space="preserve"> Chase </w:t>
      </w:r>
      <w:r>
        <w:rPr>
          <w:rFonts w:ascii="Times New Roman" w:cs="Times New Roman" w:eastAsia="Times New Roman" w:hAnsi="Times New Roman"/>
          <w:sz w:val="19"/>
          <w:szCs w:val="19"/>
          <w:u w:val="single" w:color="auto"/>
          <w:color w:val="0000FF"/>
        </w:rPr>
        <w:t>Parties, the MUFG Parties or</w:t>
      </w:r>
    </w:p>
    <w:p>
      <w:pPr>
        <w:spacing w:after="0" w:line="221" w:lineRule="auto"/>
        <w:rPr>
          <w:sz w:val="20"/>
          <w:szCs w:val="20"/>
          <w:color w:val="auto"/>
        </w:rPr>
      </w:pPr>
      <w:r>
        <w:rPr>
          <w:rFonts w:ascii="Times New Roman" w:cs="Times New Roman" w:eastAsia="Times New Roman" w:hAnsi="Times New Roman"/>
          <w:sz w:val="20"/>
          <w:szCs w:val="20"/>
          <w:u w:val="single" w:color="auto"/>
          <w:color w:val="0000FF"/>
        </w:rPr>
        <w:t>the SVB</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Parties may from time to time determine in their sole discretion provided that notwithstanding the foregoing, no such advertising,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marketing, tombstones, case</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studies, training materials, or other publicity may disclose any information that is restricted from being disclosed pursuant to the Loan</w:t>
      </w:r>
    </w:p>
    <w:p>
      <w:pPr>
        <w:spacing w:after="0" w:line="221" w:lineRule="auto"/>
        <w:rPr>
          <w:sz w:val="20"/>
          <w:szCs w:val="20"/>
          <w:color w:val="auto"/>
        </w:rPr>
      </w:pPr>
      <w:r>
        <w:rPr>
          <w:rFonts w:ascii="Times New Roman" w:cs="Times New Roman" w:eastAsia="Times New Roman" w:hAnsi="Times New Roman"/>
          <w:sz w:val="20"/>
          <w:szCs w:val="20"/>
          <w:color w:val="auto"/>
        </w:rPr>
        <w:t>Documents or that has not previously been disclosed by the Borrower in an 8-K or similar public filing. The foregoing authorization shall remain in effect unless the Borrower notifies Chase</w:t>
      </w:r>
      <w:r>
        <w:rPr>
          <w:rFonts w:ascii="Times New Roman" w:cs="Times New Roman" w:eastAsia="Times New Roman" w:hAnsi="Times New Roman"/>
          <w:sz w:val="20"/>
          <w:szCs w:val="20"/>
          <w:u w:val="single" w:color="auto"/>
          <w:color w:val="0000FF"/>
        </w:rPr>
        <w:t>, MUFG or SVB</w:t>
      </w:r>
      <w:r>
        <w:rPr>
          <w:rFonts w:ascii="Times New Roman" w:cs="Times New Roman" w:eastAsia="Times New Roman" w:hAnsi="Times New Roman"/>
          <w:sz w:val="20"/>
          <w:szCs w:val="20"/>
          <w:color w:val="auto"/>
        </w:rPr>
        <w:t xml:space="preserve"> in writing that such authorization is revoked.</w:t>
      </w:r>
    </w:p>
    <w:p>
      <w:pPr>
        <w:spacing w:after="0" w:line="15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0"/>
          <w:szCs w:val="20"/>
          <w:color w:val="010000"/>
        </w:rPr>
        <w:t>SECTION 9.20.</w:t>
      </w:r>
      <w:r>
        <w:rPr>
          <w:sz w:val="20"/>
          <w:szCs w:val="20"/>
          <w:color w:val="auto"/>
        </w:rPr>
        <w:tab/>
      </w:r>
      <w:r>
        <w:rPr>
          <w:rFonts w:ascii="Times New Roman" w:cs="Times New Roman" w:eastAsia="Times New Roman" w:hAnsi="Times New Roman"/>
          <w:sz w:val="20"/>
          <w:szCs w:val="20"/>
          <w:u w:val="single" w:color="auto"/>
          <w:color w:val="auto"/>
        </w:rPr>
        <w:t>Acknowledgment and Consent to Bail-In of Affected Financial Institutions</w:t>
      </w:r>
      <w:r>
        <w:rPr>
          <w:rFonts w:ascii="Times New Roman" w:cs="Times New Roman" w:eastAsia="Times New Roman" w:hAnsi="Times New Roman"/>
          <w:sz w:val="20"/>
          <w:szCs w:val="20"/>
          <w:color w:val="auto"/>
        </w:rPr>
        <w:t>. Notwithstanding anything to the</w:t>
      </w:r>
    </w:p>
    <w:p>
      <w:pPr>
        <w:spacing w:after="0" w:line="204" w:lineRule="auto"/>
        <w:rPr>
          <w:sz w:val="20"/>
          <w:szCs w:val="20"/>
          <w:color w:val="auto"/>
        </w:rPr>
      </w:pPr>
      <w:r>
        <w:rPr>
          <w:rFonts w:ascii="Times New Roman" w:cs="Times New Roman" w:eastAsia="Times New Roman" w:hAnsi="Times New Roman"/>
          <w:sz w:val="20"/>
          <w:szCs w:val="20"/>
          <w:color w:val="auto"/>
        </w:rPr>
        <w:t>contrary in any Loan Document or in any other agreement, arrangement or understanding among any such parties, each party hereto acknowledges that any liability of any Affected Financial Institution arising under any Loan Document may be subject to the Write-Down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Conversion Powers of the applicable Resolution Authority and agrees and consents to, and acknowledges and agrees to be bound by:</w:t>
      </w:r>
    </w:p>
    <w:p>
      <w:pPr>
        <w:spacing w:after="0" w:line="167" w:lineRule="exact"/>
        <w:rPr>
          <w:sz w:val="20"/>
          <w:szCs w:val="20"/>
          <w:color w:val="auto"/>
        </w:rPr>
      </w:pPr>
    </w:p>
    <w:p>
      <w:pPr>
        <w:ind w:right="20" w:firstLine="656"/>
        <w:spacing w:after="0" w:line="233" w:lineRule="auto"/>
        <w:tabs>
          <w:tab w:leader="none" w:pos="1065"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0"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175"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855"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1" w:lineRule="exact"/>
        <w:rPr>
          <w:rFonts w:ascii="Times New Roman" w:cs="Times New Roman" w:eastAsia="Times New Roman" w:hAnsi="Times New Roman"/>
          <w:sz w:val="20"/>
          <w:szCs w:val="20"/>
          <w:color w:val="010000"/>
        </w:rPr>
      </w:pPr>
    </w:p>
    <w:p>
      <w:pPr>
        <w:ind w:left="660" w:right="20" w:firstLine="644"/>
        <w:spacing w:after="0"/>
        <w:tabs>
          <w:tab w:leader="none" w:pos="1829" w:val="left"/>
        </w:tabs>
        <w:numPr>
          <w:ilvl w:val="1"/>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2" w:lineRule="exact"/>
        <w:rPr>
          <w:sz w:val="20"/>
          <w:szCs w:val="20"/>
          <w:color w:val="auto"/>
        </w:rPr>
      </w:pPr>
    </w:p>
    <w:p>
      <w:pPr>
        <w:ind w:left="660"/>
        <w:spacing w:after="0"/>
        <w:tabs>
          <w:tab w:leader="none" w:pos="2120" w:val="left"/>
          <w:tab w:leader="none" w:pos="6680" w:val="left"/>
        </w:tabs>
        <w:rPr>
          <w:sz w:val="20"/>
          <w:szCs w:val="20"/>
          <w:color w:val="auto"/>
        </w:rPr>
      </w:pPr>
      <w:r>
        <w:rPr>
          <w:rFonts w:ascii="Times New Roman" w:cs="Times New Roman" w:eastAsia="Times New Roman" w:hAnsi="Times New Roman"/>
          <w:sz w:val="20"/>
          <w:szCs w:val="20"/>
          <w:color w:val="010000"/>
        </w:rPr>
        <w:t>SECTION 9.21.</w:t>
      </w:r>
      <w:r>
        <w:rPr>
          <w:sz w:val="20"/>
          <w:szCs w:val="20"/>
          <w:color w:val="auto"/>
        </w:rPr>
        <w:tab/>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 To the extent that the Loan Documents provide support,</w:t>
      </w:r>
    </w:p>
    <w:p>
      <w:pPr>
        <w:spacing w:after="0" w:line="204" w:lineRule="auto"/>
        <w:rPr>
          <w:sz w:val="20"/>
          <w:szCs w:val="20"/>
          <w:color w:val="auto"/>
        </w:rPr>
      </w:pPr>
      <w:r>
        <w:rPr>
          <w:rFonts w:ascii="Times New Roman" w:cs="Times New Roman" w:eastAsia="Times New Roman" w:hAnsi="Times New Roman"/>
          <w:sz w:val="20"/>
          <w:szCs w:val="20"/>
          <w:color w:val="auto"/>
        </w:rPr>
        <w:t>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w:t>
      </w:r>
    </w:p>
    <w:p>
      <w:pPr>
        <w:spacing w:after="0" w:line="211" w:lineRule="auto"/>
        <w:rPr>
          <w:sz w:val="20"/>
          <w:szCs w:val="20"/>
          <w:color w:val="auto"/>
        </w:rPr>
      </w:pPr>
      <w:r>
        <w:rPr>
          <w:rFonts w:ascii="Times New Roman" w:cs="Times New Roman" w:eastAsia="Times New Roman" w:hAnsi="Times New Roman"/>
          <w:sz w:val="20"/>
          <w:szCs w:val="20"/>
          <w:color w:val="auto"/>
        </w:rPr>
        <w:t>Federal Deposit Insurance Corporation under the Federal Deposit Insurance Act and Title II of the Dodd-Frank Wall Street Reform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w:t>
      </w:r>
    </w:p>
    <w:p>
      <w:pPr>
        <w:spacing w:after="0" w:line="228" w:lineRule="auto"/>
        <w:rPr>
          <w:sz w:val="20"/>
          <w:szCs w:val="20"/>
          <w:color w:val="auto"/>
        </w:rPr>
      </w:pPr>
      <w:r>
        <w:rPr>
          <w:rFonts w:ascii="Times New Roman" w:cs="Times New Roman" w:eastAsia="Times New Roman" w:hAnsi="Times New Roman"/>
          <w:sz w:val="20"/>
          <w:szCs w:val="20"/>
          <w:color w:val="auto"/>
        </w:rPr>
        <w:t>QFC may in fact be stated to be governed by the laws of the State of New York and/or of the United States or any other state of the United States):</w:t>
      </w:r>
    </w:p>
    <w:p>
      <w:pPr>
        <w:spacing w:after="0" w:line="14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 or under such Supported QFC and such QFC Credit Support, and any rights in property securing such Supported QFC or such QFC Credit Support) from such Covered Party will be effective to the same extent as the transfer would be effective under the U.S. Special Resolution</w:t>
      </w:r>
    </w:p>
    <w:p>
      <w:pPr>
        <w:spacing w:after="0" w:line="211" w:lineRule="auto"/>
        <w:rPr>
          <w:sz w:val="20"/>
          <w:szCs w:val="20"/>
          <w:color w:val="auto"/>
        </w:rPr>
      </w:pPr>
      <w:r>
        <w:rPr>
          <w:rFonts w:ascii="Times New Roman" w:cs="Times New Roman" w:eastAsia="Times New Roman" w:hAnsi="Times New Roman"/>
          <w:sz w:val="20"/>
          <w:szCs w:val="20"/>
          <w:color w:val="auto"/>
        </w:rPr>
        <w:t>Regime if the Supported QFC and such QFC Credit Support (and any such interest, obligation and rights in property) were governed by the</w:t>
      </w:r>
    </w:p>
    <w:p>
      <w:pPr>
        <w:spacing w:after="0" w:line="204" w:lineRule="auto"/>
        <w:rPr>
          <w:sz w:val="20"/>
          <w:szCs w:val="20"/>
          <w:color w:val="auto"/>
        </w:rPr>
      </w:pPr>
      <w:r>
        <w:rPr>
          <w:rFonts w:ascii="Times New Roman" w:cs="Times New Roman" w:eastAsia="Times New Roman" w:hAnsi="Times New Roman"/>
          <w:sz w:val="20"/>
          <w:szCs w:val="20"/>
          <w:color w:val="auto"/>
        </w:rPr>
        <w:t>laws of the United States or a state of the United States. In the event a Covered Party or a BHC Act Affiliate of a Covered Party becomes subject to a proceeding under a U.S. Special Resolution Regime, Default Rights under the Loan Documents that might otherwise apply to</w:t>
      </w:r>
    </w:p>
    <w:p>
      <w:pPr>
        <w:spacing w:after="0" w:line="223" w:lineRule="auto"/>
        <w:rPr>
          <w:sz w:val="20"/>
          <w:szCs w:val="20"/>
          <w:color w:val="auto"/>
        </w:rPr>
      </w:pPr>
      <w:r>
        <w:rPr>
          <w:rFonts w:ascii="Times New Roman" w:cs="Times New Roman" w:eastAsia="Times New Roman" w:hAnsi="Times New Roman"/>
          <w:sz w:val="19"/>
          <w:szCs w:val="19"/>
          <w:color w:val="auto"/>
        </w:rPr>
        <w:t>such Supported QFC or any QFC Credit Support that may be exercised against such Covered Party are permitted to be exercised to no greater</w:t>
      </w:r>
    </w:p>
    <w:p>
      <w:pPr>
        <w:spacing w:after="0" w:line="215" w:lineRule="auto"/>
        <w:rPr>
          <w:sz w:val="20"/>
          <w:szCs w:val="20"/>
          <w:color w:val="auto"/>
        </w:rPr>
      </w:pPr>
      <w:r>
        <w:rPr>
          <w:rFonts w:ascii="Times New Roman" w:cs="Times New Roman" w:eastAsia="Times New Roman" w:hAnsi="Times New Roman"/>
          <w:sz w:val="19"/>
          <w:szCs w:val="19"/>
          <w:color w:val="auto"/>
        </w:rPr>
        <w:t>extent than such Default Rights could be exercised under the U.S. Special Resolution Regime if the Supported QFC and the Loan Documents were governed by the laws of the United States or a state of the United States. Without limitation of the foregoing, it is understood and agreed</w:t>
      </w:r>
    </w:p>
    <w:p>
      <w:pPr>
        <w:ind w:right="20"/>
        <w:spacing w:after="0" w:line="228" w:lineRule="auto"/>
        <w:rPr>
          <w:sz w:val="20"/>
          <w:szCs w:val="20"/>
          <w:color w:val="auto"/>
        </w:rPr>
      </w:pPr>
      <w:r>
        <w:rPr>
          <w:rFonts w:ascii="Times New Roman" w:cs="Times New Roman" w:eastAsia="Times New Roman" w:hAnsi="Times New Roman"/>
          <w:sz w:val="20"/>
          <w:szCs w:val="20"/>
          <w:color w:val="auto"/>
        </w:rPr>
        <w:t>that rights and remedies of the parties with respect to a Defaulting Lender shall in no event affect the rights of any Covered Party with respect to a Supported QFC or any QFC Credit Support.</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8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0"/>
          <w:szCs w:val="20"/>
          <w:color w:val="010000"/>
        </w:rPr>
        <w:t>SECTION 10.01.</w:t>
      </w:r>
      <w:r>
        <w:rPr>
          <w:sz w:val="20"/>
          <w:szCs w:val="20"/>
          <w:color w:val="auto"/>
        </w:rPr>
        <w:tab/>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Each Loan Guarantor hereby agrees that it is jointly and severally liable for, and, as a primary obligor</w:t>
      </w:r>
    </w:p>
    <w:p>
      <w:pPr>
        <w:jc w:val="both"/>
        <w:spacing w:after="0" w:line="215" w:lineRule="auto"/>
        <w:rPr>
          <w:sz w:val="20"/>
          <w:szCs w:val="20"/>
          <w:color w:val="auto"/>
        </w:rPr>
      </w:pPr>
      <w:r>
        <w:rPr>
          <w:rFonts w:ascii="Times New Roman" w:cs="Times New Roman" w:eastAsia="Times New Roman" w:hAnsi="Times New Roman"/>
          <w:sz w:val="19"/>
          <w:szCs w:val="19"/>
          <w:color w:val="auto"/>
        </w:rPr>
        <w:t>and not merely as surety, absolutely, unconditionally and irrevocably guarantees to the Secured Parties, the prompt payment when due, whether at stated maturity, upon acceleration or otherwise, and at all times thereafter, of the Guaranteed Obligations of such Loan Guarantor.</w:t>
      </w:r>
    </w:p>
    <w:p>
      <w:pPr>
        <w:spacing w:after="0" w:line="211" w:lineRule="auto"/>
        <w:rPr>
          <w:sz w:val="20"/>
          <w:szCs w:val="20"/>
          <w:color w:val="auto"/>
        </w:rPr>
      </w:pPr>
      <w:r>
        <w:rPr>
          <w:rFonts w:ascii="Times New Roman" w:cs="Times New Roman" w:eastAsia="Times New Roman" w:hAnsi="Times New Roman"/>
          <w:sz w:val="20"/>
          <w:szCs w:val="20"/>
          <w:color w:val="auto"/>
        </w:rPr>
        <w:t>Each Loan Guarantor further agrees that the Guaranteed Obligations may be extended or renewed in whole or in part without notice to or</w:t>
      </w:r>
    </w:p>
    <w:p>
      <w:pPr>
        <w:spacing w:after="0" w:line="204" w:lineRule="auto"/>
        <w:rPr>
          <w:sz w:val="20"/>
          <w:szCs w:val="20"/>
          <w:color w:val="auto"/>
        </w:rPr>
      </w:pPr>
      <w:r>
        <w:rPr>
          <w:rFonts w:ascii="Times New Roman" w:cs="Times New Roman" w:eastAsia="Times New Roman" w:hAnsi="Times New Roman"/>
          <w:sz w:val="20"/>
          <w:szCs w:val="20"/>
          <w:color w:val="auto"/>
        </w:rPr>
        <w:t>further assent from it, and that it remains bound upon its guarantee notwithstanding any such extension or renewal. All terms of this Loan Guaranty apply to and may be enforced by or on behalf of any domestic or foreign branch or Affiliate of any Lender that extended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portion of the Guaranteed Obligations.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10.02. </w:t>
      </w:r>
      <w:r>
        <w:rPr>
          <w:rFonts w:ascii="Times New Roman" w:cs="Times New Roman" w:eastAsia="Times New Roman" w:hAnsi="Times New Roman"/>
          <w:sz w:val="20"/>
          <w:szCs w:val="20"/>
          <w:u w:val="single" w:color="auto"/>
          <w:color w:val="000000"/>
        </w:rPr>
        <w:t>Guaranty of Payment</w:t>
      </w:r>
      <w:r>
        <w:rPr>
          <w:rFonts w:ascii="Times New Roman" w:cs="Times New Roman" w:eastAsia="Times New Roman" w:hAnsi="Times New Roman"/>
          <w:sz w:val="20"/>
          <w:szCs w:val="20"/>
          <w:color w:val="000000"/>
        </w:rPr>
        <w:t>. This Loan Guaranty is a guaranty of payment and not of collection. Each Loan Guarantor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waives any right to require the Administrative Agent, the Issuing Bank or any Lender to sue the Borrower, any Loan Guarantor, any other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guarantor of,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149"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10.03.</w:t>
      </w:r>
      <w:r>
        <w:rPr>
          <w:sz w:val="20"/>
          <w:szCs w:val="20"/>
          <w:color w:val="auto"/>
        </w:rPr>
        <w:tab/>
      </w:r>
      <w:r>
        <w:rPr>
          <w:rFonts w:ascii="Times New Roman" w:cs="Times New Roman" w:eastAsia="Times New Roman" w:hAnsi="Times New Roman"/>
          <w:sz w:val="19"/>
          <w:szCs w:val="19"/>
          <w:u w:val="single" w:color="auto"/>
          <w:color w:val="auto"/>
        </w:rPr>
        <w:t>No Discharge or Diminishment of Loan Guaranty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5" w:lineRule="auto"/>
        <w:tabs>
          <w:tab w:leader="none" w:pos="1092" w:val="left"/>
        </w:tabs>
        <w:numPr>
          <w:ilvl w:val="1"/>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47"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84" w:val="left"/>
        </w:tabs>
        <w:numPr>
          <w:ilvl w:val="1"/>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61" w:lineRule="exact"/>
        <w:rPr>
          <w:rFonts w:ascii="Times New Roman" w:cs="Times New Roman" w:eastAsia="Times New Roman" w:hAnsi="Times New Roman"/>
          <w:sz w:val="20"/>
          <w:szCs w:val="20"/>
          <w:color w:val="010000"/>
        </w:rPr>
      </w:pPr>
    </w:p>
    <w:p>
      <w:pPr>
        <w:jc w:val="both"/>
        <w:ind w:firstLine="656"/>
        <w:spacing w:after="0" w:line="221" w:lineRule="auto"/>
        <w:tabs>
          <w:tab w:leader="none" w:pos="1065"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w:t>
      </w:r>
    </w:p>
    <w:p>
      <w:pPr>
        <w:spacing w:after="0" w:line="1" w:lineRule="exact"/>
        <w:rPr>
          <w:rFonts w:ascii="Times New Roman" w:cs="Times New Roman" w:eastAsia="Times New Roman" w:hAnsi="Times New Roman"/>
          <w:sz w:val="19"/>
          <w:szCs w:val="19"/>
          <w:color w:val="010000"/>
        </w:rPr>
      </w:pPr>
    </w:p>
    <w:p>
      <w:pPr>
        <w:jc w:val="both"/>
        <w:ind w:firstLine="8"/>
        <w:spacing w:after="0" w:line="215" w:lineRule="auto"/>
        <w:tabs>
          <w:tab w:leader="none" w:pos="34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010000"/>
        </w:rPr>
        <w:t xml:space="preserve">SECTION 10.04. </w:t>
      </w:r>
      <w:r>
        <w:rPr>
          <w:rFonts w:ascii="Times New Roman" w:cs="Times New Roman" w:eastAsia="Times New Roman" w:hAnsi="Times New Roman"/>
          <w:sz w:val="20"/>
          <w:szCs w:val="20"/>
          <w:u w:val="single" w:color="auto"/>
          <w:color w:val="000000"/>
        </w:rPr>
        <w:t>Defenses Waived</w:t>
      </w:r>
      <w:r>
        <w:rPr>
          <w:rFonts w:ascii="Times New Roman" w:cs="Times New Roman" w:eastAsia="Times New Roman" w:hAnsi="Times New Roman"/>
          <w:sz w:val="20"/>
          <w:szCs w:val="20"/>
          <w:color w:val="000000"/>
        </w:rPr>
        <w:t>. To the fullest extent permitted by applicable law, each Loan Guarantor hereby waives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defense based on or arising out of any defense of the Borrower or any Loan Guarantor or the unenforceability of all or any part of the Guaranteed Obligations from any</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cause, or the cessation from any cause of the liability of the Borrower, any Loan Guarantor or any other Obligated Party, other than the</w:t>
      </w:r>
    </w:p>
    <w:p>
      <w:pPr>
        <w:spacing w:after="0" w:line="215" w:lineRule="auto"/>
        <w:rPr>
          <w:sz w:val="20"/>
          <w:szCs w:val="20"/>
          <w:color w:val="auto"/>
        </w:rPr>
      </w:pPr>
      <w:r>
        <w:rPr>
          <w:rFonts w:ascii="Times New Roman" w:cs="Times New Roman" w:eastAsia="Times New Roman" w:hAnsi="Times New Roman"/>
          <w:sz w:val="19"/>
          <w:szCs w:val="19"/>
          <w:color w:val="auto"/>
        </w:rPr>
        <w:t>Payment in Full of the Guaranteed Obligations. Without limiting the generality of the foregoing, each Loan Guarantor irrevocably waives acceptance hereof, presentment, demand, protest and, to the fullest extent permitted by law, any notice not provided for herein, as well as any</w:t>
      </w:r>
    </w:p>
    <w:p>
      <w:pPr>
        <w:spacing w:after="0" w:line="211" w:lineRule="auto"/>
        <w:rPr>
          <w:sz w:val="20"/>
          <w:szCs w:val="20"/>
          <w:color w:val="auto"/>
        </w:rPr>
      </w:pPr>
      <w:r>
        <w:rPr>
          <w:rFonts w:ascii="Times New Roman" w:cs="Times New Roman" w:eastAsia="Times New Roman" w:hAnsi="Times New Roman"/>
          <w:sz w:val="20"/>
          <w:szCs w:val="20"/>
          <w:color w:val="auto"/>
        </w:rPr>
        <w:t>requirement that at any time any action be taken by any Person against any Obligated Party, or any other Person. Each Loan Guarantor</w:t>
      </w:r>
    </w:p>
    <w:p>
      <w:pPr>
        <w:spacing w:after="0" w:line="204" w:lineRule="auto"/>
        <w:rPr>
          <w:sz w:val="20"/>
          <w:szCs w:val="20"/>
          <w:color w:val="auto"/>
        </w:rPr>
      </w:pPr>
      <w:r>
        <w:rPr>
          <w:rFonts w:ascii="Times New Roman" w:cs="Times New Roman" w:eastAsia="Times New Roman" w:hAnsi="Times New Roman"/>
          <w:sz w:val="20"/>
          <w:szCs w:val="20"/>
          <w:color w:val="auto"/>
        </w:rPr>
        <w:t>confirms that it is not a surety under any state law and shall not raise any such law as a defense to its obligations hereunder. The Administrative Agent may, at its election, foreclose on any Collateral held by it by one or more judicial or nonjudicial sales, accept an</w:t>
      </w:r>
    </w:p>
    <w:p>
      <w:pPr>
        <w:spacing w:after="0" w:line="223" w:lineRule="auto"/>
        <w:rPr>
          <w:sz w:val="20"/>
          <w:szCs w:val="20"/>
          <w:color w:val="auto"/>
        </w:rPr>
      </w:pPr>
      <w:r>
        <w:rPr>
          <w:rFonts w:ascii="Times New Roman" w:cs="Times New Roman" w:eastAsia="Times New Roman" w:hAnsi="Times New Roman"/>
          <w:sz w:val="19"/>
          <w:szCs w:val="19"/>
          <w:color w:val="auto"/>
        </w:rPr>
        <w:t>assignment of any such Collateral in lieu of foreclosure or otherwise act or fail to act with respect to any collateral securing all or a part of the</w:t>
      </w:r>
    </w:p>
    <w:p>
      <w:pPr>
        <w:spacing w:after="0" w:line="215" w:lineRule="auto"/>
        <w:rPr>
          <w:sz w:val="20"/>
          <w:szCs w:val="20"/>
          <w:color w:val="auto"/>
        </w:rPr>
      </w:pPr>
      <w:r>
        <w:rPr>
          <w:rFonts w:ascii="Times New Roman" w:cs="Times New Roman" w:eastAsia="Times New Roman" w:hAnsi="Times New Roman"/>
          <w:sz w:val="19"/>
          <w:szCs w:val="19"/>
          <w:color w:val="auto"/>
        </w:rPr>
        <w:t>Guaranteed Obligations, compromise or adjust any part of the Guaranteed Obligations, make any other accommodation with any Obligated Party or exercise any other right or remedy available to it against any Obligated Party, without affecting or impairing in any way the liability</w:t>
      </w:r>
    </w:p>
    <w:p>
      <w:pPr>
        <w:spacing w:after="0" w:line="211" w:lineRule="auto"/>
        <w:rPr>
          <w:sz w:val="20"/>
          <w:szCs w:val="20"/>
          <w:color w:val="auto"/>
        </w:rPr>
      </w:pPr>
      <w:r>
        <w:rPr>
          <w:rFonts w:ascii="Times New Roman" w:cs="Times New Roman" w:eastAsia="Times New Roman" w:hAnsi="Times New Roman"/>
          <w:sz w:val="20"/>
          <w:szCs w:val="20"/>
          <w:color w:val="auto"/>
        </w:rPr>
        <w:t>of such Loan Guarantor under this Loan Guaranty, except to the extent the Guaranteed Obligations have been Paid in Full. To the fullest</w:t>
      </w:r>
    </w:p>
    <w:p>
      <w:pPr>
        <w:spacing w:after="0" w:line="204" w:lineRule="auto"/>
        <w:rPr>
          <w:sz w:val="20"/>
          <w:szCs w:val="20"/>
          <w:color w:val="auto"/>
        </w:rPr>
      </w:pPr>
      <w:r>
        <w:rPr>
          <w:rFonts w:ascii="Times New Roman" w:cs="Times New Roman" w:eastAsia="Times New Roman" w:hAnsi="Times New Roman"/>
          <w:sz w:val="20"/>
          <w:szCs w:val="20"/>
          <w:color w:val="auto"/>
        </w:rPr>
        <w:t>extent permitted by applicable law, each Loan Guarantor waives any defense arising out of any such election even though that election may operate, pursuant to applicable law, to impair or extinguish any right of reimbursement or subrogation or other right or remedy of any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 against any Obligated Party or any security.</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10.05. </w:t>
      </w:r>
      <w:r>
        <w:rPr>
          <w:rFonts w:ascii="Times New Roman" w:cs="Times New Roman" w:eastAsia="Times New Roman" w:hAnsi="Times New Roman"/>
          <w:sz w:val="20"/>
          <w:szCs w:val="20"/>
          <w:u w:val="single" w:color="auto"/>
          <w:color w:val="000000"/>
        </w:rPr>
        <w:t>Rights of Subrogation</w:t>
      </w:r>
      <w:r>
        <w:rPr>
          <w:rFonts w:ascii="Times New Roman" w:cs="Times New Roman" w:eastAsia="Times New Roman" w:hAnsi="Times New Roman"/>
          <w:sz w:val="20"/>
          <w:szCs w:val="20"/>
          <w:color w:val="000000"/>
        </w:rPr>
        <w:t>. No Loan Guarantor will assert any right, claim or cause of action, including, without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limitation, a claim of subrogation, contribution or indemnification that it has against any Obligated Party, or any collateral, until the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and the Loan Guarantors have fully performed all their obligations to the Administrative Agent, the Issuing Bank and the Lenders.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10.06. </w:t>
      </w:r>
      <w:r>
        <w:rPr>
          <w:rFonts w:ascii="Times New Roman" w:cs="Times New Roman" w:eastAsia="Times New Roman" w:hAnsi="Times New Roman"/>
          <w:sz w:val="20"/>
          <w:szCs w:val="20"/>
          <w:u w:val="single" w:color="auto"/>
          <w:color w:val="000000"/>
        </w:rPr>
        <w:t>Reinstatement; Stay of Acceleration</w:t>
      </w:r>
      <w:r>
        <w:rPr>
          <w:rFonts w:ascii="Times New Roman" w:cs="Times New Roman" w:eastAsia="Times New Roman" w:hAnsi="Times New Roman"/>
          <w:sz w:val="20"/>
          <w:szCs w:val="20"/>
          <w:color w:val="000000"/>
        </w:rPr>
        <w:t>. If at any time any payment of any portion of the Guaranteed Obligations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(including a payment effected through exercise of a right of setoff) is rescinded, or must otherwise be restored or returned upon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insolvency, bankruptcy or reorganization of the Borrower or otherwise (including pursuant to any settlement entered into by a Secured Party in its discretion), each Loan Guarantor’s obligations under this Loan Guaranty with respect to that payment shall be reinstated at such time as</w:t>
      </w:r>
    </w:p>
    <w:p>
      <w:pPr>
        <w:spacing w:after="0" w:line="211" w:lineRule="auto"/>
        <w:rPr>
          <w:sz w:val="20"/>
          <w:szCs w:val="20"/>
          <w:color w:val="auto"/>
        </w:rPr>
      </w:pPr>
      <w:r>
        <w:rPr>
          <w:rFonts w:ascii="Times New Roman" w:cs="Times New Roman" w:eastAsia="Times New Roman" w:hAnsi="Times New Roman"/>
          <w:sz w:val="20"/>
          <w:szCs w:val="20"/>
          <w:color w:val="auto"/>
        </w:rPr>
        <w:t>though the payment had not been made and whether or not the Administrative Agent, the Issuing Bank and the Lenders are in possession of</w:t>
      </w:r>
    </w:p>
    <w:p>
      <w:pPr>
        <w:spacing w:after="0" w:line="204" w:lineRule="auto"/>
        <w:rPr>
          <w:sz w:val="20"/>
          <w:szCs w:val="20"/>
          <w:color w:val="auto"/>
        </w:rPr>
      </w:pPr>
      <w:r>
        <w:rPr>
          <w:rFonts w:ascii="Times New Roman" w:cs="Times New Roman" w:eastAsia="Times New Roman" w:hAnsi="Times New Roman"/>
          <w:sz w:val="20"/>
          <w:szCs w:val="20"/>
          <w:color w:val="auto"/>
        </w:rPr>
        <w:t>this Loan Guaranty. If acceleration of the time for payment of any of the Guaranteed Obligations is stayed upon the insolvency, bankruptcy or reorganization of the Borrower, all such amounts otherwise subject to acceleration under the terms of any agreement relating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Guaranteed Obligations shall nonetheless be payable by the Loan Guarantors forthwith on demand by the Administrative Agent.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010000"/>
        </w:rPr>
        <w:t xml:space="preserve">SECTION 10.07.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Each Loan Guarantor assumes all responsibility for being and keeping itself informed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Borrower’s financial condition and assets, and of all other circumstances bearing upon the risk of nonpayment of the Guaranteed Obligations</w:t>
      </w:r>
    </w:p>
    <w:p>
      <w:pPr>
        <w:spacing w:after="0" w:line="222" w:lineRule="auto"/>
        <w:rPr>
          <w:sz w:val="20"/>
          <w:szCs w:val="20"/>
          <w:color w:val="auto"/>
        </w:rPr>
      </w:pPr>
      <w:r>
        <w:rPr>
          <w:rFonts w:ascii="Times New Roman" w:cs="Times New Roman" w:eastAsia="Times New Roman" w:hAnsi="Times New Roman"/>
          <w:sz w:val="19"/>
          <w:szCs w:val="19"/>
          <w:color w:val="auto"/>
        </w:rPr>
        <w:t>and the nature, scope and extent of the risks that each Loan Guarantor assumes and incurs under this Loan Guaranty, and agrees that none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the Issuing Bank or any Lender shall have any duty to advise any Loan Guarantor of information known to it regarding those circumstances or risks.</w:t>
      </w:r>
    </w:p>
    <w:p>
      <w:pPr>
        <w:spacing w:after="0" w:line="162"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10.08.</w:t>
      </w:r>
      <w:r>
        <w:rPr>
          <w:sz w:val="20"/>
          <w:szCs w:val="20"/>
          <w:color w:val="auto"/>
        </w:rPr>
        <w:tab/>
      </w:r>
      <w:r>
        <w:rPr>
          <w:rFonts w:ascii="Times New Roman" w:cs="Times New Roman" w:eastAsia="Times New Roman" w:hAnsi="Times New Roman"/>
          <w:sz w:val="19"/>
          <w:szCs w:val="19"/>
          <w:u w:val="single" w:color="auto"/>
          <w:color w:val="auto"/>
        </w:rPr>
        <w:t>Release of Loan Guarantors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5" w:lineRule="auto"/>
        <w:tabs>
          <w:tab w:leader="none" w:pos="1106"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Subsidiary Guarantor shall automatically be released from its obligations under the Loan Guaranty upon the consummation of any transaction permitted by this Agreement as a result of which such Subsidiary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50"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84"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 the Administrative Agent may (and is hereby irrevocably authorized by each Lender to), upon the request of the Borrower, release any Subsidiary Guarantor from its obligations under the Loan Guaranty if such Subsidiary Guarantor is no longer a Material Domestic Subsidiary.</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76" w:lineRule="exact"/>
        <w:rPr>
          <w:sz w:val="20"/>
          <w:szCs w:val="20"/>
          <w:color w:val="auto"/>
        </w:rPr>
      </w:pPr>
    </w:p>
    <w:p>
      <w:pPr>
        <w:jc w:val="both"/>
        <w:ind w:firstLine="656"/>
        <w:spacing w:after="0" w:line="226" w:lineRule="auto"/>
        <w:tabs>
          <w:tab w:leader="none" w:pos="1065"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Payment in Full of all Guaranteed Obligations,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60"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10.09.</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10.10. </w:t>
      </w:r>
      <w:r>
        <w:rPr>
          <w:rFonts w:ascii="Times New Roman" w:cs="Times New Roman" w:eastAsia="Times New Roman" w:hAnsi="Times New Roman"/>
          <w:sz w:val="20"/>
          <w:szCs w:val="20"/>
          <w:u w:val="single" w:color="auto"/>
          <w:color w:val="000000"/>
        </w:rPr>
        <w:t>Maximum Liability</w:t>
      </w:r>
      <w:r>
        <w:rPr>
          <w:rFonts w:ascii="Times New Roman" w:cs="Times New Roman" w:eastAsia="Times New Roman" w:hAnsi="Times New Roman"/>
          <w:sz w:val="20"/>
          <w:szCs w:val="20"/>
          <w:color w:val="000000"/>
        </w:rPr>
        <w:t>. Notwithstanding any other provision of this Loan Guaranty, the amount guaranteed by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Guarantor hereunder shall be limited to the extent, if any, required so that its obligations hereunder shall not be subject to avoidance</w:t>
      </w:r>
    </w:p>
    <w:p>
      <w:pPr>
        <w:spacing w:after="0" w:line="212" w:lineRule="auto"/>
        <w:rPr>
          <w:sz w:val="20"/>
          <w:szCs w:val="20"/>
          <w:color w:val="auto"/>
        </w:rPr>
      </w:pPr>
      <w:r>
        <w:rPr>
          <w:rFonts w:ascii="Times New Roman" w:cs="Times New Roman" w:eastAsia="Times New Roman" w:hAnsi="Times New Roman"/>
          <w:sz w:val="20"/>
          <w:szCs w:val="20"/>
          <w:color w:val="auto"/>
        </w:rPr>
        <w:t>under Section 548 of the Bankruptcy Code or under any applicable state Uniform Fraudulent Transfer Act, Uniform Fraudulent Conveyance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Act, Uniform Voidable Transactions Act or similar statute or common law. In determining the limitations, if any, on the amount of any Loan Guarantor’s obligations hereunder pursuant to the preceding sentence, it is the intention of the parties hereto that any rights of subrogation,</w:t>
      </w:r>
    </w:p>
    <w:p>
      <w:pPr>
        <w:spacing w:after="0" w:line="228" w:lineRule="auto"/>
        <w:rPr>
          <w:sz w:val="20"/>
          <w:szCs w:val="20"/>
          <w:color w:val="auto"/>
        </w:rPr>
      </w:pPr>
      <w:r>
        <w:rPr>
          <w:rFonts w:ascii="Times New Roman" w:cs="Times New Roman" w:eastAsia="Times New Roman" w:hAnsi="Times New Roman"/>
          <w:sz w:val="20"/>
          <w:szCs w:val="20"/>
          <w:color w:val="auto"/>
        </w:rPr>
        <w:t>indemnification or contribution which such Loan Guarantor may have under this Loan Guaranty, any other agreement or applicable law shall be taken into account.</w:t>
      </w:r>
    </w:p>
    <w:p>
      <w:pPr>
        <w:spacing w:after="0" w:line="14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0"/>
          <w:szCs w:val="20"/>
          <w:color w:val="010000"/>
        </w:rPr>
        <w:t>SECTION 10.11.</w:t>
      </w:r>
      <w:r>
        <w:rPr>
          <w:sz w:val="20"/>
          <w:szCs w:val="20"/>
          <w:color w:val="auto"/>
        </w:rPr>
        <w:tab/>
      </w: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079"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076"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19"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09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47" w:lineRule="exact"/>
        <w:rPr>
          <w:rFonts w:ascii="Times New Roman" w:cs="Times New Roman" w:eastAsia="Times New Roman" w:hAnsi="Times New Roman"/>
          <w:sz w:val="20"/>
          <w:szCs w:val="20"/>
          <w:color w:val="010000"/>
        </w:rPr>
      </w:pPr>
    </w:p>
    <w:p>
      <w:pPr>
        <w:ind w:firstLine="656"/>
        <w:spacing w:after="0"/>
        <w:tabs>
          <w:tab w:leader="none" w:pos="1119"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10.12. </w:t>
      </w:r>
      <w:r>
        <w:rPr>
          <w:rFonts w:ascii="Times New Roman" w:cs="Times New Roman" w:eastAsia="Times New Roman" w:hAnsi="Times New Roman"/>
          <w:sz w:val="20"/>
          <w:szCs w:val="20"/>
          <w:u w:val="single" w:color="auto"/>
          <w:color w:val="000000"/>
        </w:rPr>
        <w:t>Liability Cumulative</w:t>
      </w:r>
      <w:r>
        <w:rPr>
          <w:rFonts w:ascii="Times New Roman" w:cs="Times New Roman" w:eastAsia="Times New Roman" w:hAnsi="Times New Roman"/>
          <w:sz w:val="20"/>
          <w:szCs w:val="20"/>
          <w:color w:val="000000"/>
        </w:rPr>
        <w:t>. The liability of each Loan Party as a Loan Guarantor under this Article X is in addition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shall be cumulative with all liabilities of each Loan Party to the Administrative Agent, the Issuing Bank and the Lenders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and the other Loan Documents to which such Loan Party is a party or in respect of any obligations or liabilities of the</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Loan Parties, without any limitation as to amount, unless the instrument or agreement evidencing or creating such other liability specifically provides to the contrary.</w:t>
      </w:r>
    </w:p>
    <w:p>
      <w:pPr>
        <w:spacing w:after="0" w:line="148"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10.13. </w:t>
      </w:r>
      <w:r>
        <w:rPr>
          <w:rFonts w:ascii="Times New Roman" w:cs="Times New Roman" w:eastAsia="Times New Roman" w:hAnsi="Times New Roman"/>
          <w:sz w:val="19"/>
          <w:szCs w:val="19"/>
          <w:u w:val="single" w:color="auto"/>
          <w:color w:val="000000"/>
        </w:rPr>
        <w:t>Keepwell</w:t>
      </w:r>
      <w:r>
        <w:rPr>
          <w:rFonts w:ascii="Times New Roman" w:cs="Times New Roman" w:eastAsia="Times New Roman" w:hAnsi="Times New Roman"/>
          <w:sz w:val="19"/>
          <w:szCs w:val="19"/>
          <w:color w:val="000000"/>
        </w:rPr>
        <w:t>. Each Qualified ECP Guarantor hereby jointly and severally absolutely, unconditionally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irrevocably undertakes to provide such funds or other support as may be needed from time to time by each other Loan Party to honor all of its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obligations under this Guarantee in respect of a Swap Obligation (provided, however, that each Qualified ECP Guarantor shall only be liable under this Section 10.13 for the maximum amount of such liability that can be hereby incurred without rendering its obligations under this</w:t>
      </w:r>
    </w:p>
    <w:p>
      <w:pPr>
        <w:spacing w:after="0" w:line="211" w:lineRule="auto"/>
        <w:rPr>
          <w:sz w:val="20"/>
          <w:szCs w:val="20"/>
          <w:color w:val="auto"/>
        </w:rPr>
      </w:pPr>
      <w:r>
        <w:rPr>
          <w:rFonts w:ascii="Times New Roman" w:cs="Times New Roman" w:eastAsia="Times New Roman" w:hAnsi="Times New Roman"/>
          <w:sz w:val="20"/>
          <w:szCs w:val="20"/>
          <w:color w:val="auto"/>
        </w:rPr>
        <w:t>Section 10.13 or otherwise under this Loan Guaranty voidable under applicable law relating to fraudulent conveyance or fraudulent transfer,</w:t>
      </w:r>
    </w:p>
    <w:p>
      <w:pPr>
        <w:spacing w:after="0" w:line="204" w:lineRule="auto"/>
        <w:rPr>
          <w:sz w:val="20"/>
          <w:szCs w:val="20"/>
          <w:color w:val="auto"/>
        </w:rPr>
      </w:pPr>
      <w:r>
        <w:rPr>
          <w:rFonts w:ascii="Times New Roman" w:cs="Times New Roman" w:eastAsia="Times New Roman" w:hAnsi="Times New Roman"/>
          <w:sz w:val="20"/>
          <w:szCs w:val="20"/>
          <w:color w:val="auto"/>
        </w:rPr>
        <w:t>and not for any greater amount). Except as otherwise provided herein, the obligations of each Qualified ECP Guarantor under this Section 10.13 shall remain in full force and effect until the termination of all Swap Obligations. Each Qualified ECP Guarantor intends that this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Section 10.13 constitute, and this Section 10.13 shall be deemed to constitute, a “keepwell, support, or other agreement” for the benefit of each other Loan Party for all purposes of Section 1a(18)(A)(v)(II) of the Commodity Exchange Act.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color w:val="FF0000"/>
          <w:strike w:val="1"/>
        </w:rPr>
        <w:t>Page Follows</w:t>
      </w:r>
      <w:r>
        <w:rPr>
          <w:rFonts w:ascii="Times New Roman" w:cs="Times New Roman" w:eastAsia="Times New Roman" w:hAnsi="Times New Roman"/>
          <w:sz w:val="20"/>
          <w:szCs w:val="20"/>
          <w:u w:val="single" w:color="auto"/>
          <w:color w:val="0000FF"/>
        </w:rPr>
        <w:t>Pages Intentionally Omitted</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CREDIT AGREEMENT (as it may be amended, restated, supplemented or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w:t>
      </w:r>
    </w:p>
    <w:p>
      <w:pPr>
        <w:spacing w:after="0" w:line="221" w:lineRule="auto"/>
        <w:rPr>
          <w:sz w:val="20"/>
          <w:szCs w:val="20"/>
          <w:color w:val="auto"/>
        </w:rPr>
      </w:pPr>
      <w:r>
        <w:rPr>
          <w:rFonts w:ascii="Times New Roman" w:cs="Times New Roman" w:eastAsia="Times New Roman" w:hAnsi="Times New Roman"/>
          <w:sz w:val="20"/>
          <w:szCs w:val="20"/>
          <w:color w:val="auto"/>
        </w:rPr>
        <w:t>of September 26, 2023, among NERDWALLET, INC., a Delaware corporation, as the Borrower, the other Loan Parties party hereto, the Lenders party hereto, and JPMORGAN CHASE BANK, N.A., as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94"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whether such Loan, or the Loans comprising such Borrowing, is bearing interest at a rate determined by reference to the Alternate Base 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any transaction, or any series of related transactions, consummated on or after the Effective Date, by which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 Party or Subsidiary (a) acquires any going business or all or substantially all of the assets of any Person, whether through purchase of assets, merger or otherwise or (b) directly or indirectly acquires (in one transaction or as the most recent transaction in a series of</w:t>
      </w:r>
    </w:p>
    <w:p>
      <w:pPr>
        <w:spacing w:after="0" w:line="211" w:lineRule="auto"/>
        <w:rPr>
          <w:sz w:val="20"/>
          <w:szCs w:val="20"/>
          <w:color w:val="auto"/>
        </w:rPr>
      </w:pPr>
      <w:r>
        <w:rPr>
          <w:rFonts w:ascii="Times New Roman" w:cs="Times New Roman" w:eastAsia="Times New Roman" w:hAnsi="Times New Roman"/>
          <w:sz w:val="20"/>
          <w:szCs w:val="20"/>
          <w:color w:val="auto"/>
        </w:rPr>
        <w:t>transactions) at least a majority (in number of votes) of the Equity Interests of a Person which has ordinary voting power for the election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directors or other similar management personnel of a Person (other than Equity Interests having such power only by reason of the happening of a contingency) or a majority of the outstanding Equity Interests of a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has the meaning assigned to such term in Section 6.12.</w:t>
      </w:r>
    </w:p>
    <w:p>
      <w:pPr>
        <w:spacing w:after="0" w:line="18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SOFR</w:t>
      </w:r>
      <w:r>
        <w:rPr>
          <w:rFonts w:ascii="Times New Roman" w:cs="Times New Roman" w:eastAsia="Times New Roman" w:hAnsi="Times New Roman"/>
          <w:sz w:val="20"/>
          <w:szCs w:val="20"/>
          <w:color w:val="auto"/>
        </w:rPr>
        <w:t xml:space="preserve">” means, with respect to any RFR Borrowing, an interest rate per annum equal to (a) Daily Simple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SOFR as so determined would be less than the Floor, such rate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deemed to be equal to the Floor for the purposes of this Agreement.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 Rate</w:t>
      </w:r>
      <w:r>
        <w:rPr>
          <w:rFonts w:ascii="Times New Roman" w:cs="Times New Roman" w:eastAsia="Times New Roman" w:hAnsi="Times New Roman"/>
          <w:sz w:val="19"/>
          <w:szCs w:val="19"/>
          <w:color w:val="auto"/>
        </w:rPr>
        <w:t>” means, with respect to any Term Benchmark Borrowing for any Interest Period or for any ABR Borrowing based on the Adjusted Term SOFR Rate, an interest rate per annum equal to (a) the Term SOFR Rate for such Interest Period, plus</w:t>
      </w:r>
    </w:p>
    <w:p>
      <w:pPr>
        <w:ind w:firstLine="8"/>
        <w:spacing w:after="0" w:line="221" w:lineRule="auto"/>
        <w:tabs>
          <w:tab w:leader="none" w:pos="29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(or any of its designated branch offices or affiliates), in its capacity as administrative agent for the Lenders hereunder.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specified Person.</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has the meaning assigned to such term in Section 9.03(d).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Exposure</w:t>
      </w:r>
      <w:r>
        <w:rPr>
          <w:rFonts w:ascii="Times New Roman" w:cs="Times New Roman" w:eastAsia="Times New Roman" w:hAnsi="Times New Roman"/>
          <w:sz w:val="20"/>
          <w:szCs w:val="20"/>
          <w:color w:val="auto"/>
        </w:rPr>
        <w:t>” means, at any time, the aggregate Revolving Exposure of all the Lenders at such time.</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a rate per annum equal to the greatest of (a) the Prime Rate in effect on such day, (b) the NYFRB Rate in effect on such day plus ½ of 1%, and (c) the Adjusted Term SOFR Rate for a one-month Interest Period as published two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U.S. Government Securities Business Days prior to such day (or if such day is not a U.S. Government Securities Business Day, the immediately preceding U.S. Government Securities Business Day) plus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w:t>
      </w:r>
    </w:p>
    <w:p>
      <w:pPr>
        <w:spacing w:after="0" w:line="223" w:lineRule="auto"/>
        <w:rPr>
          <w:sz w:val="20"/>
          <w:szCs w:val="20"/>
          <w:color w:val="auto"/>
        </w:rPr>
      </w:pPr>
      <w:r>
        <w:rPr>
          <w:rFonts w:ascii="Times New Roman" w:cs="Times New Roman" w:eastAsia="Times New Roman" w:hAnsi="Times New Roman"/>
          <w:sz w:val="19"/>
          <w:szCs w:val="19"/>
          <w:color w:val="auto"/>
        </w:rPr>
        <w:t>Term SOFR Rate for any day shall be based on the Term SOFR Reference Rate at approximately 5:00 a.m. Chicago time on such day (or any</w:t>
      </w:r>
    </w:p>
    <w:p>
      <w:pPr>
        <w:spacing w:after="0" w:line="204" w:lineRule="auto"/>
        <w:rPr>
          <w:sz w:val="20"/>
          <w:szCs w:val="20"/>
          <w:color w:val="auto"/>
        </w:rPr>
      </w:pPr>
      <w:r>
        <w:rPr>
          <w:rFonts w:ascii="Times New Roman" w:cs="Times New Roman" w:eastAsia="Times New Roman" w:hAnsi="Times New Roman"/>
          <w:sz w:val="20"/>
          <w:szCs w:val="20"/>
          <w:color w:val="auto"/>
        </w:rPr>
        <w:t>amended publication time for the Term SOFR Reference Rate, as specified by the CME Term SOFR Administrator in the Term SOFR Reference Rate methodology). Any change in the Alternate Base Rate due to a change in the Prime Rate, the NYFRB Rate or the Adjusted</w:t>
      </w:r>
    </w:p>
    <w:p>
      <w:pPr>
        <w:spacing w:after="0" w:line="223" w:lineRule="auto"/>
        <w:rPr>
          <w:sz w:val="20"/>
          <w:szCs w:val="20"/>
          <w:color w:val="auto"/>
        </w:rPr>
      </w:pPr>
      <w:r>
        <w:rPr>
          <w:rFonts w:ascii="Times New Roman" w:cs="Times New Roman" w:eastAsia="Times New Roman" w:hAnsi="Times New Roman"/>
          <w:sz w:val="19"/>
          <w:szCs w:val="19"/>
          <w:color w:val="auto"/>
        </w:rPr>
        <w:t>Term SOFR Rate shall be effective from and including the effective date of such change in the Prime Rate, the NYFRB Rate or the Adjusted</w:t>
      </w:r>
    </w:p>
    <w:p>
      <w:pPr>
        <w:spacing w:after="0" w:line="204" w:lineRule="auto"/>
        <w:rPr>
          <w:sz w:val="20"/>
          <w:szCs w:val="20"/>
          <w:color w:val="auto"/>
        </w:rPr>
      </w:pPr>
      <w:r>
        <w:rPr>
          <w:rFonts w:ascii="Times New Roman" w:cs="Times New Roman" w:eastAsia="Times New Roman" w:hAnsi="Times New Roman"/>
          <w:sz w:val="20"/>
          <w:szCs w:val="20"/>
          <w:color w:val="auto"/>
        </w:rPr>
        <w:t>Term SOFR Rate, respectively. If the Alternate Base Rate is being used as an alternate rate of interest pursuant to Section 2.14 (for the avoidance of doubt, only until the Benchmark Replacement has been determined pursuant to Section 2.14(b)), then the Alternate Base Rate</w:t>
      </w:r>
    </w:p>
    <w:p>
      <w:pPr>
        <w:spacing w:after="0" w:line="211" w:lineRule="auto"/>
        <w:rPr>
          <w:sz w:val="20"/>
          <w:szCs w:val="20"/>
          <w:color w:val="auto"/>
        </w:rPr>
      </w:pPr>
      <w:r>
        <w:rPr>
          <w:rFonts w:ascii="Times New Roman" w:cs="Times New Roman" w:eastAsia="Times New Roman" w:hAnsi="Times New Roman"/>
          <w:sz w:val="20"/>
          <w:szCs w:val="20"/>
          <w:color w:val="auto"/>
        </w:rPr>
        <w:t>shall be the greater of clauses (a) and (b) above and shall be determined without reference to clause (c) above. For the avoidance of doubt, if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Alternate Base Rate as determined pursuant to the foregoing would be less than 1.00% per annum, such rate shall be deemed to be 1.00% per annum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has the meaning assigned to such term in Section 9.06(b).</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any of its Affiliates from time to time concerning or relating to bribery or corruption.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has the meaning assigned to such term in Section 8.03(c).</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at any time with respect to any Lender, a percentage equal to a fraction the numerator of which is such Lender’s Revolving Commitment at such time and the denominator of which is the aggregate Revolving Commitments at such time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(provided that, if the Revolving Commitments have terminated or expired, the Applicable Percentages shall be determined based upon such Lender’s share of the Aggregate Revolving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accordance with Section 2.20, so long as any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a Defaulting Lender, such Defaulting Lender’s Revolving Commitment shall be disregarded in the calculations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with respect to any ABR Loan, Term Benchmark Loan or RFR Loan, or with respect to the</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commitment fees payable hereunder, as the case may be, the applicable rate per annum set forth below under the caption “ABR Spread”, “Term Benchmark and RFR Spread” or “Commitment Fee Rate”, as the case may be, based upon the Borrower’s Total Net Leverage Ratio as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of the most recent determination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delivery to the Administrative Agent of the Financial Statements pursuant to</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Section 5.01(a) or (b) for the first fiscal quarter ending after the Effective Date, the “Applicable Rate” shall be the applicable rates per annum set forth below in Category 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20" w:type="dxa"/>
            <w:vAlign w:val="bottom"/>
            <w:tcBorders>
              <w:top w:val="single" w:sz="8" w:color="auto"/>
              <w:left w:val="single" w:sz="8" w:color="auto"/>
              <w:right w:val="single" w:sz="8" w:color="auto"/>
            </w:tcBorders>
            <w:gridSpan w:val="4"/>
            <w:shd w:val="clear" w:color="auto" w:fill="D9D9D9"/>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Total Net Leverage Ratio</w:t>
            </w:r>
          </w:p>
        </w:tc>
        <w:tc>
          <w:tcPr>
            <w:tcW w:w="2800" w:type="dxa"/>
            <w:vAlign w:val="bottom"/>
            <w:tcBorders>
              <w:top w:val="single" w:sz="8" w:color="auto"/>
              <w:right w:val="single" w:sz="8" w:color="auto"/>
            </w:tcBorders>
            <w:shd w:val="clear" w:color="auto" w:fill="D9D9D9"/>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ABR Spread</w:t>
            </w:r>
          </w:p>
        </w:tc>
        <w:tc>
          <w:tcPr>
            <w:tcW w:w="2820" w:type="dxa"/>
            <w:vAlign w:val="bottom"/>
            <w:tcBorders>
              <w:top w:val="single" w:sz="8" w:color="auto"/>
              <w:right w:val="single" w:sz="8" w:color="auto"/>
            </w:tcBorders>
            <w:shd w:val="clear" w:color="auto" w:fill="D9D9D9"/>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Term Benchmark</w:t>
            </w:r>
          </w:p>
        </w:tc>
        <w:tc>
          <w:tcPr>
            <w:tcW w:w="2820" w:type="dxa"/>
            <w:vAlign w:val="bottom"/>
            <w:tcBorders>
              <w:top w:val="single" w:sz="8" w:color="auto"/>
              <w:right w:val="single" w:sz="8" w:color="auto"/>
            </w:tcBorders>
            <w:shd w:val="clear" w:color="auto" w:fill="D9D9D9"/>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Commitment Fee Rate</w:t>
            </w:r>
          </w:p>
        </w:tc>
        <w:tc>
          <w:tcPr>
            <w:tcW w:w="0" w:type="dxa"/>
            <w:vAlign w:val="bottom"/>
          </w:tcPr>
          <w:p>
            <w:pPr>
              <w:spacing w:after="0"/>
              <w:rPr>
                <w:sz w:val="1"/>
                <w:szCs w:val="1"/>
                <w:color w:val="auto"/>
              </w:rPr>
            </w:pPr>
          </w:p>
        </w:tc>
      </w:tr>
      <w:tr>
        <w:trPr>
          <w:trHeight w:val="258"/>
        </w:trPr>
        <w:tc>
          <w:tcPr>
            <w:tcW w:w="980" w:type="dxa"/>
            <w:vAlign w:val="bottom"/>
            <w:tcBorders>
              <w:left w:val="single" w:sz="8" w:color="auto"/>
            </w:tcBorders>
            <w:shd w:val="clear" w:color="auto" w:fill="D9D9D9"/>
          </w:tcPr>
          <w:p>
            <w:pPr>
              <w:spacing w:after="0"/>
              <w:rPr>
                <w:sz w:val="22"/>
                <w:szCs w:val="22"/>
                <w:color w:val="auto"/>
              </w:rPr>
            </w:pPr>
          </w:p>
        </w:tc>
        <w:tc>
          <w:tcPr>
            <w:tcW w:w="860" w:type="dxa"/>
            <w:vAlign w:val="bottom"/>
            <w:shd w:val="clear" w:color="auto" w:fill="D9D9D9"/>
          </w:tcPr>
          <w:p>
            <w:pPr>
              <w:spacing w:after="0"/>
              <w:rPr>
                <w:sz w:val="22"/>
                <w:szCs w:val="22"/>
                <w:color w:val="auto"/>
              </w:rPr>
            </w:pPr>
          </w:p>
        </w:tc>
        <w:tc>
          <w:tcPr>
            <w:tcW w:w="20" w:type="dxa"/>
            <w:vAlign w:val="bottom"/>
            <w:shd w:val="clear" w:color="auto" w:fill="D9D9D9"/>
          </w:tcPr>
          <w:p>
            <w:pPr>
              <w:spacing w:after="0"/>
              <w:rPr>
                <w:sz w:val="22"/>
                <w:szCs w:val="22"/>
                <w:color w:val="auto"/>
              </w:rPr>
            </w:pPr>
          </w:p>
        </w:tc>
        <w:tc>
          <w:tcPr>
            <w:tcW w:w="960" w:type="dxa"/>
            <w:vAlign w:val="bottom"/>
            <w:tcBorders>
              <w:right w:val="single" w:sz="8" w:color="auto"/>
            </w:tcBorders>
            <w:shd w:val="clear" w:color="auto" w:fill="D9D9D9"/>
          </w:tcPr>
          <w:p>
            <w:pPr>
              <w:spacing w:after="0"/>
              <w:rPr>
                <w:sz w:val="22"/>
                <w:szCs w:val="22"/>
                <w:color w:val="auto"/>
              </w:rPr>
            </w:pPr>
          </w:p>
        </w:tc>
        <w:tc>
          <w:tcPr>
            <w:tcW w:w="2800" w:type="dxa"/>
            <w:vAlign w:val="bottom"/>
            <w:tcBorders>
              <w:right w:val="single" w:sz="8" w:color="auto"/>
            </w:tcBorders>
            <w:shd w:val="clear" w:color="auto" w:fill="D9D9D9"/>
          </w:tcPr>
          <w:p>
            <w:pPr>
              <w:spacing w:after="0"/>
              <w:rPr>
                <w:sz w:val="22"/>
                <w:szCs w:val="22"/>
                <w:color w:val="auto"/>
              </w:rPr>
            </w:pPr>
          </w:p>
        </w:tc>
        <w:tc>
          <w:tcPr>
            <w:tcW w:w="2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color w:val="auto"/>
                <w:w w:val="98"/>
              </w:rPr>
              <w:t>and RFR Spread</w:t>
            </w:r>
          </w:p>
        </w:tc>
        <w:tc>
          <w:tcPr>
            <w:tcW w:w="2820" w:type="dxa"/>
            <w:vAlign w:val="bottom"/>
            <w:tcBorders>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auto"/>
            </w:tcBorders>
            <w:shd w:val="clear" w:color="auto" w:fill="D9D9D9"/>
          </w:tcPr>
          <w:p>
            <w:pPr>
              <w:spacing w:after="0"/>
              <w:rPr>
                <w:sz w:val="18"/>
                <w:szCs w:val="18"/>
                <w:color w:val="auto"/>
              </w:rPr>
            </w:pPr>
          </w:p>
        </w:tc>
        <w:tc>
          <w:tcPr>
            <w:tcW w:w="860" w:type="dxa"/>
            <w:vAlign w:val="bottom"/>
            <w:tcBorders>
              <w:bottom w:val="single" w:sz="8" w:color="auto"/>
            </w:tcBorders>
            <w:shd w:val="clear" w:color="auto" w:fill="D9D9D9"/>
          </w:tcPr>
          <w:p>
            <w:pPr>
              <w:spacing w:after="0"/>
              <w:rPr>
                <w:sz w:val="18"/>
                <w:szCs w:val="18"/>
                <w:color w:val="auto"/>
              </w:rPr>
            </w:pPr>
          </w:p>
        </w:tc>
        <w:tc>
          <w:tcPr>
            <w:tcW w:w="20" w:type="dxa"/>
            <w:vAlign w:val="bottom"/>
            <w:tcBorders>
              <w:bottom w:val="single" w:sz="8" w:color="auto"/>
            </w:tcBorders>
            <w:shd w:val="clear" w:color="auto" w:fill="D9D9D9"/>
          </w:tcPr>
          <w:p>
            <w:pPr>
              <w:spacing w:after="0"/>
              <w:rPr>
                <w:sz w:val="18"/>
                <w:szCs w:val="18"/>
                <w:color w:val="auto"/>
              </w:rPr>
            </w:pPr>
          </w:p>
        </w:tc>
        <w:tc>
          <w:tcPr>
            <w:tcW w:w="960" w:type="dxa"/>
            <w:vAlign w:val="bottom"/>
            <w:tcBorders>
              <w:bottom w:val="single" w:sz="8" w:color="auto"/>
              <w:right w:val="single" w:sz="8" w:color="auto"/>
            </w:tcBorders>
            <w:shd w:val="clear" w:color="auto" w:fill="D9D9D9"/>
          </w:tcPr>
          <w:p>
            <w:pPr>
              <w:spacing w:after="0"/>
              <w:rPr>
                <w:sz w:val="18"/>
                <w:szCs w:val="18"/>
                <w:color w:val="auto"/>
              </w:rPr>
            </w:pPr>
          </w:p>
        </w:tc>
        <w:tc>
          <w:tcPr>
            <w:tcW w:w="2800" w:type="dxa"/>
            <w:vAlign w:val="bottom"/>
            <w:tcBorders>
              <w:bottom w:val="single" w:sz="8" w:color="auto"/>
              <w:right w:val="single" w:sz="8" w:color="auto"/>
            </w:tcBorders>
            <w:shd w:val="clear" w:color="auto" w:fill="D9D9D9"/>
          </w:tcPr>
          <w:p>
            <w:pPr>
              <w:spacing w:after="0"/>
              <w:rPr>
                <w:sz w:val="18"/>
                <w:szCs w:val="18"/>
                <w:color w:val="auto"/>
              </w:rPr>
            </w:pPr>
          </w:p>
        </w:tc>
        <w:tc>
          <w:tcPr>
            <w:tcW w:w="2820" w:type="dxa"/>
            <w:vAlign w:val="bottom"/>
            <w:tcBorders>
              <w:bottom w:val="single" w:sz="8" w:color="auto"/>
              <w:right w:val="single" w:sz="8" w:color="auto"/>
            </w:tcBorders>
            <w:shd w:val="clear" w:color="auto" w:fill="D9D9D9"/>
          </w:tcPr>
          <w:p>
            <w:pPr>
              <w:spacing w:after="0"/>
              <w:rPr>
                <w:sz w:val="18"/>
                <w:szCs w:val="18"/>
                <w:color w:val="auto"/>
              </w:rPr>
            </w:pPr>
          </w:p>
        </w:tc>
        <w:tc>
          <w:tcPr>
            <w:tcW w:w="282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auto"/>
            </w:tcBorders>
            <w:vMerge w:val="restart"/>
          </w:tcPr>
          <w:p>
            <w:pPr>
              <w:ind w:left="860"/>
              <w:spacing w:after="0"/>
              <w:rPr>
                <w:sz w:val="20"/>
                <w:szCs w:val="20"/>
                <w:color w:val="auto"/>
              </w:rPr>
            </w:pPr>
            <w:r>
              <w:rPr>
                <w:rFonts w:ascii="Times New Roman" w:cs="Times New Roman" w:eastAsia="Times New Roman" w:hAnsi="Times New Roman"/>
                <w:sz w:val="20"/>
                <w:szCs w:val="20"/>
                <w:color w:val="auto"/>
                <w:w w:val="90"/>
              </w:rPr>
              <w:t>≥</w:t>
            </w:r>
          </w:p>
        </w:tc>
        <w:tc>
          <w:tcPr>
            <w:tcW w:w="88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Category 1</w:t>
            </w:r>
          </w:p>
        </w:tc>
        <w:tc>
          <w:tcPr>
            <w:tcW w:w="9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1.75%</w:t>
            </w:r>
          </w:p>
        </w:tc>
        <w:tc>
          <w:tcPr>
            <w:tcW w:w="2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2.75%</w:t>
            </w:r>
          </w:p>
        </w:tc>
        <w:tc>
          <w:tcPr>
            <w:tcW w:w="2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223"/>
        </w:trPr>
        <w:tc>
          <w:tcPr>
            <w:tcW w:w="980" w:type="dxa"/>
            <w:vAlign w:val="bottom"/>
            <w:tcBorders>
              <w:left w:val="single" w:sz="8" w:color="auto"/>
              <w:bottom w:val="single" w:sz="8" w:color="auto"/>
            </w:tcBorders>
            <w:vMerge w:val="continue"/>
          </w:tcPr>
          <w:p>
            <w:pPr>
              <w:spacing w:after="0"/>
              <w:rPr>
                <w:sz w:val="19"/>
                <w:szCs w:val="19"/>
                <w:color w:val="auto"/>
              </w:rPr>
            </w:pPr>
          </w:p>
        </w:tc>
        <w:tc>
          <w:tcPr>
            <w:tcW w:w="1840" w:type="dxa"/>
            <w:vAlign w:val="bottom"/>
            <w:tcBorders>
              <w:bottom w:val="single" w:sz="8" w:color="auto"/>
              <w:right w:val="single" w:sz="8" w:color="auto"/>
            </w:tcBorders>
            <w:gridSpan w:val="3"/>
          </w:tcPr>
          <w:p>
            <w:pPr>
              <w:ind w:left="40"/>
              <w:spacing w:after="0" w:line="223" w:lineRule="exact"/>
              <w:rPr>
                <w:sz w:val="20"/>
                <w:szCs w:val="20"/>
                <w:color w:val="auto"/>
              </w:rPr>
            </w:pPr>
            <w:r>
              <w:rPr>
                <w:rFonts w:ascii="Times New Roman" w:cs="Times New Roman" w:eastAsia="Times New Roman" w:hAnsi="Times New Roman"/>
                <w:sz w:val="20"/>
                <w:szCs w:val="20"/>
                <w:color w:val="auto"/>
              </w:rPr>
              <w:t>2.00 to 1.00</w:t>
            </w:r>
          </w:p>
        </w:tc>
        <w:tc>
          <w:tcPr>
            <w:tcW w:w="28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gridSpan w:val="3"/>
          </w:tcPr>
          <w:p>
            <w:pPr>
              <w:jc w:val="center"/>
              <w:ind w:right="980"/>
              <w:spacing w:after="0" w:line="196" w:lineRule="exact"/>
              <w:rPr>
                <w:sz w:val="20"/>
                <w:szCs w:val="20"/>
                <w:color w:val="auto"/>
              </w:rPr>
            </w:pPr>
            <w:r>
              <w:rPr>
                <w:rFonts w:ascii="Times New Roman" w:cs="Times New Roman" w:eastAsia="Times New Roman" w:hAnsi="Times New Roman"/>
                <w:sz w:val="20"/>
                <w:szCs w:val="20"/>
                <w:color w:val="auto"/>
                <w:w w:val="97"/>
              </w:rPr>
              <w:t>Category 2</w:t>
            </w:r>
          </w:p>
        </w:tc>
        <w:tc>
          <w:tcPr>
            <w:tcW w:w="2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1.50%</w:t>
            </w:r>
          </w:p>
        </w:tc>
        <w:tc>
          <w:tcPr>
            <w:tcW w:w="2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2.50%</w:t>
            </w:r>
          </w:p>
        </w:tc>
        <w:tc>
          <w:tcPr>
            <w:tcW w:w="2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20"/>
        </w:trPr>
        <w:tc>
          <w:tcPr>
            <w:tcW w:w="98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gridSpan w:val="2"/>
            <w:vMerge w:val="restart"/>
          </w:tcPr>
          <w:p>
            <w:pPr>
              <w:ind w:left="20"/>
              <w:spacing w:after="0" w:line="189" w:lineRule="exact"/>
              <w:rPr>
                <w:sz w:val="20"/>
                <w:szCs w:val="20"/>
                <w:color w:val="auto"/>
              </w:rPr>
            </w:pPr>
            <w:r>
              <w:rPr>
                <w:rFonts w:ascii="Times New Roman" w:cs="Times New Roman" w:eastAsia="Times New Roman" w:hAnsi="Times New Roman"/>
                <w:sz w:val="20"/>
                <w:szCs w:val="20"/>
                <w:color w:val="auto"/>
              </w:rPr>
              <w:t>but</w:t>
            </w:r>
          </w:p>
        </w:tc>
        <w:tc>
          <w:tcPr>
            <w:tcW w:w="280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2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40" w:type="dxa"/>
            <w:vAlign w:val="bottom"/>
            <w:tcBorders>
              <w:left w:val="single" w:sz="8" w:color="auto"/>
            </w:tcBorders>
            <w:gridSpan w:val="2"/>
          </w:tcPr>
          <w:p>
            <w:pPr>
              <w:ind w:left="700"/>
              <w:spacing w:after="0" w:line="169" w:lineRule="exact"/>
              <w:rPr>
                <w:sz w:val="20"/>
                <w:szCs w:val="20"/>
                <w:color w:val="auto"/>
              </w:rPr>
            </w:pPr>
            <w:r>
              <w:rPr>
                <w:rFonts w:ascii="Times New Roman" w:cs="Times New Roman" w:eastAsia="Times New Roman" w:hAnsi="Times New Roman"/>
                <w:sz w:val="19"/>
                <w:szCs w:val="19"/>
                <w:color w:val="auto"/>
              </w:rPr>
              <w:t>≥ 1.00 to 1.00</w:t>
            </w:r>
          </w:p>
        </w:tc>
        <w:tc>
          <w:tcPr>
            <w:tcW w:w="980" w:type="dxa"/>
            <w:vAlign w:val="bottom"/>
            <w:tcBorders>
              <w:right w:val="single" w:sz="8" w:color="auto"/>
            </w:tcBorders>
            <w:gridSpan w:val="2"/>
            <w:vMerge w:val="continue"/>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820" w:type="dxa"/>
            <w:vAlign w:val="bottom"/>
            <w:tcBorders>
              <w:left w:val="single" w:sz="8" w:color="auto"/>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w w:val="98"/>
              </w:rPr>
              <w:t>&lt; 2.00 to 1.00</w:t>
            </w:r>
          </w:p>
        </w:tc>
        <w:tc>
          <w:tcPr>
            <w:tcW w:w="2800" w:type="dxa"/>
            <w:vAlign w:val="bottom"/>
            <w:tcBorders>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Borders>
              <w:left w:val="single" w:sz="8" w:color="auto"/>
            </w:tcBorders>
            <w:vMerge w:val="restart"/>
          </w:tcPr>
          <w:p>
            <w:pPr>
              <w:ind w:left="860"/>
              <w:spacing w:after="0"/>
              <w:rPr>
                <w:sz w:val="20"/>
                <w:szCs w:val="20"/>
                <w:color w:val="auto"/>
              </w:rPr>
            </w:pPr>
            <w:r>
              <w:rPr>
                <w:rFonts w:ascii="Times New Roman" w:cs="Times New Roman" w:eastAsia="Times New Roman" w:hAnsi="Times New Roman"/>
                <w:sz w:val="20"/>
                <w:szCs w:val="20"/>
                <w:color w:val="auto"/>
                <w:w w:val="88"/>
              </w:rPr>
              <w:t>&lt;</w:t>
            </w:r>
          </w:p>
        </w:tc>
        <w:tc>
          <w:tcPr>
            <w:tcW w:w="88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Category 3</w:t>
            </w:r>
          </w:p>
        </w:tc>
        <w:tc>
          <w:tcPr>
            <w:tcW w:w="96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1.25%</w:t>
            </w:r>
          </w:p>
        </w:tc>
        <w:tc>
          <w:tcPr>
            <w:tcW w:w="2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2.25%</w:t>
            </w:r>
          </w:p>
        </w:tc>
        <w:tc>
          <w:tcPr>
            <w:tcW w:w="282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r>
        <w:trPr>
          <w:trHeight w:val="223"/>
        </w:trPr>
        <w:tc>
          <w:tcPr>
            <w:tcW w:w="980" w:type="dxa"/>
            <w:vAlign w:val="bottom"/>
            <w:tcBorders>
              <w:left w:val="single" w:sz="8" w:color="auto"/>
              <w:bottom w:val="single" w:sz="8" w:color="auto"/>
            </w:tcBorders>
            <w:vMerge w:val="continue"/>
          </w:tcPr>
          <w:p>
            <w:pPr>
              <w:spacing w:after="0"/>
              <w:rPr>
                <w:sz w:val="19"/>
                <w:szCs w:val="19"/>
                <w:color w:val="auto"/>
              </w:rPr>
            </w:pPr>
          </w:p>
        </w:tc>
        <w:tc>
          <w:tcPr>
            <w:tcW w:w="1840" w:type="dxa"/>
            <w:vAlign w:val="bottom"/>
            <w:tcBorders>
              <w:bottom w:val="single" w:sz="8" w:color="auto"/>
              <w:right w:val="single" w:sz="8" w:color="auto"/>
            </w:tcBorders>
            <w:gridSpan w:val="3"/>
          </w:tcPr>
          <w:p>
            <w:pPr>
              <w:ind w:left="40"/>
              <w:spacing w:after="0" w:line="223" w:lineRule="exact"/>
              <w:rPr>
                <w:sz w:val="20"/>
                <w:szCs w:val="20"/>
                <w:color w:val="auto"/>
              </w:rPr>
            </w:pPr>
            <w:r>
              <w:rPr>
                <w:rFonts w:ascii="Times New Roman" w:cs="Times New Roman" w:eastAsia="Times New Roman" w:hAnsi="Times New Roman"/>
                <w:sz w:val="20"/>
                <w:szCs w:val="20"/>
                <w:color w:val="auto"/>
              </w:rPr>
              <w:t>1.00 to 1.00</w:t>
            </w:r>
          </w:p>
        </w:tc>
        <w:tc>
          <w:tcPr>
            <w:tcW w:w="28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20"/>
          <w:szCs w:val="20"/>
          <w:color w:val="auto"/>
        </w:rPr>
        <w:t>For purposes of the foregoing, (a) the Applicable Rate shall be determined as of the end of each fiscal quarter of the Borrower, based upon the Financial Statements delivered pursuant to Section 5.01(a) or (b) for such fiscal quarter and (b) each change in the Applicable Rate</w:t>
      </w:r>
    </w:p>
    <w:p>
      <w:pPr>
        <w:spacing w:after="0" w:line="212" w:lineRule="auto"/>
        <w:rPr>
          <w:sz w:val="20"/>
          <w:szCs w:val="20"/>
          <w:color w:val="auto"/>
        </w:rPr>
      </w:pPr>
      <w:r>
        <w:rPr>
          <w:rFonts w:ascii="Times New Roman" w:cs="Times New Roman" w:eastAsia="Times New Roman" w:hAnsi="Times New Roman"/>
          <w:sz w:val="20"/>
          <w:szCs w:val="20"/>
          <w:color w:val="auto"/>
        </w:rPr>
        <w:t>resulting from a change in the Total Net Leverage Ratio shall be effective during the period commencing on and including the date that is</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three (3) Business Days after the date of delivery to the Administrative Agent of such Financial Statements indicating such change and ending on the date immediately preceding the effective date of the next such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option of the Administrative Agent</w:t>
      </w:r>
    </w:p>
    <w:p>
      <w:pPr>
        <w:spacing w:after="0" w:line="223" w:lineRule="auto"/>
        <w:rPr>
          <w:sz w:val="20"/>
          <w:szCs w:val="20"/>
          <w:color w:val="auto"/>
        </w:rPr>
      </w:pPr>
      <w:r>
        <w:rPr>
          <w:rFonts w:ascii="Times New Roman" w:cs="Times New Roman" w:eastAsia="Times New Roman" w:hAnsi="Times New Roman"/>
          <w:sz w:val="19"/>
          <w:szCs w:val="19"/>
          <w:color w:val="auto"/>
        </w:rPr>
        <w:t>or at the request of the Required Lenders, if the Borrower fails to deliver the annual or quarterly Financial Statements required to be delivered</w:t>
      </w:r>
    </w:p>
    <w:p>
      <w:pPr>
        <w:jc w:val="both"/>
        <w:ind w:right="40"/>
        <w:spacing w:after="0" w:line="221" w:lineRule="auto"/>
        <w:rPr>
          <w:sz w:val="20"/>
          <w:szCs w:val="20"/>
          <w:color w:val="auto"/>
        </w:rPr>
      </w:pPr>
      <w:r>
        <w:rPr>
          <w:rFonts w:ascii="Times New Roman" w:cs="Times New Roman" w:eastAsia="Times New Roman" w:hAnsi="Times New Roman"/>
          <w:sz w:val="20"/>
          <w:szCs w:val="20"/>
          <w:color w:val="auto"/>
        </w:rPr>
        <w:t>by it pursuant to Section 5.01(a) or (b), the Total Net Leverage Ratio shall be deemed to be in Category 1 during the period from the expiration of the time for delivery thereof until such consolidated financial statements are delivered.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at any time the Administrative Agent or the Borrower determines that the Financial Statements upon which the Applicable Rate was</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determined were incorrect (whether based on a restatement, fraud or otherwise), or any ratio or compliance information in a Compliance Certificate or other certification was incorrectly calculated, relied on incorrect information or was otherwise not accurate, true or correct,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Borrower shall be required to retroactively pay any additional amount that the Borrower would have been required to pay if such Financial Statements, Compliance Certificate or other information had been accurate and/or computed correctly at the time they were delivered.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has the meaning assigned to such term in Section 8.03(a).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175"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 xml:space="preserve"> JPMorgan Chase Bank, N.A., in its capacity as </w:t>
      </w:r>
      <w:r>
        <w:rPr>
          <w:rFonts w:ascii="Times New Roman" w:cs="Times New Roman" w:eastAsia="Times New Roman" w:hAnsi="Times New Roman"/>
          <w:sz w:val="20"/>
          <w:szCs w:val="20"/>
          <w:color w:val="FF0000"/>
          <w:strike w:val="1"/>
        </w:rPr>
        <w:t>sole bookrunner and sole</w:t>
      </w:r>
      <w:r>
        <w:rPr>
          <w:rFonts w:ascii="Times New Roman" w:cs="Times New Roman" w:eastAsia="Times New Roman" w:hAnsi="Times New Roman"/>
          <w:sz w:val="20"/>
          <w:szCs w:val="20"/>
          <w:u w:val="single" w:color="auto"/>
          <w:color w:val="0000FF"/>
        </w:rPr>
        <w:t>left</w:t>
      </w:r>
      <w:r>
        <w:rPr>
          <w:rFonts w:ascii="Times New Roman" w:cs="Times New Roman" w:eastAsia="Times New Roman" w:hAnsi="Times New Roman"/>
          <w:sz w:val="20"/>
          <w:szCs w:val="20"/>
          <w:color w:val="auto"/>
        </w:rPr>
        <w:t xml:space="preserve"> lead arranger </w:t>
      </w:r>
      <w:r>
        <w:rPr>
          <w:rFonts w:ascii="Times New Roman" w:cs="Times New Roman" w:eastAsia="Times New Roman" w:hAnsi="Times New Roman"/>
          <w:sz w:val="20"/>
          <w:szCs w:val="20"/>
          <w:color w:val="FF0000"/>
          <w:strike w:val="1"/>
        </w:rPr>
        <w:t>for the credit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evidenced by this Agreement.</w:t>
      </w:r>
      <w:r>
        <w:rPr>
          <w:rFonts w:ascii="Times New Roman" w:cs="Times New Roman" w:eastAsia="Times New Roman" w:hAnsi="Times New Roman"/>
          <w:sz w:val="20"/>
          <w:szCs w:val="20"/>
          <w:u w:val="single" w:color="auto"/>
          <w:color w:val="0000FF"/>
          <w:strike w:val="1"/>
        </w:rPr>
        <w:t>and a joint bookrunner hereunder, and (b) MUFG Bank, Ltd. and Silicon Valley Bank, a division of First-Citizens Bank &amp; Trust Company, in each case, in its capacity as a joint lead arranger and joint bookrunner hereunder.</w:t>
      </w:r>
    </w:p>
    <w:p>
      <w:pPr>
        <w:spacing w:after="0" w:line="149"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Revolving Credit Maturity Date and the date of termination of the Revolving Commitments.</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any tenor for such Benchmark (or component thereof) or payment period for interest calculated with reference to such Benchmark (or component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thereof), as applicable, that is or may be used for determining the length of an Interest Period for any term rate or otherwise, for determining any frequency of making payments of interest calculated pursuant to this Agreement as of such date and not including, for the avoidance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doubt, any tenor for such Benchmark that is then-removed from the definition of “Interest Period” pursuant to Section 2.14(e).</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w:t>
      </w:r>
    </w:p>
    <w:p>
      <w:pPr>
        <w:spacing w:after="0" w:line="211" w:lineRule="auto"/>
        <w:rPr>
          <w:sz w:val="20"/>
          <w:szCs w:val="20"/>
          <w:color w:val="auto"/>
        </w:rPr>
      </w:pPr>
      <w:r>
        <w:rPr>
          <w:rFonts w:ascii="Times New Roman" w:cs="Times New Roman" w:eastAsia="Times New Roman" w:hAnsi="Times New Roman"/>
          <w:sz w:val="20"/>
          <w:szCs w:val="20"/>
          <w:color w:val="auto"/>
        </w:rPr>
        <w:t>the United Kingdom Banking Act 2009 (as amended from time to time) and any other law, regulation or rule applicable in the United</w:t>
      </w:r>
    </w:p>
    <w:p>
      <w:pPr>
        <w:jc w:val="both"/>
        <w:spacing w:after="0" w:line="221"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any Loan Party or any Subsidiary by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any Lender or any of their respective Affiliates (or any Person that was a Lender or an Affiliate of a Lender at the time incurred), including any such services existing on the Effective Date with a Lender or an Affiliate of a Lender: (a) credit cards for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commercial customers (including, without limitation, “commercial credit cards” and purchasing cards), (b) stored value cards, (c) merchant processing services, (d) foreign currency transactions and (e) treasury management services (including, without limitation, controlled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disbursement, automated clearinghouse transactions, return items, any direct debit scheme or arrangement, overdrafts and interstate depository network services, fraud management, positive pay, receivables and cash pooling services).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means any and all obligations of the Loan Parties or its Subsidiaries, whether absolute or contingent and howsoever and whensoever created, arising, evidenced or acquired (including all renewals, extensions and modifications thereof and substitutions therefor) in connection with Banking Services.</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and hereafter in effect, or any successor thereto, as hereafter amended.</w:t>
      </w:r>
    </w:p>
    <w:p>
      <w:pPr>
        <w:spacing w:after="0" w:line="161"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Event</w:t>
      </w:r>
      <w:r>
        <w:rPr>
          <w:rFonts w:ascii="Times New Roman" w:cs="Times New Roman" w:eastAsia="Times New Roman" w:hAnsi="Times New Roman"/>
          <w:sz w:val="19"/>
          <w:szCs w:val="19"/>
          <w:color w:val="auto"/>
        </w:rPr>
        <w:t>” means, with respect to any Person, when such Person becomes the subject of a voluntary or involuntary bankruptcy or insolvency proceeding, or has had a receiver, conservator, trustee, administrator, custodian, assignee for the benefit of creditors</w:t>
      </w:r>
    </w:p>
    <w:p>
      <w:pPr>
        <w:spacing w:after="0" w:line="211" w:lineRule="auto"/>
        <w:rPr>
          <w:sz w:val="20"/>
          <w:szCs w:val="20"/>
          <w:color w:val="auto"/>
        </w:rPr>
      </w:pPr>
      <w:r>
        <w:rPr>
          <w:rFonts w:ascii="Times New Roman" w:cs="Times New Roman" w:eastAsia="Times New Roman" w:hAnsi="Times New Roman"/>
          <w:sz w:val="20"/>
          <w:szCs w:val="20"/>
          <w:color w:val="auto"/>
        </w:rPr>
        <w:t>or similar Person charged with the reorganization or liquidation of its business, appointed for it, or, in the good faith determination of the</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Administrative Agent, has taken any action in furtherance of, or indicating its consent to, approval of, or acquiescence in, any such proceeding or appointment or has had any order for relief in such proceeding entered in respect thereof, provided that a Bankruptcy Event</w:t>
      </w:r>
    </w:p>
    <w:p>
      <w:pPr>
        <w:spacing w:after="0" w:line="211" w:lineRule="auto"/>
        <w:rPr>
          <w:sz w:val="20"/>
          <w:szCs w:val="20"/>
          <w:color w:val="auto"/>
        </w:rPr>
      </w:pPr>
      <w:r>
        <w:rPr>
          <w:rFonts w:ascii="Times New Roman" w:cs="Times New Roman" w:eastAsia="Times New Roman" w:hAnsi="Times New Roman"/>
          <w:sz w:val="20"/>
          <w:szCs w:val="20"/>
          <w:color w:val="auto"/>
        </w:rPr>
        <w:t>shall not result solely by virtue of any ownership interest, or the acquisition of any ownership interest, in such Person by a Governmental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Authority or instrumentality thereof, unless such ownership interest results in or provides such Person with immunity from the jurisdiction of courts within the U.S. or from the enforcement of judgments or writs of attachment on its assets or permits such Person (or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Governmental Authority or instrumentality) to reject, repudiate, disavow or disaffirm any contracts or agreements made by such Person.</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(i) RFR Loan, Daily Simple SOFR or (ii) Term Benchmark Loan, the Term SOFR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and the related Benchmark Replacement Date have occurred with respect to the Term</w:t>
      </w:r>
    </w:p>
    <w:p>
      <w:pPr>
        <w:spacing w:after="0"/>
        <w:rPr>
          <w:sz w:val="20"/>
          <w:szCs w:val="20"/>
          <w:color w:val="auto"/>
        </w:rPr>
      </w:pPr>
      <w:r>
        <w:rPr>
          <w:rFonts w:ascii="Times New Roman" w:cs="Times New Roman" w:eastAsia="Times New Roman" w:hAnsi="Times New Roman"/>
          <w:sz w:val="20"/>
          <w:szCs w:val="20"/>
          <w:color w:val="auto"/>
        </w:rPr>
        <w:t>SOFR Rate or Daily Simple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SOFR, as applicable, or the then-current Benchmark, then “Benchmark” means the applicable Benchmark Replacement to the extent that such Benchmark Replacement has replaced such prior benchmark rate pursuant to Section 2.14(b).</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61" w:lineRule="exact"/>
        <w:rPr>
          <w:sz w:val="20"/>
          <w:szCs w:val="20"/>
          <w:color w:val="auto"/>
        </w:rPr>
      </w:pPr>
    </w:p>
    <w:p>
      <w:pPr>
        <w:ind w:left="1740" w:hanging="436"/>
        <w:spacing w:after="0"/>
        <w:tabs>
          <w:tab w:leader="none" w:pos="17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Adjusted Daily Simple SOFR; or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74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in the United States at such time; and (b) the related Benchmark Replacement Adjustment.</w:t>
      </w:r>
    </w:p>
    <w:p>
      <w:pPr>
        <w:spacing w:after="0" w:line="15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211" w:lineRule="auto"/>
        <w:rPr>
          <w:sz w:val="20"/>
          <w:szCs w:val="20"/>
          <w:color w:val="auto"/>
        </w:rPr>
      </w:pPr>
      <w:r>
        <w:rPr>
          <w:rFonts w:ascii="Times New Roman" w:cs="Times New Roman" w:eastAsia="Times New Roman" w:hAnsi="Times New Roman"/>
          <w:sz w:val="20"/>
          <w:szCs w:val="20"/>
          <w:color w:val="auto"/>
        </w:rPr>
        <w:t>the spread adjustment, or method for calculating or determining such spread adjustment, (which may be a positive or negative value or zero)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has been selected by the Administrative Agent and the Borrower for the applicable Corresponding Tenor giving due consideration to (i) any selection or recommendation of a spread adjustment, or method for calculating or determining such spread adjustment, for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replacement of such Benchmark with the applicable Unadjusted Benchmark Replacement by the Relevant Governmental Body on the applicable Benchmark Replacement Date and/or (ii) any evolving or then-prevailing market convention for determining a spread adjustment,</w:t>
      </w:r>
    </w:p>
    <w:p>
      <w:pPr>
        <w:spacing w:after="0" w:line="228" w:lineRule="auto"/>
        <w:rPr>
          <w:sz w:val="20"/>
          <w:szCs w:val="20"/>
          <w:color w:val="auto"/>
        </w:rPr>
      </w:pPr>
      <w:r>
        <w:rPr>
          <w:rFonts w:ascii="Times New Roman" w:cs="Times New Roman" w:eastAsia="Times New Roman" w:hAnsi="Times New Roman"/>
          <w:sz w:val="20"/>
          <w:szCs w:val="20"/>
          <w:color w:val="auto"/>
        </w:rPr>
        <w:t>or method for calculating or determining such spread adjustment, for the replacement of such Benchmark with the applicable Unadjusted Benchmark Replacement for syndicated credit facilities denominated in Dollars at such time.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any technical, administrative or operational changes (including changes to the definition of “Alternate Base Rate,” the definition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“Business Day,” the definition of “U.S. Government Securities Business Day,” the definition of “Interest Period,” timing and frequency of determining rates and making payments of interest, timing of borrowing requests or prepayment, conversion or continuation notices, length</w:t>
      </w:r>
    </w:p>
    <w:p>
      <w:pPr>
        <w:spacing w:after="0" w:line="211" w:lineRule="auto"/>
        <w:rPr>
          <w:sz w:val="20"/>
          <w:szCs w:val="20"/>
          <w:color w:val="auto"/>
        </w:rPr>
      </w:pPr>
      <w:r>
        <w:rPr>
          <w:rFonts w:ascii="Times New Roman" w:cs="Times New Roman" w:eastAsia="Times New Roman" w:hAnsi="Times New Roman"/>
          <w:sz w:val="20"/>
          <w:szCs w:val="20"/>
          <w:color w:val="auto"/>
        </w:rPr>
        <w:t>of lookback periods, the applicability of breakage provisions, and other technical, administrative or operational matters) that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decides (in consultation with the Borrower) may be appropriate to reflect the adoption and implementation of such Benchmark Replacement and to permit the administration thereof by the Administrative Agent in a manner substantially consistent with</w:t>
      </w:r>
    </w:p>
    <w:p>
      <w:pPr>
        <w:spacing w:after="0" w:line="211" w:lineRule="auto"/>
        <w:rPr>
          <w:sz w:val="20"/>
          <w:szCs w:val="20"/>
          <w:color w:val="auto"/>
        </w:rPr>
      </w:pPr>
      <w:r>
        <w:rPr>
          <w:rFonts w:ascii="Times New Roman" w:cs="Times New Roman" w:eastAsia="Times New Roman" w:hAnsi="Times New Roman"/>
          <w:sz w:val="20"/>
          <w:szCs w:val="20"/>
          <w:color w:val="auto"/>
        </w:rPr>
        <w:t>market practice (or, if the Administrative Agent decides that adoption of any portion of such market practice is not administratively feasible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if the Administrative Agent determines (in consultation with the Borrower) that no market practice for the administration of such Benchmark Replacement exists, in such other manner of administration as the Administrative Agent decides (in consultation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is reasonably necessary in connection with the administration of this Agreement and the other Loan Documents).</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61" w:lineRule="exact"/>
        <w:rPr>
          <w:sz w:val="20"/>
          <w:szCs w:val="20"/>
          <w:color w:val="auto"/>
        </w:rPr>
      </w:pPr>
    </w:p>
    <w:p>
      <w:pPr>
        <w:jc w:val="both"/>
        <w:ind w:left="660" w:firstLine="644"/>
        <w:spacing w:after="0" w:line="226" w:lineRule="auto"/>
        <w:tabs>
          <w:tab w:leader="none" w:pos="175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calculation thereof) permanently or indefinitely ceases to provide all Available Tenors of such Benchmark (or such component thereof); or</w:t>
      </w:r>
    </w:p>
    <w:p>
      <w:pPr>
        <w:spacing w:after="0" w:line="148" w:lineRule="exact"/>
        <w:rPr>
          <w:sz w:val="20"/>
          <w:szCs w:val="20"/>
          <w:color w:val="auto"/>
        </w:rPr>
      </w:pPr>
    </w:p>
    <w:p>
      <w:pPr>
        <w:jc w:val="both"/>
        <w:ind w:left="660" w:firstLine="644"/>
        <w:spacing w:after="0" w:line="220" w:lineRule="auto"/>
        <w:tabs>
          <w:tab w:leader="none" w:pos="17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6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w:t>
      </w:r>
    </w:p>
    <w:p>
      <w:pPr>
        <w:spacing w:after="0" w:line="212" w:lineRule="auto"/>
        <w:rPr>
          <w:sz w:val="20"/>
          <w:szCs w:val="20"/>
          <w:color w:val="auto"/>
        </w:rPr>
      </w:pPr>
      <w:r>
        <w:rPr>
          <w:rFonts w:ascii="Times New Roman" w:cs="Times New Roman" w:eastAsia="Times New Roman" w:hAnsi="Times New Roman"/>
          <w:sz w:val="20"/>
          <w:szCs w:val="20"/>
          <w:color w:val="auto"/>
        </w:rPr>
        <w:t>Time for such determination and (ii) the “Benchmark Replacement Date” will be deemed to have occurred in the case of clause (1) or (2)</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48" w:lineRule="exact"/>
        <w:rPr>
          <w:sz w:val="20"/>
          <w:szCs w:val="20"/>
          <w:color w:val="auto"/>
        </w:rPr>
      </w:pPr>
    </w:p>
    <w:p>
      <w:pPr>
        <w:jc w:val="both"/>
        <w:ind w:left="660" w:firstLine="644"/>
        <w:spacing w:after="0" w:line="220" w:lineRule="auto"/>
        <w:tabs>
          <w:tab w:leader="none" w:pos="186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77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63" w:lineRule="exact"/>
        <w:rPr>
          <w:rFonts w:ascii="Times New Roman" w:cs="Times New Roman" w:eastAsia="Times New Roman" w:hAnsi="Times New Roman"/>
          <w:sz w:val="19"/>
          <w:szCs w:val="19"/>
          <w:color w:val="auto"/>
        </w:rPr>
      </w:pPr>
    </w:p>
    <w:p>
      <w:pPr>
        <w:jc w:val="both"/>
        <w:ind w:left="660" w:firstLine="644"/>
        <w:spacing w:after="0" w:line="226" w:lineRule="auto"/>
        <w:tabs>
          <w:tab w:leader="none" w:pos="17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0"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w:t>
      </w:r>
    </w:p>
    <w:p>
      <w:pPr>
        <w:spacing w:after="0"/>
        <w:rPr>
          <w:sz w:val="20"/>
          <w:szCs w:val="20"/>
          <w:color w:val="auto"/>
        </w:rPr>
      </w:pPr>
      <w:r>
        <w:rPr>
          <w:rFonts w:ascii="Times New Roman" w:cs="Times New Roman" w:eastAsia="Times New Roman" w:hAnsi="Times New Roman"/>
          <w:sz w:val="20"/>
          <w:szCs w:val="20"/>
          <w:color w:val="auto"/>
        </w:rPr>
        <w:t>the published component used in the calculation thereof).</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w:t>
      </w:r>
    </w:p>
    <w:p>
      <w:pPr>
        <w:spacing w:after="0" w:line="212" w:lineRule="auto"/>
        <w:rPr>
          <w:sz w:val="20"/>
          <w:szCs w:val="20"/>
          <w:color w:val="auto"/>
        </w:rPr>
      </w:pPr>
      <w:r>
        <w:rPr>
          <w:rFonts w:ascii="Times New Roman" w:cs="Times New Roman" w:eastAsia="Times New Roman" w:hAnsi="Times New Roman"/>
          <w:sz w:val="20"/>
          <w:szCs w:val="20"/>
          <w:color w:val="auto"/>
        </w:rPr>
        <w:t>replaced such then-current Benchmark for all purposes hereunder and under any Loan Document in accordance with Section 2.14 and (y)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ending at the time that a Benchmark Replacement has replaced such then-current Benchmark for all purposes hereunder and under any Loan Document in accordance with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Section 3(3) of ERISA) that is subject to Title I of ERISA,</w:t>
      </w:r>
    </w:p>
    <w:p>
      <w:pPr>
        <w:spacing w:after="0" w:line="6" w:lineRule="exact"/>
        <w:rPr>
          <w:sz w:val="20"/>
          <w:szCs w:val="20"/>
          <w:color w:val="auto"/>
        </w:rPr>
      </w:pPr>
    </w:p>
    <w:p>
      <w:pPr>
        <w:jc w:val="both"/>
        <w:ind w:firstLine="8"/>
        <w:spacing w:after="0" w:line="218" w:lineRule="auto"/>
        <w:tabs>
          <w:tab w:leader="none" w:pos="29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as defined in and subject to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NERDWALLET, INC., a Delaware corporation.</w:t>
      </w:r>
    </w:p>
    <w:p>
      <w:pPr>
        <w:spacing w:after="0" w:line="189"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Type, made, converted or continued on the same date and, in the case of Term Benchmark Loans, as to which a single Interest Period is in effect or (b) a Swingline Loan.</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Section 2.03, which shall be substantially in the form attached hereto as </w:t>
      </w:r>
      <w:r>
        <w:rPr>
          <w:rFonts w:ascii="Times New Roman" w:cs="Times New Roman" w:eastAsia="Times New Roman" w:hAnsi="Times New Roman"/>
          <w:sz w:val="20"/>
          <w:szCs w:val="20"/>
          <w:u w:val="single" w:color="auto"/>
          <w:color w:val="auto"/>
        </w:rPr>
        <w:t>Exhibit C-1</w:t>
      </w:r>
      <w:r>
        <w:rPr>
          <w:rFonts w:ascii="Times New Roman" w:cs="Times New Roman" w:eastAsia="Times New Roman" w:hAnsi="Times New Roman"/>
          <w:sz w:val="20"/>
          <w:szCs w:val="20"/>
          <w:color w:val="auto"/>
        </w:rPr>
        <w:t xml:space="preserve"> or any other form approved by the Administrative Agent.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Burdensome Restrictions</w:t>
      </w:r>
      <w:r>
        <w:rPr>
          <w:rFonts w:ascii="Times New Roman" w:cs="Times New Roman" w:eastAsia="Times New Roman" w:hAnsi="Times New Roman"/>
          <w:sz w:val="20"/>
          <w:szCs w:val="20"/>
          <w:color w:val="auto"/>
        </w:rPr>
        <w:t>” means any consensual encumbrance or restriction of the type described in clause (a) or (b) of Section</w:t>
      </w:r>
    </w:p>
    <w:p>
      <w:pPr>
        <w:spacing w:after="0"/>
        <w:rPr>
          <w:sz w:val="20"/>
          <w:szCs w:val="20"/>
          <w:color w:val="auto"/>
        </w:rPr>
      </w:pPr>
      <w:r>
        <w:rPr>
          <w:rFonts w:ascii="Times New Roman" w:cs="Times New Roman" w:eastAsia="Times New Roman" w:hAnsi="Times New Roman"/>
          <w:sz w:val="20"/>
          <w:szCs w:val="20"/>
          <w:color w:val="auto"/>
        </w:rPr>
        <w:t>6.10.</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foregoing, a Business Day shall be any such day that is only a U.S. Government Securities Business Day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 relation to RFR Loans and any interest rate settings, fundings, disbursements, settlements or payments of any such RFR Loan, or any other dealings of such RFR Loan and (b) in relation to Loans referencing the Adjusted Term SOFR Rate and any interest rate settings, fundings,</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disbursements, settlements or payments of any such Loans referencing the Adjusted Term SOFR Rate or any other dealings of such Loans referencing the Adjusted Term SOFR Rate.</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without duplication, any expenditure or commitment to expend money for any purchase or other acquisition of any asset which would be classified as a fixed or capital asset on a consolidated balance sheet of the Borrower and its Subsidiaries prepared in accordance with GAAP.</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classified and accounted for as capital lease obligations or finance lease obligations on a balance sheet of such Person under GAAP, and the amount of such obligations shall be the capitalized amount thereof determined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w:t>
      </w:r>
    </w:p>
    <w:p>
      <w:pPr>
        <w:jc w:val="both"/>
        <w:spacing w:after="0" w:line="204" w:lineRule="auto"/>
        <w:rPr>
          <w:sz w:val="20"/>
          <w:szCs w:val="20"/>
          <w:color w:val="auto"/>
        </w:rPr>
      </w:pPr>
      <w:r>
        <w:rPr>
          <w:rFonts w:ascii="Times New Roman" w:cs="Times New Roman" w:eastAsia="Times New Roman" w:hAnsi="Times New Roman"/>
          <w:sz w:val="20"/>
          <w:szCs w:val="20"/>
          <w:color w:val="auto"/>
        </w:rPr>
        <w:t>(within the meaning of the Securities Exchange Act of 1934 and the rules of the SEC thereunder as in effect on the date hereof) other than the Permitted Holders, of Equity Interests representing more than 50% of the aggregate ordinary voting power represented by the issued and</w:t>
      </w:r>
    </w:p>
    <w:p>
      <w:pPr>
        <w:spacing w:after="0" w:line="211" w:lineRule="auto"/>
        <w:rPr>
          <w:sz w:val="20"/>
          <w:szCs w:val="20"/>
          <w:color w:val="auto"/>
        </w:rPr>
      </w:pPr>
      <w:r>
        <w:rPr>
          <w:rFonts w:ascii="Times New Roman" w:cs="Times New Roman" w:eastAsia="Times New Roman" w:hAnsi="Times New Roman"/>
          <w:sz w:val="20"/>
          <w:szCs w:val="20"/>
          <w:color w:val="auto"/>
        </w:rPr>
        <w:t>outstanding Equity Interests of the Borrower; or (b) the Borrower shall cease to own, free and clear of all Liens (other than Liens permitted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under Section 6.02) or other encumbrances, 100% of the outstanding Equity Interests of each of the Subsidiary Guarantors on a fully diluted basis, other than (x) pursuant to transactions permitted by this Agreement where 100% of the Equity Interests of such Subsidiary Guarantor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sold or (y) pursuant to a transaction expressly permitted under Section 6.03.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of any of the following: (a) the adoption of or taking effect</w:t>
      </w:r>
    </w:p>
    <w:p>
      <w:pPr>
        <w:spacing w:after="0" w:line="215" w:lineRule="auto"/>
        <w:rPr>
          <w:sz w:val="20"/>
          <w:szCs w:val="20"/>
          <w:color w:val="auto"/>
        </w:rPr>
      </w:pPr>
      <w:r>
        <w:rPr>
          <w:rFonts w:ascii="Times New Roman" w:cs="Times New Roman" w:eastAsia="Times New Roman" w:hAnsi="Times New Roman"/>
          <w:sz w:val="19"/>
          <w:szCs w:val="19"/>
          <w:color w:val="auto"/>
        </w:rPr>
        <w:t>of any law, rule, regulation or treaty, (b) any change in any law, rule, regulation or treaty or in the administration, interpretation, implementation or application thereof by any Governmental Authority or (c) compliance by any Lender or the Issuing Bank (or, for purposes</w:t>
      </w:r>
    </w:p>
    <w:p>
      <w:pPr>
        <w:spacing w:after="0" w:line="211" w:lineRule="auto"/>
        <w:rPr>
          <w:sz w:val="20"/>
          <w:szCs w:val="20"/>
          <w:color w:val="auto"/>
        </w:rPr>
      </w:pPr>
      <w:r>
        <w:rPr>
          <w:rFonts w:ascii="Times New Roman" w:cs="Times New Roman" w:eastAsia="Times New Roman" w:hAnsi="Times New Roman"/>
          <w:sz w:val="20"/>
          <w:szCs w:val="20"/>
          <w:color w:val="auto"/>
        </w:rPr>
        <w:t>of Section 2.15(b), by any lending office of such Lender or by such Lender’s or the Issuing Bank’s holding company, if any) with any</w:t>
      </w:r>
    </w:p>
    <w:p>
      <w:pPr>
        <w:spacing w:after="0" w:line="204" w:lineRule="auto"/>
        <w:rPr>
          <w:sz w:val="20"/>
          <w:szCs w:val="20"/>
          <w:color w:val="auto"/>
        </w:rPr>
      </w:pPr>
      <w:r>
        <w:rPr>
          <w:rFonts w:ascii="Times New Roman" w:cs="Times New Roman" w:eastAsia="Times New Roman" w:hAnsi="Times New Roman"/>
          <w:sz w:val="20"/>
          <w:szCs w:val="20"/>
          <w:color w:val="auto"/>
        </w:rPr>
        <w:t>request, rules, guideline, requirement or directive (whether or not having the force of law) of any Governmental Authority made or issued after the date of this Agreement; provided that, notwithstanding anything herein to the contrary, (x) the Dodd-Frank Wall Street Reform and</w:t>
      </w:r>
    </w:p>
    <w:p>
      <w:pPr>
        <w:spacing w:after="0" w:line="223" w:lineRule="auto"/>
        <w:rPr>
          <w:sz w:val="20"/>
          <w:szCs w:val="20"/>
          <w:color w:val="auto"/>
        </w:rPr>
      </w:pPr>
      <w:r>
        <w:rPr>
          <w:rFonts w:ascii="Times New Roman" w:cs="Times New Roman" w:eastAsia="Times New Roman" w:hAnsi="Times New Roman"/>
          <w:sz w:val="19"/>
          <w:szCs w:val="19"/>
          <w:color w:val="auto"/>
        </w:rPr>
        <w:t>Consumer Protection Act and all requests, rules, guidelines, requirements or directives thereunder or issued in connection therewith or in the</w:t>
      </w:r>
    </w:p>
    <w:p>
      <w:pPr>
        <w:spacing w:after="0" w:line="204" w:lineRule="auto"/>
        <w:rPr>
          <w:sz w:val="20"/>
          <w:szCs w:val="20"/>
          <w:color w:val="auto"/>
        </w:rPr>
      </w:pPr>
      <w:r>
        <w:rPr>
          <w:rFonts w:ascii="Times New Roman" w:cs="Times New Roman" w:eastAsia="Times New Roman" w:hAnsi="Times New Roman"/>
          <w:sz w:val="20"/>
          <w:szCs w:val="20"/>
          <w:color w:val="auto"/>
        </w:rPr>
        <w:t>implementation thereof, and (y) all requests, rules, guidelines, requirements and directives promulgated by the Bank for International Settlements, the Basel Committee on Banking Supervision (or any successor or similar authority) or the U.S. or foreign regulatory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authorities, in each case pursuant to Basel III, shall in each case be deemed to be a “Change in Law”, regardless of the date enacted, adopted, issued or implemented.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has the meaning assigned to such term in Section 9.17.</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Chase</w:t>
      </w:r>
      <w:r>
        <w:rPr>
          <w:rFonts w:ascii="Times New Roman" w:cs="Times New Roman" w:eastAsia="Times New Roman" w:hAnsi="Times New Roman"/>
          <w:sz w:val="20"/>
          <w:szCs w:val="20"/>
          <w:color w:val="auto"/>
        </w:rPr>
        <w:t>” means JPMorgan Chase Bank, N.A., a national banking association, in its individual capacity, and its successors.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or Swingline Loans.</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SOFR (or a successor administrator).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any and all property owned, leased or operated by a Person covered by the Collateral Documents and any and all other property (other than any Excluded Assets) of any Loan Party, now existing or hereafter acquired, that may at any time be, become or be</w:t>
      </w:r>
    </w:p>
    <w:p>
      <w:pPr>
        <w:spacing w:after="0" w:line="228" w:lineRule="auto"/>
        <w:rPr>
          <w:sz w:val="20"/>
          <w:szCs w:val="20"/>
          <w:color w:val="auto"/>
        </w:rPr>
      </w:pPr>
      <w:r>
        <w:rPr>
          <w:rFonts w:ascii="Times New Roman" w:cs="Times New Roman" w:eastAsia="Times New Roman" w:hAnsi="Times New Roman"/>
          <w:sz w:val="20"/>
          <w:szCs w:val="20"/>
          <w:color w:val="auto"/>
        </w:rPr>
        <w:t>intended to be, subject to a security interest or Lien in favor of the Administrative Agent, on behalf of itself and the other Secured Parties, to secure the Secured Obligations.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means, collectively, the Security Agreement and all other agreements, instruments and documents executed, delivered or otherwise prepared in connection with this Agreement that are intended to create, perfect or evidence Liens to secure the Secured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Obligations, including, without limitation, all other security agreements, pledge agreements, loan agreements, notes, guarantees, subordination agreements, pledges, powers of attorney, consents, assignments, contracts, fee letters, notices, leases, financing statements and</w:t>
      </w:r>
    </w:p>
    <w:p>
      <w:pPr>
        <w:spacing w:after="0"/>
        <w:rPr>
          <w:sz w:val="20"/>
          <w:szCs w:val="20"/>
          <w:color w:val="auto"/>
        </w:rPr>
      </w:pPr>
      <w:r>
        <w:rPr>
          <w:rFonts w:ascii="Times New Roman" w:cs="Times New Roman" w:eastAsia="Times New Roman" w:hAnsi="Times New Roman"/>
          <w:sz w:val="20"/>
          <w:szCs w:val="20"/>
          <w:color w:val="auto"/>
        </w:rPr>
        <w:t>all other written matter whether heretofore, now or hereafter executed by any Loan Party and delivered to the Administrative Agent.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has the meaning assigned to such term in Section 8.03(c).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Sensitive Information</w:t>
      </w:r>
      <w:r>
        <w:rPr>
          <w:rFonts w:ascii="Times New Roman" w:cs="Times New Roman" w:eastAsia="Times New Roman" w:hAnsi="Times New Roman"/>
          <w:sz w:val="20"/>
          <w:szCs w:val="20"/>
          <w:color w:val="auto"/>
        </w:rPr>
        <w:t>” has the meaning assigned to such term in Section 3.24(c).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of a Financial Officer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with respect to the Borrower and its Subsidiaries, on a consolidated basis, for any period,</w:t>
      </w:r>
    </w:p>
    <w:p>
      <w:pPr>
        <w:spacing w:after="0" w:line="189"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22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the following amounts for such period but solely to the extent deducted in calculating Consolidated Net Income (other than in the case of clause (b)(xviii)) for such period of:</w:t>
      </w:r>
    </w:p>
    <w:p>
      <w:pPr>
        <w:spacing w:after="0" w:line="16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for Taxes based on income net of tax refunds;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depreciation expense; </w:t>
      </w:r>
      <w:r>
        <w:rPr>
          <w:rFonts w:ascii="Times New Roman" w:cs="Times New Roman" w:eastAsia="Times New Roman" w:hAnsi="Times New Roman"/>
          <w:sz w:val="20"/>
          <w:szCs w:val="20"/>
          <w:u w:val="single" w:color="auto"/>
          <w:color w:val="auto"/>
        </w:rPr>
        <w:t>plus</w:t>
      </w:r>
    </w:p>
    <w:p>
      <w:pPr>
        <w:spacing w:after="0" w:line="181"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amortization expense (including, without limitation, amortization of intangibles from purchase price accounting);</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plus</w:t>
      </w:r>
    </w:p>
    <w:p>
      <w:pPr>
        <w:spacing w:after="0" w:line="166"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stock based compensation expense;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80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exchange, transaction or performance losses relating to any foreign currency hedging transactions or currency fluctuations;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9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fees and expenses in connection with the execution and delivery of this Agreement and the other Loan Documents and any amendments or other modifications thereto, in each case to the extent incurred within six (6) months after the Effective Date or the effectiveness of such amendment or other modification (or such later time period as approved in writing by the Administrative Agent in its sole discretion);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921"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one-time costs, fees, and expenses in connection with Permitted Acquisitions, investments, dispositions, issuances or repurchases of Equity Interests, or the incurrence, amendment or waiver of Indebtedness (in each case permitted hereunder), in each case, whether or not consummated; provided that, any amounts described in this clause (b)(viii) with respect to transactions that are not consummated shall not exceed $5,000,000 in the aggregate for any period; </w:t>
      </w:r>
      <w:r>
        <w:rPr>
          <w:rFonts w:ascii="Times New Roman" w:cs="Times New Roman" w:eastAsia="Times New Roman" w:hAnsi="Times New Roman"/>
          <w:sz w:val="20"/>
          <w:szCs w:val="20"/>
          <w:u w:val="single" w:color="auto"/>
          <w:color w:val="auto"/>
        </w:rPr>
        <w:t>plus</w:t>
      </w:r>
    </w:p>
    <w:p>
      <w:pPr>
        <w:spacing w:after="0" w:line="163"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goodwill and certain other intangibles) and FASB 144 (relating to the write downs of long-lived assets), in each case, in connection with Permitted Acquisitions; </w:t>
      </w:r>
      <w:r>
        <w:rPr>
          <w:rFonts w:ascii="Times New Roman" w:cs="Times New Roman" w:eastAsia="Times New Roman" w:hAnsi="Times New Roman"/>
          <w:sz w:val="20"/>
          <w:szCs w:val="20"/>
          <w:u w:val="single" w:color="auto"/>
          <w:color w:val="auto"/>
        </w:rPr>
        <w:t>plus</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7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charges for goodwill and other intangible write-offs and write-downs in connection with Permitted Acquisitions or otherwise; </w:t>
      </w:r>
      <w:r>
        <w:rPr>
          <w:rFonts w:ascii="Times New Roman" w:cs="Times New Roman" w:eastAsia="Times New Roman" w:hAnsi="Times New Roman"/>
          <w:sz w:val="20"/>
          <w:szCs w:val="20"/>
          <w:u w:val="single" w:color="auto"/>
          <w:color w:val="auto"/>
        </w:rPr>
        <w:t>plus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871"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restructuring charge, accrual or reserve, integration cost or other business optimization expense, including any restructuring costs incurred in connection with acquisitions, mergers or consolidations after the Effective Date and any other restructuring expenses, severance expenses, one-time compensation charges, post-retirement employee benefits plans, any expenses relating to reconstruction, decommissioning or recommissioning fixed assets for alternate use, expenses or charges relating to facility closing costs, acquisition integration costs and signing, retention or completion bonuses or expenses, in an aggregate amount when taken together with any amounts in clause (b)(xii) below, not to exceed fifteen percent (15%) of Consolidated EBITDA in any period;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76" w:lineRule="exact"/>
        <w:rPr>
          <w:sz w:val="20"/>
          <w:szCs w:val="20"/>
          <w:color w:val="auto"/>
        </w:rPr>
      </w:pPr>
    </w:p>
    <w:p>
      <w:pPr>
        <w:jc w:val="both"/>
        <w:ind w:left="4" w:firstLine="644"/>
        <w:spacing w:after="0" w:line="226" w:lineRule="auto"/>
        <w:tabs>
          <w:tab w:leader="none" w:pos="1266"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extraordinary, unusual or non-recurring non-cash expenses or non-cash charges and (B) any non-recurring expenses or charges in an aggregate amount, when taken together with any amounts in clause (b)(xi) above, not to exceed fifteen percent (15%) of Consolidated EBITDA in any period;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4" w:right="20" w:firstLine="644"/>
        <w:spacing w:after="0" w:line="226" w:lineRule="auto"/>
        <w:tabs>
          <w:tab w:leader="none" w:pos="137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noncash items reducing Consolidated Net Income (excluding any such noncash item to the extent that it represents an accrual or reserve for potential cash items in any future period or amortization of a prepaid cash item that was paid in a prior period) approved by the Administrative Agent in writing as an ‘add-back’ to Consolidated EBITDA;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4" w:firstLine="644"/>
        <w:spacing w:after="0" w:line="220" w:lineRule="auto"/>
        <w:tabs>
          <w:tab w:leader="none" w:pos="125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loss incurred during such period for which there is insurance or indemnity coverage and for which a related insurance or indemnity recovery is not recorded in accordance with GAAP, but for which such insurance or indemnity recovery is reasonably expected to be received by a Loan Party in a subsequent fiscal period and within one year of the date of the underlying loss;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recovery is not received in cash within one year of the date of the underlying loss, such amount will be deducted from Consolidated EBITDA for the subsequent period; </w:t>
      </w:r>
      <w:r>
        <w:rPr>
          <w:rFonts w:ascii="Times New Roman" w:cs="Times New Roman" w:eastAsia="Times New Roman" w:hAnsi="Times New Roman"/>
          <w:sz w:val="20"/>
          <w:szCs w:val="20"/>
          <w:u w:val="single" w:color="auto"/>
          <w:color w:val="auto"/>
        </w:rPr>
        <w:t>plus</w:t>
      </w:r>
    </w:p>
    <w:p>
      <w:pPr>
        <w:spacing w:after="0" w:line="147" w:lineRule="exact"/>
        <w:rPr>
          <w:rFonts w:ascii="Times New Roman" w:cs="Times New Roman" w:eastAsia="Times New Roman" w:hAnsi="Times New Roman"/>
          <w:sz w:val="20"/>
          <w:szCs w:val="20"/>
          <w:color w:val="auto"/>
        </w:rPr>
      </w:pPr>
    </w:p>
    <w:p>
      <w:pPr>
        <w:jc w:val="both"/>
        <w:ind w:left="4" w:firstLine="644"/>
        <w:spacing w:after="0" w:line="231" w:lineRule="auto"/>
        <w:tabs>
          <w:tab w:leader="none" w:pos="1194"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expenses and payments that are covered by indemnification or purchase price adjustment provisions in any agreement entered into by a Loan Party or Subsidiary in connection with any proposed or actual Permitted Acquisition and for which (A) the indemnitor or counterparty has assumed coverage in writing and (B) the Borrower reasonably expects to receive such expenses and payments within one year from the date of calculation;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expenses and payments are not received in cash within one year of the date of the underlying loss, such amount will be deducted from Consolidated EBITDA for the subsequent period; </w:t>
      </w:r>
      <w:r>
        <w:rPr>
          <w:rFonts w:ascii="Times New Roman" w:cs="Times New Roman" w:eastAsia="Times New Roman" w:hAnsi="Times New Roman"/>
          <w:sz w:val="19"/>
          <w:szCs w:val="19"/>
          <w:u w:val="single" w:color="auto"/>
          <w:color w:val="auto"/>
        </w:rPr>
        <w:t>plus</w:t>
      </w:r>
    </w:p>
    <w:p>
      <w:pPr>
        <w:spacing w:after="0" w:line="163" w:lineRule="exact"/>
        <w:rPr>
          <w:rFonts w:ascii="Times New Roman" w:cs="Times New Roman" w:eastAsia="Times New Roman" w:hAnsi="Times New Roman"/>
          <w:sz w:val="19"/>
          <w:szCs w:val="19"/>
          <w:color w:val="auto"/>
        </w:rPr>
      </w:pPr>
    </w:p>
    <w:p>
      <w:pPr>
        <w:ind w:left="4" w:firstLine="644"/>
        <w:spacing w:after="0" w:line="233" w:lineRule="auto"/>
        <w:tabs>
          <w:tab w:leader="none" w:pos="1253"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expense deducted in calculating Consolidated Net Income and actually reimbursed in cash by third parties (other than a Group Member);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4" w:firstLine="644"/>
        <w:spacing w:after="0" w:line="226" w:lineRule="auto"/>
        <w:tabs>
          <w:tab w:leader="none" w:pos="137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earn-out obligations, other contingent consideration obligations, stay-bonuses or similar payments, seller debt or other deferred purchase price payments, in each case, contingent or otherwise, incurred in connection with any Permitted Acquisition, to the extent such payments are permitted under this Agreement and expensed under GAAP standards;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4" w:firstLine="644"/>
        <w:spacing w:after="0" w:line="212" w:lineRule="auto"/>
        <w:tabs>
          <w:tab w:leader="none" w:pos="151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cost savings, operating expense reductions, other operating improvements and initiatives and synergies projected by the Borrower in good faith to result from actions actually taken in connection with any investment, Disposition, merger, amalgamation, consolidation, discontinued operations, or operational changes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in an amount not to exceed $4,000,000 in any period; provided that (x) such actions have actually been taken within six (6) months after the consummation of the investment, acquisition, Disposition, merger, amalgamation, consolidation, discontinued operations, or operational change expected to result in such cost savings or other benefits, and (y) such cost savings are reasonably identifiable and factually supportable (in the good faith determination of the Borrower); </w:t>
      </w:r>
      <w:r>
        <w:rPr>
          <w:rFonts w:ascii="Times New Roman" w:cs="Times New Roman" w:eastAsia="Times New Roman" w:hAnsi="Times New Roman"/>
          <w:sz w:val="20"/>
          <w:szCs w:val="20"/>
          <w:u w:val="single" w:color="auto"/>
          <w:color w:val="auto"/>
        </w:rPr>
        <w:t>plus</w:t>
      </w:r>
    </w:p>
    <w:p>
      <w:pPr>
        <w:spacing w:after="0" w:line="150" w:lineRule="exact"/>
        <w:rPr>
          <w:rFonts w:ascii="Times New Roman" w:cs="Times New Roman" w:eastAsia="Times New Roman" w:hAnsi="Times New Roman"/>
          <w:sz w:val="20"/>
          <w:szCs w:val="20"/>
          <w:color w:val="auto"/>
        </w:rPr>
      </w:pPr>
    </w:p>
    <w:p>
      <w:pPr>
        <w:ind w:left="1324" w:hanging="676"/>
        <w:spacing w:after="0"/>
        <w:tabs>
          <w:tab w:leader="none" w:pos="132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or non-recurring non-cash write-downs of capitalized software development costs and other fixed assets;</w:t>
      </w: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minus</w:t>
      </w:r>
    </w:p>
    <w:p>
      <w:pPr>
        <w:spacing w:after="0" w:line="166"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the amounts for such period of</w:t>
      </w:r>
    </w:p>
    <w:p>
      <w:pPr>
        <w:spacing w:after="0" w:line="175"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income;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software development costs; </w:t>
      </w:r>
      <w:r>
        <w:rPr>
          <w:rFonts w:ascii="Times New Roman" w:cs="Times New Roman" w:eastAsia="Times New Roman" w:hAnsi="Times New Roman"/>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84"/>
          </w:cols>
          <w:pgMar w:left="976" w:top="1440" w:right="339" w:bottom="1440" w:gutter="0" w:footer="0" w:header="0"/>
        </w:sectPr>
      </w:pPr>
    </w:p>
    <w:bookmarkStart w:id="142" w:name="page143"/>
    <w:bookmarkEnd w:id="142"/>
    <w:p>
      <w:pPr>
        <w:spacing w:after="0" w:line="176" w:lineRule="exact"/>
        <w:rPr>
          <w:sz w:val="20"/>
          <w:szCs w:val="20"/>
          <w:color w:val="auto"/>
        </w:rPr>
      </w:pPr>
    </w:p>
    <w:p>
      <w:pPr>
        <w:ind w:left="660" w:firstLine="644"/>
        <w:spacing w:after="0"/>
        <w:tabs>
          <w:tab w:leader="none" w:pos="184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items increasing Consolidated Net Income for such period (excluding any such noncash item to the extent it represents the reversal of an accrual or reserve for potential cash item in any prior period); </w:t>
      </w:r>
      <w:r>
        <w:rPr>
          <w:rFonts w:ascii="Times New Roman" w:cs="Times New Roman" w:eastAsia="Times New Roman" w:hAnsi="Times New Roman"/>
          <w:sz w:val="20"/>
          <w:szCs w:val="20"/>
          <w:u w:val="single" w:color="auto"/>
          <w:color w:val="auto"/>
        </w:rPr>
        <w:t>plus</w:t>
      </w:r>
    </w:p>
    <w:p>
      <w:pPr>
        <w:spacing w:after="0" w:line="147"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unusual or non-recurring gains.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Charges</w:t>
      </w:r>
      <w:r>
        <w:rPr>
          <w:rFonts w:ascii="Times New Roman" w:cs="Times New Roman" w:eastAsia="Times New Roman" w:hAnsi="Times New Roman"/>
          <w:sz w:val="20"/>
          <w:szCs w:val="20"/>
          <w:color w:val="auto"/>
        </w:rPr>
        <w:t xml:space="preserve">” means, for any period, without duplication, the sum of cash Consolidated Interest Expense, </w:t>
      </w:r>
      <w:r>
        <w:rPr>
          <w:rFonts w:ascii="Times New Roman" w:cs="Times New Roman" w:eastAsia="Times New Roman" w:hAnsi="Times New Roman"/>
          <w:sz w:val="20"/>
          <w:szCs w:val="20"/>
          <w:i w:val="1"/>
          <w:iCs w:val="1"/>
          <w:color w:val="auto"/>
        </w:rPr>
        <w:t>plus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scheduled principal payments on Indebtedness (other than any earn-out obligations, seller debt or other deferred purchase price payments, but including Capital Leases),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expense for taxes paid in cash,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Restricted Payments paid in cash (other than Restricted Payments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permitted pursuant to Section 6.08(a)(v)), in each case, for such period, and all calculated for the Borrower and its Subsidiaries on a consolidated basis in accordance with GAAP.</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period, total interest expense (including that attributable to Capital Lease Obligations) of the Borrower and its Subsidiaries for such period with respect to all outstanding Indebtedness of the Borrower and its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w:t>
      </w:r>
    </w:p>
    <w:p>
      <w:pPr>
        <w:spacing w:after="0"/>
        <w:rPr>
          <w:sz w:val="20"/>
          <w:szCs w:val="20"/>
          <w:color w:val="auto"/>
        </w:rPr>
      </w:pPr>
      <w:r>
        <w:rPr>
          <w:rFonts w:ascii="Times New Roman" w:cs="Times New Roman" w:eastAsia="Times New Roman" w:hAnsi="Times New Roman"/>
          <w:sz w:val="20"/>
          <w:szCs w:val="20"/>
          <w:color w:val="auto"/>
        </w:rPr>
        <w:t>GAAP), calculated for the Borrower and its Subsidiaries on a consolidated basis for such period in accordance with GAAP.</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consolidated net income (or loss) determined for the Borrower and its Subsidiaries,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from the calculation of “Consolidated</w:t>
      </w:r>
    </w:p>
    <w:p>
      <w:pPr>
        <w:spacing w:after="0" w:line="212" w:lineRule="auto"/>
        <w:rPr>
          <w:sz w:val="20"/>
          <w:szCs w:val="20"/>
          <w:color w:val="auto"/>
        </w:rPr>
      </w:pPr>
      <w:r>
        <w:rPr>
          <w:rFonts w:ascii="Times New Roman" w:cs="Times New Roman" w:eastAsia="Times New Roman" w:hAnsi="Times New Roman"/>
          <w:sz w:val="20"/>
          <w:szCs w:val="20"/>
          <w:color w:val="auto"/>
        </w:rPr>
        <w:t>Net Income” (a) the income (or deficit) of any such Person accrued prior to the date it becomes a Subsidiary of the Borrower or is merged</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into or consolidated with the Borrower or any of its Subsidiaries, (b) the income (or deficit) of any such Person (other than a Subsidiary of the Borrower) in which the Borrower or any of its Subsidiaries has an ownership interest, except to the extent that any such income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actually received by the Borrower or any of its Subsidiaries in the form of dividends or similar distributions, and (c) the undistributed earnings of any Subsidiary of the Borrower to the extent that the declaration or payment of dividends or similar distributions by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Subsidiary is not at the time permitted by the terms of any contractual obligation (other than under any Loan Document) or Requirement of Law applicable to such Subsidiary.</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at any date, total assets of the Borrower and its Subsidiaries calculated in accordance with GAAP on a consolidated basis as of such date.</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at any date, the aggregate principal amount of total Indebtedness of the Borrower and its Subsidiaries on a consolidated basis, determined for the Borrower and its Subsidiaries on a consolidated basis at such date, in accordance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earn-outs shall be included in Consolidated Total Indebtedness unless earned, due and owing.</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correlative thereto.</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189" w:lineRule="exact"/>
        <w:rPr>
          <w:sz w:val="20"/>
          <w:szCs w:val="20"/>
          <w:color w:val="auto"/>
        </w:rPr>
      </w:pPr>
    </w:p>
    <w:p>
      <w:pPr>
        <w:ind w:left="1040" w:hanging="384"/>
        <w:spacing w:after="0"/>
        <w:tabs>
          <w:tab w:leader="none" w:pos="10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75"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76" w:lineRule="exact"/>
        <w:rPr>
          <w:sz w:val="20"/>
          <w:szCs w:val="20"/>
          <w:color w:val="auto"/>
        </w:rPr>
      </w:pPr>
    </w:p>
    <w:p>
      <w:pPr>
        <w:ind w:left="660" w:right="2200" w:hanging="4"/>
        <w:spacing w:after="0" w:line="429" w:lineRule="auto"/>
        <w:tabs>
          <w:tab w:leader="none" w:pos="115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has the meaning assigned to such term in Section 9.21.</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the Issuing Bank, the Swingline Lender or any other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U.S.</w:t>
      </w:r>
    </w:p>
    <w:p>
      <w:pPr>
        <w:spacing w:after="0" w:line="204" w:lineRule="auto"/>
        <w:rPr>
          <w:sz w:val="20"/>
          <w:szCs w:val="20"/>
          <w:color w:val="auto"/>
        </w:rPr>
      </w:pPr>
      <w:r>
        <w:rPr>
          <w:rFonts w:ascii="Times New Roman" w:cs="Times New Roman" w:eastAsia="Times New Roman" w:hAnsi="Times New Roman"/>
          <w:sz w:val="20"/>
          <w:szCs w:val="20"/>
          <w:color w:val="auto"/>
        </w:rPr>
        <w:t>Government Securities Business Days prior to (i) if such SOFR Rate Day is a U.S. Government Securities Business Day, such SOFR Rate Day or (ii) if such SOFR Rate Day is not a U.S. Government Securities Business Day, the U.S. Government Securities Business Day</w:t>
      </w:r>
    </w:p>
    <w:p>
      <w:pPr>
        <w:spacing w:after="0" w:line="211" w:lineRule="auto"/>
        <w:rPr>
          <w:sz w:val="20"/>
          <w:szCs w:val="20"/>
          <w:color w:val="auto"/>
        </w:rPr>
      </w:pPr>
      <w:r>
        <w:rPr>
          <w:rFonts w:ascii="Times New Roman" w:cs="Times New Roman" w:eastAsia="Times New Roman" w:hAnsi="Times New Roman"/>
          <w:sz w:val="20"/>
          <w:szCs w:val="20"/>
          <w:color w:val="auto"/>
        </w:rPr>
        <w:t>immediately preceding such SOFR Rate Day, in each case, as such SOFR is published by the SOFR Administrator on the SOFR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Administrator’s Website. Any change in Daily Simple SOFR due to a change in SOFR shall be effective from and including the effective date of such change in SOFR without notice to the Borrower.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means all applicable laws, in multiple jurisdictions worldwide, that relate to (i) the confidentiality,</w:t>
      </w:r>
    </w:p>
    <w:p>
      <w:pPr>
        <w:spacing w:after="0" w:line="233" w:lineRule="auto"/>
        <w:rPr>
          <w:sz w:val="20"/>
          <w:szCs w:val="20"/>
          <w:color w:val="auto"/>
        </w:rPr>
      </w:pPr>
      <w:r>
        <w:rPr>
          <w:rFonts w:ascii="Times New Roman" w:cs="Times New Roman" w:eastAsia="Times New Roman" w:hAnsi="Times New Roman"/>
          <w:sz w:val="19"/>
          <w:szCs w:val="19"/>
          <w:color w:val="auto"/>
        </w:rPr>
        <w:t>processing, privacy, security, protection, transfer or trans-border data flow of Personal Data, personally-identifiable information or customer information, or (ii) electronic data privacy; whether such laws are in place as of the Effective Date or come into effect during the term.</w:t>
      </w:r>
    </w:p>
    <w:p>
      <w:pPr>
        <w:spacing w:after="0" w:line="16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w:t>
      </w:r>
    </w:p>
    <w:p>
      <w:pPr>
        <w:jc w:val="both"/>
        <w:ind w:firstLine="8"/>
        <w:spacing w:after="0" w:line="209" w:lineRule="auto"/>
        <w:tabs>
          <w:tab w:leader="none" w:pos="25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6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Dispose</w:t>
      </w:r>
      <w:r>
        <w:rPr>
          <w:rFonts w:ascii="Times New Roman" w:cs="Times New Roman" w:eastAsia="Times New Roman" w:hAnsi="Times New Roman"/>
          <w:sz w:val="19"/>
          <w:szCs w:val="19"/>
          <w:color w:val="auto"/>
        </w:rPr>
        <w:t>” means the sale, transfer, license, lease or other disposition (in one transaction or in a series of transactions and whether effected pursuant to a division or otherwise) of any property by any Person (including any Sale and Leaseback Transaction and</w:t>
      </w:r>
    </w:p>
    <w:p>
      <w:pPr>
        <w:spacing w:after="0" w:line="228" w:lineRule="auto"/>
        <w:rPr>
          <w:sz w:val="20"/>
          <w:szCs w:val="20"/>
          <w:color w:val="auto"/>
        </w:rPr>
      </w:pPr>
      <w:r>
        <w:rPr>
          <w:rFonts w:ascii="Times New Roman" w:cs="Times New Roman" w:eastAsia="Times New Roman" w:hAnsi="Times New Roman"/>
          <w:sz w:val="20"/>
          <w:szCs w:val="20"/>
          <w:color w:val="auto"/>
        </w:rPr>
        <w:t>any issuance of Equity Interests by a Subsidiary of such Person), including any sale, assignment, transfer or other disposal, with or without recourse, of any notes or accounts receivable or any rights and claims associated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means any Equity Interest that, by its terms (or by the terms of any security into which it is convertible, or for</w:t>
      </w:r>
    </w:p>
    <w:p>
      <w:pPr>
        <w:jc w:val="both"/>
        <w:spacing w:after="0" w:line="204" w:lineRule="auto"/>
        <w:rPr>
          <w:sz w:val="20"/>
          <w:szCs w:val="20"/>
          <w:color w:val="auto"/>
        </w:rPr>
      </w:pPr>
      <w:r>
        <w:rPr>
          <w:rFonts w:ascii="Times New Roman" w:cs="Times New Roman" w:eastAsia="Times New Roman" w:hAnsi="Times New Roman"/>
          <w:sz w:val="20"/>
          <w:szCs w:val="20"/>
          <w:color w:val="auto"/>
        </w:rPr>
        <w:t>which it is exchangeable, in each case at the option of the holder thereof), or upon the happening of any event (other than a Change in Control or similar event), matures or is mandatorily redeemable, pursuant to a sinking fund obligation or otherwise, or redeemable at the</w:t>
      </w:r>
    </w:p>
    <w:p>
      <w:pPr>
        <w:spacing w:after="0" w:line="211" w:lineRule="auto"/>
        <w:rPr>
          <w:sz w:val="20"/>
          <w:szCs w:val="20"/>
          <w:color w:val="auto"/>
        </w:rPr>
      </w:pPr>
      <w:r>
        <w:rPr>
          <w:rFonts w:ascii="Times New Roman" w:cs="Times New Roman" w:eastAsia="Times New Roman" w:hAnsi="Times New Roman"/>
          <w:sz w:val="20"/>
          <w:szCs w:val="20"/>
          <w:color w:val="auto"/>
        </w:rPr>
        <w:t>option of the holder thereof, in whole or in part, on or prior to the date that is 91 days after Revolving Credit Maturity Date. The amount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Disqualified Stock deemed to be outstanding at any time for purposes of this Agreement will be the maximum amount that the Loan Parties and Subsidiaries may become obligated to pay upon maturity of, or pursuant to any mandatory redemption provisions of, such Disqualified</w:t>
      </w:r>
    </w:p>
    <w:p>
      <w:pPr>
        <w:spacing w:after="0" w:line="211" w:lineRule="auto"/>
        <w:rPr>
          <w:sz w:val="20"/>
          <w:szCs w:val="20"/>
          <w:color w:val="auto"/>
        </w:rPr>
      </w:pPr>
      <w:r>
        <w:rPr>
          <w:rFonts w:ascii="Times New Roman" w:cs="Times New Roman" w:eastAsia="Times New Roman" w:hAnsi="Times New Roman"/>
          <w:sz w:val="20"/>
          <w:szCs w:val="20"/>
          <w:color w:val="auto"/>
        </w:rPr>
        <w:t>Stock or portion thereof, plus accrued dividends. Notwithstanding the preceding sentence, any Equity Interests that would constitute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Disqualified Stock solely because the holders of the Equity Interests have the right to be paid upon liquidation, dissolution, winding up or pursuant to such other applicable statutory or regulatory obligations of the issuer of such Equity Interests will not constitute Disqualified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Stock if the terms of such Equity Interests provide that such payments may not be made with respect to such Equity Interests unless such payments are made after Payment in Full of the Secured Obligations.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 America other</w:t>
      </w:r>
    </w:p>
    <w:p>
      <w:pPr>
        <w:jc w:val="both"/>
        <w:spacing w:after="0" w:line="221" w:lineRule="auto"/>
        <w:rPr>
          <w:sz w:val="20"/>
          <w:szCs w:val="20"/>
          <w:color w:val="auto"/>
        </w:rPr>
      </w:pPr>
      <w:r>
        <w:rPr>
          <w:rFonts w:ascii="Times New Roman" w:cs="Times New Roman" w:eastAsia="Times New Roman" w:hAnsi="Times New Roman"/>
          <w:sz w:val="20"/>
          <w:szCs w:val="20"/>
          <w:color w:val="auto"/>
        </w:rPr>
        <w:t>than a Subsidiary substantially all of the assets of which consist of the Equity Interests (or Equity Interests and Indebtedness) of “controlled foreign corporations” within the meaning of Section 957 of the Code.</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w:t>
      </w:r>
    </w:p>
    <w:p>
      <w:pPr>
        <w:jc w:val="both"/>
        <w:spacing w:after="0" w:line="204" w:lineRule="auto"/>
        <w:rPr>
          <w:sz w:val="20"/>
          <w:szCs w:val="20"/>
          <w:color w:val="auto"/>
        </w:rPr>
      </w:pPr>
      <w:r>
        <w:rPr>
          <w:rFonts w:ascii="Times New Roman" w:cs="Times New Roman" w:eastAsia="Times New Roman" w:hAnsi="Times New Roman"/>
          <w:sz w:val="20"/>
          <w:szCs w:val="20"/>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of an institution described in clauses (a) or (b) of this definition and is subject to consolidated supervision with its parent.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the date on which the conditions specified in Section 4.01 are satisfied (or waived in accordance with Section</w:t>
      </w:r>
    </w:p>
    <w:p>
      <w:pPr>
        <w:spacing w:after="0"/>
        <w:rPr>
          <w:sz w:val="20"/>
          <w:szCs w:val="20"/>
          <w:color w:val="auto"/>
        </w:rPr>
      </w:pPr>
      <w:r>
        <w:rPr>
          <w:rFonts w:ascii="Times New Roman" w:cs="Times New Roman" w:eastAsia="Times New Roman" w:hAnsi="Times New Roman"/>
          <w:sz w:val="20"/>
          <w:szCs w:val="20"/>
          <w:color w:val="auto"/>
        </w:rPr>
        <w:t>9.02).</w:t>
      </w:r>
    </w:p>
    <w:p>
      <w:pPr>
        <w:spacing w:after="0" w:line="16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4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System</w:t>
      </w:r>
      <w:r>
        <w:rPr>
          <w:rFonts w:ascii="Times New Roman" w:cs="Times New Roman" w:eastAsia="Times New Roman" w:hAnsi="Times New Roman"/>
          <w:sz w:val="19"/>
          <w:szCs w:val="19"/>
          <w:color w:val="auto"/>
        </w:rPr>
        <w:t>” means any electronic system, including e-mail, e-fax, web portal access for the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rules, regulations, codes, ordinances, orders, decrees, judgments, injunctions, notices or binding agreements issued, promulgated or entered into by any Governmental Authority, relating in any way to (i) the environment,</w:t>
      </w:r>
    </w:p>
    <w:p>
      <w:pPr>
        <w:ind w:left="340" w:hanging="332"/>
        <w:spacing w:after="0" w:line="198" w:lineRule="auto"/>
        <w:tabs>
          <w:tab w:leader="none" w:pos="34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preservation or reclamation of natural resources, (iii) the management, Release or threatened Release of any Hazardous Material or</w:t>
      </w:r>
    </w:p>
    <w:p>
      <w:pPr>
        <w:ind w:left="340" w:hanging="332"/>
        <w:spacing w:after="0"/>
        <w:tabs>
          <w:tab w:leader="none" w:pos="34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health and safety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w:t>
      </w:r>
    </w:p>
    <w:p>
      <w:pPr>
        <w:jc w:val="both"/>
        <w:spacing w:after="0" w:line="204" w:lineRule="auto"/>
        <w:rPr>
          <w:sz w:val="20"/>
          <w:szCs w:val="20"/>
          <w:color w:val="auto"/>
        </w:rPr>
      </w:pPr>
      <w:r>
        <w:rPr>
          <w:rFonts w:ascii="Times New Roman" w:cs="Times New Roman" w:eastAsia="Times New Roman" w:hAnsi="Times New Roman"/>
          <w:sz w:val="20"/>
          <w:szCs w:val="20"/>
          <w:color w:val="auto"/>
        </w:rPr>
        <w:t>remediation, fines, penalties or indemnities), of the Borrower or any Subsidiary directly or indirectly resulting from or based upon (a) any violation of any Environmental Law, (b) the generation, use, handling, transportation, storage, treatment or disposal of any Hazardous</w:t>
      </w:r>
    </w:p>
    <w:p>
      <w:pPr>
        <w:spacing w:after="0" w:line="211" w:lineRule="auto"/>
        <w:rPr>
          <w:sz w:val="20"/>
          <w:szCs w:val="20"/>
          <w:color w:val="auto"/>
        </w:rPr>
      </w:pPr>
      <w:r>
        <w:rPr>
          <w:rFonts w:ascii="Times New Roman" w:cs="Times New Roman" w:eastAsia="Times New Roman" w:hAnsi="Times New Roman"/>
          <w:sz w:val="20"/>
          <w:szCs w:val="20"/>
          <w:color w:val="auto"/>
        </w:rPr>
        <w:t>Materials, (c) any exposure to any Hazardous Materials, (d) the Release or threatened Release of any Hazardous Materials into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environment or (e) any contract, agreement or other consensual arrangement pursuant to which liability is assumed or imposed with respect to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 day notice period is waived); (b) the failure to satisfy the “minimum funding standard”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(as defined in Section 412 of the Code or Section 302 of ERISA), that is not waived; (c) the filing pursuant to Section 412(c) of the Code or Section 302(c) of ERISA of an application for a waiver of the minimum funding standard with respect to any Plan; (d) the incurrence by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Borrower or any ERISA Affiliate of any material liability under Title IV of ERISA with respect to the termination of any Plan; (e) the receipt by the Borrower or any ERISA Affiliate from the PBGC or a plan administrator of any notice relating to an intention to terminate any Plan or</w:t>
      </w:r>
    </w:p>
    <w:p>
      <w:pPr>
        <w:spacing w:after="0" w:line="211" w:lineRule="auto"/>
        <w:rPr>
          <w:sz w:val="20"/>
          <w:szCs w:val="20"/>
          <w:color w:val="auto"/>
        </w:rPr>
      </w:pPr>
      <w:r>
        <w:rPr>
          <w:rFonts w:ascii="Times New Roman" w:cs="Times New Roman" w:eastAsia="Times New Roman" w:hAnsi="Times New Roman"/>
          <w:sz w:val="20"/>
          <w:szCs w:val="20"/>
          <w:color w:val="auto"/>
        </w:rPr>
        <w:t>Plans or to appoint a trustee to administer any Plan; (f) the incurrence by the Borrower or any ERISA Affiliate of any material liability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respect to the withdrawal or partial withdrawal of the Borrower or any ERISA Affiliate from any Plan or Multiemployer Plan; or (g) the receipt by the Borrower or any ERISA Affiliate of any notice, or the receipt by any Multiemployer Plan from the Borrower or any ERISA</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Affiliate of any notice, concerning the imposition upon the Borrower or any ERISA Affiliate of any material Withdrawal Liability or a determination that a Multiemployer Plan is, or is expected to be, insolvent or in critical status, within the meaning of Title IV of ERISA.</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Article VII.</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has the meaning assigned to such term in the Security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Guarantor, any Swap Obligation if, and to the extent that, all or a</w:t>
      </w:r>
    </w:p>
    <w:p>
      <w:pPr>
        <w:jc w:val="both"/>
        <w:spacing w:after="0" w:line="204" w:lineRule="auto"/>
        <w:rPr>
          <w:sz w:val="20"/>
          <w:szCs w:val="20"/>
          <w:color w:val="auto"/>
        </w:rPr>
      </w:pPr>
      <w:r>
        <w:rPr>
          <w:rFonts w:ascii="Times New Roman" w:cs="Times New Roman" w:eastAsia="Times New Roman" w:hAnsi="Times New Roman"/>
          <w:sz w:val="20"/>
          <w:szCs w:val="20"/>
          <w:color w:val="auto"/>
        </w:rPr>
        <w:t>portion of the Guarantee of such Loan Guarantor of, or the grant by such Loan Guarantor of a security interest to secure, such Swap Obligation (or any Guarantee thereof) is or becomes illegal under the Commodity Exchange Act or any rule, regulation or order of the</w:t>
      </w:r>
    </w:p>
    <w:p>
      <w:pPr>
        <w:spacing w:after="0" w:line="211" w:lineRule="auto"/>
        <w:rPr>
          <w:sz w:val="20"/>
          <w:szCs w:val="20"/>
          <w:color w:val="auto"/>
        </w:rPr>
      </w:pPr>
      <w:r>
        <w:rPr>
          <w:rFonts w:ascii="Times New Roman" w:cs="Times New Roman" w:eastAsia="Times New Roman" w:hAnsi="Times New Roman"/>
          <w:sz w:val="20"/>
          <w:szCs w:val="20"/>
          <w:color w:val="auto"/>
        </w:rPr>
        <w:t>Commodity Futures Trading Commission (or the application or official interpretation of any thereof) by virtue of such Loan Guarantor’s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failure for any reason to constitute an ECP at the time the Guarantee of such Loan Guarantor or the grant of such security interest becomes or would become effective with respect to such Swap Obligation. If a Swap Obligation arises under a master agreement governing more than</w:t>
      </w:r>
    </w:p>
    <w:p>
      <w:pPr>
        <w:jc w:val="both"/>
        <w:spacing w:after="0" w:line="228" w:lineRule="auto"/>
        <w:rPr>
          <w:sz w:val="20"/>
          <w:szCs w:val="20"/>
          <w:color w:val="auto"/>
        </w:rPr>
      </w:pPr>
      <w:r>
        <w:rPr>
          <w:rFonts w:ascii="Times New Roman" w:cs="Times New Roman" w:eastAsia="Times New Roman" w:hAnsi="Times New Roman"/>
          <w:sz w:val="20"/>
          <w:szCs w:val="20"/>
          <w:color w:val="auto"/>
        </w:rPr>
        <w:t>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from a payment to a Recipient: (a) Taxes imposed on or measured by net income (however denominated), franchise Taxes, and branch profits Taxes, in each case, (i) imposed as a result of such Recipient being organized under the laws of, or having its principal office or, in the case of</w:t>
      </w:r>
    </w:p>
    <w:p>
      <w:pPr>
        <w:spacing w:after="0" w:line="211" w:lineRule="auto"/>
        <w:rPr>
          <w:sz w:val="20"/>
          <w:szCs w:val="20"/>
          <w:color w:val="auto"/>
        </w:rPr>
      </w:pPr>
      <w:r>
        <w:rPr>
          <w:rFonts w:ascii="Times New Roman" w:cs="Times New Roman" w:eastAsia="Times New Roman" w:hAnsi="Times New Roman"/>
          <w:sz w:val="20"/>
          <w:szCs w:val="20"/>
          <w:color w:val="auto"/>
        </w:rPr>
        <w:t>any Lender, its applicable lending office located in, the jurisdiction imposing such Tax (or any political subdivision thereof) or (ii) that are</w:t>
      </w:r>
    </w:p>
    <w:p>
      <w:pPr>
        <w:ind w:right="20"/>
        <w:spacing w:after="0" w:line="204" w:lineRule="auto"/>
        <w:rPr>
          <w:sz w:val="20"/>
          <w:szCs w:val="20"/>
          <w:color w:val="auto"/>
        </w:rPr>
      </w:pPr>
      <w:r>
        <w:rPr>
          <w:rFonts w:ascii="Times New Roman" w:cs="Times New Roman" w:eastAsia="Times New Roman" w:hAnsi="Times New Roman"/>
          <w:sz w:val="20"/>
          <w:szCs w:val="20"/>
          <w:color w:val="auto"/>
        </w:rPr>
        <w:t>Other Connection Taxes, (b) in the case of a Lender, U.S. federal withholding Taxes imposed on amounts payable to or for the account of such Lender with respect to an applicable interest in a Loan, Letter of Credit or Revolving Commitment pursuant to a law in effect on the</w:t>
      </w:r>
    </w:p>
    <w:p>
      <w:pPr>
        <w:spacing w:after="0" w:line="211" w:lineRule="auto"/>
        <w:rPr>
          <w:sz w:val="20"/>
          <w:szCs w:val="20"/>
          <w:color w:val="auto"/>
        </w:rPr>
      </w:pPr>
      <w:r>
        <w:rPr>
          <w:rFonts w:ascii="Times New Roman" w:cs="Times New Roman" w:eastAsia="Times New Roman" w:hAnsi="Times New Roman"/>
          <w:sz w:val="20"/>
          <w:szCs w:val="20"/>
          <w:color w:val="auto"/>
        </w:rPr>
        <w:t>date on which (i) such Lender acquires such interest in the Loan, Letter of Credit or Revolving Commitment (other than pursuant to 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assignment request by the Borrower under Section 2.19(b)) or (ii) such Lender changes its lending office, except in each case to the extent that, pursuant to Section 2.17, amounts with respect to such Taxes were payable either to such Lender’s assignor immediately before such</w:t>
      </w:r>
    </w:p>
    <w:p>
      <w:pPr>
        <w:spacing w:after="0" w:line="211" w:lineRule="auto"/>
        <w:rPr>
          <w:sz w:val="20"/>
          <w:szCs w:val="20"/>
          <w:color w:val="auto"/>
        </w:rPr>
      </w:pPr>
      <w:r>
        <w:rPr>
          <w:rFonts w:ascii="Times New Roman" w:cs="Times New Roman" w:eastAsia="Times New Roman" w:hAnsi="Times New Roman"/>
          <w:sz w:val="20"/>
          <w:szCs w:val="20"/>
          <w:color w:val="auto"/>
        </w:rPr>
        <w:t>Lender acquired the applicable interest in a Loan, Letter of Credit or Revolving Commitment or to such Lender immediately before it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changed its lending office, (c) Taxes attributable to such Recipient’s failure to comply with Section 2.17(f) and (d) any withholding Taxes imposed under FATCA.</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 of Credit</w:t>
      </w:r>
      <w:r>
        <w:rPr>
          <w:rFonts w:ascii="Times New Roman" w:cs="Times New Roman" w:eastAsia="Times New Roman" w:hAnsi="Times New Roman"/>
          <w:sz w:val="20"/>
          <w:szCs w:val="20"/>
          <w:color w:val="auto"/>
        </w:rPr>
        <w:t xml:space="preserve">” means each letter of credit issued prior to the Effective Date by a Person that shall be an Issuing Bank and listed on </w:t>
      </w:r>
      <w:r>
        <w:rPr>
          <w:rFonts w:ascii="Times New Roman" w:cs="Times New Roman" w:eastAsia="Times New Roman" w:hAnsi="Times New Roman"/>
          <w:sz w:val="20"/>
          <w:szCs w:val="20"/>
          <w:u w:val="single" w:color="auto"/>
          <w:color w:val="auto"/>
        </w:rPr>
        <w:t>Schedule 2.06</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thereof and any agreement entered into pursuant to Section 1471(b)(1) of the Code and any fiscal or regulatory legislation, rules or practices adopted pursuant to any intergovernmental agreement, treaty or convention among Governmental Authorities and implementing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Sections of the Code.</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means, for any day, the rate calculated by the NYFRB based on such day’s federal funds transactions by depositary institutions, as determined in such manner as shall be set forth on the NYFRB’s Website from time to time, and published 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has the meaning assigned to such term in Section 5.01.</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xml:space="preserve">” means, for any period, the ratio of (a) Consolidated EBITDA for such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Unfinanced Capital Expenditures for such period, to (b) Consolidated Fixed Charges for such period.</w:t>
      </w:r>
    </w:p>
    <w:p>
      <w:pPr>
        <w:spacing w:after="0" w:line="14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the benchmark rate floor, if any, provided in this Agreement (as of the execution of this Agreement, the modification, amendment or renewal of this Agreement or otherwise) with respect to the Adjusted Term SOFR Rate or the Adjusted Daily Simple SOFR,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as applicable. For the avoidance of doubt, the initial Floor for each of the Adjusted Term SOFR Rate and the Adjusted Daily Simple SOFR shall be zero.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 if the Borrower is a U.S. Person, a Lender that is not a U.S. Person, and (b) if the Borrower is not a U.S.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Person, a Lender that is resident or organized under the laws of a jurisdiction other than that in which the Borrower is resident for tax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has the meaning assigned to such term in Section 4.01(h).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GDPR</w:t>
      </w:r>
      <w:r>
        <w:rPr>
          <w:rFonts w:ascii="Times New Roman" w:cs="Times New Roman" w:eastAsia="Times New Roman" w:hAnsi="Times New Roman"/>
          <w:sz w:val="20"/>
          <w:szCs w:val="20"/>
          <w:color w:val="auto"/>
        </w:rPr>
        <w:t>” means the EU General Data Protection Regulation EU/2016/679 and any laws implementing or supplementing the GDPR.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U.S., any other nation or any political subdivision thereof, whether state or</w:t>
      </w:r>
    </w:p>
    <w:p>
      <w:pPr>
        <w:spacing w:after="0" w:line="221" w:lineRule="auto"/>
        <w:rPr>
          <w:sz w:val="20"/>
          <w:szCs w:val="20"/>
          <w:color w:val="auto"/>
        </w:rPr>
      </w:pPr>
      <w:r>
        <w:rPr>
          <w:rFonts w:ascii="Times New Roman" w:cs="Times New Roman" w:eastAsia="Times New Roman" w:hAnsi="Times New Roman"/>
          <w:sz w:val="20"/>
          <w:szCs w:val="20"/>
          <w:color w:val="auto"/>
        </w:rPr>
        <w:t>local, and any agency, authority, instrumentality, regulatory body, court, central bank or other entity exercising executive, legislative, judicial, taxing, regulatory or administrative powers or functions of or pertaining to government.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w:t>
      </w:r>
    </w:p>
    <w:p>
      <w:pPr>
        <w:spacing w:after="0" w:line="204" w:lineRule="auto"/>
        <w:rPr>
          <w:sz w:val="20"/>
          <w:szCs w:val="20"/>
          <w:color w:val="auto"/>
        </w:rPr>
      </w:pPr>
      <w:r>
        <w:rPr>
          <w:rFonts w:ascii="Times New Roman" w:cs="Times New Roman" w:eastAsia="Times New Roman" w:hAnsi="Times New Roman"/>
          <w:sz w:val="20"/>
          <w:szCs w:val="20"/>
          <w:color w:val="auto"/>
        </w:rPr>
        <w:t>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of the guarantor, direct or indirect, (a) to purchase or pay (or advance or supply</w:t>
      </w:r>
    </w:p>
    <w:p>
      <w:pPr>
        <w:spacing w:after="0" w:line="211" w:lineRule="auto"/>
        <w:rPr>
          <w:sz w:val="20"/>
          <w:szCs w:val="20"/>
          <w:color w:val="auto"/>
        </w:rPr>
      </w:pPr>
      <w:r>
        <w:rPr>
          <w:rFonts w:ascii="Times New Roman" w:cs="Times New Roman" w:eastAsia="Times New Roman" w:hAnsi="Times New Roman"/>
          <w:sz w:val="20"/>
          <w:szCs w:val="20"/>
          <w:color w:val="auto"/>
        </w:rPr>
        <w:t>funds for the purchase or payment of) such Indebtedness or other obligation or to purchase (or to advance or supply funds for the purchase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any security for the payment thereof, (b) to purchase or lease property, securities or services for the purpose of assuring the owner of such Indebtedness or other obligation of the payment thereof, (c) to maintain working capital, equity capital or any other financial statement</w:t>
      </w:r>
    </w:p>
    <w:p>
      <w:pPr>
        <w:spacing w:after="0" w:line="211" w:lineRule="auto"/>
        <w:rPr>
          <w:sz w:val="20"/>
          <w:szCs w:val="20"/>
          <w:color w:val="auto"/>
        </w:rPr>
      </w:pPr>
      <w:r>
        <w:rPr>
          <w:rFonts w:ascii="Times New Roman" w:cs="Times New Roman" w:eastAsia="Times New Roman" w:hAnsi="Times New Roman"/>
          <w:sz w:val="20"/>
          <w:szCs w:val="20"/>
          <w:color w:val="auto"/>
        </w:rPr>
        <w:t>condition or liquidity of the primary obligor so as to enable the primary obligor to pay such Indebtedness or other obligation or (d) as 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amount of any Guarantee shall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deemed to be an amount equal to the stated or determinable amount of the related primary obligation, or portion thereof, in respect of which such Guarantee is made or, if not stated or determinable, the maximum reasonably anticipated liability in respect thereof.</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means (i) with respect to the Borrower, the Specified Ancillary Obligations and (ii) with respect to any</w:t>
      </w:r>
    </w:p>
    <w:p>
      <w:pPr>
        <w:spacing w:after="0" w:line="215" w:lineRule="auto"/>
        <w:rPr>
          <w:sz w:val="20"/>
          <w:szCs w:val="20"/>
          <w:color w:val="auto"/>
        </w:rPr>
      </w:pPr>
      <w:r>
        <w:rPr>
          <w:rFonts w:ascii="Times New Roman" w:cs="Times New Roman" w:eastAsia="Times New Roman" w:hAnsi="Times New Roman"/>
          <w:sz w:val="19"/>
          <w:szCs w:val="19"/>
          <w:color w:val="auto"/>
        </w:rPr>
        <w:t>Subsidiary Guarantor, the Secured Obligations, and, in each case, all costs and expenses including, without limitation, all court costs and reasonable attorneys’ and paralegals’ fees (including allocated costs of in-house counsel and paralegals) and expenses paid or incurred by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the Issuing Bank and the Lenders in endeavoring to collect all or any part of the Secured Obligations from, or in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prosecuting any action against, the Borrower, any Loan Guarantor or any other guarantor of all or any part of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the definition of “Guaranteed Obligations” shall not create any guarantee by any Loan Guarantor of (or grant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security interest by any Loan Guarantor to support, as applicable) any Excluded Swap Obligations of such Loan Guarantor for purposes of determining any obligations of any Loan Guarantor.</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 any substance, material, or waste that is included within the definitions of “hazardous substances,” “hazardous materials,” “hazardous waste,” “toxic substances,” “toxic materials,” “toxic waste,” or words of similar import in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Environmental Law; (b) those substances listed as hazardous substances by the United States Department of Transportation (or any successor agency) (49 C.F.R. 172.101 and amendments thereto) or by the Environmental Protection Agency (or any successor agency) (40 C.F.R. Part</w:t>
      </w:r>
    </w:p>
    <w:p>
      <w:pPr>
        <w:spacing w:after="0" w:line="211" w:lineRule="auto"/>
        <w:rPr>
          <w:sz w:val="20"/>
          <w:szCs w:val="20"/>
          <w:color w:val="auto"/>
        </w:rPr>
      </w:pPr>
      <w:r>
        <w:rPr>
          <w:rFonts w:ascii="Times New Roman" w:cs="Times New Roman" w:eastAsia="Times New Roman" w:hAnsi="Times New Roman"/>
          <w:sz w:val="20"/>
          <w:szCs w:val="20"/>
          <w:color w:val="auto"/>
        </w:rPr>
        <w:t>302 and amendments thereto); and (c) any substance, material, or waste that is petroleum, petroleum-related, or a petroleum by-product,</w:t>
      </w:r>
    </w:p>
    <w:p>
      <w:pPr>
        <w:spacing w:after="0" w:line="221" w:lineRule="auto"/>
        <w:rPr>
          <w:sz w:val="20"/>
          <w:szCs w:val="20"/>
          <w:color w:val="auto"/>
        </w:rPr>
      </w:pPr>
      <w:r>
        <w:rPr>
          <w:rFonts w:ascii="Times New Roman" w:cs="Times New Roman" w:eastAsia="Times New Roman" w:hAnsi="Times New Roman"/>
          <w:sz w:val="20"/>
          <w:szCs w:val="20"/>
          <w:color w:val="auto"/>
        </w:rPr>
        <w:t>asbestos or asbestos-containing material, polychlorinated biphenyls, flammable, explosive, radioactive, freon gas, radon, or a pesticide, herbicide, or any other agricultural chemical.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Hostile Acquisition</w:t>
      </w:r>
      <w:r>
        <w:rPr>
          <w:rFonts w:ascii="Times New Roman" w:cs="Times New Roman" w:eastAsia="Times New Roman" w:hAnsi="Times New Roman"/>
          <w:sz w:val="19"/>
          <w:szCs w:val="19"/>
          <w:color w:val="auto"/>
        </w:rPr>
        <w:t>” means (a) the acquisition of the Equity Interests of a Person through a tender offer or similar solicitation of the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owners of such Equity Interests which has not been approved (prior to such acquisition) by the board of directors (or any other applicable governing body) of such Person or by similar action if such Person is not a corporation and (b) any such acquisition as to which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has been withdrawn.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has the meaning assigned to such term in Section 2.09.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w:t>
      </w:r>
    </w:p>
    <w:p>
      <w:pPr>
        <w:spacing w:after="0" w:line="215" w:lineRule="auto"/>
        <w:rPr>
          <w:sz w:val="20"/>
          <w:szCs w:val="20"/>
          <w:color w:val="auto"/>
        </w:rPr>
      </w:pPr>
      <w:r>
        <w:rPr>
          <w:rFonts w:ascii="Times New Roman" w:cs="Times New Roman" w:eastAsia="Times New Roman" w:hAnsi="Times New Roman"/>
          <w:sz w:val="19"/>
          <w:szCs w:val="19"/>
          <w:color w:val="auto"/>
        </w:rPr>
        <w:t>deposits or advances of any kind, (b) all obligations of such Person evidenced by bonds, debentures, notes or similar instruments, (c) all obligations of such Person upon which interest charges are customarily paid, (d) all obligations of such Person under conditional sale or other</w:t>
      </w:r>
    </w:p>
    <w:p>
      <w:pPr>
        <w:spacing w:after="0" w:line="211" w:lineRule="auto"/>
        <w:rPr>
          <w:sz w:val="20"/>
          <w:szCs w:val="20"/>
          <w:color w:val="auto"/>
        </w:rPr>
      </w:pPr>
      <w:r>
        <w:rPr>
          <w:rFonts w:ascii="Times New Roman" w:cs="Times New Roman" w:eastAsia="Times New Roman" w:hAnsi="Times New Roman"/>
          <w:sz w:val="20"/>
          <w:szCs w:val="20"/>
          <w:color w:val="auto"/>
        </w:rPr>
        <w:t>title retention agreements relating to property acquired by such Person, (e) all obligations of such Person in respect of the deferred purchase</w:t>
      </w:r>
    </w:p>
    <w:p>
      <w:pPr>
        <w:spacing w:after="0" w:line="204" w:lineRule="auto"/>
        <w:rPr>
          <w:sz w:val="20"/>
          <w:szCs w:val="20"/>
          <w:color w:val="auto"/>
        </w:rPr>
      </w:pPr>
      <w:r>
        <w:rPr>
          <w:rFonts w:ascii="Times New Roman" w:cs="Times New Roman" w:eastAsia="Times New Roman" w:hAnsi="Times New Roman"/>
          <w:sz w:val="20"/>
          <w:szCs w:val="20"/>
          <w:color w:val="auto"/>
        </w:rPr>
        <w:t>price of property or services (excluding current accounts payable incurred in the ordinary course of business), (f) all Indebtedness of others secured by (or for which the holder of such Indebtedness has an existing right, contingent or otherwise, to be secured by) any Lien on</w:t>
      </w:r>
    </w:p>
    <w:p>
      <w:pPr>
        <w:spacing w:after="0" w:line="211" w:lineRule="auto"/>
        <w:rPr>
          <w:sz w:val="20"/>
          <w:szCs w:val="20"/>
          <w:color w:val="auto"/>
        </w:rPr>
      </w:pPr>
      <w:r>
        <w:rPr>
          <w:rFonts w:ascii="Times New Roman" w:cs="Times New Roman" w:eastAsia="Times New Roman" w:hAnsi="Times New Roman"/>
          <w:sz w:val="20"/>
          <w:szCs w:val="20"/>
          <w:color w:val="auto"/>
        </w:rPr>
        <w:t>property owned or acquired by such Person, whether or not the Indebtedness secured thereby has been assumed, (g) all Guarantees by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Person of Indebtedness of others, (h) all Capital Lease Obligations of such Person, (i) all obligations, contingent or otherwise, of such Person as an account party in respect of letters of credit, demand guarantees and similar independent undertakings, (j) all obligations, contingent or</w:t>
      </w:r>
    </w:p>
    <w:p>
      <w:pPr>
        <w:spacing w:after="0" w:line="211" w:lineRule="auto"/>
        <w:rPr>
          <w:sz w:val="20"/>
          <w:szCs w:val="20"/>
          <w:color w:val="auto"/>
        </w:rPr>
      </w:pPr>
      <w:r>
        <w:rPr>
          <w:rFonts w:ascii="Times New Roman" w:cs="Times New Roman" w:eastAsia="Times New Roman" w:hAnsi="Times New Roman"/>
          <w:sz w:val="20"/>
          <w:szCs w:val="20"/>
          <w:color w:val="auto"/>
        </w:rPr>
        <w:t>otherwise, of such Person in respect of bankers’ acceptances, (k) obligations under any earn-out (which for all purposes of this Agreement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shall be valued at the maximum potential amount payable with respect to each such earn-out), (l) any other Off-Balance Sheet Liability, (m) Disqualified Stock of such Person and (n) obligations, whether absolute or contingent and howsoever and whensoever created, arising,</w:t>
      </w:r>
    </w:p>
    <w:p>
      <w:pPr>
        <w:spacing w:after="0" w:line="211" w:lineRule="auto"/>
        <w:rPr>
          <w:sz w:val="20"/>
          <w:szCs w:val="20"/>
          <w:color w:val="auto"/>
        </w:rPr>
      </w:pPr>
      <w:r>
        <w:rPr>
          <w:rFonts w:ascii="Times New Roman" w:cs="Times New Roman" w:eastAsia="Times New Roman" w:hAnsi="Times New Roman"/>
          <w:sz w:val="20"/>
          <w:szCs w:val="20"/>
          <w:color w:val="auto"/>
        </w:rPr>
        <w:t>evidenced or acquired (including all renewals, extensions and modifications thereof and substitutions therefor), under (i) any and all Swap</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Agreements, and (ii) any and all cancellations, buy backs, reversals, terminations or assignments of any Swap Agreement transaction. The Indebtedness of any Person shall include the Indebtedness of any other entity (including any partnership in which such Person is a general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any obligation of any Loan Party under any Loan Document and (b) to the extent not otherwise described in the foregoing clause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has the meaning assigned to such term in Section 9.03(c).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has the meaning assigned to such term in Section 9.04(b).</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has the meaning assigned to such term in Section 9.12.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means the Lender Presentation dated August 10, 2023 relating to the Borrower and the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assigned to such term in the Security Agreement.</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to convert or continue a Borrowing in accordance with Section 2.08, which shall be substantially in the form attached as </w:t>
      </w:r>
      <w:r>
        <w:rPr>
          <w:rFonts w:ascii="Times New Roman" w:cs="Times New Roman" w:eastAsia="Times New Roman" w:hAnsi="Times New Roman"/>
          <w:sz w:val="20"/>
          <w:szCs w:val="20"/>
          <w:u w:val="single" w:color="auto"/>
          <w:color w:val="auto"/>
        </w:rPr>
        <w:t>Exhibit C-2</w:t>
      </w:r>
      <w:r>
        <w:rPr>
          <w:rFonts w:ascii="Times New Roman" w:cs="Times New Roman" w:eastAsia="Times New Roman" w:hAnsi="Times New Roman"/>
          <w:sz w:val="20"/>
          <w:szCs w:val="20"/>
          <w:color w:val="auto"/>
        </w:rPr>
        <w:t xml:space="preserve"> hereto or any other form approved by the Administrative Agent.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(other than a Swingline Loan), the first day of each calendar quarter and the Revolving Credit Maturity Date, (b) with respect to any RFR Loan, each date that is on the numerically corresponding day in</w:t>
      </w:r>
    </w:p>
    <w:p>
      <w:pPr>
        <w:spacing w:after="0" w:line="211" w:lineRule="auto"/>
        <w:rPr>
          <w:sz w:val="20"/>
          <w:szCs w:val="20"/>
          <w:color w:val="auto"/>
        </w:rPr>
      </w:pPr>
      <w:r>
        <w:rPr>
          <w:rFonts w:ascii="Times New Roman" w:cs="Times New Roman" w:eastAsia="Times New Roman" w:hAnsi="Times New Roman"/>
          <w:sz w:val="20"/>
          <w:szCs w:val="20"/>
          <w:color w:val="auto"/>
        </w:rPr>
        <w:t>each calendar month that is one month after the Borrowing of such Loan (or, if there is no such numerically corresponding day in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month, then the last day of such month) and the Revolving Credit Maturity Date, (c) with respect to any Term Benchmark Loan, the last day of the Interest Period applicable to the Borrowing of which such Loan is a part and, in the case of a Term Benchmark Borrowing with an</w:t>
      </w:r>
    </w:p>
    <w:p>
      <w:pPr>
        <w:spacing w:after="0" w:line="211" w:lineRule="auto"/>
        <w:rPr>
          <w:sz w:val="20"/>
          <w:szCs w:val="20"/>
          <w:color w:val="auto"/>
        </w:rPr>
      </w:pPr>
      <w:r>
        <w:rPr>
          <w:rFonts w:ascii="Times New Roman" w:cs="Times New Roman" w:eastAsia="Times New Roman" w:hAnsi="Times New Roman"/>
          <w:sz w:val="20"/>
          <w:szCs w:val="20"/>
          <w:color w:val="auto"/>
        </w:rPr>
        <w:t>Interest Period of more than three months’ duration, each day prior to the last day of such Interest Period that occurs at intervals of three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months’ duration after the first day of such Interest Period and the Revolving Credit Maturity Date, and (d) with respect to any Swingline Loan, the day that such Loan is required to be repaid and the Revolving Credit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means with respect to any Term Benchmark Borrowing, the period commencing on the date of such Borrowing and</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ending on the numerically corresponding day in the calendar month that is one (1), three (3) or six (6) months thereafter (in each case, subject to the availability for the Benchmark applicable to the relevant Loan or Revolving Commitment), as the Borrower may elect;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w:t>
      </w:r>
    </w:p>
    <w:p>
      <w:pPr>
        <w:spacing w:after="0" w:line="211" w:lineRule="auto"/>
        <w:rPr>
          <w:sz w:val="20"/>
          <w:szCs w:val="20"/>
          <w:color w:val="auto"/>
        </w:rPr>
      </w:pPr>
      <w:r>
        <w:rPr>
          <w:rFonts w:ascii="Times New Roman" w:cs="Times New Roman" w:eastAsia="Times New Roman" w:hAnsi="Times New Roman"/>
          <w:sz w:val="20"/>
          <w:szCs w:val="20"/>
          <w:color w:val="auto"/>
        </w:rPr>
        <w:t>if any Interest Period would end on a day other than a Business Day, such Interest Period shall be extended to the next succeeding Business</w:t>
      </w:r>
    </w:p>
    <w:p>
      <w:pPr>
        <w:spacing w:after="0" w:line="204" w:lineRule="auto"/>
        <w:rPr>
          <w:sz w:val="20"/>
          <w:szCs w:val="20"/>
          <w:color w:val="auto"/>
        </w:rPr>
      </w:pPr>
      <w:r>
        <w:rPr>
          <w:rFonts w:ascii="Times New Roman" w:cs="Times New Roman" w:eastAsia="Times New Roman" w:hAnsi="Times New Roman"/>
          <w:sz w:val="20"/>
          <w:szCs w:val="20"/>
          <w:color w:val="auto"/>
        </w:rPr>
        <w:t>Day unless such next succeeding Business Day would fall in the next calendar month, in which case such Interest Period shall end on the next preceding Business Day, (ii) any Interest Period that commences on the last Business Day of a calendar month (or on a day for which</w:t>
      </w:r>
    </w:p>
    <w:p>
      <w:pPr>
        <w:spacing w:after="0" w:line="211" w:lineRule="auto"/>
        <w:rPr>
          <w:sz w:val="20"/>
          <w:szCs w:val="20"/>
          <w:color w:val="auto"/>
        </w:rPr>
      </w:pPr>
      <w:r>
        <w:rPr>
          <w:rFonts w:ascii="Times New Roman" w:cs="Times New Roman" w:eastAsia="Times New Roman" w:hAnsi="Times New Roman"/>
          <w:sz w:val="20"/>
          <w:szCs w:val="20"/>
          <w:color w:val="auto"/>
        </w:rPr>
        <w:t>there is no numerically corresponding day in the last calendar month of such Interest Period) shall end on the last Business Day of the last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calendar month of such Interest Period, and (iii) no tenor that has been removed from this definition pursuant to Section 2.14(e) shall be available for specification in such Borrowing Request or Interest Election Request. For purposes hereof, the date of a Borrowing initially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shall be the date on which such Borrowing is made and thereafter, in the case of any Borrowing other than a Swingline Loan, shall be the effective date of the most recent conversion or continuation of such Borrowing.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means, individually and collectively, each of Chase, in its capacity as the issuer of Letters of Credit hereunder (including its Existing Letter of Credit), Silicon Valley Bank, a division of First-Citizens Bank &amp; Trust Company, in its capacity as the issuer</w:t>
      </w:r>
    </w:p>
    <w:p>
      <w:pPr>
        <w:spacing w:after="0" w:line="211" w:lineRule="auto"/>
        <w:rPr>
          <w:sz w:val="20"/>
          <w:szCs w:val="20"/>
          <w:color w:val="auto"/>
        </w:rPr>
      </w:pPr>
      <w:r>
        <w:rPr>
          <w:rFonts w:ascii="Times New Roman" w:cs="Times New Roman" w:eastAsia="Times New Roman" w:hAnsi="Times New Roman"/>
          <w:sz w:val="20"/>
          <w:szCs w:val="20"/>
          <w:color w:val="auto"/>
        </w:rPr>
        <w:t>of its Existing Letter of Credit, and any other Lender from time to time designated by the Borrower as an Issuing Bank, with the consent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Lender and the Administrative Agent, and their respective successors in such capacity as provided in Section 2.06(i). Any Issuing Bank may, in its discretion, arrange for one or more Letters of Credit to be issued by its Affiliates, in which case the term “Issuing Bank” shall</w:t>
      </w:r>
    </w:p>
    <w:p>
      <w:pPr>
        <w:spacing w:after="0" w:line="204" w:lineRule="auto"/>
        <w:rPr>
          <w:sz w:val="20"/>
          <w:szCs w:val="20"/>
          <w:color w:val="auto"/>
        </w:rPr>
      </w:pPr>
      <w:r>
        <w:rPr>
          <w:rFonts w:ascii="Times New Roman" w:cs="Times New Roman" w:eastAsia="Times New Roman" w:hAnsi="Times New Roman"/>
          <w:sz w:val="20"/>
          <w:szCs w:val="20"/>
          <w:color w:val="auto"/>
        </w:rPr>
        <w:t>include any such Affiliate with respect to Letters of Credit issued by such Affiliate (it being agreed that such Issuing Bank shall, or shall cause such Affiliate to, comply with the requirements of Section 2.06 with respect to such Letters of Credit). At any time there is more than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 Sublimit</w:t>
      </w:r>
      <w:r>
        <w:rPr>
          <w:rFonts w:ascii="Times New Roman" w:cs="Times New Roman" w:eastAsia="Times New Roman" w:hAnsi="Times New Roman"/>
          <w:sz w:val="20"/>
          <w:szCs w:val="20"/>
          <w:color w:val="auto"/>
        </w:rPr>
        <w:t xml:space="preserve">” means, as of the Effective Date, (i) $10,000,000, in the case of Chase and (ii) in the case of any other Issuing Bank, such amount as shall be designated to the Administrative Agent and the Borrower in writing by such Issuing Bank; </w:t>
      </w:r>
      <w:r>
        <w:rPr>
          <w:rFonts w:ascii="Times New Roman" w:cs="Times New Roman" w:eastAsia="Times New Roman" w:hAnsi="Times New Roman"/>
          <w:sz w:val="20"/>
          <w:szCs w:val="20"/>
          <w:u w:val="single" w:color="auto"/>
          <w:color w:val="auto"/>
        </w:rPr>
        <w:t>provided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that any Issuing Bank shall be permitted at any time to increase or reduce its Issuing Bank Sublimit upon providing five (5) days’ prior written notice thereof to the Administrative Agent and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in substantially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any payment made by an Issuing Bank pursuant to a Letter of Credit.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Exposure</w:t>
      </w:r>
      <w:r>
        <w:rPr>
          <w:rFonts w:ascii="Times New Roman" w:cs="Times New Roman" w:eastAsia="Times New Roman" w:hAnsi="Times New Roman"/>
          <w:sz w:val="19"/>
          <w:szCs w:val="19"/>
          <w:color w:val="auto"/>
        </w:rPr>
        <w:t xml:space="preserve">” means at any time, the sum of (a) the aggregate undrawn amount of all outstanding Letters of Credit at such time </w:t>
      </w:r>
      <w:r>
        <w:rPr>
          <w:rFonts w:ascii="Times New Roman" w:cs="Times New Roman" w:eastAsia="Times New Roman" w:hAnsi="Times New Roman"/>
          <w:sz w:val="19"/>
          <w:szCs w:val="19"/>
          <w:i w:val="1"/>
          <w:iCs w:val="1"/>
          <w:u w:val="single" w:color="auto"/>
          <w:color w:val="auto"/>
        </w:rPr>
        <w:t>plus</w:t>
      </w:r>
    </w:p>
    <w:p>
      <w:pPr>
        <w:spacing w:after="0" w:line="10" w:lineRule="exact"/>
        <w:rPr>
          <w:sz w:val="20"/>
          <w:szCs w:val="20"/>
          <w:color w:val="auto"/>
        </w:rPr>
      </w:pPr>
    </w:p>
    <w:p>
      <w:pPr>
        <w:ind w:right="20" w:firstLine="8"/>
        <w:spacing w:after="0" w:line="221" w:lineRule="auto"/>
        <w:tabs>
          <w:tab w:leader="none" w:pos="29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LC Disbursements that have not yet been reimbursed by or on behalf of the Borrower at such time. The LC Exposure of any Lender at any time shall be its Applicable Percentage of the aggregate LC Exposure at such time.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means, as of any date of determination, a Person listed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(or, if the Revolving Commitments</w:t>
      </w:r>
    </w:p>
    <w:p>
      <w:pPr>
        <w:spacing w:after="0" w:line="215" w:lineRule="auto"/>
        <w:rPr>
          <w:sz w:val="20"/>
          <w:szCs w:val="20"/>
          <w:color w:val="auto"/>
        </w:rPr>
      </w:pPr>
      <w:r>
        <w:rPr>
          <w:rFonts w:ascii="Times New Roman" w:cs="Times New Roman" w:eastAsia="Times New Roman" w:hAnsi="Times New Roman"/>
          <w:sz w:val="19"/>
          <w:szCs w:val="19"/>
          <w:color w:val="auto"/>
        </w:rPr>
        <w:t>have terminated or expired, a Person holding Revolving Exposure), and any other Person that shall have become a Lender hereunder pursuant to Section 2.09 or an Assignment and Assumption or other documentation contemplated hereby, other than any such Person that ceases to be</w:t>
      </w:r>
    </w:p>
    <w:p>
      <w:pPr>
        <w:spacing w:after="0" w:line="228" w:lineRule="auto"/>
        <w:rPr>
          <w:sz w:val="20"/>
          <w:szCs w:val="20"/>
          <w:color w:val="auto"/>
        </w:rPr>
      </w:pPr>
      <w:r>
        <w:rPr>
          <w:rFonts w:ascii="Times New Roman" w:cs="Times New Roman" w:eastAsia="Times New Roman" w:hAnsi="Times New Roman"/>
          <w:sz w:val="20"/>
          <w:szCs w:val="20"/>
          <w:color w:val="auto"/>
        </w:rPr>
        <w:t>a Lender hereunder pursuant to an Assignment and Assumption or other documentation contemplated hereby. Unless the context otherwise requires, the term “Lenders” includes the Swingline Lender and the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has the meaning assigned to such term in Section 9.03(b).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has the meaning assigned to such term in Section 2.06(b).</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the letters of credit issued pursuant to this Agreement, including each Existing Letter of Credit, and the term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one of them or each of them singularly, as the context may require.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any losses, claims (including intraparty claims), demands, damages or liabilities of any kind.</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that the Borrower or any Subsidiary is contractually committed to</w:t>
      </w:r>
    </w:p>
    <w:p>
      <w:pPr>
        <w:spacing w:after="0" w:line="204" w:lineRule="auto"/>
        <w:rPr>
          <w:sz w:val="20"/>
          <w:szCs w:val="20"/>
          <w:color w:val="auto"/>
        </w:rPr>
      </w:pPr>
      <w:r>
        <w:rPr>
          <w:rFonts w:ascii="Times New Roman" w:cs="Times New Roman" w:eastAsia="Times New Roman" w:hAnsi="Times New Roman"/>
          <w:sz w:val="20"/>
          <w:szCs w:val="20"/>
          <w:color w:val="auto"/>
        </w:rPr>
        <w:t>consummate (it being understood that such commitment may be subject to conditions precedent, which conditions precedent may be amended, satisfied or waived in accordance with the terms of the applicable agreement) and whose consummation is not conditioned on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availability of, or on obtaining, third party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consummation of any such Acquisition shall not have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occurred within one hundred twenty (120) days following the signing of the applicable contractual commitment, such Acquisition shall no longer constitute a Limited Condition Acquisition for any purpose.</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as of any date of determination, the sum of (a) Qualified Cash plus (b) so long as no Default or Event of Default exists, (i) the aggregate amount of Revolving Commitments less (ii) the aggregate amount of Revolving Exposure.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each promissory note issued pursuant to this Agreement, each Letter of</w:t>
      </w:r>
    </w:p>
    <w:p>
      <w:pPr>
        <w:spacing w:after="0" w:line="204" w:lineRule="auto"/>
        <w:rPr>
          <w:sz w:val="20"/>
          <w:szCs w:val="20"/>
          <w:color w:val="auto"/>
        </w:rPr>
      </w:pPr>
      <w:r>
        <w:rPr>
          <w:rFonts w:ascii="Times New Roman" w:cs="Times New Roman" w:eastAsia="Times New Roman" w:hAnsi="Times New Roman"/>
          <w:sz w:val="20"/>
          <w:szCs w:val="20"/>
          <w:color w:val="auto"/>
        </w:rPr>
        <w:t>Credit Agreement, each Collateral Document, each Compliance Certificate, the Loan Guaranty and each other agreement, fee letter, instrument, document and certificate executed and delivered to, or in favor of, the Administrative Agent or any Lender and including each</w:t>
      </w:r>
    </w:p>
    <w:p>
      <w:pPr>
        <w:spacing w:after="0" w:line="211" w:lineRule="auto"/>
        <w:rPr>
          <w:sz w:val="20"/>
          <w:szCs w:val="20"/>
          <w:color w:val="auto"/>
        </w:rPr>
      </w:pPr>
      <w:r>
        <w:rPr>
          <w:rFonts w:ascii="Times New Roman" w:cs="Times New Roman" w:eastAsia="Times New Roman" w:hAnsi="Times New Roman"/>
          <w:sz w:val="20"/>
          <w:szCs w:val="20"/>
          <w:color w:val="auto"/>
        </w:rPr>
        <w:t>other pledge, power of attorney, consent, assignment, contract, notice, letter of credit agreement, letter of credit applications and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agreements between the Borrower and the Issuing Bank regarding the Issuing Bank’s Issuing Bank Sublimit or the respective rights and obligations between the Borrower and the Issuing Bank in connection with the issuance of Letters of Credit, and each other written matter</w:t>
      </w:r>
    </w:p>
    <w:p>
      <w:pPr>
        <w:spacing w:after="0" w:line="211" w:lineRule="auto"/>
        <w:rPr>
          <w:sz w:val="20"/>
          <w:szCs w:val="20"/>
          <w:color w:val="auto"/>
        </w:rPr>
      </w:pPr>
      <w:r>
        <w:rPr>
          <w:rFonts w:ascii="Times New Roman" w:cs="Times New Roman" w:eastAsia="Times New Roman" w:hAnsi="Times New Roman"/>
          <w:sz w:val="20"/>
          <w:szCs w:val="20"/>
          <w:color w:val="auto"/>
        </w:rPr>
        <w:t>whether heretofore, now or hereafter executed by or on behalf of any Loan Party, or any employee of any Loan Party, and delivered to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or any Lender in connection with this Agreement or the transactions contemplated hereby. Any reference in this Agreement or any other Loan Document to a Loan Document shall include all appendices, exhibits or schedules thereto, and all amendments,</w:t>
      </w:r>
    </w:p>
    <w:p>
      <w:pPr>
        <w:spacing w:after="0" w:line="228" w:lineRule="auto"/>
        <w:rPr>
          <w:sz w:val="20"/>
          <w:szCs w:val="20"/>
          <w:color w:val="auto"/>
        </w:rPr>
      </w:pPr>
      <w:r>
        <w:rPr>
          <w:rFonts w:ascii="Times New Roman" w:cs="Times New Roman" w:eastAsia="Times New Roman" w:hAnsi="Times New Roman"/>
          <w:sz w:val="20"/>
          <w:szCs w:val="20"/>
          <w:color w:val="auto"/>
        </w:rPr>
        <w:t>restatements, supplements or other modifications thereto, and shall refer to this Agreement or such Loan Document as the same may be in effect at any and all times such reference becomes operative.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means Article X of this Agreement.</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the Subsidiary Guarantors and their successors and assigns, and the term “Loan Party” shall mean any one of them or all of them individually, as the context may require.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and advances made by the Lenders to the Borrower pursuant to this Agreement, including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within the meaning of Regulations T, U and X, as applicable.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Permitted Acquisition having total consideration in excess of $30,000,000.</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operations or financial condition of the Borrower and its Subsidiaries taken as a whole, (b) the ability of any Loan Party to perform any of its Obligations, (c) the Collateral, or the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Administrative Agent’s Liens (on behalf of itself and the other Secured Parties) on the Collateral or the priority of such Liens, or (d) the rights of or benefits available to the Administrative Agent, the Issuing Bank or the Lenders under any of the Loan Documents.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Agreement</w:t>
      </w:r>
      <w:r>
        <w:rPr>
          <w:rFonts w:ascii="Times New Roman" w:cs="Times New Roman" w:eastAsia="Times New Roman" w:hAnsi="Times New Roman"/>
          <w:sz w:val="20"/>
          <w:szCs w:val="20"/>
          <w:color w:val="auto"/>
        </w:rPr>
        <w:t>” means, with respect to any Person, each contract to which such Person is a party as to which the breach,</w:t>
      </w:r>
    </w:p>
    <w:p>
      <w:pPr>
        <w:ind w:right="20"/>
        <w:spacing w:after="0" w:line="221" w:lineRule="auto"/>
        <w:rPr>
          <w:sz w:val="20"/>
          <w:szCs w:val="20"/>
          <w:color w:val="auto"/>
        </w:rPr>
      </w:pPr>
      <w:r>
        <w:rPr>
          <w:rFonts w:ascii="Times New Roman" w:cs="Times New Roman" w:eastAsia="Times New Roman" w:hAnsi="Times New Roman"/>
          <w:sz w:val="20"/>
          <w:szCs w:val="20"/>
          <w:color w:val="auto"/>
        </w:rPr>
        <w:t>nonperformance, termination, cancellation or failure to renew by any party thereto would reasonably be expected to result in a Material Adverse Effect.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means each Domestic Subsidiary (i) which, as of the end of the most recent fiscal quarter of the</w:t>
      </w:r>
    </w:p>
    <w:p>
      <w:pPr>
        <w:spacing w:after="0" w:line="215" w:lineRule="auto"/>
        <w:rPr>
          <w:sz w:val="20"/>
          <w:szCs w:val="20"/>
          <w:color w:val="auto"/>
        </w:rPr>
      </w:pPr>
      <w:r>
        <w:rPr>
          <w:rFonts w:ascii="Times New Roman" w:cs="Times New Roman" w:eastAsia="Times New Roman" w:hAnsi="Times New Roman"/>
          <w:sz w:val="19"/>
          <w:szCs w:val="19"/>
          <w:color w:val="auto"/>
        </w:rPr>
        <w:t>Borrower, for the period of four consecutive fiscal quarters then ended, for which financial statements have been delivered (or are required to have been delivered) pursuant to Section 5.01(a) or (b) (or, if prior to the date of the delivery of the first financial statements to be delivered</w:t>
      </w:r>
    </w:p>
    <w:p>
      <w:pPr>
        <w:spacing w:after="0" w:line="211" w:lineRule="auto"/>
        <w:rPr>
          <w:sz w:val="20"/>
          <w:szCs w:val="20"/>
          <w:color w:val="auto"/>
        </w:rPr>
      </w:pPr>
      <w:r>
        <w:rPr>
          <w:rFonts w:ascii="Times New Roman" w:cs="Times New Roman" w:eastAsia="Times New Roman" w:hAnsi="Times New Roman"/>
          <w:sz w:val="20"/>
          <w:szCs w:val="20"/>
          <w:color w:val="auto"/>
        </w:rPr>
        <w:t>pursuant to Section 5.01(a) or (b), the most recent financial statements referred to in Section 3.04(a)), contributed greater than ten percent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(10%) of Consolidated EBITDA for such period or (ii) which contributed greater than ten percent (10%) of Consolidated Total Assets as of the end of such most recent fiscal quarter;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any time the aggregate amount of Consolidated EBITDA or Consolidated Total</w:t>
      </w:r>
    </w:p>
    <w:p>
      <w:pPr>
        <w:spacing w:after="0" w:line="211" w:lineRule="auto"/>
        <w:rPr>
          <w:sz w:val="20"/>
          <w:szCs w:val="20"/>
          <w:color w:val="auto"/>
        </w:rPr>
      </w:pPr>
      <w:r>
        <w:rPr>
          <w:rFonts w:ascii="Times New Roman" w:cs="Times New Roman" w:eastAsia="Times New Roman" w:hAnsi="Times New Roman"/>
          <w:sz w:val="20"/>
          <w:szCs w:val="20"/>
          <w:color w:val="auto"/>
        </w:rPr>
        <w:t>Assets attributable to all Domestic Subsidiaries that are not Material Domestic Subsidiaries exceeds twenty percent (20%) Consolidated</w:t>
      </w:r>
    </w:p>
    <w:p>
      <w:pPr>
        <w:spacing w:after="0" w:line="215" w:lineRule="auto"/>
        <w:rPr>
          <w:sz w:val="20"/>
          <w:szCs w:val="20"/>
          <w:color w:val="auto"/>
        </w:rPr>
      </w:pPr>
      <w:r>
        <w:rPr>
          <w:rFonts w:ascii="Times New Roman" w:cs="Times New Roman" w:eastAsia="Times New Roman" w:hAnsi="Times New Roman"/>
          <w:sz w:val="19"/>
          <w:szCs w:val="19"/>
          <w:color w:val="auto"/>
        </w:rPr>
        <w:t>EBITDA for any such period or twenty percent (20%) of Consolidated Total Assets as of the end of any such fiscal quarter, the Borrower (or, in the event the Borrower has failed to do so within ten (10) days, the Administrative Agent) shall designate sufficient Domestic Subsidiaries</w:t>
      </w:r>
    </w:p>
    <w:p>
      <w:pPr>
        <w:spacing w:after="0" w:line="221" w:lineRule="auto"/>
        <w:rPr>
          <w:sz w:val="20"/>
          <w:szCs w:val="20"/>
          <w:color w:val="auto"/>
        </w:rPr>
      </w:pPr>
      <w:r>
        <w:rPr>
          <w:rFonts w:ascii="Times New Roman" w:cs="Times New Roman" w:eastAsia="Times New Roman" w:hAnsi="Times New Roman"/>
          <w:sz w:val="20"/>
          <w:szCs w:val="20"/>
          <w:color w:val="auto"/>
        </w:rPr>
        <w:t>as “Material Domestic Subsidiaries” to eliminate such excess, and such designated Subsidiaries shall for all purposes of this Agreement constitute Material Domestic Subsidiaries.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w:t>
      </w:r>
    </w:p>
    <w:p>
      <w:pPr>
        <w:ind w:right="20"/>
        <w:spacing w:after="0" w:line="215" w:lineRule="auto"/>
        <w:rPr>
          <w:sz w:val="20"/>
          <w:szCs w:val="20"/>
          <w:color w:val="auto"/>
        </w:rPr>
      </w:pPr>
      <w:r>
        <w:rPr>
          <w:rFonts w:ascii="Times New Roman" w:cs="Times New Roman" w:eastAsia="Times New Roman" w:hAnsi="Times New Roman"/>
          <w:sz w:val="19"/>
          <w:szCs w:val="19"/>
          <w:color w:val="auto"/>
        </w:rPr>
        <w:t>Swap Agreements, of any one or more of the Borrower and its Subsidiaries in an aggregate principal amount exceeding $10,000,000. For purposes of determining Material Indebtedness, the “principal amount” of the obligations of the Borrower or any Subsidiary in respect of any</w:t>
      </w:r>
    </w:p>
    <w:p>
      <w:pPr>
        <w:spacing w:after="0" w:line="228" w:lineRule="auto"/>
        <w:rPr>
          <w:sz w:val="20"/>
          <w:szCs w:val="20"/>
          <w:color w:val="auto"/>
        </w:rPr>
      </w:pPr>
      <w:r>
        <w:rPr>
          <w:rFonts w:ascii="Times New Roman" w:cs="Times New Roman" w:eastAsia="Times New Roman" w:hAnsi="Times New Roman"/>
          <w:sz w:val="20"/>
          <w:szCs w:val="20"/>
          <w:color w:val="auto"/>
        </w:rPr>
        <w:t>Swap Agreement at any time shall be the maximum aggregate amount (giving effect to any netting agreements) that the Borrower or such Subsidiary would be required to pay if such Swap Agreement were terminated at such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has the meaning assigned to such term in the Security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has the meaning assigned to such term in Section 9.17.</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“MUFG” means MUFG Bank, Ltd., in its individual capacity, and its successors.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has the meaning assigned to such term in Section 9.02(d).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means, for any day, the greater of (a) the Federal Funds Effective Rate in effect on such day and (b) the Overnight</w:t>
      </w:r>
    </w:p>
    <w:p>
      <w:pPr>
        <w:spacing w:after="0" w:line="204" w:lineRule="auto"/>
        <w:rPr>
          <w:sz w:val="20"/>
          <w:szCs w:val="20"/>
          <w:color w:val="auto"/>
        </w:rPr>
      </w:pPr>
      <w:r>
        <w:rPr>
          <w:rFonts w:ascii="Times New Roman" w:cs="Times New Roman" w:eastAsia="Times New Roman" w:hAnsi="Times New Roman"/>
          <w:sz w:val="20"/>
          <w:szCs w:val="20"/>
          <w:color w:val="auto"/>
        </w:rPr>
        <w:t>Bank Funding Rate in effect on such day(or for any day that is not a Business Day, for the immediately preceding Business Day); provided that if none of such rates are published for any day that is a Business Day, the term “NYFRB Rate” means the rate for a federal funds</w:t>
      </w:r>
    </w:p>
    <w:p>
      <w:pPr>
        <w:spacing w:after="0" w:line="211" w:lineRule="auto"/>
        <w:rPr>
          <w:sz w:val="20"/>
          <w:szCs w:val="20"/>
          <w:color w:val="auto"/>
        </w:rPr>
      </w:pPr>
      <w:r>
        <w:rPr>
          <w:rFonts w:ascii="Times New Roman" w:cs="Times New Roman" w:eastAsia="Times New Roman" w:hAnsi="Times New Roman"/>
          <w:sz w:val="20"/>
          <w:szCs w:val="20"/>
          <w:color w:val="auto"/>
        </w:rPr>
        <w:t>transaction quoted at 11:00 a.m. on such day received by the Administrative Agent from a federal funds broker of recognized standing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selected by it; provided, further, that if any of the aforesaid rates as so determined would be less than zero, such rate shall be deemed to be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has the meaning assigned to such term in Section 10.02.</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pendency of any bankruptcy, insolvency, receivership or other similar proceeding, regardless of whether allowed or allowable in such proceeding), obligations and liabilities of any of the Loan Parties to any of the Lenders, the Administrative Agent, the Issuing Bank or any</w:t>
      </w:r>
    </w:p>
    <w:p>
      <w:pPr>
        <w:spacing w:after="0" w:line="211" w:lineRule="auto"/>
        <w:rPr>
          <w:sz w:val="20"/>
          <w:szCs w:val="20"/>
          <w:color w:val="auto"/>
        </w:rPr>
      </w:pPr>
      <w:r>
        <w:rPr>
          <w:rFonts w:ascii="Times New Roman" w:cs="Times New Roman" w:eastAsia="Times New Roman" w:hAnsi="Times New Roman"/>
          <w:sz w:val="20"/>
          <w:szCs w:val="20"/>
          <w:color w:val="auto"/>
        </w:rPr>
        <w:t>Indemnitee, individually or collectively, existing on the Effective Date or arising thereafter, direct or indirect, joint or several, absolute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contingent, matured or unmatured, liquidated or unliquidated, secured or unsecured, arising by contract, operation of law or otherwise, arising or incurred under this Agreement or any of the other Loan Documents or in respect of any of the Loans made or reimbursement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obligations incurred or any of the Letters of Credit or other instruments at any time evidencing any thereof.</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Off-Balance Sheet Liability</w:t>
      </w:r>
      <w:r>
        <w:rPr>
          <w:rFonts w:ascii="Times New Roman" w:cs="Times New Roman" w:eastAsia="Times New Roman" w:hAnsi="Times New Roman"/>
          <w:sz w:val="19"/>
          <w:szCs w:val="19"/>
          <w:color w:val="auto"/>
        </w:rPr>
        <w:t>” of a Person means (a) any repurchase obligation or liability of such Person with respect to accounts or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notes receivable sold by such Person, (b) any indebtedness, liability or obligation under any so-called “synthetic lease” transaction entered into by such Person, or (c) any indebtedness, liability or obligation arising with respect to any other transaction which is the functional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equivalent of or takes the place of borrowing but which does not constitute a liability on the balance sheet of such Person (other than operating leases).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has the meaning assigned to such term in Section 6.01(f).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Recipient and the jurisdiction imposing such Taxes (other than a connection arising from such Recipient having executed, delivered, become a party to, performed its obligations under, received payments under, received or perfected a security interest under, engaged in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 transaction pursuant to, or enforced, any Loan Document, or sold or assigned an interest in any Loan, Letter of Credit, or any Loan Document).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security interest under, or otherwise with respect to, any Loan Document, except any such Taxes that are Other Connection Taxes imposed with respect to an assignment (other than an assignment made pursuant to Section 2.19).</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w:t>
      </w:r>
    </w:p>
    <w:p>
      <w:pPr>
        <w:spacing w:after="0" w:line="204" w:lineRule="auto"/>
        <w:rPr>
          <w:sz w:val="20"/>
          <w:szCs w:val="20"/>
          <w:color w:val="auto"/>
        </w:rPr>
      </w:pPr>
      <w:r>
        <w:rPr>
          <w:rFonts w:ascii="Times New Roman" w:cs="Times New Roman" w:eastAsia="Times New Roman" w:hAnsi="Times New Roman"/>
          <w:sz w:val="20"/>
          <w:szCs w:val="20"/>
          <w:color w:val="auto"/>
        </w:rPr>
        <w:t>transactions denominated in Dollars by U.S.-managed banking offices of depository institutions (as such composite rate shall be determined by the NYFRB as set forth on the NYFRB’s Website from time to time) and published on the next succeeding Business Day by the NYFRB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an overnight bank funding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Paid in Full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means, (i) the indefeasible payment in full in cash of all outstanding Loans and LC</w:t>
      </w:r>
    </w:p>
    <w:p>
      <w:pPr>
        <w:spacing w:after="0" w:line="215" w:lineRule="auto"/>
        <w:rPr>
          <w:sz w:val="20"/>
          <w:szCs w:val="20"/>
          <w:color w:val="auto"/>
        </w:rPr>
      </w:pPr>
      <w:r>
        <w:rPr>
          <w:rFonts w:ascii="Times New Roman" w:cs="Times New Roman" w:eastAsia="Times New Roman" w:hAnsi="Times New Roman"/>
          <w:sz w:val="19"/>
          <w:szCs w:val="19"/>
          <w:color w:val="auto"/>
        </w:rPr>
        <w:t>Disbursements, together with accrued and unpaid interest thereon, (ii) the termination, expiration, or cancellation and return of all outstanding Letters of Credit (or alternatively, with respect to each such Letter of Credit, the furnishing to the Administrative Agent of a cash</w:t>
      </w:r>
    </w:p>
    <w:p>
      <w:pPr>
        <w:spacing w:after="0" w:line="211" w:lineRule="auto"/>
        <w:rPr>
          <w:sz w:val="20"/>
          <w:szCs w:val="20"/>
          <w:color w:val="auto"/>
        </w:rPr>
      </w:pPr>
      <w:r>
        <w:rPr>
          <w:rFonts w:ascii="Times New Roman" w:cs="Times New Roman" w:eastAsia="Times New Roman" w:hAnsi="Times New Roman"/>
          <w:sz w:val="20"/>
          <w:szCs w:val="20"/>
          <w:color w:val="auto"/>
        </w:rPr>
        <w:t>deposit, or at the discretion of the Administrative Agent a back up standby letter of credit satisfactory to the Administrative Agent and the</w:t>
      </w:r>
    </w:p>
    <w:p>
      <w:pPr>
        <w:spacing w:after="0" w:line="204" w:lineRule="auto"/>
        <w:rPr>
          <w:sz w:val="20"/>
          <w:szCs w:val="20"/>
          <w:color w:val="auto"/>
        </w:rPr>
      </w:pPr>
      <w:r>
        <w:rPr>
          <w:rFonts w:ascii="Times New Roman" w:cs="Times New Roman" w:eastAsia="Times New Roman" w:hAnsi="Times New Roman"/>
          <w:sz w:val="20"/>
          <w:szCs w:val="20"/>
          <w:color w:val="auto"/>
        </w:rPr>
        <w:t>Issuing Bank, in an amount equal to 103% of the LC Exposure as of the date of such payment), (iii) the indefeasible payment in full in cash of the accrued and unpaid fees, (iv) the indefeasible payment in full in cash of all reimbursable expenses and other Secured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than Unliquidated Obligations for which no claim has been made and other obligations expressly stated to survive such payment and termination of this Agreement), together with accrued and unpaid interest thereon, (v) the termination of all Revolving Commitments, and</w:t>
      </w:r>
    </w:p>
    <w:p>
      <w:pPr>
        <w:spacing w:after="0" w:line="1" w:lineRule="exact"/>
        <w:rPr>
          <w:sz w:val="20"/>
          <w:szCs w:val="20"/>
          <w:color w:val="auto"/>
        </w:rPr>
      </w:pPr>
    </w:p>
    <w:p>
      <w:pPr>
        <w:ind w:firstLine="8"/>
        <w:spacing w:after="0" w:line="228" w:lineRule="auto"/>
        <w:tabs>
          <w:tab w:leader="none" w:pos="38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Swap Agreement Obligations and the Banking Services Obligations or entering into other arrangements satisfactory to the Secured Parties counterparties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assigned to such term in Section 9.04(c).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assigned to such term in Section 9.04(c).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has the meaning assigned to such term in Section 8.06(c).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has the meaning assigned to such term in Section 8.06(c).</w:t>
      </w:r>
    </w:p>
    <w:p>
      <w:pPr>
        <w:spacing w:after="0" w:line="18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any Loan Party in a transaction that satisfies each of the following requirements:</w:t>
      </w:r>
    </w:p>
    <w:p>
      <w:pPr>
        <w:spacing w:after="0" w:line="189" w:lineRule="exact"/>
        <w:rPr>
          <w:sz w:val="20"/>
          <w:szCs w:val="20"/>
          <w:color w:val="auto"/>
        </w:rPr>
      </w:pPr>
    </w:p>
    <w:p>
      <w:pPr>
        <w:ind w:left="1720" w:hanging="416"/>
        <w:spacing w:after="0"/>
        <w:tabs>
          <w:tab w:leader="none" w:pos="172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is not a Hostile Acquisition;</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761"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acquired in connection with such Acquisition is not engaged, directly or indirectly, in any line of business other than the businesses in which the Loan Parties are engaged on the Effective Date and any business activities that are substantially similar or reasonably related or incidental thereto;</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762"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 immediately before and after giving effect (including giving effect on a pro forma basis) to such Acquisition and any Indebtedness incurred or assumed in connection therewith, no Default or Event of Default shall have occurred and be continuing;</w:t>
      </w:r>
    </w:p>
    <w:p>
      <w:pPr>
        <w:spacing w:after="0" w:line="136" w:lineRule="exact"/>
        <w:rPr>
          <w:rFonts w:ascii="Times New Roman" w:cs="Times New Roman" w:eastAsia="Times New Roman" w:hAnsi="Times New Roman"/>
          <w:sz w:val="19"/>
          <w:szCs w:val="19"/>
          <w:color w:val="auto"/>
        </w:rPr>
      </w:pPr>
    </w:p>
    <w:p>
      <w:pPr>
        <w:jc w:val="both"/>
        <w:ind w:left="660" w:firstLine="644"/>
        <w:spacing w:after="0" w:line="208" w:lineRule="auto"/>
        <w:tabs>
          <w:tab w:leader="none" w:pos="1759"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soon as available, but not less than ten (10) Business Days prior to such Acquisition, the Borrower has provided the Administrative Agent (i) notice of such Acquisition, (ii) a copy of all business and financial information reasonably requested by the Administrative Agent including pro forma financial statements and statements of cash flow and (iii) a due diligence quality of earnings report conducted by a firm of independent public accountants of recognized national standing or any other accounting firm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(x) solely with respect to any Acquisition involving cash consideration of less than $30,000,000, the information and other deliverables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shall only be required to the extent such information is available and within the Borrower’s possession or control and (y) solely with respect to any Acquisition involving cash consideration of less than $30,000,000, the due diligence quality of earnings report described in </w:t>
      </w:r>
      <w:r>
        <w:rPr>
          <w:rFonts w:ascii="Times New Roman" w:cs="Times New Roman" w:eastAsia="Times New Roman" w:hAnsi="Times New Roman"/>
          <w:sz w:val="20"/>
          <w:szCs w:val="20"/>
          <w:u w:val="single" w:color="auto"/>
          <w:color w:val="auto"/>
        </w:rPr>
        <w:t>clause</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shall only be required to the extent obtained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76" w:lineRule="exact"/>
        <w:rPr>
          <w:sz w:val="20"/>
          <w:szCs w:val="20"/>
          <w:color w:val="auto"/>
        </w:rPr>
      </w:pPr>
    </w:p>
    <w:p>
      <w:pPr>
        <w:jc w:val="both"/>
        <w:ind w:firstLine="644"/>
        <w:spacing w:after="0" w:line="215" w:lineRule="auto"/>
        <w:tabs>
          <w:tab w:leader="none" w:pos="108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an acquisition of the Equity Interests of a Person that will not become a Loan Party hereunder or of assets by any Subsidiary that is not a Loan Party, the aggregate consideration paid or payable (including without limitation, all transaction costs, any management fees, assumed Indebtedness and liabilities incurred, assumed or reflected on a consolidated balance sheet of the Borrower and its Subsidiaries after giving effect to such Acquisition and the maximum amount (to the extent such maximum amount is stated, and if not stated, then the reasonably anticipated amount) of all earn-out obligations and other deferred payments) in respect of such Acquisition, when taken together with the aggregate consideration paid in respect of all other such Permitted Acquisitions, does not exceed $30,000,000 during the term of this Agreement;</w:t>
      </w:r>
    </w:p>
    <w:p>
      <w:pPr>
        <w:spacing w:after="0" w:line="164" w:lineRule="exact"/>
        <w:rPr>
          <w:rFonts w:ascii="Times New Roman" w:cs="Times New Roman" w:eastAsia="Times New Roman" w:hAnsi="Times New Roman"/>
          <w:sz w:val="20"/>
          <w:szCs w:val="20"/>
          <w:color w:val="auto"/>
        </w:rPr>
      </w:pPr>
    </w:p>
    <w:p>
      <w:pPr>
        <w:jc w:val="both"/>
        <w:ind w:firstLine="644"/>
        <w:spacing w:after="0" w:line="222" w:lineRule="auto"/>
        <w:tabs>
          <w:tab w:leader="none" w:pos="108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after giving effect (including giving effect on a pro forma basis) to such Acquisition and the Loans (if any) requested to be made in connection therewith, (i) the Total Net Leverage Ratio shall not be greater than 0.25x less than the then applicable level required under Section 6.12(a) and (ii) the Borrower shall be in pro forma compliance with the financial covenants in Section 6.12 (after giving effect to any Adjusted Covenant Period, if applicable);</w:t>
      </w:r>
    </w:p>
    <w:p>
      <w:pPr>
        <w:spacing w:after="0" w:line="148"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3" w:lineRule="exact"/>
        <w:rPr>
          <w:rFonts w:ascii="Times New Roman" w:cs="Times New Roman" w:eastAsia="Times New Roman" w:hAnsi="Times New Roman"/>
          <w:sz w:val="20"/>
          <w:szCs w:val="20"/>
          <w:color w:val="auto"/>
        </w:rPr>
      </w:pPr>
    </w:p>
    <w:p>
      <w:pPr>
        <w:ind w:left="1140" w:hanging="496"/>
        <w:spacing w:after="0"/>
        <w:tabs>
          <w:tab w:leader="none" w:pos="11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an acquisition of assets, such Acquisition is structured so that a Loan Party shall acquire such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w:t>
      </w:r>
    </w:p>
    <w:p>
      <w:pPr>
        <w:spacing w:after="0" w:line="147"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an acquisition of Equity Interests, such Acquisition will not result in any violation of Regulation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w:t>
      </w:r>
    </w:p>
    <w:p>
      <w:pPr>
        <w:spacing w:after="0" w:line="166" w:lineRule="exact"/>
        <w:rPr>
          <w:rFonts w:ascii="Times New Roman" w:cs="Times New Roman" w:eastAsia="Times New Roman" w:hAnsi="Times New Roman"/>
          <w:sz w:val="20"/>
          <w:szCs w:val="20"/>
          <w:color w:val="auto"/>
        </w:rPr>
      </w:pPr>
    </w:p>
    <w:p>
      <w:pPr>
        <w:jc w:val="both"/>
        <w:ind w:right="20" w:firstLine="644"/>
        <w:spacing w:after="0" w:line="226" w:lineRule="auto"/>
        <w:tabs>
          <w:tab w:leader="none" w:pos="116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involves a merger or a consolidation involving any Loan Party, such Loan Party shall be the surviving entity (provided that any such merger or consolidation involving the Borrower shall result in the Borrower as the surviving entity);</w:t>
      </w:r>
    </w:p>
    <w:p>
      <w:pPr>
        <w:spacing w:after="0" w:line="146" w:lineRule="exact"/>
        <w:rPr>
          <w:rFonts w:ascii="Times New Roman" w:cs="Times New Roman" w:eastAsia="Times New Roman" w:hAnsi="Times New Roman"/>
          <w:sz w:val="20"/>
          <w:szCs w:val="20"/>
          <w:color w:val="auto"/>
        </w:rPr>
      </w:pPr>
    </w:p>
    <w:p>
      <w:pPr>
        <w:jc w:val="both"/>
        <w:ind w:firstLine="644"/>
        <w:spacing w:after="0" w:line="230" w:lineRule="auto"/>
        <w:tabs>
          <w:tab w:leader="none" w:pos="109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as a result of or in connection with any such Acquisition, assume or incur any direct or contingent liabilities (whether relating to environmental, tax, litigation, or other matters) that could reasonably be expected to result in the existence or incurrence of a Material Adverse Effect;</w:t>
      </w:r>
    </w:p>
    <w:p>
      <w:pPr>
        <w:spacing w:after="0" w:line="148"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firstLine="644"/>
        <w:spacing w:after="0"/>
        <w:tabs>
          <w:tab w:leader="none" w:pos="121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actions required to be taken with respect to any newly acquired or formed Subsidiary of a Loan Party required under Section 5.13 shall have been taken; and</w:t>
      </w:r>
    </w:p>
    <w:p>
      <w:pPr>
        <w:spacing w:after="0" w:line="147" w:lineRule="exact"/>
        <w:rPr>
          <w:rFonts w:ascii="Times New Roman" w:cs="Times New Roman" w:eastAsia="Times New Roman" w:hAnsi="Times New Roman"/>
          <w:sz w:val="20"/>
          <w:szCs w:val="20"/>
          <w:color w:val="auto"/>
        </w:rPr>
      </w:pPr>
    </w:p>
    <w:p>
      <w:pPr>
        <w:ind w:firstLine="644"/>
        <w:spacing w:after="0"/>
        <w:tabs>
          <w:tab w:leader="none" w:pos="12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the final executed documentation relating to such Acquisition promptly, but in any event within five (5) Business Days, following the consummation thereof.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ind w:left="1060" w:hanging="416"/>
        <w:spacing w:after="0"/>
        <w:tabs>
          <w:tab w:leader="none" w:pos="10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that are not yet due or are being contested in compliance with Section 5.04;</w:t>
      </w:r>
    </w:p>
    <w:p>
      <w:pPr>
        <w:spacing w:after="0" w:line="188" w:lineRule="exact"/>
        <w:rPr>
          <w:rFonts w:ascii="Times New Roman" w:cs="Times New Roman" w:eastAsia="Times New Roman" w:hAnsi="Times New Roman"/>
          <w:sz w:val="20"/>
          <w:szCs w:val="20"/>
          <w:color w:val="auto"/>
        </w:rPr>
      </w:pPr>
    </w:p>
    <w:p>
      <w:pPr>
        <w:jc w:val="both"/>
        <w:ind w:firstLine="644"/>
        <w:spacing w:after="0" w:line="226" w:lineRule="auto"/>
        <w:tabs>
          <w:tab w:leader="none" w:pos="108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landlords’, suppliers’,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60" w:lineRule="exact"/>
        <w:rPr>
          <w:rFonts w:ascii="Times New Roman" w:cs="Times New Roman" w:eastAsia="Times New Roman" w:hAnsi="Times New Roman"/>
          <w:sz w:val="20"/>
          <w:szCs w:val="20"/>
          <w:color w:val="auto"/>
        </w:rPr>
      </w:pPr>
    </w:p>
    <w:p>
      <w:pPr>
        <w:ind w:right="20" w:firstLine="644"/>
        <w:spacing w:after="0"/>
        <w:tabs>
          <w:tab w:leader="none" w:pos="132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580"/>
          </w:cols>
          <w:pgMar w:left="980" w:top="1440" w:right="339" w:bottom="1440" w:gutter="0" w:footer="0" w:header="0"/>
        </w:sectPr>
      </w:pPr>
    </w:p>
    <w:bookmarkStart w:id="155" w:name="page156"/>
    <w:bookmarkEnd w:id="155"/>
    <w:p>
      <w:pPr>
        <w:spacing w:after="0" w:line="176" w:lineRule="exact"/>
        <w:rPr>
          <w:sz w:val="20"/>
          <w:szCs w:val="20"/>
          <w:color w:val="auto"/>
        </w:rPr>
      </w:pPr>
    </w:p>
    <w:p>
      <w:pPr>
        <w:jc w:val="both"/>
        <w:ind w:left="660" w:firstLine="644"/>
        <w:spacing w:after="0" w:line="226" w:lineRule="auto"/>
        <w:tabs>
          <w:tab w:leader="none" w:pos="185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 or deposits made in connection with Permitted Acquisitions;</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 under clause (k) of Article VII; and</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75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or any Subsidiary;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“Permitted Encumbrances” shall not include any Lien securing Indebtedness, except with respect to clause (e)</w:t>
      </w: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Holders</w:t>
      </w:r>
      <w:r>
        <w:rPr>
          <w:rFonts w:ascii="Times New Roman" w:cs="Times New Roman" w:eastAsia="Times New Roman" w:hAnsi="Times New Roman"/>
          <w:sz w:val="20"/>
          <w:szCs w:val="20"/>
          <w:color w:val="auto"/>
        </w:rPr>
        <w:t>” means Tim Chen and his affiliates.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left="660" w:firstLine="644"/>
        <w:spacing w:after="0" w:line="230" w:lineRule="auto"/>
        <w:tabs>
          <w:tab w:leader="none" w:pos="177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77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of an issuer rated at least A-1 by S&amp;P or P-1 by Moody’s, or carrying an equivalent rating by a nationally recognized rating agency, if both of the two named rating agencies cease publishing ratings of commercial paper issuers generally, and maturing within 12 months from the date of acquisition;</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74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eurodollar time deposits, overnight bank deposits, bankers’ acceptances and time deposits maturing within 12 months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79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obligations with a term of not more than 30 days for securities described in clause (a) above and entered into with a financial institution satisfying the criteria described in clause (c) above;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83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79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or similar funds that either (x) invest exclusively in assets satisfying the requirements of clauses (a) through (g) of this definition, or (y) (i) comply with the criteria set forth in Securities and Exchange Commission Rule 2a-7 under the Investment Company Act of 1940, (ii) are rated AAA by S&amp;P and Aaa by Moody’s and (iii) have portfolio assets of at least $5,000,000,000;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6" w:lineRule="exact"/>
        <w:rPr>
          <w:sz w:val="20"/>
          <w:szCs w:val="20"/>
          <w:color w:val="auto"/>
        </w:rPr>
      </w:pPr>
    </w:p>
    <w:p>
      <w:pPr>
        <w:jc w:val="both"/>
        <w:ind w:left="660" w:firstLine="644"/>
        <w:spacing w:after="0" w:line="226" w:lineRule="auto"/>
        <w:tabs>
          <w:tab w:leader="none" w:pos="179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Subsidiary organized or having its principal place of business outside the United States, investments denominated in the currency of the jurisdiction in which such Subsidiary is organized or has its principal place of business which are similar and of comparable credit quality to the items specified in clauses (a) through (f) above;.</w:t>
      </w:r>
    </w:p>
    <w:p>
      <w:pPr>
        <w:spacing w:after="0" w:line="16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Data</w:t>
      </w:r>
      <w:r>
        <w:rPr>
          <w:rFonts w:ascii="Times New Roman" w:cs="Times New Roman" w:eastAsia="Times New Roman" w:hAnsi="Times New Roman"/>
          <w:sz w:val="20"/>
          <w:szCs w:val="20"/>
          <w:color w:val="auto"/>
        </w:rPr>
        <w:t>” means data or information pertaining to an individual that is regulated or protected by one or more of the Data Protection Laws.</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Borrower or any ERISA Affiliate is (or, if such plan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terminated, would under Section 4069 of ERISA be deemed to be) an “employer” as defined in Section 3(5) of ERISA.</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means 29 CFR § 2510.3-101, as modified by Section 3(42) of ERISA, as amended from time to time.</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Release H.15 (519) (Selected Interest Rates) as the “bank prime loan” rate or, if such rate is no longer quoted therein, any similar rate quoted therein (as determined by the Administrative Agent) or any similar release by the Federal Reserve Board (as determined by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Administrative Agent). Each change in the Prime Rate shall be effective from and including the date such change is publicly announced or quoted as being effective.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Agreements</w:t>
      </w:r>
      <w:r>
        <w:rPr>
          <w:rFonts w:ascii="Times New Roman" w:cs="Times New Roman" w:eastAsia="Times New Roman" w:hAnsi="Times New Roman"/>
          <w:sz w:val="20"/>
          <w:szCs w:val="20"/>
          <w:color w:val="auto"/>
        </w:rPr>
        <w:t>” has the meaning assigned to such term in Section 3.24(a).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 has the meaning assigned to such term in Section 3.24(b).</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claim, litigation, investigation, action, suit, arbitration or administrative, judicial or regulatory action or proceeding in any jurisdiction.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has the meaning assigned to such term in Section 5.01(e).</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such term in Section 9.21.</w:t>
      </w:r>
    </w:p>
    <w:p>
      <w:pPr>
        <w:spacing w:after="0" w:line="17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Cash</w:t>
      </w:r>
      <w:r>
        <w:rPr>
          <w:rFonts w:ascii="Times New Roman" w:cs="Times New Roman" w:eastAsia="Times New Roman" w:hAnsi="Times New Roman"/>
          <w:sz w:val="19"/>
          <w:szCs w:val="19"/>
          <w:color w:val="auto"/>
        </w:rPr>
        <w:t>” means, as of any date of determination, the aggregate amount of unrestricted cash and Permitted Investments of the Loan Parties maintained in an account with Chase or that is subject to a customary springing control agreement in favor of the Administrative</w:t>
      </w: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ECP Guarantor</w:t>
      </w:r>
      <w:r>
        <w:rPr>
          <w:rFonts w:ascii="Times New Roman" w:cs="Times New Roman" w:eastAsia="Times New Roman" w:hAnsi="Times New Roman"/>
          <w:sz w:val="19"/>
          <w:szCs w:val="19"/>
          <w:color w:val="auto"/>
        </w:rPr>
        <w:t>” means, in respect of any Swap Obligation, each Loan Party that has total assets exceeding $10,000,000 at the time the relevant Loan Guaranty or grant of the relevant security interest becomes or would become effective with respect to such Swap</w:t>
      </w:r>
    </w:p>
    <w:p>
      <w:pPr>
        <w:spacing w:after="0" w:line="211" w:lineRule="auto"/>
        <w:rPr>
          <w:sz w:val="20"/>
          <w:szCs w:val="20"/>
          <w:color w:val="auto"/>
        </w:rPr>
      </w:pPr>
      <w:r>
        <w:rPr>
          <w:rFonts w:ascii="Times New Roman" w:cs="Times New Roman" w:eastAsia="Times New Roman" w:hAnsi="Times New Roman"/>
          <w:sz w:val="20"/>
          <w:szCs w:val="20"/>
          <w:color w:val="auto"/>
        </w:rPr>
        <w:t>Obligation or such other person as constitutes an “eligible contract participant” under the Commodity Exchange Act or any regulations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promulgated thereunder and can cause another person to qualify as an “eligible contract participant” at such time by entering into a keepwell under Section 1a(18)(A)(v)(II) of the Commodity Exchange Act.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 or any combination thereof (as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w:t>
      </w:r>
    </w:p>
    <w:p>
      <w:pPr>
        <w:spacing w:after="0" w:line="204" w:lineRule="auto"/>
        <w:rPr>
          <w:sz w:val="20"/>
          <w:szCs w:val="20"/>
          <w:color w:val="auto"/>
        </w:rPr>
      </w:pPr>
      <w:r>
        <w:rPr>
          <w:rFonts w:ascii="Times New Roman" w:cs="Times New Roman" w:eastAsia="Times New Roman" w:hAnsi="Times New Roman"/>
          <w:sz w:val="20"/>
          <w:szCs w:val="20"/>
          <w:color w:val="auto"/>
        </w:rPr>
        <w:t>5:00 a.m. (Chicago time) on the day that is two U.S. Government Securities Business Days preceding the date of such setting, (2) if such Benchmark is Daily Simple SOFR, then four U.S. Government Securities Business Days prior to such setting or (3) if such Benchmark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 of the Term SOFR Rate or Daily Simple SOFR, the time determined by the Administrative Agent in its reasonable discretion.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 Indebtedness</w:t>
      </w:r>
      <w:r>
        <w:rPr>
          <w:rFonts w:ascii="Times New Roman" w:cs="Times New Roman" w:eastAsia="Times New Roman" w:hAnsi="Times New Roman"/>
          <w:sz w:val="20"/>
          <w:szCs w:val="20"/>
          <w:color w:val="auto"/>
        </w:rPr>
        <w:t>” has the meaning assigned to such term in Section 6.01(f).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assigned to such term in Section 9.04(b).</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4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Federal Reserve Board, as in effect from time to time and all official rulings and interpretations thereunder or thereof.</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Federal Reserve Board, as in effect from time to time and all official rulings and interpretations thereunder or thereof.</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Federal Reserve Board, as in effect from time to time and all official rulings and interpretations thereunder or thereof.</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releasing, spilling, leaking, pumping, pouring, emitting, emptying, discharging, injecting, escaping, leaching, migrating, disposing, or dumping of any substance into the environment.</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NYFRB, or a committee officially endorsed or convened by the Federal Reserve Board and/or the NYFRB or, in each case, any successor thereto.</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the Adjusted Term SOFR Rate, and (ii) with respect to any RFR Borrowing, Adjusted Daily Simple SOFR, as applicable.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subject to Section 2.20: (a) at any time prior to the earlier of the Loans becoming due and payable pursuant to Article VII or the Revolving Commitments terminating or expiring, Lenders having Revolving Exposures and Unfunded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Revolving Commitments representing more than 50% of the sum of the Aggregate Revolving Exposure and aggregate Unfunded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declaring the Loans to be due and payable pursuant to Article VII, the</w:t>
      </w:r>
    </w:p>
    <w:p>
      <w:pPr>
        <w:spacing w:after="0" w:line="211" w:lineRule="auto"/>
        <w:rPr>
          <w:sz w:val="20"/>
          <w:szCs w:val="20"/>
          <w:color w:val="auto"/>
        </w:rPr>
      </w:pPr>
      <w:r>
        <w:rPr>
          <w:rFonts w:ascii="Times New Roman" w:cs="Times New Roman" w:eastAsia="Times New Roman" w:hAnsi="Times New Roman"/>
          <w:sz w:val="20"/>
          <w:szCs w:val="20"/>
          <w:color w:val="auto"/>
        </w:rPr>
        <w:t>Unfunded Revolving Commitment of each Lender shall be deemed to be zero in determining the Required Lenders; and (b) for all purposes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after the Loans become due and payable pursuant to Article VII or the Revolving Commitments expire or terminate, Lenders having Revolving Exposures representing more than 50% of the sum of the Aggregate Revolving Exposure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w:t>
      </w:r>
    </w:p>
    <w:p>
      <w:pPr>
        <w:spacing w:after="0" w:line="211" w:lineRule="auto"/>
        <w:rPr>
          <w:sz w:val="20"/>
          <w:szCs w:val="20"/>
          <w:color w:val="auto"/>
        </w:rPr>
      </w:pPr>
      <w:r>
        <w:rPr>
          <w:rFonts w:ascii="Times New Roman" w:cs="Times New Roman" w:eastAsia="Times New Roman" w:hAnsi="Times New Roman"/>
          <w:sz w:val="20"/>
          <w:szCs w:val="20"/>
          <w:color w:val="auto"/>
        </w:rPr>
        <w:t>clauses (a) and (b) above, the Revolving Exposure of any Lender that is a Swingline Lender shall be deemed to exclude any amount of its</w:t>
      </w:r>
    </w:p>
    <w:p>
      <w:pPr>
        <w:spacing w:after="0" w:line="204" w:lineRule="auto"/>
        <w:rPr>
          <w:sz w:val="20"/>
          <w:szCs w:val="20"/>
          <w:color w:val="auto"/>
        </w:rPr>
      </w:pPr>
      <w:r>
        <w:rPr>
          <w:rFonts w:ascii="Times New Roman" w:cs="Times New Roman" w:eastAsia="Times New Roman" w:hAnsi="Times New Roman"/>
          <w:sz w:val="20"/>
          <w:szCs w:val="20"/>
          <w:color w:val="auto"/>
        </w:rPr>
        <w:t>Swingline Exposure in excess of its Applicable Percentage of all outstanding Swingline Loans, adjusted to give effect to any reallocation under Section 2.20 of the Swingline Exposures of Defaulting Lenders in effect at such time, and the Unfunded Revolving Commitment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Lender shall be determined on the basis of its Revolving Exposure excluding such excess amount.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 law (including common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treaty, rule, regulation, code, ordinance, order, decree, writ, judgment, injunction or determination of any arbitrator or court or other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Governmental Authority (including Environmental Laws),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president, Financial Officer or other executive officer of the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as the case may be, (i) any dividend or other distribution (whether in cash, securities or other property)</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with respect to any Equity Interests in the Borrower or any Subsidiary, or any payment (whether in cash, securities or other property), including any sinking fund or similar deposit, on account of the purchase, redemption, retirement, acquisition, cancellation or termination of</w:t>
      </w:r>
    </w:p>
    <w:p>
      <w:pPr>
        <w:spacing w:after="0" w:line="211" w:lineRule="auto"/>
        <w:rPr>
          <w:sz w:val="20"/>
          <w:szCs w:val="20"/>
          <w:color w:val="auto"/>
        </w:rPr>
      </w:pPr>
      <w:r>
        <w:rPr>
          <w:rFonts w:ascii="Times New Roman" w:cs="Times New Roman" w:eastAsia="Times New Roman" w:hAnsi="Times New Roman"/>
          <w:sz w:val="20"/>
          <w:szCs w:val="20"/>
          <w:color w:val="auto"/>
        </w:rPr>
        <w:t>any such Equity Interests in the Borrower or any Subsidiary or any option, warrant or other right to acquire any such Equity Interests in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Borrower or any Subsidiary, or (ii) the payment of any management, advisory, transaction services, monitoring, bonus or similar fees, howsoever designated, or the payment of any costs, expenses and indemnities under any management, advisory, monitoring or similar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each Lender, the amount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opposite such Lender’s name as a “Revolving Commitment”, or in the Assignment and Assumption or other documentation or record (as such term is</w:t>
      </w:r>
    </w:p>
    <w:p>
      <w:pPr>
        <w:spacing w:after="0" w:line="212" w:lineRule="auto"/>
        <w:rPr>
          <w:sz w:val="20"/>
          <w:szCs w:val="20"/>
          <w:color w:val="auto"/>
        </w:rPr>
      </w:pPr>
      <w:r>
        <w:rPr>
          <w:rFonts w:ascii="Times New Roman" w:cs="Times New Roman" w:eastAsia="Times New Roman" w:hAnsi="Times New Roman"/>
          <w:sz w:val="20"/>
          <w:szCs w:val="20"/>
          <w:color w:val="auto"/>
        </w:rPr>
        <w:t>defined in Section 9-102(a)(70) of the New York UCC) as provided in Section 9.04(b)(ii)(C), pursuant to which such Lender shall have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assumed its Revolving Commitment pursuant to the terms hereof, as applicable, as such Revolving Commitment may be reduced or increased from time to time pursuant to (a) Section 2.09 and (b) assignments by or to such Lender pursuant to Section 9.04;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no time shall the Revolving Exposure of any Lender exceed its Revolving Commitment. The initial aggregate amount of the Lenders’ Revolving Commitments is $125,000,000.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Maturity Date</w:t>
      </w:r>
      <w:r>
        <w:rPr>
          <w:rFonts w:ascii="Times New Roman" w:cs="Times New Roman" w:eastAsia="Times New Roman" w:hAnsi="Times New Roman"/>
          <w:sz w:val="20"/>
          <w:szCs w:val="20"/>
          <w:color w:val="auto"/>
        </w:rPr>
        <w:t>” means September 26, 2028 (if the same is a Business Day, or if not then the immediately next</w:t>
      </w:r>
    </w:p>
    <w:p>
      <w:pPr>
        <w:jc w:val="both"/>
        <w:spacing w:after="0" w:line="221" w:lineRule="auto"/>
        <w:rPr>
          <w:sz w:val="20"/>
          <w:szCs w:val="20"/>
          <w:color w:val="auto"/>
        </w:rPr>
      </w:pPr>
      <w:r>
        <w:rPr>
          <w:rFonts w:ascii="Times New Roman" w:cs="Times New Roman" w:eastAsia="Times New Roman" w:hAnsi="Times New Roman"/>
          <w:sz w:val="20"/>
          <w:szCs w:val="20"/>
          <w:color w:val="auto"/>
        </w:rPr>
        <w:t>succeeding Business Day), or any earlier date on which the Revolving Commitments are reduced to zero or otherwise terminated pursuant to the terms hereof.</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Lender, at any time, the sum of the aggregate outstanding principal amount (in Dollars) of such Lender’s Revolving Loans and its LC Exposure and its Swingline Exposure at such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Loan made pursuant to Section 2.01.</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w:t>
      </w:r>
      <w:r>
        <w:rPr>
          <w:rFonts w:ascii="Times New Roman" w:cs="Times New Roman" w:eastAsia="Times New Roman" w:hAnsi="Times New Roman"/>
          <w:sz w:val="19"/>
          <w:szCs w:val="19"/>
          <w:color w:val="auto"/>
        </w:rPr>
        <w:t>” when used in reference to any Loan or Borrowing, refers to whether such Loan, or the Loans comprising such Borrowing, are</w:t>
      </w:r>
    </w:p>
    <w:p>
      <w:pPr>
        <w:spacing w:after="0" w:line="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bearing interest at a rate determined by reference to the Adjusted Daily Simple SOFR (excluding, for the avoidance of doubt, any ABR Loan or Borrowing).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Services, a Standard &amp; Poor’s Financial Services LLC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has the meaning assigned to such term in Section 6.06.</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of any comprehensive Sanctions (at the time of this Agreement, the so-called Donetsk People’s Republic, the so-called Luhansk People’s Republic, the Crimea, Zaporizhzhia and Kherson Regions of Ukraine, Cuba, Iran, North Korea and Syria).</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any Person subject of any Sanctions, including (a) any Person listed in any Sanctions-related list of designated Persons maintained by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by OFAC, the U.S. Department of State or the U.S. Department of Commerce, or by the United Nations Security Council,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European Union, any European Union member state, His Majesty’s Treasury of the United Kingdom or other relevant sanctions authority </w:t>
      </w:r>
      <w:r>
        <w:rPr>
          <w:rFonts w:ascii="Times New Roman" w:cs="Times New Roman" w:eastAsia="Times New Roman" w:hAnsi="Times New Roman"/>
          <w:sz w:val="20"/>
          <w:szCs w:val="20"/>
          <w:u w:val="single" w:color="auto"/>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any country in which the Borrower has operations</w:t>
      </w:r>
      <w:r>
        <w:rPr>
          <w:rFonts w:ascii="Times New Roman" w:cs="Times New Roman" w:eastAsia="Times New Roman" w:hAnsi="Times New Roman"/>
          <w:sz w:val="20"/>
          <w:szCs w:val="20"/>
          <w:color w:val="auto"/>
        </w:rPr>
        <w:t>, (b) any Person located, organized or resident in a Sanctioned Country, or (c) any Person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owned or controlled by any such Person or Persons described in the foregoing clauses (a) or (b) (including, without limitation for purposes of defining a Sanctioned Person, as ownership and control may be defined and/or established in and/or by any applicable Sanctions).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all applicable laws and regulations relating to economic or financial sanctions, or trade embargoes imposed, administered or enforced from time to time by (a) the U.S. government, including those administered by OFAC, the U.S. Department of State</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or the U.S. Department of Commerce, or (b) the United Nations Security Council, the European Union, any European Union member state or His Majesty’s Treasury of the United Kingdom or other relevant sanctions authority in any country in which the Borrower has operations.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of the U.S.</w:t>
      </w:r>
    </w:p>
    <w:p>
      <w:pPr>
        <w:spacing w:after="0" w:line="18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means all Obligations, together with all Banking Services Obligations and Swap Agreement Obligations owing by the Loan Parties or any of their Subsidiaries to one or more Lenders or their respective Affiliates or to any person that was a Lender</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or Affiliate of a Lender at the time incurred;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definition of “Secured Obligations” shall not create any guarantee by any Loan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Guarantor of (or grant of security interest by any Loan Guarantor to support, as applicable) any Excluded Swap Obligations of such Loan Guarantor for purposes of determining any obligations of any Loan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Parties</w:t>
      </w:r>
      <w:r>
        <w:rPr>
          <w:rFonts w:ascii="Times New Roman" w:cs="Times New Roman" w:eastAsia="Times New Roman" w:hAnsi="Times New Roman"/>
          <w:sz w:val="19"/>
          <w:szCs w:val="19"/>
          <w:color w:val="auto"/>
        </w:rPr>
        <w:t>” means (a) the Lenders, (b) the Administrative Agent, (c) each Issuing Bank, (d) each provider of Banking Services,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extent the Banking Services Obligations in respect thereof constitute Secured Obligations, (e) each counterparty to any Swap Agreement, to the extent the obligations thereunder constitute Secured Obligations, (f) the beneficiaries of each indemnification obligation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undertaken by any Loan Party under any Loan Document and (g) the successors and assigns of each of the foregoing.</w:t>
      </w:r>
    </w:p>
    <w:p>
      <w:pPr>
        <w:spacing w:after="0" w:line="15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means that certain Pledge and Security Agreement (including any and all supplements thereto), dated as of the date hereof, among the Loan Parties and the Administrative Agent, for the benefit of the Administrative Agent and the other Secured Parties,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any other pledge or security agreement entered into, after the date of this Agreement by any other Loan Party (as required by this Agreement or any other Loan Document) or any other Person for the benefit of the Administrative Agent and the other Secured Parties, as the</w:t>
      </w:r>
    </w:p>
    <w:p>
      <w:pPr>
        <w:spacing w:after="0"/>
        <w:rPr>
          <w:sz w:val="20"/>
          <w:szCs w:val="20"/>
          <w:color w:val="auto"/>
        </w:rPr>
      </w:pPr>
      <w:r>
        <w:rPr>
          <w:rFonts w:ascii="Times New Roman" w:cs="Times New Roman" w:eastAsia="Times New Roman" w:hAnsi="Times New Roman"/>
          <w:sz w:val="20"/>
          <w:szCs w:val="20"/>
          <w:color w:val="auto"/>
        </w:rPr>
        <w:t>same may be amended, restated, supplemented or otherwise modified from time to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Program</w:t>
      </w:r>
      <w:r>
        <w:rPr>
          <w:rFonts w:ascii="Times New Roman" w:cs="Times New Roman" w:eastAsia="Times New Roman" w:hAnsi="Times New Roman"/>
          <w:sz w:val="20"/>
          <w:szCs w:val="20"/>
          <w:color w:val="auto"/>
        </w:rPr>
        <w:t>” has the meaning assigned to such term in Section 3.24(c).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 Repurchase</w:t>
      </w:r>
      <w:r>
        <w:rPr>
          <w:rFonts w:ascii="Times New Roman" w:cs="Times New Roman" w:eastAsia="Times New Roman" w:hAnsi="Times New Roman"/>
          <w:sz w:val="20"/>
          <w:szCs w:val="20"/>
          <w:color w:val="auto"/>
        </w:rPr>
        <w:t>” has the meaning assigned to such term in Section 6.08(a)(iv).</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17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assigned to such term under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Ancillary Obligations</w:t>
      </w:r>
      <w:r>
        <w:rPr>
          <w:rFonts w:ascii="Times New Roman" w:cs="Times New Roman" w:eastAsia="Times New Roman" w:hAnsi="Times New Roman"/>
          <w:sz w:val="20"/>
          <w:szCs w:val="20"/>
          <w:color w:val="auto"/>
        </w:rPr>
        <w:t>” means all obligations and liabilities (including interest and fees accruing during the pendency of</w:t>
      </w:r>
    </w:p>
    <w:p>
      <w:pPr>
        <w:spacing w:after="0" w:line="204" w:lineRule="auto"/>
        <w:rPr>
          <w:sz w:val="20"/>
          <w:szCs w:val="20"/>
          <w:color w:val="auto"/>
        </w:rPr>
      </w:pPr>
      <w:r>
        <w:rPr>
          <w:rFonts w:ascii="Times New Roman" w:cs="Times New Roman" w:eastAsia="Times New Roman" w:hAnsi="Times New Roman"/>
          <w:sz w:val="20"/>
          <w:szCs w:val="20"/>
          <w:color w:val="auto"/>
        </w:rPr>
        <w:t>any bankruptcy, insolvency, receivership or other similar proceeding, regardless of whether allowed or allowable in such proceeding) of any of the Subsidiaries, existing on the Effective Date or arising thereafter, direct or indirect, joint or several, absolute or contingent, matured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unmatured, liquidated or unliquidated, secured or unsecured, arising by contract, operation of law or otherwise, to the Lenders or any of their Affiliates in respect of any Swap Agreement Obligations or any Banking Services Obligations.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has the meaning assigned to such term in Section 2.18(f).</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 Person means any Indebtedness of such Person, the payment of which is subordinated to payment of the Secured Obligations to the written satisfaction of the Administrative Agent.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statements if such financial statements were prepared in accordance with GAAP as of such date, as well as any other corporation, limited liability company, partnership, association or other entity (a) of which securities or other ownership interests representing more than 50% of</w:t>
      </w:r>
    </w:p>
    <w:p>
      <w:pPr>
        <w:spacing w:after="0" w:line="211" w:lineRule="auto"/>
        <w:rPr>
          <w:sz w:val="20"/>
          <w:szCs w:val="20"/>
          <w:color w:val="auto"/>
        </w:rPr>
      </w:pPr>
      <w:r>
        <w:rPr>
          <w:rFonts w:ascii="Times New Roman" w:cs="Times New Roman" w:eastAsia="Times New Roman" w:hAnsi="Times New Roman"/>
          <w:sz w:val="20"/>
          <w:szCs w:val="20"/>
          <w:color w:val="auto"/>
        </w:rPr>
        <w:t>the equity or more than 50% of the ordinary voting power or, in the case of a partnership, more than 50% of the general partnership interests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are, as of such date, owned, Controlled or held, or (b) that is, as of such date, otherwise Controlled, by the parent and/or one or more subsidiaries of the parent.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the Borrower or of any other Loan Party, as applicable.</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means the Borrower’s Material Domestic Subsidiaries party hereto as Subsidiary Guarantors as of the Effective Date and any other Material Domestic Subsidiary that becomes a party to this Agreement pursuant to a Joinder Agreement.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such term in Section 9.21.</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0000FF"/>
        </w:rPr>
        <w:t>“SVB” means Silicon Valley Bank, a division of First-Citizens Bank &amp; Trust Company, in its individual capacity, and its successors.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means any agreement with respect to any swap, forward, spot, future, credit default or derivative transaction or</w:t>
      </w:r>
    </w:p>
    <w:p>
      <w:pPr>
        <w:spacing w:after="0" w:line="204" w:lineRule="auto"/>
        <w:rPr>
          <w:sz w:val="20"/>
          <w:szCs w:val="20"/>
          <w:color w:val="auto"/>
        </w:rPr>
      </w:pPr>
      <w:r>
        <w:rPr>
          <w:rFonts w:ascii="Times New Roman" w:cs="Times New Roman" w:eastAsia="Times New Roman" w:hAnsi="Times New Roman"/>
          <w:sz w:val="20"/>
          <w:szCs w:val="20"/>
          <w:color w:val="auto"/>
        </w:rPr>
        <w:t>option or similar agreement involving, or settled by reference to, one or more rates, currencies, commodities, equity or debt instruments or securities, or economic, financial or pricing indices or measures of economic, financial or pricing risk or value or any similar transaction 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 Obligations</w:t>
      </w:r>
      <w:r>
        <w:rPr>
          <w:rFonts w:ascii="Times New Roman" w:cs="Times New Roman" w:eastAsia="Times New Roman" w:hAnsi="Times New Roman"/>
          <w:sz w:val="20"/>
          <w:szCs w:val="20"/>
          <w:color w:val="auto"/>
        </w:rPr>
        <w:t>” means any and all obligations of the Loan Parties and their Subsidiaries, whether absolute or contingent and howsoever and whensoever created, arising, evidenced or acquired (including all renewals, extensions and modifications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thereof and substitutions therefor), under (a) any Swap Agreement permitted hereunder with the Administrative Agent, a Lender or an Affiliate of the Administrative Agent or a Lender (or any Person that was a Lender or an Affiliate of a Lender at the time incurred), and (b)</w:t>
      </w:r>
    </w:p>
    <w:p>
      <w:pPr>
        <w:spacing w:after="0" w:line="211" w:lineRule="auto"/>
        <w:rPr>
          <w:sz w:val="20"/>
          <w:szCs w:val="20"/>
          <w:color w:val="auto"/>
        </w:rPr>
      </w:pPr>
      <w:r>
        <w:rPr>
          <w:rFonts w:ascii="Times New Roman" w:cs="Times New Roman" w:eastAsia="Times New Roman" w:hAnsi="Times New Roman"/>
          <w:sz w:val="20"/>
          <w:szCs w:val="20"/>
          <w:color w:val="auto"/>
        </w:rPr>
        <w:t>any cancellations, buy backs, reversals, terminations or assignments of any Swap Agreement transaction permitted hereunder with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a Lender or an Affiliate of the Administrative Agent or a Lender (or any Person that was a Lender or an Affiliate of a Lender at the time incurred).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Guarantor, any obligation to pay or perform under any agreement, contract or</w:t>
      </w:r>
    </w:p>
    <w:p>
      <w:pPr>
        <w:spacing w:after="0" w:line="221" w:lineRule="auto"/>
        <w:rPr>
          <w:sz w:val="20"/>
          <w:szCs w:val="20"/>
          <w:color w:val="auto"/>
        </w:rPr>
      </w:pPr>
      <w:r>
        <w:rPr>
          <w:rFonts w:ascii="Times New Roman" w:cs="Times New Roman" w:eastAsia="Times New Roman" w:hAnsi="Times New Roman"/>
          <w:sz w:val="20"/>
          <w:szCs w:val="20"/>
          <w:color w:val="auto"/>
        </w:rPr>
        <w:t>transaction that constitutes a “swap” within the meaning of section 1a(47) of the Commodity Exchange Act or any rules or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w:t>
      </w:r>
    </w:p>
    <w:p>
      <w:pPr>
        <w:spacing w:after="0" w:line="204" w:lineRule="auto"/>
        <w:rPr>
          <w:sz w:val="20"/>
          <w:szCs w:val="20"/>
          <w:color w:val="auto"/>
        </w:rPr>
      </w:pPr>
      <w:r>
        <w:rPr>
          <w:rFonts w:ascii="Times New Roman" w:cs="Times New Roman" w:eastAsia="Times New Roman" w:hAnsi="Times New Roman"/>
          <w:sz w:val="20"/>
          <w:szCs w:val="20"/>
          <w:color w:val="auto"/>
        </w:rPr>
        <w:t>Swingline Exposure of any Lender at any time shall be the sum of (a) its Applicable Percentage of the aggregate principal amount of all Swingline Loans outstanding at such time (excluding, in the case of any Lender that is a Swingline Lender, Swingline Loans made by such</w:t>
      </w:r>
    </w:p>
    <w:p>
      <w:pPr>
        <w:spacing w:after="0" w:line="211" w:lineRule="auto"/>
        <w:rPr>
          <w:sz w:val="20"/>
          <w:szCs w:val="20"/>
          <w:color w:val="auto"/>
        </w:rPr>
      </w:pPr>
      <w:r>
        <w:rPr>
          <w:rFonts w:ascii="Times New Roman" w:cs="Times New Roman" w:eastAsia="Times New Roman" w:hAnsi="Times New Roman"/>
          <w:sz w:val="20"/>
          <w:szCs w:val="20"/>
          <w:color w:val="auto"/>
        </w:rPr>
        <w:t>Lender in its capacity as a Swingline Lender that are outstanding at such time to the extent that the other Lenders shall not have funded their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participations in such Swingline Loans), adjusted to give effect to any reallocation under Section 2.20 of the Swingline Exposure of Defaulting Lenders in effect at such time, and (b) in the case of any Lender that is a Swingline Lender, the aggregate principal amount of all</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Swingline Loans made by such Lender as a Swingline Lender outstanding at such time, less the amount of participations funded by the other Lenders in such Swingline Loans.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Lender</w:t>
      </w:r>
      <w:r>
        <w:rPr>
          <w:rFonts w:ascii="Times New Roman" w:cs="Times New Roman" w:eastAsia="Times New Roman" w:hAnsi="Times New Roman"/>
          <w:sz w:val="19"/>
          <w:szCs w:val="19"/>
          <w:color w:val="auto"/>
        </w:rPr>
        <w:t>” means Chase (or any of its designated branch offices or affiliates), in its capacity as lender of Swingline Loans hereunder. Any consent required of the Administrative Agent or the Issuing Bank shall be deemed to be required of the Swingline Lender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any consent given by Chase in its capacity as Administrative Agent or Issuing Bank shall be deemed given by Chase in its capacity as Swingline Lender as well.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withholdings (including backup withholding), value added taxes, or any other goods and services, use or sales taxes, assessments, fees or other charges imposed by any Governmental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 including any interest, additions to tax or penalties applicable thereto.</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bear interest at a rate determined by reference to the Adjusted Term SOFR 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such term under the definition of Term SOFR Reference Rate.</w:t>
      </w:r>
    </w:p>
    <w:p>
      <w:pPr>
        <w:spacing w:after="0" w:line="175"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and for any tenor comparable to the applicable Interest Period, the Term SOFR Reference Rate at approximately 5:00 a.m., Chicago time, two U.S. Government Securities Business Days prior to</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commencement of such tenor comparable to the applicable Interest Period, as such rate is published by the CME Term SOFR Administrator.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with respect to any</w:t>
      </w:r>
    </w:p>
    <w:p>
      <w:pPr>
        <w:spacing w:after="0" w:line="215" w:lineRule="auto"/>
        <w:rPr>
          <w:sz w:val="20"/>
          <w:szCs w:val="20"/>
          <w:color w:val="auto"/>
        </w:rPr>
      </w:pPr>
      <w:r>
        <w:rPr>
          <w:rFonts w:ascii="Times New Roman" w:cs="Times New Roman" w:eastAsia="Times New Roman" w:hAnsi="Times New Roman"/>
          <w:sz w:val="19"/>
          <w:szCs w:val="19"/>
          <w:color w:val="auto"/>
        </w:rPr>
        <w:t>Term Benchmark Borrowing and for any tenor comparable to the applicable Interest Period, the rate per annum published by the CME Term SOFR Administrator and identified by the Administrative Agent as the forward-looking term rate based on SOFR. If by 5:00 pm (New York</w:t>
      </w:r>
    </w:p>
    <w:p>
      <w:pPr>
        <w:spacing w:after="0" w:line="222" w:lineRule="auto"/>
        <w:rPr>
          <w:sz w:val="20"/>
          <w:szCs w:val="20"/>
          <w:color w:val="auto"/>
        </w:rPr>
      </w:pPr>
      <w:r>
        <w:rPr>
          <w:rFonts w:ascii="Times New Roman" w:cs="Times New Roman" w:eastAsia="Times New Roman" w:hAnsi="Times New Roman"/>
          <w:sz w:val="19"/>
          <w:szCs w:val="19"/>
          <w:color w:val="auto"/>
        </w:rPr>
        <w:t>City time) on such Term SOFR Determination Day, the “Term SOFR Reference Rate” for the applicable tenor has not been published by the</w:t>
      </w:r>
    </w:p>
    <w:p>
      <w:pPr>
        <w:spacing w:after="0" w:line="215" w:lineRule="auto"/>
        <w:rPr>
          <w:sz w:val="20"/>
          <w:szCs w:val="20"/>
          <w:color w:val="auto"/>
        </w:rPr>
      </w:pPr>
      <w:r>
        <w:rPr>
          <w:rFonts w:ascii="Times New Roman" w:cs="Times New Roman" w:eastAsia="Times New Roman" w:hAnsi="Times New Roman"/>
          <w:sz w:val="19"/>
          <w:szCs w:val="19"/>
          <w:color w:val="auto"/>
        </w:rPr>
        <w:t>CME Term SOFR Administrator and a Benchmark Replacement Date with respect to the Term SOFR Rate has not occurred, then, so long as such day is otherwise a U.S. Government Securities Business Day, the Term SOFR Reference Rate for such Term SOFR Determination Day</w:t>
      </w:r>
    </w:p>
    <w:p>
      <w:pPr>
        <w:spacing w:after="0" w:line="211" w:lineRule="auto"/>
        <w:rPr>
          <w:sz w:val="20"/>
          <w:szCs w:val="20"/>
          <w:color w:val="auto"/>
        </w:rPr>
      </w:pPr>
      <w:r>
        <w:rPr>
          <w:rFonts w:ascii="Times New Roman" w:cs="Times New Roman" w:eastAsia="Times New Roman" w:hAnsi="Times New Roman"/>
          <w:sz w:val="20"/>
          <w:szCs w:val="20"/>
          <w:color w:val="auto"/>
        </w:rPr>
        <w:t>will be the Term SOFR Reference Rate as published in respect of the first preceding U.S. Government Securities Business Day for which</w:t>
      </w:r>
    </w:p>
    <w:p>
      <w:pPr>
        <w:spacing w:after="0" w:line="221" w:lineRule="auto"/>
        <w:rPr>
          <w:sz w:val="20"/>
          <w:szCs w:val="20"/>
          <w:color w:val="auto"/>
        </w:rPr>
      </w:pPr>
      <w:r>
        <w:rPr>
          <w:rFonts w:ascii="Times New Roman" w:cs="Times New Roman" w:eastAsia="Times New Roman" w:hAnsi="Times New Roman"/>
          <w:sz w:val="20"/>
          <w:szCs w:val="20"/>
          <w:color w:val="auto"/>
        </w:rPr>
        <w:t>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Net Leverage Ratio</w:t>
      </w:r>
      <w:r>
        <w:rPr>
          <w:rFonts w:ascii="Times New Roman" w:cs="Times New Roman" w:eastAsia="Times New Roman" w:hAnsi="Times New Roman"/>
          <w:sz w:val="19"/>
          <w:szCs w:val="19"/>
          <w:color w:val="auto"/>
        </w:rPr>
        <w:t xml:space="preserve">” means, on any date, the ratio of (a) Consolidated Total Indebtedness on such date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Qualified Cash,</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an amount not to exceed $25,000,000, to (b) Consolidated EBITDA for the period of four consecutive fiscal quarters ended on or most recently prior to such date.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w:t>
      </w:r>
    </w:p>
    <w:p>
      <w:pPr>
        <w:jc w:val="both"/>
        <w:spacing w:after="0" w:line="221" w:lineRule="auto"/>
        <w:rPr>
          <w:sz w:val="20"/>
          <w:szCs w:val="20"/>
          <w:color w:val="auto"/>
        </w:rPr>
      </w:pPr>
      <w:r>
        <w:rPr>
          <w:rFonts w:ascii="Times New Roman" w:cs="Times New Roman" w:eastAsia="Times New Roman" w:hAnsi="Times New Roman"/>
          <w:sz w:val="20"/>
          <w:szCs w:val="20"/>
          <w:color w:val="auto"/>
        </w:rPr>
        <w:t>comprising such Borrowing, is determined by reference to the Adjusted Term SOFR Rate, the Adjusted Daily Simple SOFR or the Alternate Base Rate.</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Unfinanced Capital Expenditures</w:t>
      </w:r>
      <w:r>
        <w:rPr>
          <w:rFonts w:ascii="Times New Roman" w:cs="Times New Roman" w:eastAsia="Times New Roman" w:hAnsi="Times New Roman"/>
          <w:sz w:val="20"/>
          <w:szCs w:val="20"/>
          <w:color w:val="auto"/>
        </w:rPr>
        <w:t>” means, for any period, Capital Expenditures for maintenance purposes made during such period which are not financed from the proceeds of any Indebtedness (other than the Revolving Loans; it being understood and agreed that, to the</w:t>
      </w:r>
    </w:p>
    <w:p>
      <w:pPr>
        <w:spacing w:after="0" w:line="212" w:lineRule="auto"/>
        <w:rPr>
          <w:sz w:val="20"/>
          <w:szCs w:val="20"/>
          <w:color w:val="auto"/>
        </w:rPr>
      </w:pPr>
      <w:r>
        <w:rPr>
          <w:rFonts w:ascii="Times New Roman" w:cs="Times New Roman" w:eastAsia="Times New Roman" w:hAnsi="Times New Roman"/>
          <w:sz w:val="20"/>
          <w:szCs w:val="20"/>
          <w:color w:val="auto"/>
        </w:rPr>
        <w:t>extent any such Capital Expenditures are financed with Revolving Loans, such Capital Expenditures shall be deemed Unfinanced Capital</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Expenditures), but in any event excluding capitalized software development expenses that are deducted from Consolidated EBITDA, calculated for the Borrower and its Subsidiaries on a consolidated basis for such period in accordance with GAAP.</w:t>
      </w:r>
    </w:p>
    <w:p>
      <w:pPr>
        <w:spacing w:after="0" w:line="16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Revolving Commitment</w:t>
      </w:r>
      <w:r>
        <w:rPr>
          <w:rFonts w:ascii="Times New Roman" w:cs="Times New Roman" w:eastAsia="Times New Roman" w:hAnsi="Times New Roman"/>
          <w:sz w:val="20"/>
          <w:szCs w:val="20"/>
          <w:color w:val="auto"/>
        </w:rPr>
        <w:t xml:space="preserve">” means, with respect to each Lender at any time, the Revolving Commitment of such Lender at such time,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its Revolving Exposure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w:t>
      </w:r>
    </w:p>
    <w:p>
      <w:pPr>
        <w:jc w:val="both"/>
        <w:spacing w:after="0" w:line="215" w:lineRule="auto"/>
        <w:rPr>
          <w:sz w:val="20"/>
          <w:szCs w:val="20"/>
          <w:color w:val="auto"/>
        </w:rPr>
      </w:pPr>
      <w:r>
        <w:rPr>
          <w:rFonts w:ascii="Times New Roman" w:cs="Times New Roman" w:eastAsia="Times New Roman" w:hAnsi="Times New Roman"/>
          <w:sz w:val="19"/>
          <w:szCs w:val="19"/>
          <w:color w:val="auto"/>
        </w:rPr>
        <w:t>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w:t>
      </w:r>
    </w:p>
    <w:p>
      <w:pPr>
        <w:spacing w:after="0"/>
        <w:rPr>
          <w:sz w:val="20"/>
          <w:szCs w:val="20"/>
          <w:color w:val="auto"/>
        </w:rPr>
      </w:pPr>
      <w:r>
        <w:rPr>
          <w:rFonts w:ascii="Times New Roman" w:cs="Times New Roman" w:eastAsia="Times New Roman" w:hAnsi="Times New Roman"/>
          <w:sz w:val="20"/>
          <w:szCs w:val="20"/>
          <w:color w:val="auto"/>
        </w:rPr>
        <w:t>provide collateral to secure any of the foregoing types of obligations.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such term in Section 9.21.</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2.17(f)(ii)(B)(3).</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write-down and conversion powers are described in the EU Bail-In Legislation Schedule, and (b) with respect to the United Kingdom, any powers of the applicable Resolution Authority under the Bail-In Legislation to cancel, reduce, modify or change the form of a liability of any</w:t>
      </w:r>
    </w:p>
    <w:p>
      <w:pPr>
        <w:spacing w:after="0" w:line="211" w:lineRule="auto"/>
        <w:rPr>
          <w:sz w:val="20"/>
          <w:szCs w:val="20"/>
          <w:color w:val="auto"/>
        </w:rPr>
      </w:pPr>
      <w:r>
        <w:rPr>
          <w:rFonts w:ascii="Times New Roman" w:cs="Times New Roman" w:eastAsia="Times New Roman" w:hAnsi="Times New Roman"/>
          <w:sz w:val="20"/>
          <w:szCs w:val="20"/>
          <w:color w:val="auto"/>
        </w:rPr>
        <w:t>UK Financial Institution or any contract or instrument under which that liability arises, to convert all or part of that liability into shares,</w:t>
      </w:r>
    </w:p>
    <w:p>
      <w:pPr>
        <w:ind w:right="20"/>
        <w:spacing w:after="0" w:line="204" w:lineRule="auto"/>
        <w:rPr>
          <w:sz w:val="20"/>
          <w:szCs w:val="20"/>
          <w:color w:val="auto"/>
        </w:rPr>
      </w:pPr>
      <w:r>
        <w:rPr>
          <w:rFonts w:ascii="Times New Roman" w:cs="Times New Roman" w:eastAsia="Times New Roman" w:hAnsi="Times New Roman"/>
          <w:sz w:val="20"/>
          <w:szCs w:val="20"/>
          <w:color w:val="auto"/>
        </w:rPr>
        <w:t>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related to or ancillary to any of those powers.</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010000"/>
        </w:rPr>
        <w:t xml:space="preserve">SECTION 1.02. </w:t>
      </w:r>
      <w:r>
        <w:rPr>
          <w:rFonts w:ascii="Times New Roman" w:cs="Times New Roman" w:eastAsia="Times New Roman" w:hAnsi="Times New Roman"/>
          <w:sz w:val="19"/>
          <w:szCs w:val="19"/>
          <w:u w:val="single" w:color="auto"/>
          <w:color w:val="000000"/>
        </w:rPr>
        <w:t>Classification of Loans and Borrowings</w:t>
      </w:r>
      <w:r>
        <w:rPr>
          <w:rFonts w:ascii="Times New Roman" w:cs="Times New Roman" w:eastAsia="Times New Roman" w:hAnsi="Times New Roman"/>
          <w:sz w:val="19"/>
          <w:szCs w:val="19"/>
          <w:color w:val="000000"/>
        </w:rPr>
        <w:t>. For purposes of this Agreement, Loans may be classified and referred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by Class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“Revolving Loan”) or by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Loan”) or by Class and Type (</w:t>
      </w:r>
      <w:r>
        <w:rPr>
          <w:rFonts w:ascii="Times New Roman" w:cs="Times New Roman" w:eastAsia="Times New Roman" w:hAnsi="Times New Roman"/>
          <w:sz w:val="19"/>
          <w:szCs w:val="19"/>
          <w:u w:val="single" w:color="auto"/>
          <w:color w:val="000000"/>
        </w:rPr>
        <w:t>e.g.</w:t>
      </w:r>
      <w:r>
        <w:rPr>
          <w:rFonts w:ascii="Times New Roman" w:cs="Times New Roman" w:eastAsia="Times New Roman" w:hAnsi="Times New Roman"/>
          <w:sz w:val="19"/>
          <w:szCs w:val="19"/>
          <w:color w:val="000000"/>
        </w:rPr>
        <w:t>, a “Term Benchmark Revolving</w:t>
      </w:r>
    </w:p>
    <w:p>
      <w:pPr>
        <w:spacing w:after="0" w:line="228" w:lineRule="auto"/>
        <w:rPr>
          <w:sz w:val="20"/>
          <w:szCs w:val="20"/>
          <w:color w:val="auto"/>
        </w:rPr>
      </w:pPr>
      <w:r>
        <w:rPr>
          <w:rFonts w:ascii="Times New Roman" w:cs="Times New Roman" w:eastAsia="Times New Roman" w:hAnsi="Times New Roman"/>
          <w:sz w:val="20"/>
          <w:szCs w:val="20"/>
          <w:color w:val="auto"/>
        </w:rPr>
        <w:t>Loan”). Borrowings also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“Revolving Borrowing”)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Benchmark Borrowing”)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Benchmark Revolving Borrowing”).</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1.03. </w:t>
      </w:r>
      <w:r>
        <w:rPr>
          <w:rFonts w:ascii="Times New Roman" w:cs="Times New Roman" w:eastAsia="Times New Roman" w:hAnsi="Times New Roman"/>
          <w:sz w:val="20"/>
          <w:szCs w:val="20"/>
          <w:u w:val="single" w:color="auto"/>
          <w:color w:val="000000"/>
        </w:rPr>
        <w:t>Terms Generally</w:t>
      </w:r>
      <w:r>
        <w:rPr>
          <w:rFonts w:ascii="Times New Roman" w:cs="Times New Roman" w:eastAsia="Times New Roman" w:hAnsi="Times New Roman"/>
          <w:sz w:val="20"/>
          <w:szCs w:val="20"/>
          <w:color w:val="000000"/>
        </w:rPr>
        <w:t>. The definitions of terms herein shall apply equally to the singular and plural forms of the terms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defined. Whenever the context may require, any pronoun shall include the corresponding masculine, feminine and neuter forms. The words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“include”, “includes” and “including” shall be deemed to be followed by the phrase “without limitation”. The word “law” shall be construed as referring to all statutes, rules, regulations, codes and other laws (including official rulings and interpretations thereunder having the force</w:t>
      </w:r>
    </w:p>
    <w:p>
      <w:pPr>
        <w:spacing w:after="0" w:line="215" w:lineRule="auto"/>
        <w:rPr>
          <w:sz w:val="20"/>
          <w:szCs w:val="20"/>
          <w:color w:val="auto"/>
        </w:rPr>
      </w:pPr>
      <w:r>
        <w:rPr>
          <w:rFonts w:ascii="Times New Roman" w:cs="Times New Roman" w:eastAsia="Times New Roman" w:hAnsi="Times New Roman"/>
          <w:sz w:val="19"/>
          <w:szCs w:val="19"/>
          <w:color w:val="auto"/>
        </w:rPr>
        <w:t>of law or with which affected Persons customarily comply) and all judgments, orders and decrees of all Governmental Authorities. The word “will” shall be construed to have the same meaning and effect as the word “shall”. Unless the context requires otherwise (a) any definition of</w:t>
      </w:r>
    </w:p>
    <w:p>
      <w:pPr>
        <w:spacing w:after="0" w:line="211" w:lineRule="auto"/>
        <w:rPr>
          <w:sz w:val="20"/>
          <w:szCs w:val="20"/>
          <w:color w:val="auto"/>
        </w:rPr>
      </w:pPr>
      <w:r>
        <w:rPr>
          <w:rFonts w:ascii="Times New Roman" w:cs="Times New Roman" w:eastAsia="Times New Roman" w:hAnsi="Times New Roman"/>
          <w:sz w:val="20"/>
          <w:szCs w:val="20"/>
          <w:color w:val="auto"/>
        </w:rPr>
        <w:t>or reference to any agreement, instrument or other document herein shall be construed as referring to such agreement, instrument or other</w:t>
      </w:r>
    </w:p>
    <w:p>
      <w:pPr>
        <w:spacing w:after="0" w:line="204" w:lineRule="auto"/>
        <w:rPr>
          <w:sz w:val="20"/>
          <w:szCs w:val="20"/>
          <w:color w:val="auto"/>
        </w:rPr>
      </w:pPr>
      <w:r>
        <w:rPr>
          <w:rFonts w:ascii="Times New Roman" w:cs="Times New Roman" w:eastAsia="Times New Roman" w:hAnsi="Times New Roman"/>
          <w:sz w:val="20"/>
          <w:szCs w:val="20"/>
          <w:color w:val="auto"/>
        </w:rPr>
        <w:t>document as from time to time amended, restated, supplemented or otherwise modified (subject to any restrictions on such amendments, restatements, supplements or modifications set forth herein), (b) any definition of or reference to any statute, rule or regulation shall be</w:t>
      </w:r>
    </w:p>
    <w:p>
      <w:pPr>
        <w:spacing w:after="0" w:line="211" w:lineRule="auto"/>
        <w:rPr>
          <w:sz w:val="20"/>
          <w:szCs w:val="20"/>
          <w:color w:val="auto"/>
        </w:rPr>
      </w:pPr>
      <w:r>
        <w:rPr>
          <w:rFonts w:ascii="Times New Roman" w:cs="Times New Roman" w:eastAsia="Times New Roman" w:hAnsi="Times New Roman"/>
          <w:sz w:val="20"/>
          <w:szCs w:val="20"/>
          <w:color w:val="auto"/>
        </w:rPr>
        <w:t>construed as referring thereto as from time to time amended, supplemented or otherwise modified (including by succession of comparable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successor laws), (c) any reference herein to any Person shall be construed to include such Person’s successors and assigns (subject to any restrictions on assignments set forth herein) and, in the case of any Governmental Authority, any other Governmental Authority that shall</w:t>
      </w:r>
    </w:p>
    <w:p>
      <w:pPr>
        <w:spacing w:after="0" w:line="211" w:lineRule="auto"/>
        <w:rPr>
          <w:sz w:val="20"/>
          <w:szCs w:val="20"/>
          <w:color w:val="auto"/>
        </w:rPr>
      </w:pPr>
      <w:r>
        <w:rPr>
          <w:rFonts w:ascii="Times New Roman" w:cs="Times New Roman" w:eastAsia="Times New Roman" w:hAnsi="Times New Roman"/>
          <w:sz w:val="20"/>
          <w:szCs w:val="20"/>
          <w:color w:val="auto"/>
        </w:rPr>
        <w:t>have succeeded to any or all functions thereof, (d) the words “herein”, “hereof” and “hereunder”, and words of similar import,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construed to refer to this Agreement in its entirety and not to any particular provision hereof, (e) all references herein to Articles, Sections, Exhibits and Schedules shall be construed to refer to Articles and Sections of, and Exhibits and Schedules to, this Agreement, (f) any</w:t>
      </w:r>
    </w:p>
    <w:p>
      <w:pPr>
        <w:spacing w:after="0" w:line="211" w:lineRule="auto"/>
        <w:rPr>
          <w:sz w:val="20"/>
          <w:szCs w:val="20"/>
          <w:color w:val="auto"/>
        </w:rPr>
      </w:pPr>
      <w:r>
        <w:rPr>
          <w:rFonts w:ascii="Times New Roman" w:cs="Times New Roman" w:eastAsia="Times New Roman" w:hAnsi="Times New Roman"/>
          <w:sz w:val="20"/>
          <w:szCs w:val="20"/>
          <w:color w:val="auto"/>
        </w:rPr>
        <w:t>reference in any definition to the phrase “at any time” or “for any period” shall refer to the same time or period for all calculations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1.04.</w:t>
      </w:r>
      <w:r>
        <w:rPr>
          <w:sz w:val="20"/>
          <w:szCs w:val="20"/>
          <w:color w:val="auto"/>
        </w:rPr>
        <w:tab/>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0" w:lineRule="auto"/>
        <w:tabs>
          <w:tab w:leader="none" w:pos="1092"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after the date hereof there occurs any change in GAAP or in the application thereof on the operation of any provision hereof and the Borrower notifies the Administrative Agent that the Borrower requests an amendment to any provision hereof to eliminate the effect of such change in GAAP or in the application thereof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55"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103"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w:t>
      </w:r>
      <w:r>
        <w:rPr>
          <w:rFonts w:ascii="Times New Roman" w:cs="Times New Roman" w:eastAsia="Times New Roman" w:hAnsi="Times New Roman"/>
          <w:sz w:val="20"/>
          <w:szCs w:val="20"/>
          <w:u w:val="single" w:color="auto"/>
          <w:color w:val="auto"/>
        </w:rPr>
        <w:t>FAS 842”</w:t>
      </w:r>
      <w:r>
        <w:rPr>
          <w:rFonts w:ascii="Times New Roman" w:cs="Times New Roman" w:eastAsia="Times New Roman" w:hAnsi="Times New Roman"/>
          <w:sz w:val="20"/>
          <w:szCs w:val="20"/>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1.05.</w:t>
      </w:r>
      <w:r>
        <w:rPr>
          <w:sz w:val="20"/>
          <w:szCs w:val="20"/>
          <w:color w:val="auto"/>
        </w:rPr>
        <w:tab/>
      </w:r>
      <w:r>
        <w:rPr>
          <w:rFonts w:ascii="Times New Roman" w:cs="Times New Roman" w:eastAsia="Times New Roman" w:hAnsi="Times New Roman"/>
          <w:sz w:val="19"/>
          <w:szCs w:val="19"/>
          <w:u w:val="single" w:color="auto"/>
          <w:color w:val="auto"/>
        </w:rPr>
        <w:t>Pro Forma Adjustments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0" w:lineRule="auto"/>
        <w:tabs>
          <w:tab w:leader="none" w:pos="1119"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To the extent the Borrower or any Subsidiary (a) makes any acquisition permitted pursuant to Section 6.04 or Disposition of assets outside the ordinary course of business permitted by Section 6.05 during the period of four fiscal quarters of the Borrower most recently ended or (b) consummates any transaction that requires any pro forma calculation as a condition thereto or in connection therewith under the terms of this Agreement, then, in each </w:t>
      </w:r>
      <w:r>
        <w:rPr>
          <w:rFonts w:ascii="Times New Roman" w:cs="Times New Roman" w:eastAsia="Times New Roman" w:hAnsi="Times New Roman"/>
          <w:sz w:val="19"/>
          <w:szCs w:val="19"/>
          <w:u w:val="single" w:color="auto"/>
          <w:color w:val="auto"/>
        </w:rPr>
        <w:t>case</w:t>
      </w:r>
      <w:r>
        <w:rPr>
          <w:rFonts w:ascii="Times New Roman" w:cs="Times New Roman" w:eastAsia="Times New Roman" w:hAnsi="Times New Roman"/>
          <w:sz w:val="19"/>
          <w:szCs w:val="19"/>
          <w:color w:val="auto"/>
        </w:rPr>
        <w:t>, (i) the Total Net Leverage Ratio, but not the Fixed Charge Coverage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as if such acquisition, such Disposition or such other transaction (and any related incurrence, repayment or assumption of Indebtedness) had occurred in the first day of such four-quarter period, (ii) unless otherwise expressly required hereunder, such pro forma calculation shall be determined by reference to the financial statements for the period of four consecutive fiscal quarters ended on or most recently prior to such calculation for which financial statements have been delivered (or are required to have been delivered) to the Administrative Agent pursuant to Section 5.01(a) or (b) (or, if prior to the date of the delivery of the first financial statements to be delivered pursuant to Section 5.01(a) or (b), the most recent financial statements referred to in Section 3.04(a)) and (iii) any such calculation made by reference to, or requiring pro forma compliance with, any of the financial covenants shall be made by reference to the applicable financial covenant levels required under Section 6.12 for the quarter during which such acquisition, Disposition or other transaction was consummated (or, if there is no financial covenant required to be tested during such fiscal quarter, the financial covenant level for the first testing period scheduled to occur after the date of such calculation). In addition to the foregoing, and notwithstanding anything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to the contrary, to the extent any Indebtedness is incurred or assumed in connection with any transaction permitted hereunder,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 forma determination of the Total Net Leverage Ratio or compliance with the financial covenants required to be made under this Agreement in connection with such transaction shall be made without including the proceeds of such incurred or assumed Indebtedness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unrestricted cash.</w:t>
      </w:r>
    </w:p>
    <w:p>
      <w:pPr>
        <w:spacing w:after="0" w:line="167"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connection with any action being taken in connection with a Limited Condition Acquisition, for purposes of:</w:t>
      </w:r>
    </w:p>
    <w:p>
      <w:pPr>
        <w:spacing w:after="0" w:line="175" w:lineRule="exact"/>
        <w:rPr>
          <w:rFonts w:ascii="Times New Roman" w:cs="Times New Roman" w:eastAsia="Times New Roman" w:hAnsi="Times New Roman"/>
          <w:sz w:val="20"/>
          <w:szCs w:val="20"/>
          <w:color w:val="010000"/>
        </w:rPr>
      </w:pPr>
    </w:p>
    <w:p>
      <w:pPr>
        <w:ind w:firstLine="1304"/>
        <w:spacing w:after="0"/>
        <w:tabs>
          <w:tab w:leader="none" w:pos="1735" w:val="left"/>
        </w:tabs>
        <w:numPr>
          <w:ilvl w:val="1"/>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determining compliance with any provision of this Agreement which requires the calculation of any financial ratio or test, including the Total Net Leverage Ratio and Fixed Charge Coverage Ratio;</w:t>
      </w:r>
    </w:p>
    <w:p>
      <w:pPr>
        <w:spacing w:after="0" w:line="161" w:lineRule="exact"/>
        <w:rPr>
          <w:rFonts w:ascii="Times New Roman" w:cs="Times New Roman" w:eastAsia="Times New Roman" w:hAnsi="Times New Roman"/>
          <w:sz w:val="20"/>
          <w:szCs w:val="20"/>
          <w:color w:val="010000"/>
        </w:rPr>
      </w:pPr>
    </w:p>
    <w:p>
      <w:pPr>
        <w:ind w:firstLine="1304"/>
        <w:spacing w:after="0" w:line="233" w:lineRule="auto"/>
        <w:tabs>
          <w:tab w:leader="none" w:pos="1924" w:val="left"/>
        </w:tabs>
        <w:numPr>
          <w:ilvl w:val="1"/>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testing availability under baskets set forth in this Agreement (including baskets measured as a percentage of Consolidated EBITDA or Consolidated Total Assets); or</w:t>
      </w:r>
    </w:p>
    <w:p>
      <w:pPr>
        <w:spacing w:after="0" w:line="160"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1"/>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determining the existence of any Default or Event of Default (other than with respect to Section 4.02),</w:t>
      </w:r>
    </w:p>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in each case, at the option of the Borrower (the Borrower’s election to exercise such option in connection with any Limited Condition Acquisition, an “</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the date of determination of whether any such action is permitted hereunder (including if the applicable</w:t>
      </w:r>
    </w:p>
    <w:p>
      <w:pPr>
        <w:spacing w:after="0" w:line="224" w:lineRule="auto"/>
        <w:rPr>
          <w:sz w:val="20"/>
          <w:szCs w:val="20"/>
          <w:color w:val="auto"/>
        </w:rPr>
      </w:pPr>
      <w:r>
        <w:rPr>
          <w:rFonts w:ascii="Times New Roman" w:cs="Times New Roman" w:eastAsia="Times New Roman" w:hAnsi="Times New Roman"/>
          <w:sz w:val="19"/>
          <w:szCs w:val="19"/>
          <w:color w:val="auto"/>
        </w:rPr>
        <w:t>tests for a Permitted Acquisition are satisfied) shall be deemed to be the date the definitive agreement for such Limited Condition Acquisition</w:t>
      </w:r>
    </w:p>
    <w:p>
      <w:pPr>
        <w:spacing w:after="0" w:line="204" w:lineRule="auto"/>
        <w:rPr>
          <w:sz w:val="20"/>
          <w:szCs w:val="20"/>
          <w:color w:val="auto"/>
        </w:rPr>
      </w:pPr>
      <w:r>
        <w:rPr>
          <w:rFonts w:ascii="Times New Roman" w:cs="Times New Roman" w:eastAsia="Times New Roman" w:hAnsi="Times New Roman"/>
          <w:sz w:val="20"/>
          <w:szCs w:val="20"/>
          <w:color w:val="auto"/>
        </w:rPr>
        <w:t>is entered into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and if, after giving pro forma effect to the Limited Condition Acquisition, the Borrower or any of its Subsidiaries would have been permitted to take such action on the relevant LCA Test Date in compliance with such ratio, test or basket or</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other provision, such ratio, test or basket shall be deemed to have been complied 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notwithstanding the foregoing</w:t>
      </w:r>
    </w:p>
    <w:p>
      <w:pPr>
        <w:jc w:val="both"/>
        <w:spacing w:after="0" w:line="215" w:lineRule="auto"/>
        <w:rPr>
          <w:sz w:val="20"/>
          <w:szCs w:val="20"/>
          <w:color w:val="auto"/>
        </w:rPr>
      </w:pPr>
      <w:r>
        <w:rPr>
          <w:rFonts w:ascii="Times New Roman" w:cs="Times New Roman" w:eastAsia="Times New Roman" w:hAnsi="Times New Roman"/>
          <w:sz w:val="19"/>
          <w:szCs w:val="19"/>
          <w:color w:val="auto"/>
        </w:rPr>
        <w:t>and/or any LCA Election, no Event of Default pursuant to clauses (a), (b), (h) or (i) of Article VII shall be continuing immediately prior to or after giving effect to the consummation of any Limited Condition Acquisition on the date of such consummation. For the avoidance of doubt,</w:t>
      </w:r>
    </w:p>
    <w:p>
      <w:pPr>
        <w:spacing w:after="0" w:line="204" w:lineRule="auto"/>
        <w:rPr>
          <w:sz w:val="20"/>
          <w:szCs w:val="20"/>
          <w:color w:val="auto"/>
        </w:rPr>
      </w:pPr>
      <w:r>
        <w:rPr>
          <w:rFonts w:ascii="Times New Roman" w:cs="Times New Roman" w:eastAsia="Times New Roman" w:hAnsi="Times New Roman"/>
          <w:sz w:val="20"/>
          <w:szCs w:val="20"/>
          <w:color w:val="auto"/>
        </w:rPr>
        <w:t>if the Borrower has made an LCA Election and any of the ratios, tests or baskets or other provision for which compliance was determined or tested as of the LCA Test Date would have failed to have been satisfied as a result of fluctuations in any such ratio, test or basket or other</w:t>
      </w:r>
    </w:p>
    <w:p>
      <w:pPr>
        <w:spacing w:after="0" w:line="223" w:lineRule="auto"/>
        <w:rPr>
          <w:sz w:val="20"/>
          <w:szCs w:val="20"/>
          <w:color w:val="auto"/>
        </w:rPr>
      </w:pPr>
      <w:r>
        <w:rPr>
          <w:rFonts w:ascii="Times New Roman" w:cs="Times New Roman" w:eastAsia="Times New Roman" w:hAnsi="Times New Roman"/>
          <w:sz w:val="19"/>
          <w:szCs w:val="19"/>
          <w:color w:val="auto"/>
        </w:rPr>
        <w:t>provision, including due to fluctuations in Consolidated EBITDA, Consolidated Interest Expense or Consolidated Total Assets, at or prior to</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consummation of the relevant transaction or action, such baskets, tests or ratios will not be deemed to have failed to have been satisfied as a result of such fluctuations. If the Borrower has made an LCA Election for any Limited Condition Acquisition, then in connection with any</w:t>
      </w:r>
    </w:p>
    <w:p>
      <w:pPr>
        <w:spacing w:after="0" w:line="211" w:lineRule="auto"/>
        <w:rPr>
          <w:sz w:val="20"/>
          <w:szCs w:val="20"/>
          <w:color w:val="auto"/>
        </w:rPr>
      </w:pPr>
      <w:r>
        <w:rPr>
          <w:rFonts w:ascii="Times New Roman" w:cs="Times New Roman" w:eastAsia="Times New Roman" w:hAnsi="Times New Roman"/>
          <w:sz w:val="20"/>
          <w:szCs w:val="20"/>
          <w:color w:val="auto"/>
        </w:rPr>
        <w:t>event or transaction occurring after the relevant LCA Test Date and prior to the earlier of the date on which such Limited Condition</w:t>
      </w:r>
    </w:p>
    <w:p>
      <w:pPr>
        <w:spacing w:after="0" w:line="204" w:lineRule="auto"/>
        <w:rPr>
          <w:sz w:val="20"/>
          <w:szCs w:val="20"/>
          <w:color w:val="auto"/>
        </w:rPr>
      </w:pPr>
      <w:r>
        <w:rPr>
          <w:rFonts w:ascii="Times New Roman" w:cs="Times New Roman" w:eastAsia="Times New Roman" w:hAnsi="Times New Roman"/>
          <w:sz w:val="20"/>
          <w:szCs w:val="20"/>
          <w:color w:val="auto"/>
        </w:rPr>
        <w:t>Acquisition is consummated or the date that the definitive agreement for such Limited Condition Acquisition is terminated or expires without consummation of such Limited Condition Acquisition (a “</w:t>
      </w:r>
      <w:r>
        <w:rPr>
          <w:rFonts w:ascii="Times New Roman" w:cs="Times New Roman" w:eastAsia="Times New Roman" w:hAnsi="Times New Roman"/>
          <w:sz w:val="20"/>
          <w:szCs w:val="20"/>
          <w:u w:val="single" w:color="auto"/>
          <w:color w:val="auto"/>
        </w:rPr>
        <w:t>Subsequent Transaction</w:t>
      </w:r>
      <w:r>
        <w:rPr>
          <w:rFonts w:ascii="Times New Roman" w:cs="Times New Roman" w:eastAsia="Times New Roman" w:hAnsi="Times New Roman"/>
          <w:sz w:val="20"/>
          <w:szCs w:val="20"/>
          <w:color w:val="auto"/>
        </w:rPr>
        <w:t>”) in connection with which a ratio, test or basket</w:t>
      </w:r>
    </w:p>
    <w:p>
      <w:pPr>
        <w:spacing w:after="0" w:line="211" w:lineRule="auto"/>
        <w:rPr>
          <w:sz w:val="20"/>
          <w:szCs w:val="20"/>
          <w:color w:val="auto"/>
        </w:rPr>
      </w:pPr>
      <w:r>
        <w:rPr>
          <w:rFonts w:ascii="Times New Roman" w:cs="Times New Roman" w:eastAsia="Times New Roman" w:hAnsi="Times New Roman"/>
          <w:sz w:val="20"/>
          <w:szCs w:val="20"/>
          <w:color w:val="auto"/>
        </w:rPr>
        <w:t>availability calculation must be made on a pro forma basis or giving pro forma effect to such Subsequent Transaction, for purposes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determining whether such ratio, test or basket availability has been complied with under this Agreement, any such ratio, test or basket shall be required to be satisfied on a pro forma basis both (i) assuming such Limited Condition Acquisition and the other transactions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connection therewith have been consummated and (ii) assuming such Limited Condition Acquisition and the other transactions in connection therewith have not been consummated.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 In the event that the Borrower or any other Loan Party shall at any time issue or have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outstanding any Subordinated Indebtedness, the Borrower shall take or cause such other Loan Party to take all such actions as shall be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necessary to cause the Secured Obligations to constitute senior indebtedness (however denominated) in respect of such Subordinated Indebtedness and to enable the Administrative Agent and the Lenders to have and exercise any payment blockage or other remedies available</w:t>
      </w:r>
    </w:p>
    <w:p>
      <w:pPr>
        <w:spacing w:after="0" w:line="222" w:lineRule="auto"/>
        <w:rPr>
          <w:sz w:val="20"/>
          <w:szCs w:val="20"/>
          <w:color w:val="auto"/>
        </w:rPr>
      </w:pPr>
      <w:r>
        <w:rPr>
          <w:rFonts w:ascii="Times New Roman" w:cs="Times New Roman" w:eastAsia="Times New Roman" w:hAnsi="Times New Roman"/>
          <w:sz w:val="19"/>
          <w:szCs w:val="19"/>
          <w:color w:val="auto"/>
        </w:rPr>
        <w:t>or potentially available to holders of senior indebtedness under the terms of such Subordinated Indebtedness. Without limiting the foregoing,</w:t>
      </w:r>
    </w:p>
    <w:p>
      <w:pPr>
        <w:spacing w:after="0" w:line="215" w:lineRule="auto"/>
        <w:rPr>
          <w:sz w:val="20"/>
          <w:szCs w:val="20"/>
          <w:color w:val="auto"/>
        </w:rPr>
      </w:pPr>
      <w:r>
        <w:rPr>
          <w:rFonts w:ascii="Times New Roman" w:cs="Times New Roman" w:eastAsia="Times New Roman" w:hAnsi="Times New Roman"/>
          <w:sz w:val="19"/>
          <w:szCs w:val="19"/>
          <w:color w:val="auto"/>
        </w:rPr>
        <w:t>the Secured Obligations are hereby designated as “senior indebtedness” and as “designated senior indebtedness” and words of similar import under and in respect of any indenture or other agreement or instrument under which such Subordinated Indebtedness is outstanding and are</w:t>
      </w:r>
    </w:p>
    <w:p>
      <w:pPr>
        <w:spacing w:after="0"/>
        <w:rPr>
          <w:sz w:val="20"/>
          <w:szCs w:val="20"/>
          <w:color w:val="auto"/>
        </w:rPr>
      </w:pPr>
      <w:r>
        <w:rPr>
          <w:rFonts w:ascii="Times New Roman" w:cs="Times New Roman" w:eastAsia="Times New Roman" w:hAnsi="Times New Roman"/>
          <w:sz w:val="20"/>
          <w:szCs w:val="20"/>
          <w:color w:val="auto"/>
        </w:rPr>
        <w:t>further given all such other designations as shall be required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1.07. </w:t>
      </w:r>
      <w:r>
        <w:rPr>
          <w:rFonts w:ascii="Times New Roman" w:cs="Times New Roman" w:eastAsia="Times New Roman" w:hAnsi="Times New Roman"/>
          <w:sz w:val="20"/>
          <w:szCs w:val="20"/>
          <w:u w:val="single" w:color="auto"/>
          <w:color w:val="000000"/>
        </w:rPr>
        <w:t>Interest Rates; Benchmark Notification</w:t>
      </w:r>
      <w:r>
        <w:rPr>
          <w:rFonts w:ascii="Times New Roman" w:cs="Times New Roman" w:eastAsia="Times New Roman" w:hAnsi="Times New Roman"/>
          <w:sz w:val="20"/>
          <w:szCs w:val="20"/>
          <w:color w:val="000000"/>
        </w:rPr>
        <w:t>. The interest rate on a Loan may be derived from an interest rate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benchmark that may be discontinued or is, or may in the future become, the subject of regulatory reform. Upon the occurrence of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Benchmark Transition Event, Section 2.14(b) provides a mechanism for determining an alternative rate of interest. The Administrative Agent does not warrant or accept any responsibility for, and shall not have any liability with respect to, the administration, submission, performance</w:t>
      </w:r>
    </w:p>
    <w:p>
      <w:pPr>
        <w:spacing w:after="0" w:line="211" w:lineRule="auto"/>
        <w:rPr>
          <w:sz w:val="20"/>
          <w:szCs w:val="20"/>
          <w:color w:val="auto"/>
        </w:rPr>
      </w:pPr>
      <w:r>
        <w:rPr>
          <w:rFonts w:ascii="Times New Roman" w:cs="Times New Roman" w:eastAsia="Times New Roman" w:hAnsi="Times New Roman"/>
          <w:sz w:val="20"/>
          <w:szCs w:val="20"/>
          <w:color w:val="auto"/>
        </w:rPr>
        <w:t>or any other matter related to any interest rate used in this Agreement, or with respect to any alternative or successor rate thereto, or</w:t>
      </w:r>
    </w:p>
    <w:p>
      <w:pPr>
        <w:spacing w:after="0" w:line="204" w:lineRule="auto"/>
        <w:rPr>
          <w:sz w:val="20"/>
          <w:szCs w:val="20"/>
          <w:color w:val="auto"/>
        </w:rPr>
      </w:pPr>
      <w:r>
        <w:rPr>
          <w:rFonts w:ascii="Times New Roman" w:cs="Times New Roman" w:eastAsia="Times New Roman" w:hAnsi="Times New Roman"/>
          <w:sz w:val="20"/>
          <w:szCs w:val="20"/>
          <w:color w:val="auto"/>
        </w:rPr>
        <w:t>replacement rate thereof, including without limitation, whether the composition or characteristics of any such alternative, successor or replacement reference rate will be similar to, or produce the same value or economic equivalence of, the existing interest rate being replaced</w:t>
      </w:r>
    </w:p>
    <w:p>
      <w:pPr>
        <w:spacing w:after="0" w:line="211" w:lineRule="auto"/>
        <w:rPr>
          <w:sz w:val="20"/>
          <w:szCs w:val="20"/>
          <w:color w:val="auto"/>
        </w:rPr>
      </w:pPr>
      <w:r>
        <w:rPr>
          <w:rFonts w:ascii="Times New Roman" w:cs="Times New Roman" w:eastAsia="Times New Roman" w:hAnsi="Times New Roman"/>
          <w:sz w:val="20"/>
          <w:szCs w:val="20"/>
          <w:color w:val="auto"/>
        </w:rPr>
        <w:t>or have the same volume or liquidity as did any existing interest rate prior to its discontinuance or unavailability. The Administrative Agent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its affiliates and/or other related entities may engage in transactions that affect the calculation of any interest rate used in this Agreement or any alternative, successor or alternative rate (including any Benchmark Replacement) and/or any relevant adjustments thereto, in each</w:t>
      </w:r>
    </w:p>
    <w:p>
      <w:pPr>
        <w:spacing w:after="0" w:line="211" w:lineRule="auto"/>
        <w:rPr>
          <w:sz w:val="20"/>
          <w:szCs w:val="20"/>
          <w:color w:val="auto"/>
        </w:rPr>
      </w:pPr>
      <w:r>
        <w:rPr>
          <w:rFonts w:ascii="Times New Roman" w:cs="Times New Roman" w:eastAsia="Times New Roman" w:hAnsi="Times New Roman"/>
          <w:sz w:val="20"/>
          <w:szCs w:val="20"/>
          <w:color w:val="auto"/>
        </w:rPr>
        <w:t>case, in a manner adverse to the Borrower. The Administrative Agent may select information sources or services in its reasonable discretion</w:t>
      </w:r>
    </w:p>
    <w:p>
      <w:pPr>
        <w:spacing w:after="0" w:line="215" w:lineRule="auto"/>
        <w:rPr>
          <w:sz w:val="20"/>
          <w:szCs w:val="20"/>
          <w:color w:val="auto"/>
        </w:rPr>
      </w:pPr>
      <w:r>
        <w:rPr>
          <w:rFonts w:ascii="Times New Roman" w:cs="Times New Roman" w:eastAsia="Times New Roman" w:hAnsi="Times New Roman"/>
          <w:sz w:val="19"/>
          <w:szCs w:val="19"/>
          <w:color w:val="auto"/>
        </w:rPr>
        <w:t>to ascertain any interest rate used in this Agreement, any component thereof, or rates referenced in the definition thereof, in each case pursuant to the terms of this Agreement, and shall have no liability to the Borrower, any Lender or any other Person or entity for damages of</w:t>
      </w:r>
    </w:p>
    <w:p>
      <w:pPr>
        <w:spacing w:after="0" w:line="211" w:lineRule="auto"/>
        <w:rPr>
          <w:sz w:val="20"/>
          <w:szCs w:val="20"/>
          <w:color w:val="auto"/>
        </w:rPr>
      </w:pPr>
      <w:r>
        <w:rPr>
          <w:rFonts w:ascii="Times New Roman" w:cs="Times New Roman" w:eastAsia="Times New Roman" w:hAnsi="Times New Roman"/>
          <w:sz w:val="20"/>
          <w:szCs w:val="20"/>
          <w:color w:val="auto"/>
        </w:rPr>
        <w:t>any kind, including direct or indirect, special, punitive, incidental or consequential damages, costs, losses or expenses (whether in tort,</w:t>
      </w:r>
    </w:p>
    <w:p>
      <w:pPr>
        <w:ind w:right="20"/>
        <w:spacing w:after="0" w:line="221" w:lineRule="auto"/>
        <w:rPr>
          <w:sz w:val="20"/>
          <w:szCs w:val="20"/>
          <w:color w:val="auto"/>
        </w:rPr>
      </w:pPr>
      <w:r>
        <w:rPr>
          <w:rFonts w:ascii="Times New Roman" w:cs="Times New Roman" w:eastAsia="Times New Roman" w:hAnsi="Times New Roman"/>
          <w:sz w:val="20"/>
          <w:szCs w:val="20"/>
          <w:color w:val="auto"/>
        </w:rPr>
        <w:t>contract or otherwise and whether at law or in equity), for any error or calculation of any such rate (or component thereof) provided by any such information source or service.</w:t>
      </w:r>
    </w:p>
    <w:p>
      <w:pPr>
        <w:spacing w:after="0" w:line="1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010000"/>
        </w:rPr>
        <w:t xml:space="preserve">SECTION 1.08. </w:t>
      </w:r>
      <w:r>
        <w:rPr>
          <w:rFonts w:ascii="Times New Roman" w:cs="Times New Roman" w:eastAsia="Times New Roman" w:hAnsi="Times New Roman"/>
          <w:sz w:val="19"/>
          <w:szCs w:val="19"/>
          <w:u w:val="single" w:color="auto"/>
          <w:color w:val="000000"/>
        </w:rPr>
        <w:t>Letter of Credit Amounts</w:t>
      </w:r>
      <w:r>
        <w:rPr>
          <w:rFonts w:ascii="Times New Roman" w:cs="Times New Roman" w:eastAsia="Times New Roman" w:hAnsi="Times New Roman"/>
          <w:sz w:val="19"/>
          <w:szCs w:val="19"/>
          <w:color w:val="000000"/>
        </w:rPr>
        <w:t>. Unless otherwise specified herein, the amount of a Letter of Credit at any time shall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deemed to be the stated amount of such Letter of Credit available to be drawn at such time; provided that with respect to any Letter of Credit</w:t>
      </w:r>
    </w:p>
    <w:p>
      <w:pPr>
        <w:spacing w:after="0" w:line="211" w:lineRule="auto"/>
        <w:rPr>
          <w:sz w:val="20"/>
          <w:szCs w:val="20"/>
          <w:color w:val="auto"/>
        </w:rPr>
      </w:pPr>
      <w:r>
        <w:rPr>
          <w:rFonts w:ascii="Times New Roman" w:cs="Times New Roman" w:eastAsia="Times New Roman" w:hAnsi="Times New Roman"/>
          <w:sz w:val="20"/>
          <w:szCs w:val="20"/>
          <w:color w:val="auto"/>
        </w:rPr>
        <w:t>that, by its terms, provides for one or more automatic increases in the available amount thereof, the amount of such Letter of Credit shall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deemed to be the maximum amount of such Letter of Credit after giving effect to all such increases, whether or not such maximum amount is available to be drawn at such time. For all purposes of this Agreement, if on any date of determination a Letter of Credit has expired by its</w:t>
      </w:r>
    </w:p>
    <w:p>
      <w:pPr>
        <w:spacing w:after="0" w:line="211" w:lineRule="auto"/>
        <w:rPr>
          <w:sz w:val="20"/>
          <w:szCs w:val="20"/>
          <w:color w:val="auto"/>
        </w:rPr>
      </w:pPr>
      <w:r>
        <w:rPr>
          <w:rFonts w:ascii="Times New Roman" w:cs="Times New Roman" w:eastAsia="Times New Roman" w:hAnsi="Times New Roman"/>
          <w:sz w:val="20"/>
          <w:szCs w:val="20"/>
          <w:color w:val="auto"/>
        </w:rPr>
        <w:t>terms but any amount may still be drawn thereunder by reason of the operation of Article 29(a) of the Uniform Customs and Practice for</w:t>
      </w:r>
    </w:p>
    <w:p>
      <w:pPr>
        <w:spacing w:after="0" w:line="204" w:lineRule="auto"/>
        <w:rPr>
          <w:sz w:val="20"/>
          <w:szCs w:val="20"/>
          <w:color w:val="auto"/>
        </w:rPr>
      </w:pPr>
      <w:r>
        <w:rPr>
          <w:rFonts w:ascii="Times New Roman" w:cs="Times New Roman" w:eastAsia="Times New Roman" w:hAnsi="Times New Roman"/>
          <w:sz w:val="20"/>
          <w:szCs w:val="20"/>
          <w:color w:val="auto"/>
        </w:rPr>
        <w:t>Documentary Credits, International Chamber of Commerce Publication No. 600 (or such later version thereof as may be in effect at the applicable time) or Rule 3.13 or Rule 3.14 of the International Standby Practices, International Chamber of Commerce Publication No. 590</w:t>
      </w:r>
    </w:p>
    <w:p>
      <w:pPr>
        <w:spacing w:after="0" w:line="211" w:lineRule="auto"/>
        <w:rPr>
          <w:sz w:val="20"/>
          <w:szCs w:val="20"/>
          <w:color w:val="auto"/>
        </w:rPr>
      </w:pPr>
      <w:r>
        <w:rPr>
          <w:rFonts w:ascii="Times New Roman" w:cs="Times New Roman" w:eastAsia="Times New Roman" w:hAnsi="Times New Roman"/>
          <w:sz w:val="20"/>
          <w:szCs w:val="20"/>
          <w:color w:val="auto"/>
        </w:rPr>
        <w:t>(or such later version thereof as may be in effect at the applicable time) or similar terms in the governing rules or laws or of the Letter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Credit itself, or if compliant documents have been presented but not yet honored, such Letter of Credit shall be deemed to be “outstanding” and “undrawn” in the amount so remaining available to be paid, and the obligations of the Borrower and each Lender shall remain in full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force and effect until the Issuing Bank and the Lenders shall have no further obligations to make any payments or disbursements under any circumstances with respect to any Letter of Credit.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1.09. </w:t>
      </w:r>
      <w:r>
        <w:rPr>
          <w:rFonts w:ascii="Times New Roman" w:cs="Times New Roman" w:eastAsia="Times New Roman" w:hAnsi="Times New Roman"/>
          <w:sz w:val="20"/>
          <w:szCs w:val="20"/>
          <w:u w:val="single" w:color="auto"/>
          <w:color w:val="000000"/>
        </w:rPr>
        <w:t>Divisions</w:t>
      </w:r>
      <w:r>
        <w:rPr>
          <w:rFonts w:ascii="Times New Roman" w:cs="Times New Roman" w:eastAsia="Times New Roman" w:hAnsi="Times New Roman"/>
          <w:sz w:val="20"/>
          <w:szCs w:val="20"/>
          <w:color w:val="000000"/>
        </w:rPr>
        <w:t>. For all purposes under the Loan Documents, in connection with any division or plan of division under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Delaware law (or any comparable event under a different jurisdiction’s laws): (a) if any asset, right, obligation or liability of any Person</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becomes the asset, right, obligation or liability of a different Person, then it shall be deemed to have been transferred from the original Person to the subsequent Person, and (b) if any new Person comes into existence, such new Person shall be deemed to have been organized and</w:t>
      </w:r>
    </w:p>
    <w:p>
      <w:pPr>
        <w:spacing w:after="0"/>
        <w:rPr>
          <w:sz w:val="20"/>
          <w:szCs w:val="20"/>
          <w:color w:val="auto"/>
        </w:rPr>
      </w:pPr>
      <w:r>
        <w:rPr>
          <w:rFonts w:ascii="Times New Roman" w:cs="Times New Roman" w:eastAsia="Times New Roman" w:hAnsi="Times New Roman"/>
          <w:sz w:val="20"/>
          <w:szCs w:val="20"/>
          <w:color w:val="auto"/>
        </w:rPr>
        <w:t>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89"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2.01.</w:t>
      </w:r>
      <w:r>
        <w:rPr>
          <w:sz w:val="20"/>
          <w:szCs w:val="20"/>
          <w:color w:val="auto"/>
        </w:rPr>
        <w:tab/>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Subject to the terms and conditions set forth herein, each Lender severally (and not</w:t>
      </w:r>
    </w:p>
    <w:p>
      <w:pPr>
        <w:spacing w:after="0" w:line="215" w:lineRule="auto"/>
        <w:rPr>
          <w:sz w:val="20"/>
          <w:szCs w:val="20"/>
          <w:color w:val="auto"/>
        </w:rPr>
      </w:pPr>
      <w:r>
        <w:rPr>
          <w:rFonts w:ascii="Times New Roman" w:cs="Times New Roman" w:eastAsia="Times New Roman" w:hAnsi="Times New Roman"/>
          <w:sz w:val="19"/>
          <w:szCs w:val="19"/>
          <w:color w:val="auto"/>
        </w:rPr>
        <w:t>jointly) agrees to make Revolving Loans in dollars to the Borrower from time to time during the Availability Period in an aggregate principal amount that will not result (after giving effect to any application of proceeds of such Borrowing pursuant to Section 2.10(a)) in (i) such</w:t>
      </w:r>
    </w:p>
    <w:p>
      <w:pPr>
        <w:spacing w:after="0" w:line="211" w:lineRule="auto"/>
        <w:rPr>
          <w:sz w:val="20"/>
          <w:szCs w:val="20"/>
          <w:color w:val="auto"/>
        </w:rPr>
      </w:pPr>
      <w:r>
        <w:rPr>
          <w:rFonts w:ascii="Times New Roman" w:cs="Times New Roman" w:eastAsia="Times New Roman" w:hAnsi="Times New Roman"/>
          <w:sz w:val="20"/>
          <w:szCs w:val="20"/>
          <w:color w:val="auto"/>
        </w:rPr>
        <w:t>Lender’s Revolving Exposure exceeding such Lender’s Revolving Commitment or (ii) the Aggregate Revolving Exposure exceeding the</w:t>
      </w:r>
    </w:p>
    <w:p>
      <w:pPr>
        <w:spacing w:after="0" w:line="221" w:lineRule="auto"/>
        <w:rPr>
          <w:sz w:val="20"/>
          <w:szCs w:val="20"/>
          <w:color w:val="auto"/>
        </w:rPr>
      </w:pPr>
      <w:r>
        <w:rPr>
          <w:rFonts w:ascii="Times New Roman" w:cs="Times New Roman" w:eastAsia="Times New Roman" w:hAnsi="Times New Roman"/>
          <w:sz w:val="20"/>
          <w:szCs w:val="20"/>
          <w:color w:val="auto"/>
        </w:rPr>
        <w:t>aggregate Revolving Commitments. Within the foregoing limits and subject to the terms and conditions set forth herein, the Borrower may borrow, prepay and reborrow Revolving Loans.</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7" w:lineRule="auto"/>
        <w:tabs>
          <w:tab w:leader="none" w:pos="1092"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Commitments of the Lenders are several and no Lender shall be responsible for any other Lender’s failure to make Loans as required. Any Swingline Loan shall be made in accordance with the procedures set forth in Section 2.05.</w:t>
      </w:r>
    </w:p>
    <w:p>
      <w:pPr>
        <w:spacing w:after="0" w:line="161"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076"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Section 2.14, each Revolving Borrowing shall be comprised entirely of ABR Loans or Term Benchmark Loans as the Borrower may request in accordance herewith.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147"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19"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Term Benchmark Borrowing, such Borrowing shall be in an aggregate amount that is an integral multiple of $100,000 and not less than $500,000. At the time that each ABR Borrowing or RFR Borrowing is made, such Borrowing shall be in an aggregate amount that is an integral multiple of $100,000 and not less than $200,000;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may be in an aggregate amount that is equal to the entire unused balance of the total Revolving Commitments or that is required to finance the reimbursement of an LC Disbursement as contemplated by Section 2.06(e). Each Swingline Loan shall be in an amount that is an integral multiple of $50,000 and not less than $250,000. Borrowings of more than one Type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seven (7) Term Benchmark Borrowings and RFR Borrowings outstanding.</w:t>
      </w:r>
    </w:p>
    <w:p>
      <w:pPr>
        <w:spacing w:after="0" w:line="147" w:lineRule="exact"/>
        <w:rPr>
          <w:rFonts w:ascii="Times New Roman" w:cs="Times New Roman" w:eastAsia="Times New Roman" w:hAnsi="Times New Roman"/>
          <w:sz w:val="20"/>
          <w:szCs w:val="20"/>
          <w:color w:val="010000"/>
        </w:rPr>
      </w:pPr>
    </w:p>
    <w:p>
      <w:pPr>
        <w:ind w:firstLine="656"/>
        <w:spacing w:after="0"/>
        <w:tabs>
          <w:tab w:leader="none" w:pos="1117"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if the Interest Period requested with respect thereto would end after the Revolving Credit Maturity Date.</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92"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the Borrower directs the Administrative Agent or the Lenders to remit the proceeds of any Loans hereunder to a Person other than the Borrower, in each such case, the Borrower hereby acknowledges and agrees that (i) all Loans constitute direct obligations of the Borrower, (ii) all Loans are made for the account of the Borrower and (iii) the deposit of the proceeds of the Loans as so provided directly benefits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0"/>
          <w:szCs w:val="20"/>
          <w:color w:val="010000"/>
        </w:rPr>
        <w:t>SECTION 2.03.</w:t>
      </w:r>
      <w:r>
        <w:rPr>
          <w:sz w:val="20"/>
          <w:szCs w:val="20"/>
          <w:color w:val="auto"/>
        </w:rPr>
        <w:tab/>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To request a Borrowing, the Borrower shall notify the Administrative Agent of such</w:t>
      </w:r>
    </w:p>
    <w:p>
      <w:pPr>
        <w:spacing w:after="0" w:line="204" w:lineRule="auto"/>
        <w:rPr>
          <w:sz w:val="20"/>
          <w:szCs w:val="20"/>
          <w:color w:val="auto"/>
        </w:rPr>
      </w:pPr>
      <w:r>
        <w:rPr>
          <w:rFonts w:ascii="Times New Roman" w:cs="Times New Roman" w:eastAsia="Times New Roman" w:hAnsi="Times New Roman"/>
          <w:sz w:val="20"/>
          <w:szCs w:val="20"/>
          <w:color w:val="auto"/>
        </w:rPr>
        <w:t>request by submitting a Borrowing Request signed by a Responsible Officer of the Borrower or through any Electronic System, if arrangements for doing so have been approved by the Administrative Agent, (a) in the case of a Term Benchmark Borrowing, not later than</w:t>
      </w:r>
    </w:p>
    <w:p>
      <w:pPr>
        <w:spacing w:after="0" w:line="211" w:lineRule="auto"/>
        <w:rPr>
          <w:sz w:val="20"/>
          <w:szCs w:val="20"/>
          <w:color w:val="auto"/>
        </w:rPr>
      </w:pPr>
      <w:r>
        <w:rPr>
          <w:rFonts w:ascii="Times New Roman" w:cs="Times New Roman" w:eastAsia="Times New Roman" w:hAnsi="Times New Roman"/>
          <w:sz w:val="20"/>
          <w:szCs w:val="20"/>
          <w:color w:val="auto"/>
        </w:rPr>
        <w:t>10:00 a.m., New York City time, three U.S. Government Securities Business Days before the date of the proposed Borrowing or (b) in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case of an ABR Borrowing, not later than 11:00 a.m., New York City time, on the date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Section 2.06(e) may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given not later than 9:00 a.m., New York City time, on the date of the proposed Borrowing. Each such Borrowing Request shall be irrevocable. Each such Borrowing Request shall specify the following information in compliance with Section 2.02:</w:t>
      </w:r>
    </w:p>
    <w:p>
      <w:pPr>
        <w:spacing w:after="0" w:line="149" w:lineRule="exact"/>
        <w:rPr>
          <w:sz w:val="20"/>
          <w:szCs w:val="20"/>
          <w:color w:val="auto"/>
        </w:rPr>
      </w:pPr>
    </w:p>
    <w:p>
      <w:pPr>
        <w:ind w:left="1680" w:hanging="376"/>
        <w:spacing w:after="0"/>
        <w:tabs>
          <w:tab w:leader="none" w:pos="168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aggregate principal amount of the requested Borrowing;</w:t>
      </w:r>
    </w:p>
    <w:p>
      <w:pPr>
        <w:spacing w:after="0" w:line="188"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188"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or a Term Benchmark Borrowing;</w:t>
      </w:r>
    </w:p>
    <w:p>
      <w:pPr>
        <w:spacing w:after="0" w:line="175" w:lineRule="exact"/>
        <w:rPr>
          <w:rFonts w:ascii="Times New Roman" w:cs="Times New Roman" w:eastAsia="Times New Roman" w:hAnsi="Times New Roman"/>
          <w:sz w:val="20"/>
          <w:szCs w:val="20"/>
          <w:color w:val="010000"/>
        </w:rPr>
      </w:pPr>
    </w:p>
    <w:p>
      <w:pPr>
        <w:ind w:left="660" w:right="20" w:firstLine="644"/>
        <w:spacing w:after="0"/>
        <w:tabs>
          <w:tab w:leader="none" w:pos="1791"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Term Benchmark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20"/>
          <w:szCs w:val="20"/>
          <w:color w:val="010000"/>
        </w:rPr>
      </w:pPr>
    </w:p>
    <w:p>
      <w:pPr>
        <w:ind w:left="660" w:firstLine="644"/>
        <w:spacing w:after="0" w:line="233" w:lineRule="auto"/>
        <w:tabs>
          <w:tab w:leader="none" w:pos="179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location and number of the Borrower’s account to which funds are to be disbursed, which shall comply with the requirements of Section 2.07, and a breakdown of the separate wires comprising such Borrowing.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w:t>
      </w:r>
    </w:p>
    <w:p>
      <w:pPr>
        <w:spacing w:after="0" w:line="215" w:lineRule="auto"/>
        <w:rPr>
          <w:sz w:val="20"/>
          <w:szCs w:val="20"/>
          <w:color w:val="auto"/>
        </w:rPr>
      </w:pPr>
      <w:r>
        <w:rPr>
          <w:rFonts w:ascii="Times New Roman" w:cs="Times New Roman" w:eastAsia="Times New Roman" w:hAnsi="Times New Roman"/>
          <w:sz w:val="19"/>
          <w:szCs w:val="19"/>
          <w:color w:val="auto"/>
        </w:rPr>
        <w:t>specified with respect to any requested Term Benchmark Borrowing, then the Borrower shall be deemed to have selected an Interest Period of one month’s duration. Promptly following receipt of a Borrowing Request in accordance with this Section, the Administrative Agent shall</w:t>
      </w:r>
    </w:p>
    <w:p>
      <w:pPr>
        <w:spacing w:after="0"/>
        <w:rPr>
          <w:sz w:val="20"/>
          <w:szCs w:val="20"/>
          <w:color w:val="auto"/>
        </w:rPr>
      </w:pPr>
      <w:r>
        <w:rPr>
          <w:rFonts w:ascii="Times New Roman" w:cs="Times New Roman" w:eastAsia="Times New Roman" w:hAnsi="Times New Roman"/>
          <w:sz w:val="20"/>
          <w:szCs w:val="20"/>
          <w:color w:val="auto"/>
        </w:rPr>
        <w:t>advise each Lender of the details thereof and of the amount of such Lender’s Loan to be made as part of the requested Borrowing.</w:t>
      </w:r>
    </w:p>
    <w:p>
      <w:pPr>
        <w:spacing w:after="0" w:line="15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Notwithstanding the foregoing, in no event shall the Borrower be permitted to request an RFR Loan (it being understood and agreed that Adjusted Daily Simple SOFR shall only apply to the extent provided in Sections 2.14(a) and 2.14(f)).</w:t>
      </w:r>
    </w:p>
    <w:p>
      <w:pPr>
        <w:spacing w:after="0" w:line="16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2.05.</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133"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terms and conditions set forth herein, from time to time during the Availability Period, the Swingline Lender shall, following request therefore by the Borrower, make Swingline Loans in dollars to the Borrower, in an aggregate principal amount at any time outstanding that will not result in (i) the aggregate principal amount of outstanding Swingline Loans exceeding $10,000,000, (ii) the Swingline Lender’s Revolving Exposure exceeding its Revolving Commitment, or (iii) the Aggregate Revolving Exposure exceeding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To request a Swingline Loan, the Borrower shall submit a written notice to the Administrative Agent of such request by fax or through any Electronic System, if arrangements for doing so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Borrower,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extent the Swingline Lender elects to make such Swingline Loan, by means of a credit to the Funding Account(s) (or, in the case of a</w:t>
      </w:r>
    </w:p>
    <w:p>
      <w:pPr>
        <w:spacing w:after="0" w:line="204" w:lineRule="auto"/>
        <w:rPr>
          <w:sz w:val="20"/>
          <w:szCs w:val="20"/>
          <w:color w:val="auto"/>
        </w:rPr>
      </w:pPr>
      <w:r>
        <w:rPr>
          <w:rFonts w:ascii="Times New Roman" w:cs="Times New Roman" w:eastAsia="Times New Roman" w:hAnsi="Times New Roman"/>
          <w:sz w:val="20"/>
          <w:szCs w:val="20"/>
          <w:color w:val="auto"/>
        </w:rPr>
        <w:t>Swingline Loan made to finance the reimbursement of an LC Disbursement as provided in Section 2.06(e), by remittance to the Issuing Bank, and in the case of repayment of another Loan or fees or expenses as provided by Section 2.18(c), by remittance to the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to be distributed to the Lenders) by 2:00 p.m., New York City time, on the requested date of such Swingline Loan.</w:t>
      </w:r>
    </w:p>
    <w:p>
      <w:pPr>
        <w:spacing w:after="0" w:line="167" w:lineRule="exact"/>
        <w:rPr>
          <w:sz w:val="20"/>
          <w:szCs w:val="20"/>
          <w:color w:val="auto"/>
        </w:rPr>
      </w:pPr>
    </w:p>
    <w:p>
      <w:pPr>
        <w:jc w:val="both"/>
        <w:ind w:firstLine="656"/>
        <w:spacing w:after="0" w:line="221" w:lineRule="auto"/>
        <w:tabs>
          <w:tab w:leader="none" w:pos="1076" w:val="left"/>
        </w:tabs>
        <w:numPr>
          <w:ilvl w:val="0"/>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Swingline Lender may by written notice given to the Administrative Agent require the Lenders to acquire participations on such Business Day in all or a portion of the Swingline Loans outstanding. Such notice shall specify the aggregate amount of Swingline Loans in which the Lenders will participate. Promptly upon receipt of such notice, the Administrative Agent will give notice thereof to each Lender, specifying in such notice such Lender’s Applicable Percentage of such Swingline Loan or Loans. Each Lender hereby absolutely and unconditionally agrees, promptly upon receipt of such notice from the Administrative Agent (and in any event, if such notice is received by 11:00 a.m., New York City time, on a Business Day no later than 4:00 p.m., New York City time on such Business Day and if received after</w:t>
      </w:r>
    </w:p>
    <w:p>
      <w:pPr>
        <w:spacing w:after="0" w:line="2" w:lineRule="exact"/>
        <w:rPr>
          <w:rFonts w:ascii="Times New Roman" w:cs="Times New Roman" w:eastAsia="Times New Roman" w:hAnsi="Times New Roman"/>
          <w:sz w:val="19"/>
          <w:szCs w:val="19"/>
          <w:color w:val="010000"/>
        </w:rPr>
      </w:pPr>
    </w:p>
    <w:p>
      <w:pPr>
        <w:jc w:val="both"/>
        <w:spacing w:after="0" w:line="208"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 xml:space="preserve">11:00 a.m., New York City time, “on a Business Day” shall mean no later than 9:00 a.m., New York City time on the immediately succeeding Business Day), to pay to the Administrative Agent in dollars, for the account of the Swingline Lender, such Lender’s Applicable Percentage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Lender shall comply with its obligation under this paragraph by wire transfer in dollars of immediately available funds, in the same manner as provided in Section 2.07 with respect to Revolving Loans made by such 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56" w:lineRule="exact"/>
        <w:rPr>
          <w:rFonts w:ascii="Times New Roman" w:cs="Times New Roman" w:eastAsia="Times New Roman" w:hAnsi="Times New Roman"/>
          <w:sz w:val="19"/>
          <w:szCs w:val="19"/>
          <w:color w:val="010000"/>
        </w:rPr>
      </w:pPr>
    </w:p>
    <w:p>
      <w:pPr>
        <w:jc w:val="both"/>
        <w:ind w:firstLine="656"/>
        <w:spacing w:after="0" w:line="212" w:lineRule="auto"/>
        <w:tabs>
          <w:tab w:leader="none" w:pos="1106"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69"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44"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2.06.</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133"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the Borrower may request the Issuing Bank to issue Letters of Credit denominated in dollars as the applicant thereof for the support of its or its Subsidiaries’ obligations, in a form reasonably acceptable to the Issuing Bank, at any time and from time to time during the Availability Period. Each Existing Letter of Credit is deemed issued hereunder.</w:t>
      </w:r>
    </w:p>
    <w:p>
      <w:pPr>
        <w:spacing w:after="0" w:line="148" w:lineRule="exact"/>
        <w:rPr>
          <w:rFonts w:ascii="Times New Roman" w:cs="Times New Roman" w:eastAsia="Times New Roman" w:hAnsi="Times New Roman"/>
          <w:sz w:val="20"/>
          <w:szCs w:val="20"/>
          <w:color w:val="010000"/>
        </w:rPr>
      </w:pPr>
    </w:p>
    <w:p>
      <w:pPr>
        <w:jc w:val="both"/>
        <w:ind w:firstLine="656"/>
        <w:spacing w:after="0" w:line="219" w:lineRule="auto"/>
        <w:tabs>
          <w:tab w:leader="none" w:pos="1252" w:val="left"/>
        </w:tabs>
        <w:numPr>
          <w:ilvl w:val="0"/>
          <w:numId w:val="1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Issuance, Amendment, Extension; Certain Conditions</w:t>
      </w:r>
      <w:r>
        <w:rPr>
          <w:rFonts w:ascii="Times New Roman" w:cs="Times New Roman" w:eastAsia="Times New Roman" w:hAnsi="Times New Roman"/>
          <w:sz w:val="19"/>
          <w:szCs w:val="19"/>
          <w:color w:val="auto"/>
        </w:rPr>
        <w:t>. To request the issuance of a Letter of Credit (or the amendment or extension of an outstanding Letter of Credit), the Borrower shall hand deliver or fax (or transmit through any Electronic System, if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19"/>
          <w:szCs w:val="19"/>
          <w:u w:val="single" w:color="auto"/>
          <w:color w:val="auto"/>
        </w:rPr>
        <w:t>Letter of Credit Agreement</w:t>
      </w:r>
      <w:r>
        <w:rPr>
          <w:rFonts w:ascii="Times New Roman" w:cs="Times New Roman" w:eastAsia="Times New Roman" w:hAnsi="Times New Roman"/>
          <w:sz w:val="19"/>
          <w:szCs w:val="19"/>
          <w:color w:val="auto"/>
        </w:rPr>
        <w:t>”).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w:t>
      </w:r>
    </w:p>
    <w:p>
      <w:pPr>
        <w:spacing w:after="0" w:line="206" w:lineRule="auto"/>
        <w:rPr>
          <w:sz w:val="20"/>
          <w:szCs w:val="20"/>
          <w:color w:val="auto"/>
        </w:rPr>
      </w:pPr>
      <w:r>
        <w:rPr>
          <w:rFonts w:ascii="Times New Roman" w:cs="Times New Roman" w:eastAsia="Times New Roman" w:hAnsi="Times New Roman"/>
          <w:sz w:val="20"/>
          <w:szCs w:val="20"/>
          <w:color w:val="auto"/>
        </w:rPr>
        <w:t>and warrant that), after giving effect to such issuance, amendment or extension (i) the aggregate LC Exposure shall not exceed $10,000,000,</w:t>
      </w:r>
    </w:p>
    <w:p>
      <w:pPr>
        <w:jc w:val="both"/>
        <w:ind w:firstLine="8"/>
        <w:spacing w:after="0" w:line="223" w:lineRule="auto"/>
        <w:tabs>
          <w:tab w:leader="none" w:pos="305"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Lender’s Revolving Exposure shall exceed its Revolving Commitment and (iii)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set forth in clauses (i) through (iii) of this Section 2.06(b).</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Issuing Bank shall not be under any obligation to issue any Letter of Credit if:</w:t>
      </w:r>
    </w:p>
    <w:p>
      <w:pPr>
        <w:spacing w:after="0" w:line="189" w:lineRule="exact"/>
        <w:rPr>
          <w:sz w:val="20"/>
          <w:szCs w:val="20"/>
          <w:color w:val="auto"/>
        </w:rPr>
      </w:pPr>
    </w:p>
    <w:p>
      <w:pPr>
        <w:jc w:val="both"/>
        <w:ind w:firstLine="1304"/>
        <w:spacing w:after="0" w:line="215" w:lineRule="auto"/>
        <w:tabs>
          <w:tab w:leader="none" w:pos="1789"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Bank from issuing such Letter of Credit, or request that the Issuing Bank refrain from issuing such Letter of Credit, or any Requirement of Law relating to the Issuing Bank or any request or directive (whether or not having the force of law) from any Governmental Authority with jurisdiction over the Issuing Bank shall prohibit, the issuance of letters of credit generally or such Letter of Credit in particular, or any such order, judgment, decree, Requirement of Law, request or directive shall impose upon the Issuing Bank with respect to such Letter of Credit any restriction, reserve or capital or liquidity requirement (for which the Issuing Bank is not otherwise compensated hereunder) not in effect on the Effective Date, or shall impose upon the Issuing Bank any unreimbursed loss, cost or expense that was not applicable on the Effective Date and that the Issuing Bank in good faith deems material to it; or</w:t>
      </w:r>
    </w:p>
    <w:p>
      <w:pPr>
        <w:spacing w:after="0" w:line="141" w:lineRule="exact"/>
        <w:rPr>
          <w:rFonts w:ascii="Times New Roman" w:cs="Times New Roman" w:eastAsia="Times New Roman" w:hAnsi="Times New Roman"/>
          <w:sz w:val="20"/>
          <w:szCs w:val="20"/>
          <w:color w:val="010000"/>
        </w:rPr>
      </w:pPr>
    </w:p>
    <w:p>
      <w:pPr>
        <w:ind w:left="1820" w:hanging="516"/>
        <w:spacing w:after="0"/>
        <w:tabs>
          <w:tab w:leader="none" w:pos="1820"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issuance of such Letter of Credit would violate one or more policies of the Issuing Bank applicable to letters of</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credit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76" w:lineRule="exact"/>
        <w:rPr>
          <w:sz w:val="20"/>
          <w:szCs w:val="20"/>
          <w:color w:val="auto"/>
        </w:rPr>
      </w:pPr>
    </w:p>
    <w:p>
      <w:pPr>
        <w:jc w:val="both"/>
        <w:ind w:firstLine="656"/>
        <w:spacing w:after="0" w:line="216" w:lineRule="auto"/>
        <w:tabs>
          <w:tab w:leader="none" w:pos="1119"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tenor may provide for the extension thereof for additional one-year periods (which shall in no event extend beyond the date referred to in clause (ii) above).</w:t>
      </w:r>
    </w:p>
    <w:p>
      <w:pPr>
        <w:spacing w:after="0" w:line="162" w:lineRule="exact"/>
        <w:rPr>
          <w:rFonts w:ascii="Times New Roman" w:cs="Times New Roman" w:eastAsia="Times New Roman" w:hAnsi="Times New Roman"/>
          <w:sz w:val="20"/>
          <w:szCs w:val="20"/>
          <w:color w:val="010000"/>
        </w:rPr>
      </w:pPr>
    </w:p>
    <w:p>
      <w:pPr>
        <w:jc w:val="both"/>
        <w:ind w:firstLine="656"/>
        <w:spacing w:after="0" w:line="223" w:lineRule="auto"/>
        <w:tabs>
          <w:tab w:leader="none" w:pos="1090" w:val="left"/>
        </w:tabs>
        <w:numPr>
          <w:ilvl w:val="0"/>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By the issuance of a Letter of Credit (or an amendment to a Letter of Credit increasing the amount or extending the term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paragraph (e) of this Section, or of any reimbursement payment required to be refunded to the Borrower for any reason, including after the Revolving Credit Maturity Date. Each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w:t>
      </w:r>
    </w:p>
    <w:p>
      <w:pPr>
        <w:spacing w:after="0" w:line="156" w:lineRule="exact"/>
        <w:rPr>
          <w:rFonts w:ascii="Times New Roman" w:cs="Times New Roman" w:eastAsia="Times New Roman" w:hAnsi="Times New Roman"/>
          <w:sz w:val="19"/>
          <w:szCs w:val="19"/>
          <w:color w:val="010000"/>
        </w:rPr>
      </w:pPr>
    </w:p>
    <w:p>
      <w:pPr>
        <w:jc w:val="both"/>
        <w:ind w:firstLine="656"/>
        <w:spacing w:after="0" w:line="209" w:lineRule="auto"/>
        <w:tabs>
          <w:tab w:leader="none" w:pos="116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the Issuing Bank shall make any LC Disbursement in respect of a Letter of Credit, the Borrower shall reimburse such LC Disbursement by paying to the Administrative Agent an amount equal to such LC Disbursement not later than 11:00 a.m., New York City time, on (i) the Business Day that the Borrower receives notice of such LC Disbursement, if such notice is received prior to 9:00 a.m., New York City time, on the day of receipt, or (ii) the Business Day immediately following the day that the Borrower receives such notice, if such notice is received after 9:00 a.m., New York City time, on the day of receipt;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LC Disbursement is greater than or equal to $1,000,000, the Borrower may, subject to the conditions to borrowing set forth herein, request in accordance with Section 2.03 or 2.05 that such payment be financed with an ABR Revolving Borrowing or Swingline Loan in an equivalent amount of such LC Disbursement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Section 2.07 with respect to Loans made by such Lender (and Section 2.07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Borrower of its obligation to reimburse such LC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6" w:lineRule="exact"/>
        <w:rPr>
          <w:sz w:val="20"/>
          <w:szCs w:val="20"/>
          <w:color w:val="auto"/>
        </w:rPr>
      </w:pPr>
    </w:p>
    <w:p>
      <w:pPr>
        <w:jc w:val="both"/>
        <w:ind w:firstLine="656"/>
        <w:spacing w:after="0" w:line="209" w:lineRule="auto"/>
        <w:tabs>
          <w:tab w:leader="none" w:pos="1084"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bad faith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1"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44"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Issuing Bank for any Letter of Credit shall, within the time allowed by applicable law or the specific terms of such Letter of Credit following its receipt thereof, examine all documents purporting to represent a demand for payment under a Letter of Credit. The Issuing Bank shall promptly after such examination notify the Administrative Agent and the Borrower by telephone (confirmed by fax or through Electronic Systems) of such demand for payment and whether the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need not be given prior to payment by the Issuing Bank and any failure to give or delay in giving such notice shall not relieve the Borrower of its obligation to reimburse the Issuing Bank and the Lenders with respect to any such LC Disbursement.</w:t>
      </w:r>
    </w:p>
    <w:p>
      <w:pPr>
        <w:spacing w:after="0" w:line="150"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71"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and such interest shall be due and payable on the date when such reimbursement is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paragraph (e) of this Section, then Section 2.13(d)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76" w:lineRule="exact"/>
        <w:rPr>
          <w:sz w:val="20"/>
          <w:szCs w:val="20"/>
          <w:color w:val="auto"/>
        </w:rPr>
      </w:pPr>
    </w:p>
    <w:p>
      <w:pPr>
        <w:ind w:left="1040" w:hanging="384"/>
        <w:spacing w:after="0"/>
        <w:tabs>
          <w:tab w:leader="none" w:pos="1040"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Replacement and Resignation of the Issuing Bank</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681"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the replaced Issuing Bank under this Agreement with respect to Letters of Credit to be issued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55"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816"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appointment and acceptance of a successor Issuing Bank, the Issuing Bank may resign as an Issuing Bank at any time upon thirty days’ prior written notice to the Administrative Agent, the Borrower and the Lenders, in which case, such resigning Issuing Bank shall be replaced in accordance with Section 2.06(i)(i) above.</w:t>
      </w:r>
    </w:p>
    <w:p>
      <w:pPr>
        <w:spacing w:after="0" w:line="149" w:lineRule="exact"/>
        <w:rPr>
          <w:sz w:val="20"/>
          <w:szCs w:val="20"/>
          <w:color w:val="auto"/>
        </w:rPr>
      </w:pPr>
    </w:p>
    <w:p>
      <w:pPr>
        <w:jc w:val="both"/>
        <w:ind w:firstLine="656"/>
        <w:spacing w:after="0" w:line="229" w:lineRule="auto"/>
        <w:tabs>
          <w:tab w:leader="none" w:pos="1073" w:val="left"/>
        </w:tabs>
        <w:numPr>
          <w:ilvl w:val="0"/>
          <w:numId w:val="1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Cash Collateralization</w:t>
      </w:r>
      <w:r>
        <w:rPr>
          <w:rFonts w:ascii="Times New Roman" w:cs="Times New Roman" w:eastAsia="Times New Roman" w:hAnsi="Times New Roman"/>
          <w:sz w:val="19"/>
          <w:szCs w:val="19"/>
          <w:color w:val="auto"/>
        </w:rPr>
        <w:t>. If any Event of Default shall occur and be continuing, on the Business Day that the Borrower receives notice from the Administrative Agent or the Required Lenders (or, if the maturity of the Loans has been accelerated, Lenders with LC Exposure representing greater than 50% of the aggregate LC Exposure) demanding the deposit of cash collateral pursuant to this paragraph, the Borrower shall deposit in an account with the Administrative Agent, in the name of the Administrative Agent and for the benefit of the Lenders (the “</w:t>
      </w:r>
      <w:r>
        <w:rPr>
          <w:rFonts w:ascii="Times New Roman" w:cs="Times New Roman" w:eastAsia="Times New Roman" w:hAnsi="Times New Roman"/>
          <w:sz w:val="19"/>
          <w:szCs w:val="19"/>
          <w:u w:val="single" w:color="auto"/>
          <w:color w:val="auto"/>
        </w:rPr>
        <w:t>LC Collateral Account</w:t>
      </w:r>
      <w:r>
        <w:rPr>
          <w:rFonts w:ascii="Times New Roman" w:cs="Times New Roman" w:eastAsia="Times New Roman" w:hAnsi="Times New Roman"/>
          <w:sz w:val="19"/>
          <w:szCs w:val="19"/>
          <w:color w:val="auto"/>
        </w:rPr>
        <w:t xml:space="preserve">”), an amount in cash in dollars equal to 103% of the amount of the LC Exposure as of such date plus any accrued and unpaid interest thereon;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into the LC Collateral Account an amount in cash equal to 103% of such LC Exposure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accrued and unpaid interest thereon. The Administrative Agent shall have exclusive dominion and control, including the exclusive right of withdrawal, over the LC Collateral Account and the Borrower hereby grants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Lenders with LC Exposure representing greater than 50% of the aggregate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Administrative Agent.</w:t>
      </w:r>
    </w:p>
    <w:p>
      <w:pPr>
        <w:spacing w:after="0" w:line="173" w:lineRule="exact"/>
        <w:rPr>
          <w:rFonts w:ascii="Times New Roman" w:cs="Times New Roman" w:eastAsia="Times New Roman" w:hAnsi="Times New Roman"/>
          <w:sz w:val="19"/>
          <w:szCs w:val="19"/>
          <w:color w:val="010000"/>
        </w:rPr>
      </w:pPr>
    </w:p>
    <w:p>
      <w:pPr>
        <w:jc w:val="both"/>
        <w:ind w:firstLine="656"/>
        <w:spacing w:after="0" w:line="226" w:lineRule="auto"/>
        <w:tabs>
          <w:tab w:leader="none" w:pos="1076"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Issuing Bank Reports to the Administrative Agent</w:t>
      </w:r>
      <w:r>
        <w:rPr>
          <w:rFonts w:ascii="Times New Roman" w:cs="Times New Roman" w:eastAsia="Times New Roman" w:hAnsi="Times New Roman"/>
          <w:sz w:val="20"/>
          <w:szCs w:val="20"/>
          <w:color w:val="auto"/>
        </w:rPr>
        <w:t>. In the event Chase is not the only Issuing Bank, and unless otherwise agreed by the Administrative Agent, each Issuing Bank other than Chase shall, in addition to its notification obligations set forth elsewhere in this Section, report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Administrative Agent (i) periodic activity (for such period or recurrent periods as shall be requested by the Administrative Agent) in</w:t>
      </w:r>
    </w:p>
    <w:p>
      <w:pPr>
        <w:ind w:right="20"/>
        <w:spacing w:after="0" w:line="215" w:lineRule="auto"/>
        <w:rPr>
          <w:sz w:val="20"/>
          <w:szCs w:val="20"/>
          <w:color w:val="auto"/>
        </w:rPr>
      </w:pPr>
      <w:r>
        <w:rPr>
          <w:rFonts w:ascii="Times New Roman" w:cs="Times New Roman" w:eastAsia="Times New Roman" w:hAnsi="Times New Roman"/>
          <w:sz w:val="19"/>
          <w:szCs w:val="19"/>
          <w:color w:val="auto"/>
        </w:rPr>
        <w:t>respect of Letters of Credit issued by such Issuing Bank, including all issuances, extensions and amendments, all expirations and cancelations and all disbursements and reimbursements, (ii) reasonably prior to the time that such Issuing Bank issues, amends or extends any Letter of</w:t>
      </w:r>
    </w:p>
    <w:p>
      <w:pPr>
        <w:spacing w:after="0" w:line="211" w:lineRule="auto"/>
        <w:rPr>
          <w:sz w:val="20"/>
          <w:szCs w:val="20"/>
          <w:color w:val="auto"/>
        </w:rPr>
      </w:pPr>
      <w:r>
        <w:rPr>
          <w:rFonts w:ascii="Times New Roman" w:cs="Times New Roman" w:eastAsia="Times New Roman" w:hAnsi="Times New Roman"/>
          <w:sz w:val="20"/>
          <w:szCs w:val="20"/>
          <w:color w:val="auto"/>
        </w:rPr>
        <w:t>Credit, the date of such issuance, amendment or extension, and the stated amount of the Letters of Credit issued, amended or extended by it</w:t>
      </w:r>
    </w:p>
    <w:p>
      <w:pPr>
        <w:spacing w:after="0" w:line="204" w:lineRule="auto"/>
        <w:rPr>
          <w:sz w:val="20"/>
          <w:szCs w:val="20"/>
          <w:color w:val="auto"/>
        </w:rPr>
      </w:pPr>
      <w:r>
        <w:rPr>
          <w:rFonts w:ascii="Times New Roman" w:cs="Times New Roman" w:eastAsia="Times New Roman" w:hAnsi="Times New Roman"/>
          <w:sz w:val="20"/>
          <w:szCs w:val="20"/>
          <w:color w:val="auto"/>
        </w:rPr>
        <w:t>and outstanding after giving effect to such issuance, amendment or extension (and whether the amounts thereof shall have changed), (iii) on each Business Day on which such Issuing Bank makes any LC Disbursement, the date and amount of such LC Disbursement, (iv) on any</w:t>
      </w:r>
    </w:p>
    <w:p>
      <w:pPr>
        <w:spacing w:after="0" w:line="223" w:lineRule="auto"/>
        <w:rPr>
          <w:sz w:val="20"/>
          <w:szCs w:val="20"/>
          <w:color w:val="auto"/>
        </w:rPr>
      </w:pPr>
      <w:r>
        <w:rPr>
          <w:rFonts w:ascii="Times New Roman" w:cs="Times New Roman" w:eastAsia="Times New Roman" w:hAnsi="Times New Roman"/>
          <w:sz w:val="19"/>
          <w:szCs w:val="19"/>
          <w:color w:val="auto"/>
        </w:rPr>
        <w:t>Business Day on which the Borrower fails to reimburse an LC Disbursement required to be reimbursed to such Issuing Bank on such day, the</w:t>
      </w:r>
    </w:p>
    <w:p>
      <w:pPr>
        <w:spacing w:after="0" w:line="221" w:lineRule="auto"/>
        <w:rPr>
          <w:sz w:val="20"/>
          <w:szCs w:val="20"/>
          <w:color w:val="auto"/>
        </w:rPr>
      </w:pPr>
      <w:r>
        <w:rPr>
          <w:rFonts w:ascii="Times New Roman" w:cs="Times New Roman" w:eastAsia="Times New Roman" w:hAnsi="Times New Roman"/>
          <w:sz w:val="20"/>
          <w:szCs w:val="20"/>
          <w:color w:val="auto"/>
        </w:rPr>
        <w:t>date of such failure and the amount of such LC Disbursement, and (v) on any other Business Day, such other information as the Administrative Agent shall reasonably request as to the Letters of Credit issued by such Issuing Bank.</w:t>
      </w:r>
    </w:p>
    <w:p>
      <w:pPr>
        <w:spacing w:after="0" w:line="162" w:lineRule="exact"/>
        <w:rPr>
          <w:sz w:val="20"/>
          <w:szCs w:val="20"/>
          <w:color w:val="auto"/>
        </w:rPr>
      </w:pPr>
    </w:p>
    <w:p>
      <w:pPr>
        <w:jc w:val="both"/>
        <w:ind w:firstLine="656"/>
        <w:spacing w:after="0" w:line="213" w:lineRule="auto"/>
        <w:tabs>
          <w:tab w:leader="none" w:pos="1087"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6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2.07.</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5" w:lineRule="auto"/>
        <w:tabs>
          <w:tab w:leader="none" w:pos="1065"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shall make each Loan to be made by such Lender hereunder on the proposed date thereof solely by wire transfer of immediately available funds by 1:00 p.m.,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Section 2.05. The Administrative Agent will make such Loans available to the Borrower by promptly crediting the funds so received in the aforesaid account of the Administrative Agent to the Funding Account(s);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Issuing Bank.</w:t>
      </w:r>
    </w:p>
    <w:p>
      <w:pPr>
        <w:spacing w:after="0" w:line="164"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144"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each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interest received from the Borrower by the Administrative Agent during the period beginning when Administrative Agent funded the Borrowing until such Lender pays such amount shall be solely for the account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2.08.</w:t>
      </w:r>
      <w:r>
        <w:rPr>
          <w:sz w:val="20"/>
          <w:szCs w:val="20"/>
          <w:color w:val="auto"/>
        </w:rPr>
        <w:tab/>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5" w:lineRule="auto"/>
        <w:tabs>
          <w:tab w:leader="none" w:pos="1187"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Borrowing initially shall be of the Type specified in the applicable Borrowing Request and, in the case of a Term Benchmark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50"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57"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make an election pursuant to this Section, the Borrower shall notify the Administrative Agent of such election either in writing (delivered by hand or fax) by delivering an Interest Election Request signed by a Responsible Officer of the Borrower or through any Electronic System, if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Interest Election Request shall be irrevocable. Notwithstanding any contrary provision herein, this Section shall not be construed to permit the Borrower to (i) elect an Interest Period for Term Benchmark Loans that does not comply with Section 2.02(d), or (ii) elect Adjusted Daily Simple SOFR (it being understood and agreed that Adjusted Daily Simple SOFR shall only apply to the extent provided in Sections 2.14(a) and 2.14(f)).</w:t>
      </w:r>
    </w:p>
    <w:p>
      <w:pPr>
        <w:spacing w:after="0" w:line="160" w:lineRule="exact"/>
        <w:rPr>
          <w:rFonts w:ascii="Times New Roman" w:cs="Times New Roman" w:eastAsia="Times New Roman" w:hAnsi="Times New Roman"/>
          <w:sz w:val="20"/>
          <w:szCs w:val="20"/>
          <w:color w:val="010000"/>
        </w:rPr>
      </w:pPr>
    </w:p>
    <w:p>
      <w:pPr>
        <w:ind w:firstLine="656"/>
        <w:spacing w:after="0" w:line="233" w:lineRule="auto"/>
        <w:tabs>
          <w:tab w:leader="none" w:pos="120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Interest Election Request (including requests submitted through any Electronic System) shall specify the following information in compliance with Section 2.02:</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706"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0"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175"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an ABR Borrowing or a Term Benchmark Borrowing; and</w:t>
      </w:r>
    </w:p>
    <w:p>
      <w:pPr>
        <w:spacing w:after="0" w:line="188" w:lineRule="exact"/>
        <w:rPr>
          <w:rFonts w:ascii="Times New Roman" w:cs="Times New Roman" w:eastAsia="Times New Roman" w:hAnsi="Times New Roman"/>
          <w:sz w:val="20"/>
          <w:szCs w:val="20"/>
          <w:color w:val="010000"/>
        </w:rPr>
      </w:pPr>
    </w:p>
    <w:p>
      <w:pPr>
        <w:ind w:left="660" w:right="20" w:firstLine="644"/>
        <w:spacing w:after="0"/>
        <w:tabs>
          <w:tab w:leader="none" w:pos="1845" w:val="left"/>
        </w:tabs>
        <w:numPr>
          <w:ilvl w:val="1"/>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Term Benchmark Borrowing, the Interest Period to be applicable thereto after giving effect to such election, which Interest Period shall be a period contemplated by the definition of the term “Interest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Borrower shall be deemed to have selected an Interest Period of one month’s duration.</w:t>
      </w:r>
    </w:p>
    <w:p>
      <w:pPr>
        <w:spacing w:after="0" w:line="161" w:lineRule="exact"/>
        <w:rPr>
          <w:sz w:val="20"/>
          <w:szCs w:val="20"/>
          <w:color w:val="auto"/>
        </w:rPr>
      </w:pPr>
    </w:p>
    <w:p>
      <w:pPr>
        <w:ind w:firstLine="656"/>
        <w:spacing w:after="0" w:line="233" w:lineRule="auto"/>
        <w:tabs>
          <w:tab w:leader="none" w:pos="1130"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60"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065" w:val="left"/>
        </w:tabs>
        <w:numPr>
          <w:ilvl w:val="0"/>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deemed to have an Interest Period that is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and RFR Borrowing shall be converted to an ABR Borrowing at the end of the Interest Period applicable thereto (or immediately in the case of an RFR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2.09.</w:t>
      </w:r>
      <w:r>
        <w:rPr>
          <w:sz w:val="20"/>
          <w:szCs w:val="20"/>
          <w:color w:val="auto"/>
        </w:rPr>
        <w:tab/>
      </w:r>
      <w:r>
        <w:rPr>
          <w:rFonts w:ascii="Times New Roman" w:cs="Times New Roman" w:eastAsia="Times New Roman" w:hAnsi="Times New Roman"/>
          <w:sz w:val="19"/>
          <w:szCs w:val="19"/>
          <w:u w:val="single" w:color="auto"/>
          <w:color w:val="auto"/>
        </w:rPr>
        <w:t>Termination and Reduction of Revolving Commitments; Increase in Revolving Commitments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080" w:hanging="424"/>
        <w:spacing w:after="0"/>
        <w:tabs>
          <w:tab w:leader="none" w:pos="1080"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previously terminated, all the Revolving Commitments shall terminate on the Revolving Credit Maturity Date.</w:t>
      </w:r>
    </w:p>
    <w:p>
      <w:pPr>
        <w:spacing w:after="0" w:line="175"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may at any time terminate the Revolving Commitments upon the Payment in Full of the Secured Obligations.</w:t>
      </w:r>
    </w:p>
    <w:p>
      <w:pPr>
        <w:spacing w:after="0" w:line="18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092"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may at any time and from time to time reduce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Revolving Commitments shall be in an amount that is an integral multiple of $500,000 and not less than $1,000,000 and (ii) the Borrower shall not terminate or reduce the Revolving Commitments if, after giving effect to any concurrent prepayment of the Revolving Loans in accordance with Section 2.11, (x) the Aggregate Revolving Exposure would exceed the aggregate Revolving Commitments or (y) the Revolving Exposure of any Lender would exceed the Revolving Commitment of such Lender.</w:t>
      </w:r>
    </w:p>
    <w:p>
      <w:pPr>
        <w:spacing w:after="0" w:line="147"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103"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spacing w:after="0" w:line="152"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119"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have the right to increase the Revolving Commitments by obtaining additional Revolving Commitments, either from one or more of the Lenders or another lending institution (other than any Ineligible Institution), provided that (i) any such request for an increase shall be in a minimum amount of $10,000,000, (ii) the Borrower may make a maximum of four (4) such requests during the term of this Agreement, (iii) after giving effect thereto, the sum of the total of the additional Revolving Commitments does not exceed $75,000,000, (iv) the Administrative Agent, the Swingline Lender and the Issuing Bank have approved the identity of any such new Lender, such approvals not to be unreasonably withheld, conditioned or delayed, (v) any such new Lender assumes all of the rights and obligations of a “Lender” hereunder, and (vi) the procedures described in Section 2.09(f) have been satisfied. Nothing contained in this Section 2.09 shall constitute, or otherwise be deemed to be, a commitment on the part of any Lender to increase its Revolving Commitment hereunder at any time.</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071" w:val="left"/>
        </w:tabs>
        <w:numPr>
          <w:ilvl w:val="0"/>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a condition precedent to such an increase of the Revolving Commitments, the Borrower shall deliver to the Administrative Agent (i) a certificate of each Loan Party signed by an authorized officer of such Loan Party (A) certifying and attaching the resolutions adopted by such Loan Party approving or consenting to such increase, and (B) in the case of the Borrower, certifying that, before and after giving effect to such increase, (1) the representations and warranties contained in Article III and the other Loan Documents are true and correct in all material respects, except to the extent that such representations and warranties specifically refer to an earlier date, in which case they are true and correct as of such earlier date, (2) no Default or Event of Default exists and (3) the Borrower is in compliance (on a pro forma basis) with the covenants contained in Section 6.12 (which calculations shall assume that such increase of the Revolving Commitments is fully drawn) and (ii) legal opinions and documents consistent with those delivered on the Effective Date, to the extent reasonably requested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76" w:lineRule="exact"/>
        <w:rPr>
          <w:sz w:val="20"/>
          <w:szCs w:val="20"/>
          <w:color w:val="auto"/>
        </w:rPr>
      </w:pPr>
    </w:p>
    <w:p>
      <w:pPr>
        <w:jc w:val="both"/>
        <w:ind w:firstLine="656"/>
        <w:spacing w:after="0" w:line="211" w:lineRule="auto"/>
        <w:tabs>
          <w:tab w:leader="none" w:pos="1090"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 the effective date of any such increase,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 shall be deemed to have repaid and reborrowed all outstanding Revolving Loans as of the date of any increase in the Revolving Commitments (with such reborrowing to consist of the Types of Revolving Loans, with related Interest Periods if applicable, specified by the Borrower to the Administrative Agent). The deemed payments made pursuant to clause (ii) of the immediately preceding sentence shall be accompanied by payment of all accrued interest on the amount prepaid and, to the extent applicable, shall be subject to indemnification by the Borrower pursuant to the provisions of Section 2.16. Any increase in the Revolving Commitments shall be on the same terms and subject to the same conditions as the then existing Revolving Commitments.</w:t>
      </w:r>
    </w:p>
    <w:p>
      <w:pPr>
        <w:spacing w:after="0" w:line="166"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198"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foregoing conditions, any increase in the Revolving Commitments may be made hereunder pursuant to an amendment or restatement (an “</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of this Agreement and, as appropriate, the other Loan Documents, executed by the Borrower, each Lender participating in such increase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increase in the Revolving Commitments. Within a reasonable time after the effective date of any increase, the Administrative Agent shall, and is hereby authorized and directed to, revise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such increase and shall distribute such revised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each of the Lenders and the Borrower, whereupon such revised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shall replace the old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and become part of this Agreement.</w:t>
      </w:r>
    </w:p>
    <w:p>
      <w:pPr>
        <w:spacing w:after="0" w:line="147"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127"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connection with any increase of the Revolving Commitments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 with applicable “know your customer” and anti-money laundering rules and regulations, including without limitation, the USA PATRIOT Act.</w:t>
      </w:r>
    </w:p>
    <w:p>
      <w:pPr>
        <w:spacing w:after="0" w:line="16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2.10.</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09" w:lineRule="auto"/>
        <w:tabs>
          <w:tab w:leader="none" w:pos="1079"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hereby unconditionally promises to pay in dollars (i) to the Administrative Agent for the account of each Lender the then unpaid principal amount of each Revolving Loan on the Revolving Credit Maturity Date, and (ii) to the Swingline Lender the then unpaid principal amount of each Swingline Loan on the earlier of the Revolving Credit Maturity Date and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Business Day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Loan is made, the Borrower shall repay all Swingline Loans then outstanding and the proceeds of any such Revolving Loan shall be applied by the Administrative Agent to repay any Swingline Loans outstanding.</w:t>
      </w:r>
    </w:p>
    <w:p>
      <w:pPr>
        <w:spacing w:after="0" w:line="152"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44"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76" w:lineRule="exact"/>
        <w:rPr>
          <w:sz w:val="20"/>
          <w:szCs w:val="20"/>
          <w:color w:val="auto"/>
        </w:rPr>
      </w:pPr>
    </w:p>
    <w:p>
      <w:pPr>
        <w:jc w:val="both"/>
        <w:ind w:firstLine="656"/>
        <w:spacing w:after="0" w:line="222" w:lineRule="auto"/>
        <w:tabs>
          <w:tab w:leader="none" w:pos="1133"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Type thereof and the Interest Period applicable thereto, if any,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076"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paragraph (b) or (c)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Obligations.</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92"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request that Loans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48"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0"/>
          <w:szCs w:val="20"/>
          <w:color w:val="010000"/>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tabs>
          <w:tab w:leader="none" w:pos="1119"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have the right at any time and from time to time to prepay any Borrowing in whole or in part, subject to prior notice in accordance with paragraph (c) of this Section and, if applicable, payment of any break funding expenses under Section 2.16.</w:t>
      </w:r>
    </w:p>
    <w:p>
      <w:pPr>
        <w:spacing w:after="0" w:line="147"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090"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and on such occasion that the Aggregate Revolving Exposure exceeds the aggregate Revolving Commitments, the Borrower shall prepay the Revolving Loans, LC Exposure and/or Swingline Loans (or, if no such Borrowings are outstanding, deposit cash collateral in the LC Collateral Account in an aggregate amount equal to such excess, in accordance with Section 2.06(j)) in an aggregate principal amount sufficient to cause the aggregate principal amount of all Revolving Exposures to be less than or equal to the aggregate Revolving Commitments.</w:t>
      </w:r>
    </w:p>
    <w:p>
      <w:pPr>
        <w:spacing w:after="0" w:line="147" w:lineRule="exact"/>
        <w:rPr>
          <w:rFonts w:ascii="Times New Roman" w:cs="Times New Roman" w:eastAsia="Times New Roman" w:hAnsi="Times New Roman"/>
          <w:sz w:val="20"/>
          <w:szCs w:val="20"/>
          <w:color w:val="010000"/>
        </w:rPr>
      </w:pPr>
    </w:p>
    <w:p>
      <w:pPr>
        <w:jc w:val="both"/>
        <w:ind w:firstLine="656"/>
        <w:spacing w:after="0" w:line="221" w:lineRule="auto"/>
        <w:tabs>
          <w:tab w:leader="none" w:pos="1173" w:val="left"/>
        </w:tabs>
        <w:numPr>
          <w:ilvl w:val="0"/>
          <w:numId w:val="1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shall notify the Administrative Agent (and, in the case of prepayment of a Swingline Loan, the Swingline Lender) by fax or through any Electronic System, if arrangements for doing so have been approved by the Administrative Agent, of any prepayment under this Section: (i) in the case of prepayment of a Term Benchmark Borrowing, not later than 10:00 a.m., New York City time, three (3) U.S. Government Securities Business Days before the date of prepayment, (ii) in the case of an RFR Borrowing, not later than 10:00 a.m., New York City time, five (5) U.S. Government Securities Business Days before the date of prepayment, (iii) in the case of prepayment of an ABR Revolving Borrowing (other than a Swingline Loan), not later than 10:00 a.m., New York City time, on the date of prepayment or (iv) in the case of prepayment of a Swingline Loan,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(or, in the case of any RFR Loan, in such amount that would be permitted in the case of an advance of an ABR Revolving Borrowing as provided in Section 2.02), except as necessary to apply fully the required amount of a mandatory prepayment. Each voluntary prepayment of a Borrowing shall be applied to such Loans in such amounts, at the discretion of the Borrower. Each mandatory prepayment made pursuant to Section 2.11(b) shall be applied ratably to all outstanding Loans. Prepayments shall be accompanied by (i) accrued interest to the extent required by Section 2.13 and (ii) break funding payments pursuant to Section 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2.12.</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092"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agrees to pay to the Administrative Agent a commitment fee for the account of each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provided that, if such Lender continues to have any Revolving Exposure after its Revolving Commitment terminates, then such commitment fee shall continue to accrue on the daily amount of such Lender’s Revolving Exposure from and including the date on which its Revolving Commitment terminates to but excluding the date on which such Lender ceases to have any Revolving Exposure. Commitment fees accrued through and including the last day of March, June, September and December of each year shall be payable in arrears on the fifteenth (15th) day following such last day of March, June, September and December and on the date on which the Revolving Commitments terminate, commencing on the first such date to occur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last day of each period but excluding the date on which the Revolving Commitments terminate).</w:t>
      </w:r>
    </w:p>
    <w:p>
      <w:pPr>
        <w:spacing w:after="0" w:line="152" w:lineRule="exact"/>
        <w:rPr>
          <w:rFonts w:ascii="Times New Roman" w:cs="Times New Roman" w:eastAsia="Times New Roman" w:hAnsi="Times New Roman"/>
          <w:sz w:val="20"/>
          <w:szCs w:val="20"/>
          <w:color w:val="010000"/>
        </w:rPr>
      </w:pPr>
    </w:p>
    <w:p>
      <w:pPr>
        <w:jc w:val="both"/>
        <w:ind w:firstLine="656"/>
        <w:spacing w:after="0" w:line="210" w:lineRule="auto"/>
        <w:tabs>
          <w:tab w:leader="none" w:pos="1076"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to pay (i) to the Administrative Agent for the account of each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the Issuing Bank for its own account a fronting fee, which shall accrue at a rate per annum equal to 0.125% on the daily maximum stated amount then available to be drawn under each outstanding Letter of Credit, during the period from and including the Effective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or extension of any Letter of Credit and other processing fees, and other standard costs and charges, of the Issuing Bank relating to Letters of Credit as from time to time in effect. Participation fees and fronting fees accrued through and including the last day of each March, June, September and December of each year shall be payable on the fifteenth (15th) day following such last day of March, June, September and December,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Business Days after demand. All participation fees and fronting fees shall be computed on the basis of a year of 360 days and shall be payable for the actual number of days elapsed (including the first day but excluding the last day).</w:t>
      </w:r>
    </w:p>
    <w:p>
      <w:pPr>
        <w:spacing w:after="0" w:line="156" w:lineRule="exact"/>
        <w:rPr>
          <w:rFonts w:ascii="Times New Roman" w:cs="Times New Roman" w:eastAsia="Times New Roman" w:hAnsi="Times New Roman"/>
          <w:sz w:val="20"/>
          <w:szCs w:val="20"/>
          <w:color w:val="010000"/>
        </w:rPr>
      </w:pPr>
    </w:p>
    <w:p>
      <w:pPr>
        <w:ind w:firstLine="656"/>
        <w:spacing w:after="0"/>
        <w:tabs>
          <w:tab w:leader="none" w:pos="1133"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to pay to the Administrative Agent, for its own account, fees payable in the amounts and at the times separately agreed upon between the Borrower and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076"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fees payable hereunder shall be paid in dollars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2.13.</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33" w:lineRule="auto"/>
        <w:tabs>
          <w:tab w:leader="none" w:pos="1065"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Loans comprising each ABR Borrowing (including each Swingline Loan) shall bear interest at the Alternate Base Rate plus the Applicable Rate.</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13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Loans comprising each Term Benchmark Borrowing shall bear interest at the Adjusted Term SOFR Rate for the Interest Period in effect for such Borrowing plus the Applicable Rate.</w:t>
      </w:r>
    </w:p>
    <w:p>
      <w:pPr>
        <w:spacing w:after="0" w:line="147"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RFR Loan shall bear interest at a rate per annum equal to the Adjusted Daily Simple SOFR plus the Applicable Rate.</w:t>
      </w:r>
    </w:p>
    <w:p>
      <w:pPr>
        <w:spacing w:after="0" w:line="188"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03" w:val="left"/>
        </w:tabs>
        <w:numPr>
          <w:ilvl w:val="0"/>
          <w:numId w:val="1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the foregoing, (i) except as provided in the following clause (d)(ii), during the occurrence and continuance of an Event of Default, the Administrative Agent or the Required Lenders may, at their option, by notice to the Borrower (which notice may be revoked at the option of the Required Lenders notwithstanding any provision of Section 9.02 requiring the consent of “each Lender directly affected thereby” for reductions in interest rates), declare that, or (ii) automatically, without any notice or other action from any party hereto, upon the occurrence of an Event of Default described in clause (a) of Article VII or with respect to the Borrower described in clause (h) or (i) of Article VII, then, in each case, (A) all Loans shall bear interest at a rate per annum equal to 2% plus the rate otherwise applicable to such Loans as provided in the preceding paragraphs of this Section and (B) in the case of any other amount outstanding hereunder, such amount shall accrue interest at a rate per annum equal to 2% plus the rate applicable to ABR Loans as provided in Section 2.13(a).</w:t>
      </w:r>
    </w:p>
    <w:p>
      <w:pPr>
        <w:spacing w:after="0" w:line="149" w:lineRule="exact"/>
        <w:rPr>
          <w:rFonts w:ascii="Times New Roman" w:cs="Times New Roman" w:eastAsia="Times New Roman" w:hAnsi="Times New Roman"/>
          <w:sz w:val="19"/>
          <w:szCs w:val="19"/>
          <w:color w:val="010000"/>
        </w:rPr>
      </w:pPr>
    </w:p>
    <w:p>
      <w:pPr>
        <w:jc w:val="both"/>
        <w:ind w:firstLine="656"/>
        <w:spacing w:after="0" w:line="216" w:lineRule="auto"/>
        <w:tabs>
          <w:tab w:leader="none" w:pos="1146"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62"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084"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Alternate Base Rate only at times when the Alternate Base Rate is based on the Prime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Any determination of the applicable Alternate Base Rate, Adjusted Term SOFR Rate, Term SOFR Rate, Adjusted Daily Simple SOFR or Daily Simple SOFR shall be determined by the Administrative Agent, and such determination shall be conclusive absent manifest error.</w:t>
      </w:r>
    </w:p>
    <w:p>
      <w:pPr>
        <w:spacing w:after="0" w:line="164" w:lineRule="exact"/>
        <w:rPr>
          <w:sz w:val="20"/>
          <w:szCs w:val="20"/>
          <w:color w:val="auto"/>
        </w:rPr>
      </w:pPr>
    </w:p>
    <w:p>
      <w:pPr>
        <w:ind w:left="660"/>
        <w:spacing w:after="0"/>
        <w:tabs>
          <w:tab w:leader="none" w:pos="2120" w:val="left"/>
          <w:tab w:leader="none" w:pos="4540" w:val="left"/>
        </w:tabs>
        <w:rPr>
          <w:sz w:val="20"/>
          <w:szCs w:val="20"/>
          <w:color w:val="auto"/>
        </w:rPr>
      </w:pPr>
      <w:r>
        <w:rPr>
          <w:rFonts w:ascii="Times New Roman" w:cs="Times New Roman" w:eastAsia="Times New Roman" w:hAnsi="Times New Roman"/>
          <w:sz w:val="20"/>
          <w:szCs w:val="20"/>
          <w:color w:val="010000"/>
        </w:rPr>
        <w:t>SECTION 2.14.</w:t>
      </w:r>
      <w:r>
        <w:rPr>
          <w:sz w:val="20"/>
          <w:szCs w:val="20"/>
          <w:color w:val="auto"/>
        </w:rPr>
        <w:tab/>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010000"/>
        </w:rPr>
        <w:t>(a)</w:t>
      </w:r>
      <w:r>
        <w:rPr>
          <w:sz w:val="20"/>
          <w:szCs w:val="20"/>
          <w:color w:val="auto"/>
        </w:rPr>
        <w:tab/>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clauses (b), (c), (d), (e) and (f) of this Section 2.14, if:</w:t>
      </w:r>
    </w:p>
    <w:p>
      <w:pPr>
        <w:spacing w:after="0" w:line="188"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708" w:val="left"/>
        </w:tabs>
        <w:numPr>
          <w:ilvl w:val="1"/>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reasonably determines (which determination shall be conclusive and binding absent manifest error) (A) prior to the commencement of any Interest Period for a Term Benchmark Borrowing that adequate and reasonable means do not exist for ascertaining the Adjusted Term SOFR Rate (including, without limitation, because the Term SOFR Reference Rate is not available or published on a current basis), for such Interest Period or (B) at any time, that adequate and reasonable means do not exist for ascertaining the applicable Adjusted Daily Simple SOFR for an RFR Loan;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76" w:lineRule="exact"/>
        <w:rPr>
          <w:sz w:val="20"/>
          <w:szCs w:val="20"/>
          <w:color w:val="auto"/>
        </w:rPr>
      </w:pPr>
    </w:p>
    <w:p>
      <w:pPr>
        <w:jc w:val="both"/>
        <w:ind w:firstLine="1304"/>
        <w:spacing w:after="0" w:line="220" w:lineRule="auto"/>
        <w:tabs>
          <w:tab w:leader="none" w:pos="183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the Adjusted Term SOFR Rate for the applicable Interest Period will not adequately and fairly reflect the cost to such Lenders (or Lender) of making or maintaining their Loans (or Loan) included in such Borrowing for such Interest Period, or (B) at any time, the applicable Adjusted Daily Simple SOFR for an RFR Loan will not adequately and fairly reflect the cost to such Lenders (or Lender) of making or maintaining their Loans (or its Loan) included in such Borrowing;</w:t>
      </w:r>
    </w:p>
    <w:p>
      <w:pPr>
        <w:spacing w:after="0" w:line="14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then the Administrative Agent shall give notice thereof to the Borrower and the Lenders through any Electronic System as provided in Section 9.01 as promptly as practicable thereafter and, until (x) the Administrative Agent notifies the Borrower and the Lenders that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circumstances giving rise to such notice no longer exist with respect to the relevant Benchmark and (y) the Borrower delivers a new Interest Election Request in accordance with the terms of Section 2.08 or a new Borrowing Request in accordance with the terms of Section 2.03, (A)</w:t>
      </w:r>
    </w:p>
    <w:p>
      <w:pPr>
        <w:spacing w:after="0" w:line="211" w:lineRule="auto"/>
        <w:rPr>
          <w:sz w:val="20"/>
          <w:szCs w:val="20"/>
          <w:color w:val="auto"/>
        </w:rPr>
      </w:pPr>
      <w:r>
        <w:rPr>
          <w:rFonts w:ascii="Times New Roman" w:cs="Times New Roman" w:eastAsia="Times New Roman" w:hAnsi="Times New Roman"/>
          <w:sz w:val="20"/>
          <w:szCs w:val="20"/>
          <w:color w:val="auto"/>
        </w:rPr>
        <w:t>any Interest Election Request that requests the conversion of any Borrowing to, or continuation of any Borrowing as, a Term Benchmark</w:t>
      </w:r>
    </w:p>
    <w:p>
      <w:pPr>
        <w:spacing w:after="0" w:line="215" w:lineRule="auto"/>
        <w:rPr>
          <w:sz w:val="20"/>
          <w:szCs w:val="20"/>
          <w:color w:val="auto"/>
        </w:rPr>
      </w:pPr>
      <w:r>
        <w:rPr>
          <w:rFonts w:ascii="Times New Roman" w:cs="Times New Roman" w:eastAsia="Times New Roman" w:hAnsi="Times New Roman"/>
          <w:sz w:val="19"/>
          <w:szCs w:val="19"/>
          <w:color w:val="auto"/>
        </w:rPr>
        <w:t>Borrowing and any Borrowing Request that requests a Term Benchmark Borrowing shall instead be deemed to be an Interest Election Request or a Borrowing Request, as applicable, for (1) an RFR Borrowing so long as the Adjusted Daily Simple SOFR is not also the subject</w:t>
      </w:r>
    </w:p>
    <w:p>
      <w:pPr>
        <w:spacing w:after="0" w:line="222" w:lineRule="auto"/>
        <w:rPr>
          <w:sz w:val="20"/>
          <w:szCs w:val="20"/>
          <w:color w:val="auto"/>
        </w:rPr>
      </w:pPr>
      <w:r>
        <w:rPr>
          <w:rFonts w:ascii="Times New Roman" w:cs="Times New Roman" w:eastAsia="Times New Roman" w:hAnsi="Times New Roman"/>
          <w:sz w:val="19"/>
          <w:szCs w:val="19"/>
          <w:color w:val="auto"/>
        </w:rPr>
        <w:t>of Section 2.14(a)(i) or (ii) above or (2) an ABR Borrowing if the Adjusted Daily Simple SOFR also is the subject of Section 2.14(a)(i) or (ii)</w:t>
      </w:r>
    </w:p>
    <w:p>
      <w:pPr>
        <w:spacing w:after="0" w:line="215" w:lineRule="auto"/>
        <w:rPr>
          <w:sz w:val="20"/>
          <w:szCs w:val="20"/>
          <w:color w:val="auto"/>
        </w:rPr>
      </w:pPr>
      <w:r>
        <w:rPr>
          <w:rFonts w:ascii="Times New Roman" w:cs="Times New Roman" w:eastAsia="Times New Roman" w:hAnsi="Times New Roman"/>
          <w:sz w:val="19"/>
          <w:szCs w:val="19"/>
          <w:color w:val="auto"/>
        </w:rPr>
        <w:t>above, and (B) any outstanding RFR Borrowing shall be converted to an ABR Borrowing at such time. Furthermore, if any Term Benchmark Loan or RFR Loan is outstanding on the date of the Borrower’s receipt of the notice from the Administrative Agent referred to in this Section</w:t>
      </w:r>
    </w:p>
    <w:p>
      <w:pPr>
        <w:spacing w:after="0" w:line="211" w:lineRule="auto"/>
        <w:rPr>
          <w:sz w:val="20"/>
          <w:szCs w:val="20"/>
          <w:color w:val="auto"/>
        </w:rPr>
      </w:pPr>
      <w:r>
        <w:rPr>
          <w:rFonts w:ascii="Times New Roman" w:cs="Times New Roman" w:eastAsia="Times New Roman" w:hAnsi="Times New Roman"/>
          <w:sz w:val="20"/>
          <w:szCs w:val="20"/>
          <w:color w:val="auto"/>
        </w:rPr>
        <w:t>2.14(a) with respect to a Relevant Rate applicable to such Term Benchmark Loan or RFR Loan, then until (x) the Administrative Agent</w:t>
      </w:r>
    </w:p>
    <w:p>
      <w:pPr>
        <w:spacing w:after="0" w:line="215" w:lineRule="auto"/>
        <w:rPr>
          <w:sz w:val="20"/>
          <w:szCs w:val="20"/>
          <w:color w:val="auto"/>
        </w:rPr>
      </w:pPr>
      <w:r>
        <w:rPr>
          <w:rFonts w:ascii="Times New Roman" w:cs="Times New Roman" w:eastAsia="Times New Roman" w:hAnsi="Times New Roman"/>
          <w:sz w:val="19"/>
          <w:szCs w:val="19"/>
          <w:color w:val="auto"/>
        </w:rPr>
        <w:t>notifies the Borrower and the Lenders that the circumstances giving rise to such notice no longer exist with respect to the relevant Benchmark and (y) the Borrower delivers a new Interest Election Request in accordance with the terms of Section 2.08 or a new Borrowing Request in</w:t>
      </w:r>
    </w:p>
    <w:p>
      <w:pPr>
        <w:spacing w:after="0" w:line="215" w:lineRule="auto"/>
        <w:rPr>
          <w:sz w:val="20"/>
          <w:szCs w:val="20"/>
          <w:color w:val="auto"/>
        </w:rPr>
      </w:pPr>
      <w:r>
        <w:rPr>
          <w:rFonts w:ascii="Times New Roman" w:cs="Times New Roman" w:eastAsia="Times New Roman" w:hAnsi="Times New Roman"/>
          <w:sz w:val="19"/>
          <w:szCs w:val="19"/>
          <w:color w:val="auto"/>
        </w:rPr>
        <w:t>accordance with the terms of Section 2.03, (1) any Term Benchmark Loan shall on the last day of the Interest Period applicable to such Loan, be converted by the Administrative Agent to, and shall constitute, (x) an RFR Borrowing so long as the Adjusted Daily Simple SOFR is not</w:t>
      </w:r>
    </w:p>
    <w:p>
      <w:pPr>
        <w:spacing w:after="0" w:line="211" w:lineRule="auto"/>
        <w:rPr>
          <w:sz w:val="20"/>
          <w:szCs w:val="20"/>
          <w:color w:val="auto"/>
        </w:rPr>
      </w:pPr>
      <w:r>
        <w:rPr>
          <w:rFonts w:ascii="Times New Roman" w:cs="Times New Roman" w:eastAsia="Times New Roman" w:hAnsi="Times New Roman"/>
          <w:sz w:val="20"/>
          <w:szCs w:val="20"/>
          <w:color w:val="auto"/>
        </w:rPr>
        <w:t>also the subject of Section 2.14(a)(i) or (ii) above or (y) an ABR Loan if the Adjusted Daily Simple SOFR also is the subject of Section</w:t>
      </w:r>
    </w:p>
    <w:p>
      <w:pPr>
        <w:spacing w:after="0" w:line="221" w:lineRule="auto"/>
        <w:rPr>
          <w:sz w:val="20"/>
          <w:szCs w:val="20"/>
          <w:color w:val="auto"/>
        </w:rPr>
      </w:pPr>
      <w:r>
        <w:rPr>
          <w:rFonts w:ascii="Times New Roman" w:cs="Times New Roman" w:eastAsia="Times New Roman" w:hAnsi="Times New Roman"/>
          <w:sz w:val="20"/>
          <w:szCs w:val="20"/>
          <w:color w:val="auto"/>
        </w:rPr>
        <w:t>2.14(a)(i) or (ii) above, on such day, and (2) any RFR Loan shall on and from such day be converted by the Administrative Agent to, and shall constitute, an ABR Loan.</w:t>
      </w:r>
    </w:p>
    <w:p>
      <w:pPr>
        <w:spacing w:after="0" w:line="162" w:lineRule="exact"/>
        <w:rPr>
          <w:sz w:val="20"/>
          <w:szCs w:val="20"/>
          <w:color w:val="auto"/>
        </w:rPr>
      </w:pPr>
    </w:p>
    <w:p>
      <w:pPr>
        <w:jc w:val="both"/>
        <w:ind w:firstLine="656"/>
        <w:spacing w:after="0" w:line="222" w:lineRule="auto"/>
        <w:tabs>
          <w:tab w:leader="none" w:pos="1076"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66" w:lineRule="exact"/>
        <w:rPr>
          <w:rFonts w:ascii="Times New Roman" w:cs="Times New Roman" w:eastAsia="Times New Roman" w:hAnsi="Times New Roman"/>
          <w:sz w:val="19"/>
          <w:szCs w:val="19"/>
          <w:color w:val="010000"/>
        </w:rPr>
      </w:pPr>
    </w:p>
    <w:p>
      <w:pPr>
        <w:jc w:val="both"/>
        <w:ind w:firstLine="656"/>
        <w:spacing w:after="0" w:line="222" w:lineRule="auto"/>
        <w:tabs>
          <w:tab w:leader="none" w:pos="1065" w:val="left"/>
        </w:tabs>
        <w:numPr>
          <w:ilvl w:val="0"/>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76" w:lineRule="exact"/>
        <w:rPr>
          <w:sz w:val="20"/>
          <w:szCs w:val="20"/>
          <w:color w:val="auto"/>
        </w:rPr>
      </w:pPr>
    </w:p>
    <w:p>
      <w:pPr>
        <w:jc w:val="both"/>
        <w:ind w:firstLine="656"/>
        <w:spacing w:after="0" w:line="227" w:lineRule="auto"/>
        <w:tabs>
          <w:tab w:leader="none" w:pos="1090" w:val="left"/>
        </w:tabs>
        <w:numPr>
          <w:ilvl w:val="1"/>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will promptly notify the Borrower and the Lenders of (i) any occurrence of a Benchmark Transition Event, (ii) the implementation of any Benchmark Replacement, (iii) the effectiveness of any Benchmark Replacement Conforming Changes,</w:t>
      </w:r>
    </w:p>
    <w:p>
      <w:pPr>
        <w:ind w:left="360" w:hanging="352"/>
        <w:spacing w:after="0" w:line="211" w:lineRule="auto"/>
        <w:tabs>
          <w:tab w:leader="none" w:pos="3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removal or reinstatement of any tenor of a Benchmark pursuant to Section 2.14(e) and (v) the commencement or conclusion of any</w:t>
      </w:r>
    </w:p>
    <w:p>
      <w:pPr>
        <w:spacing w:after="0" w:line="211" w:lineRule="auto"/>
        <w:rPr>
          <w:sz w:val="20"/>
          <w:szCs w:val="20"/>
          <w:color w:val="auto"/>
        </w:rPr>
      </w:pPr>
      <w:r>
        <w:rPr>
          <w:rFonts w:ascii="Times New Roman" w:cs="Times New Roman" w:eastAsia="Times New Roman" w:hAnsi="Times New Roman"/>
          <w:sz w:val="20"/>
          <w:szCs w:val="20"/>
          <w:color w:val="auto"/>
        </w:rPr>
        <w:t>Benchmark Unavailability Period. Any determination, decision or election that may be made by the Administrative Agent or, if applicable,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Lender (or group of Lenders) pursuant to this Section 2.14, including any determination with respect to a tenor, rate or adjustment or of the occurrence or non-occurrence of an event, circumstance or date and any decision to take or refrain from taking any action or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49" w:lineRule="exact"/>
        <w:rPr>
          <w:sz w:val="20"/>
          <w:szCs w:val="20"/>
          <w:color w:val="auto"/>
        </w:rPr>
      </w:pPr>
    </w:p>
    <w:p>
      <w:pPr>
        <w:jc w:val="both"/>
        <w:ind w:firstLine="656"/>
        <w:spacing w:after="0" w:line="222" w:lineRule="auto"/>
        <w:tabs>
          <w:tab w:leader="none" w:pos="1092" w:val="left"/>
        </w:tabs>
        <w:numPr>
          <w:ilvl w:val="1"/>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and either</w:t>
      </w:r>
    </w:p>
    <w:p>
      <w:pPr>
        <w:spacing w:after="0" w:line="1" w:lineRule="exact"/>
        <w:rPr>
          <w:rFonts w:ascii="Times New Roman" w:cs="Times New Roman" w:eastAsia="Times New Roman" w:hAnsi="Times New Roman"/>
          <w:sz w:val="20"/>
          <w:szCs w:val="20"/>
          <w:color w:val="010000"/>
        </w:rPr>
      </w:pPr>
    </w:p>
    <w:p>
      <w:pPr>
        <w:jc w:val="both"/>
        <w:ind w:firstLine="8"/>
        <w:spacing w:after="0" w:line="210" w:lineRule="auto"/>
        <w:tabs>
          <w:tab w:leader="none" w:pos="34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1" w:lineRule="exact"/>
        <w:rPr>
          <w:rFonts w:ascii="Times New Roman" w:cs="Times New Roman" w:eastAsia="Times New Roman" w:hAnsi="Times New Roman"/>
          <w:sz w:val="20"/>
          <w:szCs w:val="20"/>
          <w:color w:val="auto"/>
        </w:rPr>
      </w:pPr>
    </w:p>
    <w:p>
      <w:pPr>
        <w:jc w:val="both"/>
        <w:ind w:firstLine="656"/>
        <w:spacing w:after="0" w:line="210" w:lineRule="auto"/>
        <w:tabs>
          <w:tab w:leader="none" w:pos="1044" w:val="left"/>
        </w:tabs>
        <w:numPr>
          <w:ilvl w:val="1"/>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Borrower’s receipt of notice of the commencement of a Benchmark Unavailability Period with respect to any Relevant Rate, (i) in the case of a Term Benchmark Borrowing, the Borrower may revoke any 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(A) an RFR Borrowing so long as the Adjusted Daily Simple SOFR is not the subject of a Benchmark Transition Event or (B) an ABR Borrowing if the Adjusted Daily Simple SOFR is the subject of a Benchmark Transition Event, and (ii) in the case of any outstanding RFR Borrowing, such Borrowing shall on and from such day be converted by the Administrative Agent to, and shall constitute, an ABR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Borrowing so long as the Adjusted Daily Simple SOFR is not the subject of a Benchmark Transition Event or (y) an ABR Loan if the Adjusted Daily Simple SOFR is the subject of a Benchmark Transition Event, on such day and (2) any RFR Loan shall on and from such day be converted by the Administrative Agent to, and shall constitute, an ABR Loan.</w:t>
      </w:r>
    </w:p>
    <w:p>
      <w:pPr>
        <w:spacing w:after="0" w:line="16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Change in Law shall:</w:t>
      </w:r>
    </w:p>
    <w:p>
      <w:pPr>
        <w:spacing w:after="0" w:line="175"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855" w:val="left"/>
        </w:tabs>
        <w:numPr>
          <w:ilvl w:val="1"/>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76" w:lineRule="exact"/>
        <w:rPr>
          <w:sz w:val="20"/>
          <w:szCs w:val="20"/>
          <w:color w:val="auto"/>
        </w:rPr>
      </w:pPr>
    </w:p>
    <w:p>
      <w:pPr>
        <w:ind w:left="660" w:right="20" w:firstLine="644"/>
        <w:spacing w:after="0"/>
        <w:tabs>
          <w:tab w:leader="none" w:pos="1828"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on any Lender or the Issuing Bank or the applicable interbank market any other condition, cost or expense (other than Taxes) affecting this Agreement or Loans made by such Lender or any Letter of Credit or participation therein; or</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829"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the Issuing Bank or such other Recipient of making, continuing, converting into or maintaining any Loan (or of maintaining its obligation to make any such Loan) or to increase the cost to such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the Issuing Bank or such other Recipient of participating in, issuing or maintaining any Letter of Credit or to reduce the amount of any sum received or receivable by such Lender, the Issuing Bank or such other Recipient hereunder (whether of principal, interest or</w:t>
      </w:r>
    </w:p>
    <w:p>
      <w:pPr>
        <w:spacing w:after="0" w:line="223" w:lineRule="auto"/>
        <w:rPr>
          <w:sz w:val="20"/>
          <w:szCs w:val="20"/>
          <w:color w:val="auto"/>
        </w:rPr>
      </w:pPr>
      <w:r>
        <w:rPr>
          <w:rFonts w:ascii="Times New Roman" w:cs="Times New Roman" w:eastAsia="Times New Roman" w:hAnsi="Times New Roman"/>
          <w:sz w:val="19"/>
          <w:szCs w:val="19"/>
          <w:color w:val="auto"/>
        </w:rPr>
        <w:t>otherwise), then the Borrower will pay to such Lender, the Issuing Bank or such other Recipient, as the case may be, such additional amount</w:t>
      </w:r>
    </w:p>
    <w:p>
      <w:pPr>
        <w:spacing w:after="0" w:line="221" w:lineRule="auto"/>
        <w:rPr>
          <w:sz w:val="20"/>
          <w:szCs w:val="20"/>
          <w:color w:val="auto"/>
        </w:rPr>
      </w:pPr>
      <w:r>
        <w:rPr>
          <w:rFonts w:ascii="Times New Roman" w:cs="Times New Roman" w:eastAsia="Times New Roman" w:hAnsi="Times New Roman"/>
          <w:sz w:val="20"/>
          <w:szCs w:val="20"/>
          <w:color w:val="auto"/>
        </w:rPr>
        <w:t>or amounts as will compensate such Lender, the Issuing Bank or such other Recipient, as the case may be, for such additional costs incurred or reduction suffered.</w:t>
      </w:r>
    </w:p>
    <w:p>
      <w:pPr>
        <w:spacing w:after="0" w:line="162" w:lineRule="exact"/>
        <w:rPr>
          <w:sz w:val="20"/>
          <w:szCs w:val="20"/>
          <w:color w:val="auto"/>
        </w:rPr>
      </w:pPr>
    </w:p>
    <w:p>
      <w:pPr>
        <w:jc w:val="both"/>
        <w:ind w:firstLine="656"/>
        <w:spacing w:after="0" w:line="213" w:lineRule="auto"/>
        <w:tabs>
          <w:tab w:leader="none" w:pos="1076"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or the Issuing Bank reasonably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92"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and shall be conclusive absent manifest error. The Borrower shall pay such Lender or the Issuing Bank, as the case may be, the amount shown as due on any such certificate within ten (10) Business Days after receipt thereof.</w:t>
      </w:r>
    </w:p>
    <w:p>
      <w:pPr>
        <w:spacing w:after="0" w:line="148"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57"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Bank pursuant to this Section for any increased costs or reductions incurred more than 360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reductions is retroactive, then the 360-day period referred to above shall be extended to include the period of retroactive effect thereof.</w:t>
      </w:r>
    </w:p>
    <w:p>
      <w:pPr>
        <w:spacing w:after="0" w:line="164"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2.16.</w:t>
      </w:r>
      <w:r>
        <w:rPr>
          <w:sz w:val="20"/>
          <w:szCs w:val="20"/>
          <w:color w:val="auto"/>
        </w:rPr>
        <w:tab/>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106"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Loans that are not RFR Loans, in the event of (i) the payment of any principal of any Term Benchmark Loan other than on the last day of an Interest Period applicable thereto (including as a result of an Event of Default or as a result of any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 or (iv) the assignment of any Term Benchmark Loan, in each case, other than on the last day of the Interest Period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of a request by the Borrower pursuant to Section 2.19 or 9.02(d), then, in any such event, the Borrower shall compensate each Lender for the loss, cost and expense attributable to such event.</w:t>
      </w:r>
    </w:p>
    <w:p>
      <w:pPr>
        <w:spacing w:after="0" w:line="148" w:lineRule="exact"/>
        <w:rPr>
          <w:sz w:val="20"/>
          <w:szCs w:val="20"/>
          <w:color w:val="auto"/>
        </w:rPr>
      </w:pPr>
    </w:p>
    <w:p>
      <w:pPr>
        <w:jc w:val="both"/>
        <w:ind w:firstLine="656"/>
        <w:spacing w:after="0" w:line="218" w:lineRule="auto"/>
        <w:tabs>
          <w:tab w:leader="none" w:pos="1076"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2.09(d) and is revoked in accordance therewith), or (iii) the assignment of any RFR Loan, in each case, other than on the Interest Payment Date applicable thereto, as a result of a request by the Borrower pursuant to Section 2.19 or 9.02(d), then, in any such event, the Borrower shall compensate each Lender for the loss, cost and expense attributable to such event.</w:t>
      </w:r>
    </w:p>
    <w:p>
      <w:pPr>
        <w:spacing w:after="0" w:line="150"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00"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ten (10) days after receipt thereof.</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2.17.</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56"/>
        <w:spacing w:after="0" w:line="213" w:lineRule="auto"/>
        <w:tabs>
          <w:tab w:leader="none" w:pos="1133"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 of Taxes; Gross-Up; Payments Free of Taxes</w:t>
      </w:r>
      <w:r>
        <w:rPr>
          <w:rFonts w:ascii="Times New Roman" w:cs="Times New Roman" w:eastAsia="Times New Roman" w:hAnsi="Times New Roman"/>
          <w:sz w:val="20"/>
          <w:szCs w:val="20"/>
          <w:color w:val="auto"/>
        </w:rPr>
        <w:t>. Any and all payments by or on account of any obligation of any Loan Party under any Loan Document (including, without limitation, the Secured Obligations and Guaranteed Obligations of each Loan Party)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61" w:lineRule="exact"/>
        <w:rPr>
          <w:rFonts w:ascii="Times New Roman" w:cs="Times New Roman" w:eastAsia="Times New Roman" w:hAnsi="Times New Roman"/>
          <w:sz w:val="20"/>
          <w:szCs w:val="20"/>
          <w:color w:val="010000"/>
        </w:rPr>
      </w:pPr>
    </w:p>
    <w:p>
      <w:pPr>
        <w:ind w:firstLine="656"/>
        <w:spacing w:after="0" w:line="233" w:lineRule="auto"/>
        <w:tabs>
          <w:tab w:leader="none" w:pos="1211"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 of Other Taxes by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Other Taxes.</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60"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44"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76" w:lineRule="exact"/>
        <w:rPr>
          <w:sz w:val="20"/>
          <w:szCs w:val="20"/>
          <w:color w:val="auto"/>
        </w:rPr>
      </w:pPr>
    </w:p>
    <w:p>
      <w:pPr>
        <w:jc w:val="both"/>
        <w:ind w:firstLine="656"/>
        <w:spacing w:after="0" w:line="214" w:lineRule="auto"/>
        <w:tabs>
          <w:tab w:leader="none" w:pos="1146" w:val="left"/>
        </w:tabs>
        <w:numPr>
          <w:ilvl w:val="1"/>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Business Days after demand therefor, for (i) any Indemnified Taxes attributable to such Lender (but only to the extent that any Loan Party has not already indemnified the Administrative Agent for such Indemnified Taxes and without limiting the obligation of the Loan Parties to do so),</w:t>
      </w:r>
    </w:p>
    <w:p>
      <w:pPr>
        <w:jc w:val="both"/>
        <w:ind w:firstLine="8"/>
        <w:spacing w:after="0" w:line="212" w:lineRule="auto"/>
        <w:tabs>
          <w:tab w:leader="none" w:pos="33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48"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11" w:lineRule="auto"/>
        <w:tabs>
          <w:tab w:leader="none" w:pos="1694" w:val="left"/>
        </w:tabs>
        <w:numPr>
          <w:ilvl w:val="2"/>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2"/>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89" w:lineRule="exact"/>
        <w:rPr>
          <w:sz w:val="20"/>
          <w:szCs w:val="20"/>
          <w:color w:val="auto"/>
        </w:rPr>
      </w:pPr>
    </w:p>
    <w:p>
      <w:pPr>
        <w:jc w:val="both"/>
        <w:ind w:firstLine="1304"/>
        <w:spacing w:after="0" w:line="222" w:lineRule="auto"/>
        <w:tabs>
          <w:tab w:leader="none" w:pos="1795"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48"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812"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6" w:lineRule="auto"/>
        <w:tabs>
          <w:tab w:leader="none" w:pos="2417" w:val="left"/>
        </w:tabs>
        <w:numPr>
          <w:ilvl w:val="1"/>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76" w:lineRule="exact"/>
        <w:rPr>
          <w:sz w:val="20"/>
          <w:szCs w:val="20"/>
          <w:color w:val="auto"/>
        </w:rPr>
      </w:pPr>
    </w:p>
    <w:p>
      <w:pPr>
        <w:ind w:left="1300" w:firstLine="652"/>
        <w:spacing w:after="0"/>
        <w:tabs>
          <w:tab w:leader="none" w:pos="2430" w:val="left"/>
        </w:tabs>
        <w:numPr>
          <w:ilvl w:val="1"/>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Foreign Lender claiming that its extension of credit will generate U.S. effectively connected income, an executed copy of IRS Form W-8ECI;</w:t>
      </w:r>
    </w:p>
    <w:p>
      <w:pPr>
        <w:spacing w:after="0" w:line="147" w:lineRule="exact"/>
        <w:rPr>
          <w:rFonts w:ascii="Times New Roman" w:cs="Times New Roman" w:eastAsia="Times New Roman" w:hAnsi="Times New Roman"/>
          <w:sz w:val="20"/>
          <w:szCs w:val="20"/>
          <w:color w:val="010000"/>
        </w:rPr>
      </w:pPr>
    </w:p>
    <w:p>
      <w:pPr>
        <w:jc w:val="both"/>
        <w:ind w:left="1300" w:firstLine="652"/>
        <w:spacing w:after="0" w:line="218" w:lineRule="auto"/>
        <w:tabs>
          <w:tab w:leader="none" w:pos="2471" w:val="left"/>
        </w:tabs>
        <w:numPr>
          <w:ilvl w:val="1"/>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an executed copy of IRS Form W-8BEN or IRS Form W-8BEN-E, as applicable; or</w:t>
      </w:r>
    </w:p>
    <w:p>
      <w:pPr>
        <w:spacing w:after="0" w:line="150" w:lineRule="exact"/>
        <w:rPr>
          <w:rFonts w:ascii="Times New Roman" w:cs="Times New Roman" w:eastAsia="Times New Roman" w:hAnsi="Times New Roman"/>
          <w:sz w:val="20"/>
          <w:szCs w:val="20"/>
          <w:color w:val="010000"/>
        </w:rPr>
      </w:pPr>
    </w:p>
    <w:p>
      <w:pPr>
        <w:jc w:val="both"/>
        <w:ind w:left="1300" w:firstLine="652"/>
        <w:spacing w:after="0" w:line="218" w:lineRule="auto"/>
        <w:tabs>
          <w:tab w:leader="none" w:pos="2565" w:val="left"/>
        </w:tabs>
        <w:numPr>
          <w:ilvl w:val="1"/>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a Foreign Lender is not the beneficial owner, an executed copy of IRS Form W-8IMY, accompanied by IRS Form W-8ECI, IRS Form W-8BEN or IRS Form W-8BEN-E, as applicable, a U.S. Tax Compliance Certificate substantially in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D-3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D-4</w:t>
      </w:r>
      <w:r>
        <w:rPr>
          <w:rFonts w:ascii="Times New Roman" w:cs="Times New Roman" w:eastAsia="Times New Roman" w:hAnsi="Times New Roman"/>
          <w:sz w:val="20"/>
          <w:szCs w:val="20"/>
          <w:color w:val="auto"/>
        </w:rPr>
        <w:t xml:space="preserve"> on behalf of each such direct and indirect partner;</w:t>
      </w:r>
    </w:p>
    <w:p>
      <w:pPr>
        <w:spacing w:after="0" w:line="150"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812" w:val="left"/>
        </w:tabs>
        <w:numPr>
          <w:ilvl w:val="0"/>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2"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795" w:val="left"/>
        </w:tabs>
        <w:numPr>
          <w:ilvl w:val="0"/>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w:t>
      </w:r>
    </w:p>
    <w:p>
      <w:pPr>
        <w:spacing w:after="0" w:line="221" w:lineRule="auto"/>
        <w:rPr>
          <w:sz w:val="20"/>
          <w:szCs w:val="20"/>
          <w:color w:val="auto"/>
        </w:rPr>
      </w:pPr>
      <w:r>
        <w:rPr>
          <w:rFonts w:ascii="Times New Roman" w:cs="Times New Roman" w:eastAsia="Times New Roman" w:hAnsi="Times New Roman"/>
          <w:sz w:val="20"/>
          <w:szCs w:val="20"/>
          <w:color w:val="auto"/>
        </w:rPr>
        <w:t>it shall update such form or certification or promptly notify the Borrower and the Administrative Agent in writing of its legal inability to do so.</w:t>
      </w:r>
    </w:p>
    <w:p>
      <w:pPr>
        <w:spacing w:after="0" w:line="162" w:lineRule="exact"/>
        <w:rPr>
          <w:sz w:val="20"/>
          <w:szCs w:val="20"/>
          <w:color w:val="auto"/>
        </w:rPr>
      </w:pPr>
    </w:p>
    <w:p>
      <w:pPr>
        <w:jc w:val="both"/>
        <w:ind w:firstLine="656"/>
        <w:spacing w:after="0" w:line="215" w:lineRule="auto"/>
        <w:tabs>
          <w:tab w:leader="none" w:pos="1076"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 Notwithstanding anything to the contrary in this paragraph (g), in no event will the indemnified party be required to pay any</w:t>
      </w:r>
    </w:p>
    <w:p>
      <w:pPr>
        <w:spacing w:after="0" w:line="215" w:lineRule="auto"/>
        <w:rPr>
          <w:sz w:val="20"/>
          <w:szCs w:val="20"/>
          <w:color w:val="auto"/>
        </w:rPr>
      </w:pPr>
      <w:r>
        <w:rPr>
          <w:rFonts w:ascii="Times New Roman" w:cs="Times New Roman" w:eastAsia="Times New Roman" w:hAnsi="Times New Roman"/>
          <w:sz w:val="19"/>
          <w:szCs w:val="19"/>
          <w:color w:val="auto"/>
        </w:rPr>
        <w:t>amount to an indemnifying party pursuant to this paragraph (g) the payment of which would place the indemnified party in a less favorable net after-Tax position than the indemnified party would have been in if the Tax subject to indemnification and giving rise to such refund had</w:t>
      </w:r>
    </w:p>
    <w:p>
      <w:pPr>
        <w:spacing w:after="0" w:line="211" w:lineRule="auto"/>
        <w:rPr>
          <w:sz w:val="20"/>
          <w:szCs w:val="20"/>
          <w:color w:val="auto"/>
        </w:rPr>
      </w:pPr>
      <w:r>
        <w:rPr>
          <w:rFonts w:ascii="Times New Roman" w:cs="Times New Roman" w:eastAsia="Times New Roman" w:hAnsi="Times New Roman"/>
          <w:sz w:val="20"/>
          <w:szCs w:val="20"/>
          <w:color w:val="auto"/>
        </w:rPr>
        <w:t>not been deducted, withheld or otherwise imposed and the indemnification payments or additional amounts giving rise to such refund had</w:t>
      </w:r>
    </w:p>
    <w:p>
      <w:pPr>
        <w:ind w:right="20"/>
        <w:spacing w:after="0" w:line="221" w:lineRule="auto"/>
        <w:rPr>
          <w:sz w:val="20"/>
          <w:szCs w:val="20"/>
          <w:color w:val="auto"/>
        </w:rPr>
      </w:pPr>
      <w:r>
        <w:rPr>
          <w:rFonts w:ascii="Times New Roman" w:cs="Times New Roman" w:eastAsia="Times New Roman" w:hAnsi="Times New Roman"/>
          <w:sz w:val="20"/>
          <w:szCs w:val="20"/>
          <w:color w:val="auto"/>
        </w:rPr>
        <w:t>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62" w:lineRule="exact"/>
        <w:rPr>
          <w:sz w:val="20"/>
          <w:szCs w:val="20"/>
          <w:color w:val="auto"/>
        </w:rPr>
      </w:pPr>
    </w:p>
    <w:p>
      <w:pPr>
        <w:jc w:val="both"/>
        <w:ind w:firstLine="656"/>
        <w:spacing w:after="0" w:line="226" w:lineRule="auto"/>
        <w:tabs>
          <w:tab w:leader="none" w:pos="1144" w:val="left"/>
        </w:tabs>
        <w:numPr>
          <w:ilvl w:val="0"/>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2.17 shall survive the resignation or replacement of the Administrative Agent or any assignment of rights by, or the replacement of, a Lender, the termination of the Revolving Commitments and the repayment, satisfaction or discharge of all obligations under any Loan Document (including the Payment in Full of the Secured Obligations).</w:t>
      </w:r>
    </w:p>
    <w:p>
      <w:pPr>
        <w:spacing w:after="0" w:line="160" w:lineRule="exact"/>
        <w:rPr>
          <w:rFonts w:ascii="Times New Roman" w:cs="Times New Roman" w:eastAsia="Times New Roman" w:hAnsi="Times New Roman"/>
          <w:sz w:val="20"/>
          <w:szCs w:val="20"/>
          <w:color w:val="010000"/>
        </w:rPr>
      </w:pPr>
    </w:p>
    <w:p>
      <w:pPr>
        <w:ind w:left="1040" w:hanging="384"/>
        <w:spacing w:after="0"/>
        <w:tabs>
          <w:tab w:leader="none" w:pos="1040" w:val="left"/>
        </w:tabs>
        <w:numPr>
          <w:ilvl w:val="0"/>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For purposes of this Section 2.17, the term “applicable law” includes FATCA.</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2.18.</w:t>
      </w:r>
      <w:r>
        <w:rPr>
          <w:sz w:val="20"/>
          <w:szCs w:val="20"/>
          <w:color w:val="auto"/>
        </w:rPr>
        <w:tab/>
      </w:r>
      <w:r>
        <w:rPr>
          <w:rFonts w:ascii="Times New Roman" w:cs="Times New Roman" w:eastAsia="Times New Roman" w:hAnsi="Times New Roman"/>
          <w:sz w:val="19"/>
          <w:szCs w:val="19"/>
          <w:u w:val="single" w:color="auto"/>
          <w:color w:val="auto"/>
        </w:rPr>
        <w:t>Payments Generally; Allocation of Proceeds; Sharing of Set-offs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1" w:lineRule="auto"/>
        <w:tabs>
          <w:tab w:leader="none" w:pos="1106"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shall make each payment or prepayment required to be made by it hereunder (whether of principal, interest, fees or reimbursement of LC Disbursements, or of amounts payable under Sections 2.15, 2.16 or 2.17, or otherwise) prior to 2:00 p.m., New York City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 Dearborn St., Chicago IL 60603,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0" w:lineRule="exact"/>
        <w:rPr>
          <w:rFonts w:ascii="Times New Roman" w:cs="Times New Roman" w:eastAsia="Times New Roman" w:hAnsi="Times New Roman"/>
          <w:sz w:val="20"/>
          <w:szCs w:val="20"/>
          <w:color w:val="010000"/>
        </w:rPr>
      </w:pPr>
    </w:p>
    <w:p>
      <w:pPr>
        <w:ind w:left="1160" w:hanging="504"/>
        <w:spacing w:after="0"/>
        <w:tabs>
          <w:tab w:leader="none" w:pos="1160"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payments and any proceeds of Collateral received by the Administrative Agent (i) not constituting either (A) a specific</w:t>
      </w:r>
    </w:p>
    <w:p>
      <w:pPr>
        <w:spacing w:after="0" w:line="207" w:lineRule="auto"/>
        <w:rPr>
          <w:sz w:val="20"/>
          <w:szCs w:val="20"/>
          <w:color w:val="auto"/>
        </w:rPr>
      </w:pPr>
      <w:r>
        <w:rPr>
          <w:rFonts w:ascii="Times New Roman" w:cs="Times New Roman" w:eastAsia="Times New Roman" w:hAnsi="Times New Roman"/>
          <w:sz w:val="19"/>
          <w:szCs w:val="19"/>
          <w:color w:val="auto"/>
        </w:rPr>
        <w:t>payment of principal, interest, fees or other sum payable under the Loan Documents (which shall be applied as specified by the Borrower) or</w:t>
      </w:r>
    </w:p>
    <w:p>
      <w:pPr>
        <w:spacing w:after="0" w:line="1" w:lineRule="exact"/>
        <w:rPr>
          <w:sz w:val="20"/>
          <w:szCs w:val="20"/>
          <w:color w:val="auto"/>
        </w:rPr>
      </w:pPr>
    </w:p>
    <w:p>
      <w:pPr>
        <w:jc w:val="both"/>
        <w:ind w:firstLine="8"/>
        <w:spacing w:after="0" w:line="209" w:lineRule="auto"/>
        <w:tabs>
          <w:tab w:leader="none" w:pos="327"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mandatory prepayment (which shall be applied in accordance with Section 2.11) or (ii) after an Event of Default has occurred and is continuing and the Administrative Agent so elects or the Required Lenders so direct, in each case,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including amounts then due to the Administrative Agent, the Swingline Lender and the Issuing Bank from the Borrower (other than in connection with Banking Services Obligations or Swap Agreement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indemnities or expense reimbursements then due to the Lenders from the Loan Parties (other than in connection with Banking Services Obligations or Swap Agreement Obligations),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Section 2.22, ratably,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any other Secured Obligation due to the Administrative Agent or any Lender from the Borrower or any other Loan Party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neither the Administrative Agent nor any Lender shall apply any payment which it receives to any Term Benchmark Loan, except (i) on the expiration date of the Interest Period applicable thereto, or (ii) in the event, and only to the extent, that there are no outstanding ABR Loans and,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event, the Borrower shall pay the break funding payment required in accordance with Section 2.16. The Administrative Agent and the</w:t>
      </w:r>
    </w:p>
    <w:p>
      <w:pPr>
        <w:spacing w:after="0" w:line="221" w:lineRule="auto"/>
        <w:rPr>
          <w:sz w:val="20"/>
          <w:szCs w:val="20"/>
          <w:color w:val="auto"/>
        </w:rPr>
      </w:pPr>
      <w:r>
        <w:rPr>
          <w:rFonts w:ascii="Times New Roman" w:cs="Times New Roman" w:eastAsia="Times New Roman" w:hAnsi="Times New Roman"/>
          <w:sz w:val="20"/>
          <w:szCs w:val="20"/>
          <w:color w:val="auto"/>
        </w:rPr>
        <w:t>Lenders shall have the continuing and exclusive right to apply and reverse and reapply any and all such proceeds and payments to any portion of the Secured Obligations.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Secured Obligations arising under Banking Services Obligations or Swap Agreement Obligations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shall be excluded from the application described above and paid in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the Administrative Agent has not received written notice thereof, together with such supporting documentation as the Administrative Agent may have reasonably requested from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provider of such Banking Services or Swap Agreements.</w:t>
      </w:r>
    </w:p>
    <w:p>
      <w:pPr>
        <w:spacing w:after="0" w:line="167" w:lineRule="exact"/>
        <w:rPr>
          <w:sz w:val="20"/>
          <w:szCs w:val="20"/>
          <w:color w:val="auto"/>
        </w:rPr>
      </w:pPr>
    </w:p>
    <w:p>
      <w:pPr>
        <w:jc w:val="both"/>
        <w:ind w:firstLine="656"/>
        <w:spacing w:after="0" w:line="212" w:lineRule="auto"/>
        <w:tabs>
          <w:tab w:leader="none" w:pos="1281"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pursuant to Section 2.03 or 2.05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spacing w:after="0" w:line="155" w:lineRule="exact"/>
        <w:rPr>
          <w:rFonts w:ascii="Times New Roman" w:cs="Times New Roman" w:eastAsia="Times New Roman" w:hAnsi="Times New Roman"/>
          <w:sz w:val="20"/>
          <w:szCs w:val="20"/>
          <w:color w:val="010000"/>
        </w:rPr>
      </w:pPr>
    </w:p>
    <w:p>
      <w:pPr>
        <w:jc w:val="both"/>
        <w:ind w:firstLine="656"/>
        <w:spacing w:after="0" w:line="210" w:lineRule="auto"/>
        <w:tabs>
          <w:tab w:leader="none" w:pos="1198"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or sale of a participation in any of its Loans or participations in LC Disbursements or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8"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146"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prior to any date on which any payment is due to the Administrative Agent for the account of the relevant Lenders or the Issuing Bank pursuant to the terms hereof or any other Loan Document (including any date that is fixed for prepayment by notice from the Borrower to the Administrative Agent pursuant to Section 2.11(f)),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Administrative Agent, at the greater of the NYFRB Rate and a rate determined by the Administrative Agent in accordance with banking industry rules on interbank compensation.</w:t>
      </w:r>
    </w:p>
    <w:p>
      <w:pPr>
        <w:spacing w:after="0" w:line="148" w:lineRule="exact"/>
        <w:rPr>
          <w:sz w:val="20"/>
          <w:szCs w:val="20"/>
          <w:color w:val="auto"/>
        </w:rPr>
      </w:pPr>
    </w:p>
    <w:p>
      <w:pPr>
        <w:jc w:val="both"/>
        <w:ind w:firstLine="656"/>
        <w:spacing w:after="0" w:line="215" w:lineRule="auto"/>
        <w:tabs>
          <w:tab w:leader="none" w:pos="1057"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from time to time provide the Borrower with account statements or invoices with respect to any of the Secured Obligations (the “</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6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2.19.</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5" w:lineRule="auto"/>
        <w:tabs>
          <w:tab w:leader="none" w:pos="1173"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64" w:lineRule="exact"/>
        <w:rPr>
          <w:rFonts w:ascii="Times New Roman" w:cs="Times New Roman" w:eastAsia="Times New Roman" w:hAnsi="Times New Roman"/>
          <w:sz w:val="20"/>
          <w:szCs w:val="20"/>
          <w:color w:val="010000"/>
        </w:rPr>
      </w:pPr>
    </w:p>
    <w:p>
      <w:pPr>
        <w:jc w:val="both"/>
        <w:ind w:firstLine="656"/>
        <w:spacing w:after="0" w:line="208" w:lineRule="auto"/>
        <w:tabs>
          <w:tab w:leader="none" w:pos="1184" w:val="left"/>
        </w:tabs>
        <w:numPr>
          <w:ilvl w:val="0"/>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requests compensation under Section 2.15, or if the Borrower is required to pay any Indemnified Taxes or additional amounts to any Lender or any Governmental Authority for the account of any Lender pursuant to Section 2.17, if any Lender becomes a Defaulting Lender, or any Lender has refused to consent to any proposed amendment, modification, waiver, termination or consent with respect to any provision of this Agreement or any Loan Document that, pursuant to Section 9.02, requires the consent of all Lenders or each Lender affected thereby and with respect to which Lenders constituting the Required Lenders have consented to such proposed amendment, modification, waiver, termination or consent (such refusing Lender,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(other than any Ineligible Institution)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in circumstances where its consent would be required under Section 9.04, the Issuing Bank and the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(iii) in the case of any such assignment resulting from a claim for compensation under Section 2.15 or payments required to be made pursuant to Section 2.17, such assignment will result in a reduction in such compensation or payments and (iv) in the case of any such assignment resulting from a Lender being a Non-Consenting Lender, such assignment shall occur no later than thirty (30) days following such Lender becoming a Non-Consenting Lender and the new Lender shall have consented to such proposed amendment, modification, waiver, termination or consent. A Lender shall not be required to make any such assignment and delegation if, prior thereto, as a result of a waiver by such Lender or otherwise, the circumstances entitling the Borrower to require such assignment and delegation cease to apply. Each party hereto agrees that (x) an assignment required pursuant to this paragraph may be effected pursuant to an Assignment and Assumption executed by the Borrower,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assignee (or, to the extent applicable, an agreement incorporating an Assignment and Assumption by reference pursuant to an</w:t>
      </w:r>
    </w:p>
    <w:p>
      <w:pPr>
        <w:spacing w:after="0" w:line="204" w:lineRule="auto"/>
        <w:rPr>
          <w:sz w:val="20"/>
          <w:szCs w:val="20"/>
          <w:color w:val="auto"/>
        </w:rPr>
      </w:pPr>
      <w:r>
        <w:rPr>
          <w:rFonts w:ascii="Times New Roman" w:cs="Times New Roman" w:eastAsia="Times New Roman" w:hAnsi="Times New Roman"/>
          <w:sz w:val="20"/>
          <w:szCs w:val="20"/>
          <w:color w:val="auto"/>
        </w:rPr>
        <w:t>Approved Electronic Platform as to which the Administrative Agent and such parties are participants), and (y) the Lender required to make such assignment need not be a party thereto in order for such assignment to be effective and shall be deemed to have consented to and be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execute and deliver such documents necessary to evidence such assignment as reasonably requested by the applicable Lender, provided that any such documents shall be without recourse to or warranty by the parties thereto.</w:t>
      </w:r>
    </w:p>
    <w:p>
      <w:pPr>
        <w:spacing w:after="0" w:line="156"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20"/>
          <w:szCs w:val="20"/>
          <w:color w:val="010000"/>
        </w:rPr>
        <w:t>SECTION 2.20.</w:t>
      </w:r>
      <w:r>
        <w:rPr>
          <w:sz w:val="20"/>
          <w:szCs w:val="20"/>
          <w:color w:val="auto"/>
        </w:rPr>
        <w:tab/>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w:t>
      </w: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153"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fees shall cease to accrue on the unfunded portion of the Revolving Commitment of such Defaulting Lender pursuant to Section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2.12(a);</w:t>
      </w:r>
    </w:p>
    <w:p>
      <w:pPr>
        <w:spacing w:after="0" w:line="167" w:lineRule="exact"/>
        <w:rPr>
          <w:sz w:val="20"/>
          <w:szCs w:val="20"/>
          <w:color w:val="auto"/>
        </w:rPr>
      </w:pPr>
    </w:p>
    <w:p>
      <w:pPr>
        <w:jc w:val="both"/>
        <w:ind w:firstLine="656"/>
        <w:spacing w:after="0" w:line="208" w:lineRule="auto"/>
        <w:tabs>
          <w:tab w:leader="none" w:pos="1211"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Bank or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future LC Exposure with respect to such Defaulting Lender with respect to future Letters of Credit issued under this Agreement, in accordance with this Section;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76" w:lineRule="exact"/>
        <w:rPr>
          <w:sz w:val="20"/>
          <w:szCs w:val="20"/>
          <w:color w:val="auto"/>
        </w:rPr>
      </w:pPr>
    </w:p>
    <w:p>
      <w:pPr>
        <w:jc w:val="both"/>
        <w:ind w:firstLine="656"/>
        <w:spacing w:after="0" w:line="220" w:lineRule="auto"/>
        <w:tabs>
          <w:tab w:leader="none" w:pos="1160"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47"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Swingline Exposure or LC Exposure exists at the time such Lender becomes a Defaulting Lender then:</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20" w:lineRule="auto"/>
        <w:tabs>
          <w:tab w:leader="none" w:pos="1774"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47" w:lineRule="exact"/>
        <w:rPr>
          <w:rFonts w:ascii="Times New Roman" w:cs="Times New Roman" w:eastAsia="Times New Roman" w:hAnsi="Times New Roman"/>
          <w:sz w:val="20"/>
          <w:szCs w:val="20"/>
          <w:color w:val="010000"/>
        </w:rPr>
      </w:pPr>
    </w:p>
    <w:p>
      <w:pPr>
        <w:ind w:left="1760" w:hanging="456"/>
        <w:spacing w:after="0"/>
        <w:tabs>
          <w:tab w:leader="none" w:pos="1760" w:val="left"/>
        </w:tabs>
        <w:numPr>
          <w:ilvl w:val="1"/>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the reallocation described in clause (i) above cannot, or can only partially, be effected, the Borrower shall within one</w:t>
      </w:r>
    </w:p>
    <w:p>
      <w:pPr>
        <w:spacing w:after="0" w:line="6" w:lineRule="exact"/>
        <w:rPr>
          <w:rFonts w:ascii="Times New Roman" w:cs="Times New Roman" w:eastAsia="Times New Roman" w:hAnsi="Times New Roman"/>
          <w:sz w:val="19"/>
          <w:szCs w:val="19"/>
          <w:color w:val="010000"/>
        </w:rPr>
      </w:pPr>
    </w:p>
    <w:p>
      <w:pPr>
        <w:jc w:val="both"/>
        <w:ind w:left="660"/>
        <w:spacing w:after="0" w:line="216"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 xml:space="preserve">(1) Business Day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Swingline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62" w:lineRule="exact"/>
        <w:rPr>
          <w:rFonts w:ascii="Times New Roman" w:cs="Times New Roman" w:eastAsia="Times New Roman" w:hAnsi="Times New Roman"/>
          <w:sz w:val="19"/>
          <w:szCs w:val="19"/>
          <w:color w:val="010000"/>
        </w:rPr>
      </w:pPr>
    </w:p>
    <w:p>
      <w:pPr>
        <w:jc w:val="both"/>
        <w:ind w:left="660" w:firstLine="644"/>
        <w:spacing w:after="0" w:line="226" w:lineRule="auto"/>
        <w:tabs>
          <w:tab w:leader="none" w:pos="1802"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spacing w:after="0" w:line="146"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818"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48"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750" w:val="left"/>
        </w:tabs>
        <w:numPr>
          <w:ilvl w:val="1"/>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092"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100% covered by the Revolving Commitments of the non-Defaulting Lenders and/or cash collateral will be provided by the Borrower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(i) a Bankruptcy Event or a Bail-In Action with respect to the Parent of any Lender shall occur following the date hereof and for so</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long as such event shall continue or (ii) the Swingline Lender or the Issuing Bank has a good faith belief that any Lender has defaulted in fulfilling its obligations under one or more other agreements in which such Lender commits to extend credit, the Swingline Lender shall not</w:t>
      </w:r>
    </w:p>
    <w:p>
      <w:pPr>
        <w:spacing w:after="0" w:line="223" w:lineRule="auto"/>
        <w:rPr>
          <w:sz w:val="20"/>
          <w:szCs w:val="20"/>
          <w:color w:val="auto"/>
        </w:rPr>
      </w:pPr>
      <w:r>
        <w:rPr>
          <w:rFonts w:ascii="Times New Roman" w:cs="Times New Roman" w:eastAsia="Times New Roman" w:hAnsi="Times New Roman"/>
          <w:sz w:val="19"/>
          <w:szCs w:val="19"/>
          <w:color w:val="auto"/>
        </w:rPr>
        <w:t>be required to fund any Swingline Loan and the Issuing Bank shall not be required to issue, amend or increase any Letter of Credit, unless the</w:t>
      </w:r>
    </w:p>
    <w:p>
      <w:pPr>
        <w:spacing w:after="0" w:line="221" w:lineRule="auto"/>
        <w:rPr>
          <w:sz w:val="20"/>
          <w:szCs w:val="20"/>
          <w:color w:val="auto"/>
        </w:rPr>
      </w:pPr>
      <w:r>
        <w:rPr>
          <w:rFonts w:ascii="Times New Roman" w:cs="Times New Roman" w:eastAsia="Times New Roman" w:hAnsi="Times New Roman"/>
          <w:sz w:val="20"/>
          <w:szCs w:val="20"/>
          <w:color w:val="auto"/>
        </w:rPr>
        <w:t>Swingline Lender or the Issuing Bank, as the case may be, shall have entered into arrangements with the Borrower or such Lender, satisfactory to the Swingline Lender or the Issuing Bank, as the case may be, to defease any risk to it in respect of such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the event that each of the Administrative Agent, the Borrower, the Swingline Lender and the Issuing Bank agrees that a Defaulting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has adequately remedied all matters that caused such Lender to be a Defaulting Lender, then the Swingline Exposure and LC Exposure of the Lenders shall be readjusted to reflect the inclusion of such Lender’s Revolving Commitment and on the date of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2.21. </w:t>
      </w:r>
      <w:r>
        <w:rPr>
          <w:rFonts w:ascii="Times New Roman" w:cs="Times New Roman" w:eastAsia="Times New Roman" w:hAnsi="Times New Roman"/>
          <w:sz w:val="20"/>
          <w:szCs w:val="20"/>
          <w:u w:val="single" w:color="auto"/>
          <w:color w:val="000000"/>
        </w:rPr>
        <w:t>Returned Payments</w:t>
      </w:r>
      <w:r>
        <w:rPr>
          <w:rFonts w:ascii="Times New Roman" w:cs="Times New Roman" w:eastAsia="Times New Roman" w:hAnsi="Times New Roman"/>
          <w:sz w:val="20"/>
          <w:szCs w:val="20"/>
          <w:color w:val="000000"/>
        </w:rPr>
        <w:t>. If, after receipt of any payment which is applied to the payment of all or any part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Obligations (including a payment effected through exercise of a right of setoff), the Administrative Agent or any Lender is for any reason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compelled to surrender such payment or proceeds to any Person because such payment or application of proceeds is invalidated, declared fraudulent, set aside, determined to be void or voidable as a preference, impermissible setoff, or a diversion of trust funds, or for any other</w:t>
      </w:r>
    </w:p>
    <w:p>
      <w:pPr>
        <w:spacing w:after="0" w:line="211" w:lineRule="auto"/>
        <w:rPr>
          <w:sz w:val="20"/>
          <w:szCs w:val="20"/>
          <w:color w:val="auto"/>
        </w:rPr>
      </w:pPr>
      <w:r>
        <w:rPr>
          <w:rFonts w:ascii="Times New Roman" w:cs="Times New Roman" w:eastAsia="Times New Roman" w:hAnsi="Times New Roman"/>
          <w:sz w:val="20"/>
          <w:szCs w:val="20"/>
          <w:color w:val="auto"/>
        </w:rPr>
        <w:t>reason (including pursuant to any settlement entered into by the Administrative Agent or such Lender in its discretion), then the Obligations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w:t>
      </w:r>
    </w:p>
    <w:p>
      <w:pPr>
        <w:ind w:right="20"/>
        <w:spacing w:after="0" w:line="221" w:lineRule="auto"/>
        <w:rPr>
          <w:sz w:val="20"/>
          <w:szCs w:val="20"/>
          <w:color w:val="auto"/>
        </w:rPr>
      </w:pPr>
      <w:r>
        <w:rPr>
          <w:rFonts w:ascii="Times New Roman" w:cs="Times New Roman" w:eastAsia="Times New Roman" w:hAnsi="Times New Roman"/>
          <w:sz w:val="20"/>
          <w:szCs w:val="20"/>
          <w:color w:val="auto"/>
        </w:rPr>
        <w:t>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56"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2.22.</w:t>
      </w:r>
      <w:r>
        <w:rPr>
          <w:sz w:val="20"/>
          <w:szCs w:val="20"/>
          <w:color w:val="auto"/>
        </w:rPr>
        <w:tab/>
      </w:r>
      <w:r>
        <w:rPr>
          <w:rFonts w:ascii="Times New Roman" w:cs="Times New Roman" w:eastAsia="Times New Roman" w:hAnsi="Times New Roman"/>
          <w:sz w:val="20"/>
          <w:szCs w:val="20"/>
          <w:u w:val="single" w:color="auto"/>
          <w:color w:val="auto"/>
        </w:rPr>
        <w:t>Banking Services and Swap Agreements</w:t>
      </w:r>
      <w:r>
        <w:rPr>
          <w:rFonts w:ascii="Times New Roman" w:cs="Times New Roman" w:eastAsia="Times New Roman" w:hAnsi="Times New Roman"/>
          <w:sz w:val="20"/>
          <w:szCs w:val="20"/>
          <w:color w:val="auto"/>
        </w:rPr>
        <w:t>. Each Lender or Affiliate thereof providing Banking Services for, or</w:t>
      </w:r>
    </w:p>
    <w:p>
      <w:pPr>
        <w:spacing w:after="0" w:line="215" w:lineRule="auto"/>
        <w:rPr>
          <w:sz w:val="20"/>
          <w:szCs w:val="20"/>
          <w:color w:val="auto"/>
        </w:rPr>
      </w:pPr>
      <w:r>
        <w:rPr>
          <w:rFonts w:ascii="Times New Roman" w:cs="Times New Roman" w:eastAsia="Times New Roman" w:hAnsi="Times New Roman"/>
          <w:sz w:val="19"/>
          <w:szCs w:val="19"/>
          <w:color w:val="auto"/>
        </w:rPr>
        <w:t>having Swap Agreements with, any Loan Party or any Subsidiary shall deliver to the Administrative Agent, promptly after entering into such Banking Services or Swap Agreements, written notice setting forth the aggregate amount of all Banking Services Obligations and Swap</w:t>
      </w:r>
    </w:p>
    <w:p>
      <w:pPr>
        <w:spacing w:after="0" w:line="222" w:lineRule="auto"/>
        <w:rPr>
          <w:sz w:val="20"/>
          <w:szCs w:val="20"/>
          <w:color w:val="auto"/>
        </w:rPr>
      </w:pPr>
      <w:r>
        <w:rPr>
          <w:rFonts w:ascii="Times New Roman" w:cs="Times New Roman" w:eastAsia="Times New Roman" w:hAnsi="Times New Roman"/>
          <w:sz w:val="19"/>
          <w:szCs w:val="19"/>
          <w:color w:val="auto"/>
        </w:rPr>
        <w:t>Agreement Obligations of such Loan Party or Subsidiary to such Lender or Affiliate (whether matured or unmatured, absolute or contingent).</w:t>
      </w:r>
    </w:p>
    <w:p>
      <w:pPr>
        <w:spacing w:after="0" w:line="204" w:lineRule="auto"/>
        <w:rPr>
          <w:sz w:val="20"/>
          <w:szCs w:val="20"/>
          <w:color w:val="auto"/>
        </w:rPr>
      </w:pPr>
      <w:r>
        <w:rPr>
          <w:rFonts w:ascii="Times New Roman" w:cs="Times New Roman" w:eastAsia="Times New Roman" w:hAnsi="Times New Roman"/>
          <w:sz w:val="20"/>
          <w:szCs w:val="20"/>
          <w:color w:val="auto"/>
        </w:rPr>
        <w:t>In furtherance of that requirement, each such Lender or Affiliate thereof shall furnish the Administrative Agent, from time to time after a significant change therein or upon a request therefor, a summary of the amounts due or to become due in respect of such Banking Services</w:t>
      </w:r>
    </w:p>
    <w:p>
      <w:pPr>
        <w:spacing w:after="0" w:line="211" w:lineRule="auto"/>
        <w:rPr>
          <w:sz w:val="20"/>
          <w:szCs w:val="20"/>
          <w:color w:val="auto"/>
        </w:rPr>
      </w:pPr>
      <w:r>
        <w:rPr>
          <w:rFonts w:ascii="Times New Roman" w:cs="Times New Roman" w:eastAsia="Times New Roman" w:hAnsi="Times New Roman"/>
          <w:sz w:val="20"/>
          <w:szCs w:val="20"/>
          <w:color w:val="auto"/>
        </w:rPr>
        <w:t>Obligations and Swap Agreement Obligations. The most recent information provided to the Administrative Agent shall be used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determining which tier of the waterfall, contained in Section 2.18(b), such Banking Services Obligations and/or Swap Agreement Obligations will be placed. For the avoidance of doubt, so long as Chase or its Affiliate is the Administrative Agent, neither Chase nor any of its</w:t>
      </w:r>
    </w:p>
    <w:p>
      <w:pPr>
        <w:spacing w:after="0" w:line="228" w:lineRule="auto"/>
        <w:rPr>
          <w:sz w:val="20"/>
          <w:szCs w:val="20"/>
          <w:color w:val="auto"/>
        </w:rPr>
      </w:pPr>
      <w:r>
        <w:rPr>
          <w:rFonts w:ascii="Times New Roman" w:cs="Times New Roman" w:eastAsia="Times New Roman" w:hAnsi="Times New Roman"/>
          <w:sz w:val="20"/>
          <w:szCs w:val="20"/>
          <w:color w:val="auto"/>
        </w:rPr>
        <w:t>Affiliates providing Banking Services for, or having Swap Agreements with, any Loan Party or any Subsidiary of a Loan Party shall be required to provide any notice described in this Section 2.22 in respect of such Banking Services or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III</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 (and where applicable, agrees):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3.01. </w:t>
      </w:r>
      <w:r>
        <w:rPr>
          <w:rFonts w:ascii="Times New Roman" w:cs="Times New Roman" w:eastAsia="Times New Roman" w:hAnsi="Times New Roman"/>
          <w:sz w:val="20"/>
          <w:szCs w:val="20"/>
          <w:u w:val="single" w:color="auto"/>
          <w:color w:val="000000"/>
        </w:rPr>
        <w:t>Organization; Powers</w:t>
      </w:r>
      <w:r>
        <w:rPr>
          <w:rFonts w:ascii="Times New Roman" w:cs="Times New Roman" w:eastAsia="Times New Roman" w:hAnsi="Times New Roman"/>
          <w:sz w:val="20"/>
          <w:szCs w:val="20"/>
          <w:color w:val="000000"/>
        </w:rPr>
        <w:t>. Each Loan Party and each Subsidiary is duly organized or formed, validly existing and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good standing under the laws of the jurisdiction of its organization, has all requisite power and authority to carry on its business as now</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3.02. </w:t>
      </w:r>
      <w:r>
        <w:rPr>
          <w:rFonts w:ascii="Times New Roman" w:cs="Times New Roman" w:eastAsia="Times New Roman" w:hAnsi="Times New Roman"/>
          <w:sz w:val="20"/>
          <w:szCs w:val="20"/>
          <w:u w:val="single" w:color="auto"/>
          <w:color w:val="000000"/>
        </w:rPr>
        <w:t>Authorization; Enforceability</w:t>
      </w:r>
      <w:r>
        <w:rPr>
          <w:rFonts w:ascii="Times New Roman" w:cs="Times New Roman" w:eastAsia="Times New Roman" w:hAnsi="Times New Roman"/>
          <w:sz w:val="20"/>
          <w:szCs w:val="20"/>
          <w:color w:val="000000"/>
        </w:rPr>
        <w:t>. The Transactions are within each Loan Party’s corporate or other organizational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powers and have been duly authorized by all necessary corporate or other organizational actions and, if required, actions by equity holders.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Each Loan Document to which each Loan Party is a party has been duly executed and delivered by such Loan Party and constitutes a legal, valid and binding obligation of such Loan Party, enforceable in accordance with its terms, subject to applicable bankruptcy, insolvency,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reorganization, moratorium or other laws affecting creditors’ rights generally and subject to general principles of equity, regardless of whether considered in a proceeding in equity or at law.</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3.03. </w:t>
      </w:r>
      <w:r>
        <w:rPr>
          <w:rFonts w:ascii="Times New Roman" w:cs="Times New Roman" w:eastAsia="Times New Roman" w:hAnsi="Times New Roman"/>
          <w:sz w:val="20"/>
          <w:szCs w:val="20"/>
          <w:u w:val="single" w:color="auto"/>
          <w:color w:val="000000"/>
        </w:rPr>
        <w:t>Governmental Approvals; No Conflicts</w:t>
      </w:r>
      <w:r>
        <w:rPr>
          <w:rFonts w:ascii="Times New Roman" w:cs="Times New Roman" w:eastAsia="Times New Roman" w:hAnsi="Times New Roman"/>
          <w:sz w:val="20"/>
          <w:szCs w:val="20"/>
          <w:color w:val="000000"/>
        </w:rPr>
        <w:t>. The Transactions (a) do not require any consent or approval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registration or filing with, or any other action by, any Governmental Authority, except such as have been obtained or made and are in full</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force and effect and except for filings necessary to perfect Liens created pursuant to the Loan Documents, except where the failure to do so, individually or in the aggregate, could not reasonably be expected to result in a Material Adverse Effect, (b) will not violate any Requirement</w:t>
      </w:r>
    </w:p>
    <w:p>
      <w:pPr>
        <w:spacing w:after="0" w:line="211" w:lineRule="auto"/>
        <w:rPr>
          <w:sz w:val="20"/>
          <w:szCs w:val="20"/>
          <w:color w:val="auto"/>
        </w:rPr>
      </w:pPr>
      <w:r>
        <w:rPr>
          <w:rFonts w:ascii="Times New Roman" w:cs="Times New Roman" w:eastAsia="Times New Roman" w:hAnsi="Times New Roman"/>
          <w:sz w:val="20"/>
          <w:szCs w:val="20"/>
          <w:color w:val="auto"/>
        </w:rPr>
        <w:t>of Law applicable to any Loan Party or any Subsidiary, (c) will not violate or result in a default under any indenture, agreement or other</w:t>
      </w:r>
    </w:p>
    <w:p>
      <w:pPr>
        <w:spacing w:after="0" w:line="215" w:lineRule="auto"/>
        <w:rPr>
          <w:sz w:val="20"/>
          <w:szCs w:val="20"/>
          <w:color w:val="auto"/>
        </w:rPr>
      </w:pPr>
      <w:r>
        <w:rPr>
          <w:rFonts w:ascii="Times New Roman" w:cs="Times New Roman" w:eastAsia="Times New Roman" w:hAnsi="Times New Roman"/>
          <w:sz w:val="19"/>
          <w:szCs w:val="19"/>
          <w:color w:val="auto"/>
        </w:rPr>
        <w:t>instrument binding upon any Loan Party or any Subsidiary or the assets of any Loan Party or any Subsidiary, or give rise to a right thereunder to require any payment to be made by any Loan Party or any Subsidiary, except as could not, individually or in the aggregate, reasonably be</w:t>
      </w:r>
    </w:p>
    <w:p>
      <w:pPr>
        <w:spacing w:after="0" w:line="228" w:lineRule="auto"/>
        <w:rPr>
          <w:sz w:val="20"/>
          <w:szCs w:val="20"/>
          <w:color w:val="auto"/>
        </w:rPr>
      </w:pPr>
      <w:r>
        <w:rPr>
          <w:rFonts w:ascii="Times New Roman" w:cs="Times New Roman" w:eastAsia="Times New Roman" w:hAnsi="Times New Roman"/>
          <w:sz w:val="20"/>
          <w:szCs w:val="20"/>
          <w:color w:val="auto"/>
        </w:rPr>
        <w:t>expected to result in a Material Adverse Effect, and (d) will not result in the creation or imposition of, or other requirement to create, any Lien on any asset of any Loan Party or any Subsidiary, except Liens created pursuant to the Loan Documents.</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3.04.</w:t>
      </w:r>
      <w:r>
        <w:rPr>
          <w:sz w:val="20"/>
          <w:szCs w:val="20"/>
          <w:color w:val="auto"/>
        </w:rPr>
        <w:tab/>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119"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has heretofore furnished to the Lenders its consolidated balance sheet and statements of income, stockholders equity and cash flows (i) as of and for the fiscal year ended December 31, 2022, reported on by Deloitte &amp; Touche LLP, independent public accountants, and (ii) as of and for the fiscal quarter and the portion of the fiscal year ended June 30, 2023, certified by its Financial Officer. Such financial statements present fairly, in all material respects, the financial position and results of operations and cash flows of the Borrower and its consolidated Subsidiaries as of such dates and for such periods in accordance with GAAP, subject to normal year end audit adjustments and the absence of footnotes in the case of the statements referred to in clause (ii) above.</w:t>
      </w:r>
    </w:p>
    <w:p>
      <w:pPr>
        <w:spacing w:after="0" w:line="162" w:lineRule="exact"/>
        <w:rPr>
          <w:rFonts w:ascii="Times New Roman" w:cs="Times New Roman" w:eastAsia="Times New Roman" w:hAnsi="Times New Roman"/>
          <w:sz w:val="20"/>
          <w:szCs w:val="20"/>
          <w:color w:val="010000"/>
        </w:rPr>
      </w:pPr>
    </w:p>
    <w:p>
      <w:pPr>
        <w:ind w:firstLine="656"/>
        <w:spacing w:after="0" w:line="233" w:lineRule="auto"/>
        <w:tabs>
          <w:tab w:leader="none" w:pos="1117"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event, change or condition has occurred that has had, or could reasonably be expected to have, a Material Adverse Effect, since December 31, 2022.</w:t>
      </w:r>
    </w:p>
    <w:p>
      <w:pPr>
        <w:spacing w:after="0" w:line="16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3.05.</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079"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of the date of this Agreement,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Subsidiary has good and indefeasible title to, or valid leasehold interests in, all of its real and personal property, free of all Liens other than those permitted by Section 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6" w:lineRule="exact"/>
        <w:rPr>
          <w:sz w:val="20"/>
          <w:szCs w:val="20"/>
          <w:color w:val="auto"/>
        </w:rPr>
      </w:pPr>
    </w:p>
    <w:p>
      <w:pPr>
        <w:jc w:val="both"/>
        <w:ind w:firstLine="656"/>
        <w:spacing w:after="0" w:line="216" w:lineRule="auto"/>
        <w:tabs>
          <w:tab w:leader="none" w:pos="1157"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Party and each Subsidiary owns, or is licensed to use, all trademarks, tradenames, copyrights, patents and other intellectual property necessary to its business as currently conducted, and a correct and complete list of all U.S. registered Intellectual Property as of the date of this Agreement is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and the use thereof by each Loan Party and each Subsidiary, to the knowledge of such Loan Party or such Subsidiary, does not infringe in any material respect upon the rights of any other Person, and each Loan Party’s and each Subsidiary’s rights thereto are not subject to any licensing agreement or similar arrangement other than non-exclusive arrangements in the ordinary course of business or otherwise permitted hereby.</w:t>
      </w:r>
    </w:p>
    <w:p>
      <w:pPr>
        <w:spacing w:after="0" w:line="162"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079"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software and source code developed by each Loan Party and its Subsidiaries, either by their employee(s) or a third party on behalf of a Loan Party and its Subsidiaries, material to their business are either subject to written work-made-for-hire agreements or are owned by a Loan Party or its Subsidiaries by operation of any Requirements of Law and, except as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do not contain any source code or other materials subject to or licensed under an open source license in such a way that grants, or purports to grant, to any third party any rights or immunities under any software or source code developed by each Loan Party and its Subsidiaries and material to their business.</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3.06.</w:t>
      </w:r>
      <w:r>
        <w:rPr>
          <w:sz w:val="20"/>
          <w:szCs w:val="20"/>
          <w:color w:val="auto"/>
        </w:rPr>
        <w:tab/>
      </w:r>
      <w:r>
        <w:rPr>
          <w:rFonts w:ascii="Times New Roman" w:cs="Times New Roman" w:eastAsia="Times New Roman" w:hAnsi="Times New Roman"/>
          <w:sz w:val="19"/>
          <w:szCs w:val="19"/>
          <w:u w:val="single" w:color="auto"/>
          <w:color w:val="auto"/>
        </w:rPr>
        <w:t>Litigation and Environmental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146" w:val="left"/>
        </w:tabs>
        <w:numPr>
          <w:ilvl w:val="0"/>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or (ii) that involve any Loan Document or the Transactions.</w:t>
      </w:r>
    </w:p>
    <w:p>
      <w:pPr>
        <w:spacing w:after="0" w:line="148"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090" w:val="left"/>
        </w:tabs>
        <w:numPr>
          <w:ilvl w:val="0"/>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No Loan Party nor any Subsidiary has received notice of any claim with respect to any Environmental Liability or knows of any basis for any Environmental Liability and (ii) and except with respect to any other matters that, individually or in the aggregate, could not reasonably be expected to result in a Material Adverse Effect, no Loan Party nor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57"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0"/>
          <w:szCs w:val="20"/>
          <w:color w:val="010000"/>
        </w:rPr>
        <w:t>SECTION 3.07.</w:t>
      </w:r>
      <w:r>
        <w:rPr>
          <w:sz w:val="20"/>
          <w:szCs w:val="20"/>
          <w:color w:val="auto"/>
        </w:rPr>
        <w:tab/>
      </w:r>
      <w:r>
        <w:rPr>
          <w:rFonts w:ascii="Times New Roman" w:cs="Times New Roman" w:eastAsia="Times New Roman" w:hAnsi="Times New Roman"/>
          <w:sz w:val="20"/>
          <w:szCs w:val="20"/>
          <w:u w:val="single" w:color="auto"/>
          <w:color w:val="auto"/>
        </w:rPr>
        <w:t>Compliance with Laws and Agreements; No Default</w:t>
      </w:r>
      <w:r>
        <w:rPr>
          <w:rFonts w:ascii="Times New Roman" w:cs="Times New Roman" w:eastAsia="Times New Roman" w:hAnsi="Times New Roman"/>
          <w:sz w:val="20"/>
          <w:szCs w:val="20"/>
          <w:color w:val="auto"/>
        </w:rPr>
        <w:t>. Except where the failure to do so, individually or in the</w:t>
      </w:r>
    </w:p>
    <w:p>
      <w:pPr>
        <w:spacing w:after="0" w:line="215" w:lineRule="auto"/>
        <w:rPr>
          <w:sz w:val="20"/>
          <w:szCs w:val="20"/>
          <w:color w:val="auto"/>
        </w:rPr>
      </w:pPr>
      <w:r>
        <w:rPr>
          <w:rFonts w:ascii="Times New Roman" w:cs="Times New Roman" w:eastAsia="Times New Roman" w:hAnsi="Times New Roman"/>
          <w:sz w:val="19"/>
          <w:szCs w:val="19"/>
          <w:color w:val="auto"/>
        </w:rPr>
        <w:t>aggregate, could not reasonably be expected to result in a Material Adverse Effect, each Loan Party and each Subsidiary is in compliance with (i) all Requirements of Law applicable to it or its property and (ii) all indentures, agreements and other instruments binding upon it or its</w:t>
      </w:r>
    </w:p>
    <w:p>
      <w:pPr>
        <w:spacing w:after="0"/>
        <w:rPr>
          <w:sz w:val="20"/>
          <w:szCs w:val="20"/>
          <w:color w:val="auto"/>
        </w:rPr>
      </w:pPr>
      <w:r>
        <w:rPr>
          <w:rFonts w:ascii="Times New Roman" w:cs="Times New Roman" w:eastAsia="Times New Roman" w:hAnsi="Times New Roman"/>
          <w:sz w:val="20"/>
          <w:szCs w:val="20"/>
          <w:color w:val="auto"/>
        </w:rPr>
        <w:t>property. No Default or Event of Default has occurred and is continuing.</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010000"/>
        </w:rPr>
        <w:t xml:space="preserve">SECTION 3.08. </w:t>
      </w:r>
      <w:r>
        <w:rPr>
          <w:rFonts w:ascii="Times New Roman" w:cs="Times New Roman" w:eastAsia="Times New Roman" w:hAnsi="Times New Roman"/>
          <w:sz w:val="20"/>
          <w:szCs w:val="20"/>
          <w:u w:val="single" w:color="auto"/>
          <w:color w:val="000000"/>
        </w:rPr>
        <w:t>Investment Company Status</w:t>
      </w:r>
      <w:r>
        <w:rPr>
          <w:rFonts w:ascii="Times New Roman" w:cs="Times New Roman" w:eastAsia="Times New Roman" w:hAnsi="Times New Roman"/>
          <w:sz w:val="20"/>
          <w:szCs w:val="20"/>
          <w:color w:val="000000"/>
        </w:rPr>
        <w:t>. No Loan Party nor any Subsidiary is an “investment company” as defined in,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subject to regulation under, the Investment Company Act of 1940.</w:t>
      </w:r>
    </w:p>
    <w:p>
      <w:pPr>
        <w:spacing w:after="0" w:line="155"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3.09.</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Loan Party and each Subsidiary has timely filed or caused to be filed all Tax returns and reports</w:t>
      </w:r>
    </w:p>
    <w:p>
      <w:pPr>
        <w:spacing w:after="0" w:line="215" w:lineRule="auto"/>
        <w:rPr>
          <w:sz w:val="20"/>
          <w:szCs w:val="20"/>
          <w:color w:val="auto"/>
        </w:rPr>
      </w:pPr>
      <w:r>
        <w:rPr>
          <w:rFonts w:ascii="Times New Roman" w:cs="Times New Roman" w:eastAsia="Times New Roman" w:hAnsi="Times New Roman"/>
          <w:sz w:val="19"/>
          <w:szCs w:val="19"/>
          <w:color w:val="auto"/>
        </w:rPr>
        <w:t>required to have been filed and has paid or caused to be paid all Taxes required to have been paid by it, except (a) Taxes that are being contested in good faith by appropriate proceedings and for which such Loan Party or such Subsidiary, as applicable, has set aside on its books</w:t>
      </w:r>
    </w:p>
    <w:p>
      <w:pPr>
        <w:spacing w:after="0"/>
        <w:rPr>
          <w:sz w:val="20"/>
          <w:szCs w:val="20"/>
          <w:color w:val="auto"/>
        </w:rPr>
      </w:pPr>
      <w:r>
        <w:rPr>
          <w:rFonts w:ascii="Times New Roman" w:cs="Times New Roman" w:eastAsia="Times New Roman" w:hAnsi="Times New Roman"/>
          <w:sz w:val="20"/>
          <w:szCs w:val="20"/>
          <w:color w:val="auto"/>
        </w:rPr>
        <w:t>adequate reserves or (b) to the extent failure to so file or pay could not reasonably be expected to result in a Material Adverse Effect.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3.10. </w:t>
      </w:r>
      <w:r>
        <w:rPr>
          <w:rFonts w:ascii="Times New Roman" w:cs="Times New Roman" w:eastAsia="Times New Roman" w:hAnsi="Times New Roman"/>
          <w:sz w:val="20"/>
          <w:szCs w:val="20"/>
          <w:u w:val="single" w:color="auto"/>
          <w:color w:val="000000"/>
        </w:rPr>
        <w:t>ERISA</w:t>
      </w:r>
      <w:r>
        <w:rPr>
          <w:rFonts w:ascii="Times New Roman" w:cs="Times New Roman" w:eastAsia="Times New Roman" w:hAnsi="Times New Roman"/>
          <w:sz w:val="20"/>
          <w:szCs w:val="20"/>
          <w:color w:val="000000"/>
        </w:rPr>
        <w:t>. No ERISA Event has occurred or is reasonably expected to occur that, when taken together with all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such ERISA Events for which liability is reasonably expected to occur, could reasonably be expected to result in a Material Adverse Effect.</w:t>
      </w:r>
    </w:p>
    <w:p>
      <w:pPr>
        <w:spacing w:after="0" w:line="212" w:lineRule="auto"/>
        <w:rPr>
          <w:sz w:val="20"/>
          <w:szCs w:val="20"/>
          <w:color w:val="auto"/>
        </w:rPr>
      </w:pPr>
      <w:r>
        <w:rPr>
          <w:rFonts w:ascii="Times New Roman" w:cs="Times New Roman" w:eastAsia="Times New Roman" w:hAnsi="Times New Roman"/>
          <w:sz w:val="20"/>
          <w:szCs w:val="20"/>
          <w:color w:val="auto"/>
        </w:rPr>
        <w:t>The present value of all accumulated benefit obligations under each Plan (based on the assumptions used for purposes of Statement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Financial Accounting Standards No. 87) did not, as of the date of the most recent financial statements reflecting such amounts, exceed the fair market value of the assets of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6"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20"/>
          <w:szCs w:val="20"/>
          <w:color w:val="010000"/>
        </w:rPr>
        <w:t>SECTION 3.11.</w:t>
      </w:r>
      <w:r>
        <w:rPr>
          <w:sz w:val="20"/>
          <w:szCs w:val="20"/>
          <w:color w:val="auto"/>
        </w:rPr>
        <w:tab/>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13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61" w:lineRule="exact"/>
        <w:rPr>
          <w:rFonts w:ascii="Times New Roman" w:cs="Times New Roman" w:eastAsia="Times New Roman" w:hAnsi="Times New Roman"/>
          <w:sz w:val="20"/>
          <w:szCs w:val="20"/>
          <w:color w:val="auto"/>
        </w:rPr>
      </w:pPr>
    </w:p>
    <w:p>
      <w:pPr>
        <w:ind w:firstLine="656"/>
        <w:spacing w:after="0" w:line="233" w:lineRule="auto"/>
        <w:tabs>
          <w:tab w:leader="none" w:pos="108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Date, to the knowledge of the Borrower, the information included in the Beneficial Ownership Certification provided on or prior to the Effective Date to any Lender in connection with this Agreement is true and correct in all respects.</w:t>
      </w:r>
    </w:p>
    <w:p>
      <w:pPr>
        <w:spacing w:after="0" w:line="15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3.12.</w:t>
      </w:r>
      <w:r>
        <w:rPr>
          <w:sz w:val="20"/>
          <w:szCs w:val="20"/>
          <w:color w:val="auto"/>
        </w:rPr>
        <w:tab/>
      </w:r>
      <w:r>
        <w:rPr>
          <w:rFonts w:ascii="Times New Roman" w:cs="Times New Roman" w:eastAsia="Times New Roman" w:hAnsi="Times New Roman"/>
          <w:sz w:val="20"/>
          <w:szCs w:val="20"/>
          <w:u w:val="single" w:color="auto"/>
          <w:color w:val="auto"/>
        </w:rPr>
        <w:t>Material Agreements</w:t>
      </w:r>
      <w:r>
        <w:rPr>
          <w:rFonts w:ascii="Times New Roman" w:cs="Times New Roman" w:eastAsia="Times New Roman" w:hAnsi="Times New Roman"/>
          <w:sz w:val="20"/>
          <w:szCs w:val="20"/>
          <w:color w:val="auto"/>
        </w:rPr>
        <w:t>. All Material Agreements to which any Loan Party is a party or is bound as of the date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this Agreement are listed on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No Loan Party nor any Subsidiary is in default in the performance, observance or fulfillment of any of the obligations, covenants or conditions contained in (i) any Material Agreement or (ii) any agreement or instrument evidencing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governing Indebtedness.</w:t>
      </w:r>
    </w:p>
    <w:p>
      <w:pPr>
        <w:spacing w:after="0" w:line="16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3.13.</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3" w:lineRule="auto"/>
        <w:tabs>
          <w:tab w:leader="none" w:pos="1106" w:val="left"/>
        </w:tabs>
        <w:numPr>
          <w:ilvl w:val="0"/>
          <w:numId w:val="1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Immediately after the consummation of the Transactions to occur on the Effective Date, and immediately after the making of each Loan and each issuance of a Letter of Credit hereunder, (i) the fair value of the assets of the Loan Parties, on a consolidated basis, at a fair valuation, will exceed their debts and liabilities, subordinated, contingent or otherwise; (ii) the present fair saleable value of the property of the Loan Parties, on a consolidated basis, will be greater than the amount that will be required to pay the probable liability of its debts and other liabilities, subordinated, contingent or otherwise, as such debts and other liabilities become absolute and matured; (iii) the Loan Parties, on a consolidated basis, will be able to pay their debts and liabilities, subordinated, contingent or otherwise, as such debts and liabilities become absolute and matured; and (iv) the Loan Parties, on a consolidated basis, will not have unreasonably small capital with which to conduct the business in which they are engaged as such businesses are now conducted and are proposed to be conducted after the Effective Date.</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090" w:val="left"/>
        </w:tabs>
        <w:numPr>
          <w:ilvl w:val="0"/>
          <w:numId w:val="1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Parties, on a consolidated basis, do not intend to and do not believe that they will, incur debts beyond their ability to pay such debts as they mature, taking into account the timing of and amounts of cash to be received by them and the timing of the amounts of cash to be payable on or in respect of their Indebtedness.</w:t>
      </w:r>
    </w:p>
    <w:p>
      <w:pPr>
        <w:spacing w:after="0" w:line="155"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3.14.</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Schedule 3.14 </w:t>
      </w:r>
      <w:r>
        <w:rPr>
          <w:rFonts w:ascii="Times New Roman" w:cs="Times New Roman" w:eastAsia="Times New Roman" w:hAnsi="Times New Roman"/>
          <w:sz w:val="20"/>
          <w:szCs w:val="20"/>
          <w:color w:val="auto"/>
        </w:rPr>
        <w:t>sets forth a description of all insurance maintained by or on behalf of the Loan Parties</w:t>
      </w:r>
    </w:p>
    <w:p>
      <w:pPr>
        <w:spacing w:after="0" w:line="215" w:lineRule="auto"/>
        <w:rPr>
          <w:sz w:val="20"/>
          <w:szCs w:val="20"/>
          <w:color w:val="auto"/>
        </w:rPr>
      </w:pPr>
      <w:r>
        <w:rPr>
          <w:rFonts w:ascii="Times New Roman" w:cs="Times New Roman" w:eastAsia="Times New Roman" w:hAnsi="Times New Roman"/>
          <w:sz w:val="19"/>
          <w:szCs w:val="19"/>
          <w:color w:val="auto"/>
        </w:rPr>
        <w:t>and their Subsidiaries as of the Effective Date. As of the Effective Date, all premiums in respect of such insurance have been paid. The Loan Parties believe that the insurance maintained by or on behalf of the Loan Parties and their Subsidiaries is adequate and is customary for</w:t>
      </w:r>
    </w:p>
    <w:p>
      <w:pPr>
        <w:spacing w:after="0"/>
        <w:rPr>
          <w:sz w:val="20"/>
          <w:szCs w:val="20"/>
          <w:color w:val="auto"/>
        </w:rPr>
      </w:pPr>
      <w:r>
        <w:rPr>
          <w:rFonts w:ascii="Times New Roman" w:cs="Times New Roman" w:eastAsia="Times New Roman" w:hAnsi="Times New Roman"/>
          <w:sz w:val="20"/>
          <w:szCs w:val="20"/>
          <w:color w:val="auto"/>
        </w:rPr>
        <w:t>companies engaged in the same or similar businesses operating in the same or similar locations.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3.15. </w:t>
      </w:r>
      <w:r>
        <w:rPr>
          <w:rFonts w:ascii="Times New Roman" w:cs="Times New Roman" w:eastAsia="Times New Roman" w:hAnsi="Times New Roman"/>
          <w:sz w:val="20"/>
          <w:szCs w:val="20"/>
          <w:u w:val="single" w:color="auto"/>
          <w:color w:val="000000"/>
        </w:rPr>
        <w:t>Capitalization and Subsidiaries</w:t>
      </w:r>
      <w:r>
        <w:rPr>
          <w:rFonts w:ascii="Times New Roman" w:cs="Times New Roman" w:eastAsia="Times New Roman" w:hAnsi="Times New Roman"/>
          <w:sz w:val="20"/>
          <w:szCs w:val="20"/>
          <w:color w:val="000000"/>
        </w:rPr>
        <w:t>. As of the Effective Date,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3.15</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sets forth (a) a correct and complete list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name and relationship to the Borrower of each Subsidiary, (b) a true and complete listing of each class of each of the Borrower’s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authorized Equity Interests, of which all of such issued Equity Interests are validly issued, outstanding, fully paid and non-assessable, and owned beneficially and of record by the Persons identified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(c) the type of entity of the Borrower and each Subsidiary, and</w:t>
      </w:r>
    </w:p>
    <w:p>
      <w:pPr>
        <w:spacing w:after="0" w:line="1" w:lineRule="exact"/>
        <w:rPr>
          <w:sz w:val="20"/>
          <w:szCs w:val="20"/>
          <w:color w:val="auto"/>
        </w:rPr>
      </w:pPr>
    </w:p>
    <w:p>
      <w:pPr>
        <w:ind w:right="20" w:firstLine="8"/>
        <w:spacing w:after="0" w:line="228" w:lineRule="auto"/>
        <w:tabs>
          <w:tab w:leader="none" w:pos="28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Subsidiary is a Loan Party or a Material Domestic Subsidiary. All of the issued and outstanding Equity Interests owned by any Loan Party have been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extent such concepts are relevant with respect to such ownership interests) duly authorized and issued and are fully paid and non-assessable.</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3.16. </w:t>
      </w:r>
      <w:r>
        <w:rPr>
          <w:rFonts w:ascii="Times New Roman" w:cs="Times New Roman" w:eastAsia="Times New Roman" w:hAnsi="Times New Roman"/>
          <w:sz w:val="20"/>
          <w:szCs w:val="20"/>
          <w:u w:val="single" w:color="auto"/>
          <w:color w:val="000000"/>
        </w:rPr>
        <w:t>Security Interest in Collateral</w:t>
      </w:r>
      <w:r>
        <w:rPr>
          <w:rFonts w:ascii="Times New Roman" w:cs="Times New Roman" w:eastAsia="Times New Roman" w:hAnsi="Times New Roman"/>
          <w:sz w:val="20"/>
          <w:szCs w:val="20"/>
          <w:color w:val="000000"/>
        </w:rPr>
        <w:t>. The provisions of this Agreement and the other Loan Documents create legal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valid Liens on all the Collateral in favor of the Administrative Agent, for the benefit of the Secured Parties, and such Liens constitute</w:t>
      </w:r>
    </w:p>
    <w:p>
      <w:pPr>
        <w:spacing w:after="0" w:line="212" w:lineRule="auto"/>
        <w:rPr>
          <w:sz w:val="20"/>
          <w:szCs w:val="20"/>
          <w:color w:val="auto"/>
        </w:rPr>
      </w:pPr>
      <w:r>
        <w:rPr>
          <w:rFonts w:ascii="Times New Roman" w:cs="Times New Roman" w:eastAsia="Times New Roman" w:hAnsi="Times New Roman"/>
          <w:sz w:val="20"/>
          <w:szCs w:val="20"/>
          <w:color w:val="auto"/>
        </w:rPr>
        <w:t>perfected and continuing Liens on the Collateral, securing the Secured Obligations, enforceable against the applicable Loan Party and 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third parties, and having priority over all other Liens on the Collateral except in the case of (a) Permitted Encumbrances, to the extent any such Permitted Encumbrances would have priority over the Liens in favor of the Administrative Agent pursuant to any applicable law 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written agreement with the Administrative Agent and (b) Liens perfected only by possession (including possession of any certificate of title), to the extent the Administrative Agent has not obtained or does not maintain possession of such Collateral.</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3.17. </w:t>
      </w:r>
      <w:r>
        <w:rPr>
          <w:rFonts w:ascii="Times New Roman" w:cs="Times New Roman" w:eastAsia="Times New Roman" w:hAnsi="Times New Roman"/>
          <w:sz w:val="19"/>
          <w:szCs w:val="19"/>
          <w:u w:val="single" w:color="auto"/>
          <w:color w:val="000000"/>
        </w:rPr>
        <w:t>Employment Matters</w:t>
      </w:r>
      <w:r>
        <w:rPr>
          <w:rFonts w:ascii="Times New Roman" w:cs="Times New Roman" w:eastAsia="Times New Roman" w:hAnsi="Times New Roman"/>
          <w:sz w:val="19"/>
          <w:szCs w:val="19"/>
          <w:color w:val="000000"/>
        </w:rPr>
        <w:t>. As of the Effective Date, there are no strikes, lockouts or slowdowns against any Loan Party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any Subsidiary pending or, to the knowledge of any Loan Party, threatened. The hours worked by and payments made to employees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Loan Parties and their Subsidiaries have not been in violation of the Fair Labor Standards Act or any other applicable federal, state, local or foreign law dealing with such matters. All payments due from any Loan Party or any Subsidiary, or for which any claim may be made against</w:t>
      </w:r>
    </w:p>
    <w:p>
      <w:pPr>
        <w:spacing w:after="0" w:line="228" w:lineRule="auto"/>
        <w:rPr>
          <w:sz w:val="20"/>
          <w:szCs w:val="20"/>
          <w:color w:val="auto"/>
        </w:rPr>
      </w:pPr>
      <w:r>
        <w:rPr>
          <w:rFonts w:ascii="Times New Roman" w:cs="Times New Roman" w:eastAsia="Times New Roman" w:hAnsi="Times New Roman"/>
          <w:sz w:val="20"/>
          <w:szCs w:val="20"/>
          <w:color w:val="auto"/>
        </w:rPr>
        <w:t>any Loan Party or any Subsidiary, on account of wages and employee health and welfare insurance and other benefits, have been paid or accrued as a liability on the books of such Loan Party or such Subsidiary.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3.18. </w:t>
      </w:r>
      <w:r>
        <w:rPr>
          <w:rFonts w:ascii="Times New Roman" w:cs="Times New Roman" w:eastAsia="Times New Roman" w:hAnsi="Times New Roman"/>
          <w:sz w:val="20"/>
          <w:szCs w:val="20"/>
          <w:u w:val="single" w:color="auto"/>
          <w:color w:val="000000"/>
        </w:rPr>
        <w:t>Margin Regulations</w:t>
      </w:r>
      <w:r>
        <w:rPr>
          <w:rFonts w:ascii="Times New Roman" w:cs="Times New Roman" w:eastAsia="Times New Roman" w:hAnsi="Times New Roman"/>
          <w:sz w:val="20"/>
          <w:szCs w:val="20"/>
          <w:color w:val="000000"/>
        </w:rPr>
        <w:t>. No Loan Party is engaged and will not engage, principally or as one of its important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activities, in the business of purchasing or carrying Margin Stock, or extending credit for the purpose of purchasing or carrying Margin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Stock, and no part of the proceeds of any Borrowing or Letter of Credit hereunder will be used to buy or carry any Margin Stock. Following the application of the proceeds of each Borrowing or drawing under each Letter of Credit, not more than 25% of the value of the assets</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(either of any Loan Party only or of the Loan Parties and their Subsidiaries on a consolidated basis) will be Margin Stock. Neither the making of any Loan hereunder nor the use of proceeds thereof will violate the provisions of Regulation U or X of the Federal Reserve Board.</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010000"/>
        </w:rPr>
        <w:t xml:space="preserve">SECTION 3.19.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Loans have been used and will be used, whether directly or indirectly as set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forth in Section 5.08.</w:t>
      </w:r>
    </w:p>
    <w:p>
      <w:pPr>
        <w:spacing w:after="0" w:line="14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010000"/>
        </w:rPr>
        <w:t xml:space="preserve">SECTION 3.20. </w:t>
      </w:r>
      <w:r>
        <w:rPr>
          <w:rFonts w:ascii="Times New Roman" w:cs="Times New Roman" w:eastAsia="Times New Roman" w:hAnsi="Times New Roman"/>
          <w:sz w:val="20"/>
          <w:szCs w:val="20"/>
          <w:u w:val="single" w:color="auto"/>
          <w:color w:val="000000"/>
        </w:rPr>
        <w:t>No Burdensome Restrictions</w:t>
      </w:r>
      <w:r>
        <w:rPr>
          <w:rFonts w:ascii="Times New Roman" w:cs="Times New Roman" w:eastAsia="Times New Roman" w:hAnsi="Times New Roman"/>
          <w:sz w:val="20"/>
          <w:szCs w:val="20"/>
          <w:color w:val="000000"/>
        </w:rPr>
        <w:t>. No Loan Party is subject to any Burdensome Restrictions except Burdensome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Restrictions permitted under Section 6.10.</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3.21. </w:t>
      </w:r>
      <w:r>
        <w:rPr>
          <w:rFonts w:ascii="Times New Roman" w:cs="Times New Roman" w:eastAsia="Times New Roman" w:hAnsi="Times New Roman"/>
          <w:sz w:val="20"/>
          <w:szCs w:val="20"/>
          <w:u w:val="single" w:color="auto"/>
          <w:color w:val="000000"/>
        </w:rPr>
        <w:t>Anti-Corruption Laws and Sanctions</w:t>
      </w:r>
      <w:r>
        <w:rPr>
          <w:rFonts w:ascii="Times New Roman" w:cs="Times New Roman" w:eastAsia="Times New Roman" w:hAnsi="Times New Roman"/>
          <w:sz w:val="20"/>
          <w:szCs w:val="20"/>
          <w:color w:val="000000"/>
        </w:rPr>
        <w:t>. Each Loan Party has implemented and maintains in effect policies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procedures reasonably designed to ensure material compliance by such Loan Party, its Subsidiaries and their respective directors, officers,</w:t>
      </w:r>
    </w:p>
    <w:p>
      <w:pPr>
        <w:spacing w:after="0" w:line="212" w:lineRule="auto"/>
        <w:rPr>
          <w:sz w:val="20"/>
          <w:szCs w:val="20"/>
          <w:color w:val="auto"/>
        </w:rPr>
      </w:pPr>
      <w:r>
        <w:rPr>
          <w:rFonts w:ascii="Times New Roman" w:cs="Times New Roman" w:eastAsia="Times New Roman" w:hAnsi="Times New Roman"/>
          <w:sz w:val="20"/>
          <w:szCs w:val="20"/>
          <w:color w:val="auto"/>
        </w:rPr>
        <w:t>and employees with Anti-Corruption Laws and applicable Sanctions, and such Loan Party, its Subsidiaries and their respective officers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directors, and, to the knowledge of such Loan Party, its employees, are in compliance with Anti-Corruption Laws and applicable Sanctions in all material respects and are not knowingly engaged in any activity that could reasonably be expected to result in any Loan Party being</w:t>
      </w:r>
    </w:p>
    <w:p>
      <w:pPr>
        <w:spacing w:after="0" w:line="211" w:lineRule="auto"/>
        <w:rPr>
          <w:sz w:val="20"/>
          <w:szCs w:val="20"/>
          <w:color w:val="auto"/>
        </w:rPr>
      </w:pPr>
      <w:r>
        <w:rPr>
          <w:rFonts w:ascii="Times New Roman" w:cs="Times New Roman" w:eastAsia="Times New Roman" w:hAnsi="Times New Roman"/>
          <w:sz w:val="20"/>
          <w:szCs w:val="20"/>
          <w:color w:val="auto"/>
        </w:rPr>
        <w:t>designated as a Sanctioned Person. None of (a) any Loan Party, any Subsidiary or any of their respective directors or officers, or (b)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knowledge of any such Loan Party or Subsidiary, any employee or agents of such Loan Party or any Subsidiary that will act in any capacity in connection with or benefit from the credit facility established hereby, is a Sanctioned Person. No Borrowing or Letter of Credit, or use of</w:t>
      </w:r>
    </w:p>
    <w:p>
      <w:pPr>
        <w:spacing w:after="0" w:line="211" w:lineRule="auto"/>
        <w:rPr>
          <w:sz w:val="20"/>
          <w:szCs w:val="20"/>
          <w:color w:val="auto"/>
        </w:rPr>
      </w:pPr>
      <w:r>
        <w:rPr>
          <w:rFonts w:ascii="Times New Roman" w:cs="Times New Roman" w:eastAsia="Times New Roman" w:hAnsi="Times New Roman"/>
          <w:sz w:val="20"/>
          <w:szCs w:val="20"/>
          <w:color w:val="auto"/>
        </w:rPr>
        <w:t>proceeds will violate Anti-Corruption Laws in any material respects or applicable Sanctions. No Transaction or other transaction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contemplated by this Agreement or the other Loan Documents will violate Anti-Corruption Laws or applicable Sanctions in any material respect.</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3.22.</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3.23.</w:t>
      </w:r>
      <w:r>
        <w:rPr>
          <w:sz w:val="20"/>
          <w:szCs w:val="20"/>
          <w:color w:val="auto"/>
        </w:rPr>
        <w:tab/>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None of the Loan Parties is an entity deemed to hold “plan assets” (within</w:t>
      </w:r>
    </w:p>
    <w:p>
      <w:pPr>
        <w:spacing w:after="0" w:line="204" w:lineRule="auto"/>
        <w:rPr>
          <w:sz w:val="20"/>
          <w:szCs w:val="20"/>
          <w:color w:val="auto"/>
        </w:rPr>
      </w:pPr>
      <w:r>
        <w:rPr>
          <w:rFonts w:ascii="Times New Roman" w:cs="Times New Roman" w:eastAsia="Times New Roman" w:hAnsi="Times New Roman"/>
          <w:sz w:val="20"/>
          <w:szCs w:val="20"/>
          <w:color w:val="auto"/>
        </w:rPr>
        <w:t>the meaning of the Plan Asset Regulations), and, assuming for such purpose that no Loan or Letter of Credit is funded or held with “plan assets” (within the meaning of the Plan Asset Regulations) neither the execution, delivery nor performance of the transactions contemplated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under this Agreement, including the making of any Loan and the issuance of any Letter of Credit hereunder, will give rise to a non-exempt prohibited transaction under Section 406(a) of ERISA or Section 4975(c)(1)(A)-(D) of the Code.</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3.24.</w:t>
      </w:r>
      <w:r>
        <w:rPr>
          <w:sz w:val="20"/>
          <w:szCs w:val="20"/>
          <w:color w:val="auto"/>
        </w:rPr>
        <w:tab/>
      </w:r>
      <w:r>
        <w:rPr>
          <w:rFonts w:ascii="Times New Roman" w:cs="Times New Roman" w:eastAsia="Times New Roman" w:hAnsi="Times New Roman"/>
          <w:sz w:val="19"/>
          <w:szCs w:val="19"/>
          <w:u w:val="single" w:color="auto"/>
          <w:color w:val="auto"/>
        </w:rPr>
        <w:t>Data Security and Privacy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146"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is in compliance in all material respects with (i) all applicable Data Protection Laws, including but not limited to the GDPR and those relating to cross-border transfers; and (ii) all applicable data transfer agreements and data processing agreements required to be implemented pursuant to applicable Data Protection Laws, including the EU standard contractual clauses, to which a Loan Party or a Subsidiary is a party (clause (ii), “</w:t>
      </w:r>
      <w:r>
        <w:rPr>
          <w:rFonts w:ascii="Times New Roman" w:cs="Times New Roman" w:eastAsia="Times New Roman" w:hAnsi="Times New Roman"/>
          <w:sz w:val="20"/>
          <w:szCs w:val="20"/>
          <w:u w:val="single" w:color="auto"/>
          <w:color w:val="auto"/>
        </w:rPr>
        <w:t>Privacy Agreements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3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is in compliance in all material respects with all applicable written internal and public-facing privacy policies and notices of the Loan Parties and its Subsidiaries regarding the collection, retention, use, processing, disclosure and distribution of Personal Data by the Loan Parties or their Subsidiaries (collectively, the “</w:t>
      </w:r>
      <w:r>
        <w:rPr>
          <w:rFonts w:ascii="Times New Roman" w:cs="Times New Roman" w:eastAsia="Times New Roman" w:hAnsi="Times New Roman"/>
          <w:sz w:val="20"/>
          <w:szCs w:val="20"/>
          <w:u w:val="single" w:color="auto"/>
          <w:color w:val="auto"/>
        </w:rPr>
        <w:t>Privacy Policies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160"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has in place, maintains, and complies in all material respects with, a comprehensive written information security program (“</w:t>
      </w:r>
      <w:r>
        <w:rPr>
          <w:rFonts w:ascii="Times New Roman" w:cs="Times New Roman" w:eastAsia="Times New Roman" w:hAnsi="Times New Roman"/>
          <w:sz w:val="20"/>
          <w:szCs w:val="20"/>
          <w:u w:val="single" w:color="auto"/>
          <w:color w:val="auto"/>
        </w:rPr>
        <w:t>Security Program</w:t>
      </w:r>
      <w:r>
        <w:rPr>
          <w:rFonts w:ascii="Times New Roman" w:cs="Times New Roman" w:eastAsia="Times New Roman" w:hAnsi="Times New Roman"/>
          <w:sz w:val="20"/>
          <w:szCs w:val="20"/>
          <w:color w:val="auto"/>
        </w:rPr>
        <w:t>”) that (i) complies in all material respects with all applicable Data Protection Laws, applicable Privacy Policies, and applicable Privacy Agreements, and (ii) includes commercially reasonable administrative, technical, organization, and physical security procedures and measures designed to preserve the security and integrity of all Personal Data and any other sensitive or confidential information or data related to each Loan Party and its Subsidiaries in the Loan Parties’ or its Subsidiaries’ possession or control (collectively, “</w:t>
      </w:r>
      <w:r>
        <w:rPr>
          <w:rFonts w:ascii="Times New Roman" w:cs="Times New Roman" w:eastAsia="Times New Roman" w:hAnsi="Times New Roman"/>
          <w:sz w:val="20"/>
          <w:szCs w:val="20"/>
          <w:u w:val="single" w:color="auto"/>
          <w:color w:val="auto"/>
        </w:rPr>
        <w:t>Company Sensitive Information</w:t>
      </w:r>
      <w:r>
        <w:rPr>
          <w:rFonts w:ascii="Times New Roman" w:cs="Times New Roman" w:eastAsia="Times New Roman" w:hAnsi="Times New Roman"/>
          <w:sz w:val="20"/>
          <w:szCs w:val="20"/>
          <w:color w:val="auto"/>
        </w:rPr>
        <w:t>”) and to protect such Company Sensitive Information against unauthorized or unlawful processing, access, acquisition, use, theft, interruption, modification, disclosure, loss, destruction or damage.</w:t>
      </w:r>
    </w:p>
    <w:p>
      <w:pPr>
        <w:spacing w:after="0" w:line="164"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71"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January 1, 2021, to the knowledge of the Loan Parties, there has been (i) no actual or alleged material incidents of unauthorized access, use, intrusion, disclosure or breach of the security of any information technology systems owned or controlled by a Loan Party or a Subsidiary, and (ii) no actual or alleged material incidents of unauthorized acquisition, destruction, damage, disclosure, loss, corruption, alteration, or use of any Company Sensitive Information.</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19"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has a right (whether contractually, by Applicable Law or otherwise) to use all Personal Data that is used by or on behalf of a Loan Party or a Subsidiary in connection with the sale, use and/or operation of their products, services and businesses, except as could not reasonably be expected to result in a Material Adverse Effect.</w:t>
      </w:r>
    </w:p>
    <w:p>
      <w:pPr>
        <w:spacing w:after="0" w:line="160"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098" w:val="left"/>
        </w:tabs>
        <w:numPr>
          <w:ilvl w:val="0"/>
          <w:numId w:val="1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nor any Subsidiary of a Loan Party has received any, nor to the knowledge of the Loan Parties are there any pending, written complaints, claims, demands, inquiries, proceedings, or other notices that could reasonably be expected to result in an investigation or other legal proceeding, including any notices of any investigation or other legal proceedings, regarding a Loan Party or a Subsidiary of any Loan Party,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Loan Party or a Subsidiary: (1) is in violation of any applicable Data Protection Laws, or (2) is in violation of any Privacy Policies, in each case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89"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4.01.</w:t>
      </w:r>
      <w:r>
        <w:rPr>
          <w:sz w:val="20"/>
          <w:szCs w:val="20"/>
          <w:color w:val="auto"/>
        </w:rPr>
        <w:tab/>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obligations of the Lenders to make Loans and of the Issuing Bank to issue Letters of Credit</w:t>
      </w:r>
    </w:p>
    <w:p>
      <w:pPr>
        <w:spacing w:after="0" w:line="197" w:lineRule="auto"/>
        <w:rPr>
          <w:sz w:val="20"/>
          <w:szCs w:val="20"/>
          <w:color w:val="auto"/>
        </w:rPr>
      </w:pPr>
      <w:r>
        <w:rPr>
          <w:rFonts w:ascii="Times New Roman" w:cs="Times New Roman" w:eastAsia="Times New Roman" w:hAnsi="Times New Roman"/>
          <w:sz w:val="20"/>
          <w:szCs w:val="20"/>
          <w:color w:val="auto"/>
        </w:rPr>
        <w:t>hereunder shall not become effective until the date on which each of the following conditions is satisfied (or waived in accordance with</w:t>
      </w:r>
    </w:p>
    <w:p>
      <w:pPr>
        <w:spacing w:after="0"/>
        <w:rPr>
          <w:sz w:val="20"/>
          <w:szCs w:val="20"/>
          <w:color w:val="auto"/>
        </w:rPr>
      </w:pPr>
      <w:r>
        <w:rPr>
          <w:rFonts w:ascii="Times New Roman" w:cs="Times New Roman" w:eastAsia="Times New Roman" w:hAnsi="Times New Roman"/>
          <w:sz w:val="20"/>
          <w:szCs w:val="20"/>
          <w:color w:val="auto"/>
        </w:rPr>
        <w:t>Section 9.02):</w:t>
      </w:r>
    </w:p>
    <w:p>
      <w:pPr>
        <w:spacing w:after="0" w:line="167" w:lineRule="exact"/>
        <w:rPr>
          <w:sz w:val="20"/>
          <w:szCs w:val="20"/>
          <w:color w:val="auto"/>
        </w:rPr>
      </w:pPr>
    </w:p>
    <w:p>
      <w:pPr>
        <w:jc w:val="both"/>
        <w:ind w:firstLine="656"/>
        <w:spacing w:after="0" w:line="215" w:lineRule="auto"/>
        <w:tabs>
          <w:tab w:leader="none" w:pos="1146"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and the other Loan Documents, including any promissory notes requested by a Lender pursuant to Section 2.10 payable to each such requesting Lender and a written opinion of the Loan Parties’ counsel, addressed to the Administrative Agent, the Issuing Bank and the Lenders, all in form and substance satisfactory to the Administrative Agent.</w:t>
      </w:r>
    </w:p>
    <w:p>
      <w:pPr>
        <w:spacing w:after="0" w:line="147"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84"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Financial Statements and Projections</w:t>
      </w:r>
      <w:r>
        <w:rPr>
          <w:rFonts w:ascii="Times New Roman" w:cs="Times New Roman" w:eastAsia="Times New Roman" w:hAnsi="Times New Roman"/>
          <w:sz w:val="20"/>
          <w:szCs w:val="20"/>
          <w:color w:val="auto"/>
        </w:rPr>
        <w:t>. The Lenders shall have received (i) audited consolidated financial statements of the Borrower and its Subsidiaries for the 2021 and 2022 fiscal years, (ii) unaudited interim consolidated financial statements of the Borrower and its Subsidiaries for each fiscal quarter ended after the date of the latest applicable financial statements delivered pursuant to clause (i) of this paragraph and on or prior to June 30, 2023, and (iii) Projections through 2027.</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119"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Closing Certificates; Certified Certificate of Incorporation; Good Standing Certificates</w:t>
      </w:r>
      <w:r>
        <w:rPr>
          <w:rFonts w:ascii="Times New Roman" w:cs="Times New Roman" w:eastAsia="Times New Roman" w:hAnsi="Times New Roman"/>
          <w:sz w:val="20"/>
          <w:szCs w:val="20"/>
          <w:color w:val="auto"/>
        </w:rPr>
        <w:t>. The Administrative Agent shall have received (i) 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11"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Default Certificate</w:t>
      </w:r>
      <w:r>
        <w:rPr>
          <w:rFonts w:ascii="Times New Roman" w:cs="Times New Roman" w:eastAsia="Times New Roman" w:hAnsi="Times New Roman"/>
          <w:sz w:val="20"/>
          <w:szCs w:val="20"/>
          <w:color w:val="auto"/>
        </w:rPr>
        <w:t>. The Administrative Agent shall have received a certificate, signed by a Financial Officer of the Borrower, dated as of the Effective Date (i) stating that no Default has occurred and is continuing as of such date and (ii) stating that the representations and warranties contained in the Loan Documents are true and correct in all material respects as of such date.</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65"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to the Administrative Agent on or before the Effective Date.</w:t>
      </w:r>
    </w:p>
    <w:p>
      <w:pPr>
        <w:spacing w:after="0" w:line="148"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111" w:val="left"/>
        </w:tabs>
        <w:numPr>
          <w:ilvl w:val="0"/>
          <w:numId w:val="1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Lien and IP Searches</w:t>
      </w:r>
      <w:r>
        <w:rPr>
          <w:rFonts w:ascii="Times New Roman" w:cs="Times New Roman" w:eastAsia="Times New Roman" w:hAnsi="Times New Roman"/>
          <w:sz w:val="20"/>
          <w:szCs w:val="20"/>
          <w:color w:val="auto"/>
        </w:rPr>
        <w:t>. The Administrative Agent shall have received the results of a recent lien search in the jurisdiction of organization of each Loan Party and each jurisdiction where material assets of the Loan Parties are located, and the results of search reports in respect of the intellectual property of the Loan Parties, and such searches shall reveal no Liens on any of the assets of the Loan Parties except for liens permitted by Section 6.02, discharged on or prior to the Effective Date pursuant to a pay-off letter or other documentation satisfactory to the Administrative Agent, or otherwise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76" w:lineRule="exact"/>
        <w:rPr>
          <w:sz w:val="20"/>
          <w:szCs w:val="20"/>
          <w:color w:val="auto"/>
        </w:rPr>
      </w:pPr>
    </w:p>
    <w:p>
      <w:pPr>
        <w:jc w:val="both"/>
        <w:ind w:firstLine="656"/>
        <w:spacing w:after="0" w:line="215" w:lineRule="auto"/>
        <w:tabs>
          <w:tab w:leader="none" w:pos="1211"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Pay-Off and Release Letter</w:t>
      </w:r>
      <w:r>
        <w:rPr>
          <w:rFonts w:ascii="Times New Roman" w:cs="Times New Roman" w:eastAsia="Times New Roman" w:hAnsi="Times New Roman"/>
          <w:sz w:val="20"/>
          <w:szCs w:val="20"/>
          <w:color w:val="auto"/>
        </w:rPr>
        <w:t>. The Administrative Agent shall have received satisfactory pay-off and release letters for all existing Indebtedness required to be repaid (including, without limitation, the credit facility evidenced by the Amended and Restated Senior Secured Credit Facilities Credit Agreement, dated as of February 19, 2021, among NERDWALLET, INC. and NERDWALLET COMPARE, INC., as borrowers, the lenders party thereto, and Silicon Valley Bank, a division of First-Citizens Bank &amp; Trust Company, as administrative agent, issuing lender, swingline lender and lead arranger) and which confirms that all Liens securing such Indebtedness and all Guarantees in respect thereof will be terminated and released concurrently with such payment and all letters of credit issued or guaranteed as part of such Indebtedness shall have been cash collateralized or supported by a Letter of Credit.</w:t>
      </w:r>
    </w:p>
    <w:p>
      <w:pPr>
        <w:spacing w:after="0" w:line="164"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130"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The Administrative Agent shall have received a notice (which notice shall be in the form of a Borrowing Request or such other form or method as approved by the Administrative Agent) setting forth the deposit account of the Borrower (as may be updated from time to time by written notice from the Borrower to the Administrative Agent, the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to which the Administrative Agent is authorized by the Borrower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w:t>
      </w:r>
    </w:p>
    <w:p>
      <w:pPr>
        <w:spacing w:after="0" w:line="162" w:lineRule="exact"/>
        <w:rPr>
          <w:rFonts w:ascii="Times New Roman" w:cs="Times New Roman" w:eastAsia="Times New Roman" w:hAnsi="Times New Roman"/>
          <w:sz w:val="20"/>
          <w:szCs w:val="20"/>
          <w:color w:val="010000"/>
        </w:rPr>
      </w:pPr>
    </w:p>
    <w:p>
      <w:pPr>
        <w:ind w:left="1040" w:hanging="384"/>
        <w:spacing w:after="0"/>
        <w:tabs>
          <w:tab w:leader="none" w:pos="1040"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ind w:firstLine="656"/>
        <w:spacing w:after="0"/>
        <w:tabs>
          <w:tab w:leader="none" w:pos="1046"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The Administrative Agent shall have received a solvency certificate signed by a Financial Officer dated the Effective Date in form and substance reasonably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198"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Pledged Equity Interests; Stock Powers; Pledged Notes</w:t>
      </w:r>
      <w:r>
        <w:rPr>
          <w:rFonts w:ascii="Times New Roman" w:cs="Times New Roman" w:eastAsia="Times New Roman" w:hAnsi="Times New Roman"/>
          <w:sz w:val="20"/>
          <w:szCs w:val="20"/>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 endorsed (without recourse) in blank (or accompanied by an executed transfer form in blank) by the pledgor thereof or accompanied by allonges or other acknowledgements signed in blank, as applicable.</w:t>
      </w:r>
    </w:p>
    <w:p>
      <w:pPr>
        <w:spacing w:after="0" w:line="148"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127"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Filings, Registrations and Recordings</w:t>
      </w:r>
      <w:r>
        <w:rPr>
          <w:rFonts w:ascii="Times New Roman" w:cs="Times New Roman" w:eastAsia="Times New Roman" w:hAnsi="Times New Roman"/>
          <w:sz w:val="20"/>
          <w:szCs w:val="20"/>
          <w:color w:val="auto"/>
        </w:rPr>
        <w:t>. Each document (including any Uniform Commercial Code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to the extent any such Permitted Encumbrances would have priority over the Liens in favor of the Administrative Agent pursuant to any applicable law), shall be in proper form for filing, registration or recordation.</w:t>
      </w:r>
    </w:p>
    <w:p>
      <w:pPr>
        <w:spacing w:after="0" w:line="150"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226"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Subject to Section 5.15, the Administrative Agent shall have received evidence of insurance coverage in form, scope, and substance reasonably satisfactory to the Administrative Agent and otherwise in compliance with the terms of Section 5.10 of this Agreement and the Security Agreement.</w:t>
      </w:r>
    </w:p>
    <w:p>
      <w:pPr>
        <w:spacing w:after="0" w:line="148"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090" w:val="left"/>
        </w:tabs>
        <w:numPr>
          <w:ilvl w:val="0"/>
          <w:numId w:val="1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USA PATRIOT Act, Etc.</w:t>
      </w:r>
      <w:r>
        <w:rPr>
          <w:rFonts w:ascii="Times New Roman" w:cs="Times New Roman" w:eastAsia="Times New Roman" w:hAnsi="Times New Roman"/>
          <w:sz w:val="20"/>
          <w:szCs w:val="20"/>
          <w:color w:val="auto"/>
        </w:rPr>
        <w:t xml:space="preserve"> At least five (5) days prior to the Effective Date, (i) the Administrative Agent and Lenders shall have received (x) all documentation and other information regarding the Loan Parties requested in connection with applicable “know your customer” and anti-money laundering rules and regulations, including the USA PATRIOT Act, to the extent requested in writing of the Borrower at least ten (10) days prior to the Effective Date and (y) a properly completed and signed IRS Form W-8 or W-9, as applicable, for each Loan Party and (ii) to the extent the Borrower qualifies as a “legal entity customer” under the Beneficial Ownership Regulation, any Lender that has requested, in a written notice to the Borrower at least ten (10) days prior to the Effective Date, a Beneficial Ownership Certification in relation to the Borrower shall have received such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Ownership Certification (provided that, upon the execution and delivery by such Lender of its signature page to this Agreement, the condition set forth in this clause (ii) shall be deemed to be satisfied).</w:t>
      </w:r>
    </w:p>
    <w:p>
      <w:pPr>
        <w:spacing w:after="0" w:line="148" w:lineRule="exact"/>
        <w:rPr>
          <w:sz w:val="20"/>
          <w:szCs w:val="20"/>
          <w:color w:val="auto"/>
        </w:rPr>
      </w:pPr>
    </w:p>
    <w:p>
      <w:pPr>
        <w:jc w:val="both"/>
        <w:ind w:firstLine="656"/>
        <w:spacing w:after="0" w:line="220" w:lineRule="auto"/>
        <w:tabs>
          <w:tab w:leader="none" w:pos="1076" w:val="left"/>
        </w:tabs>
        <w:numPr>
          <w:ilvl w:val="0"/>
          <w:numId w:val="1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The Administrative Agent shall have received such other documents as the Administrative Agent, the Issuing Bank, any Lender or their respective counsel may have reasonably requested at least five (5) days prior to the date hereof (including, without limitation, a properly completed letter of credit application (whether standalone or pursuant to a master agreement, as applicable) if the issuance of a Letter of Credit will be required on the Effective Date, together with an executed copy of the Issuing Bank’s master agreement for the issuance of commercial Letters of Credit).</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Without limiting the generality of the provisions of Section 9.02, for purposes of determining compliance with the conditions specified in this Section 4.01 on the Effective Date, each Lender that has signed this Agreement shall be deemed to have consented to, approved or accepted</w:t>
      </w:r>
    </w:p>
    <w:p>
      <w:pPr>
        <w:spacing w:after="0" w:line="222" w:lineRule="auto"/>
        <w:rPr>
          <w:sz w:val="20"/>
          <w:szCs w:val="20"/>
          <w:color w:val="auto"/>
        </w:rPr>
      </w:pPr>
      <w:r>
        <w:rPr>
          <w:rFonts w:ascii="Times New Roman" w:cs="Times New Roman" w:eastAsia="Times New Roman" w:hAnsi="Times New Roman"/>
          <w:sz w:val="19"/>
          <w:szCs w:val="19"/>
          <w:color w:val="auto"/>
        </w:rPr>
        <w:t>or to be satisfied with, each document or other matter required thereunder to be consented to or approved by or acceptable or satisfactory to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unless the Administrative Agent shall have received notice from such Lender prior to the proposed Effective Date specifying its objection thereto. The Administrative Agent shall notify the Loan Parties, the Lenders and the Issuing Bank of the Effective Date, and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shall be conclusive and binding.</w:t>
      </w:r>
    </w:p>
    <w:p>
      <w:pPr>
        <w:spacing w:after="0" w:line="148"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4.02.</w:t>
      </w:r>
      <w:r>
        <w:rPr>
          <w:sz w:val="20"/>
          <w:szCs w:val="20"/>
          <w:color w:val="auto"/>
        </w:rPr>
        <w:tab/>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a Loan on the occasion of any Borrowing, and of the</w:t>
      </w:r>
    </w:p>
    <w:p>
      <w:pPr>
        <w:spacing w:after="0"/>
        <w:rPr>
          <w:sz w:val="20"/>
          <w:szCs w:val="20"/>
          <w:color w:val="auto"/>
        </w:rPr>
      </w:pPr>
      <w:r>
        <w:rPr>
          <w:rFonts w:ascii="Times New Roman" w:cs="Times New Roman" w:eastAsia="Times New Roman" w:hAnsi="Times New Roman"/>
          <w:sz w:val="20"/>
          <w:szCs w:val="20"/>
          <w:color w:val="auto"/>
        </w:rPr>
        <w:t>Issuing Bank to issue, amend or extend any Letter of Credit, is subject to the satisfaction of the following conditions:</w:t>
      </w:r>
    </w:p>
    <w:p>
      <w:pPr>
        <w:spacing w:after="0" w:line="167" w:lineRule="exact"/>
        <w:rPr>
          <w:sz w:val="20"/>
          <w:szCs w:val="20"/>
          <w:color w:val="auto"/>
        </w:rPr>
      </w:pPr>
    </w:p>
    <w:p>
      <w:pPr>
        <w:jc w:val="both"/>
        <w:ind w:firstLine="656"/>
        <w:spacing w:after="0" w:line="217" w:lineRule="auto"/>
        <w:tabs>
          <w:tab w:leader="none" w:pos="1079"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of the Loan Parties set forth in the Loan Documents shall be true and correct in all material respects (except for those representations and warranties that are qualified by materiality, in which case such representations and warranties shall be true and correct in all respects)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161" w:lineRule="exact"/>
        <w:rPr>
          <w:rFonts w:ascii="Times New Roman" w:cs="Times New Roman" w:eastAsia="Times New Roman" w:hAnsi="Times New Roman"/>
          <w:sz w:val="20"/>
          <w:szCs w:val="20"/>
          <w:color w:val="010000"/>
        </w:rPr>
      </w:pPr>
    </w:p>
    <w:p>
      <w:pPr>
        <w:ind w:firstLine="656"/>
        <w:spacing w:after="0"/>
        <w:tabs>
          <w:tab w:leader="none" w:pos="1076" w:val="left"/>
        </w:tabs>
        <w:numPr>
          <w:ilvl w:val="0"/>
          <w:numId w:val="1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At the time of and immediately after giving effect to such Borrowing or the issuance, amendment or extension of such Letter of Credit, as applicable, no Default or Event of Default shall have occurred and be continuing.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Borrowing and each issuance, amendment or extension of a Letter of Credit shall be deemed to constitute a representation and warranty by the Borrower on the date thereof as to the matters specified in paragraphs (a) and (b) of this Section.</w:t>
      </w:r>
    </w:p>
    <w:p>
      <w:pPr>
        <w:spacing w:after="0" w:line="16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w:t>
      </w:r>
    </w:p>
    <w:p>
      <w:pPr>
        <w:spacing w:after="0" w:line="212" w:lineRule="auto"/>
        <w:rPr>
          <w:sz w:val="20"/>
          <w:szCs w:val="20"/>
          <w:color w:val="auto"/>
        </w:rPr>
      </w:pPr>
      <w:r>
        <w:rPr>
          <w:rFonts w:ascii="Times New Roman" w:cs="Times New Roman" w:eastAsia="Times New Roman" w:hAnsi="Times New Roman"/>
          <w:sz w:val="20"/>
          <w:szCs w:val="20"/>
          <w:color w:val="auto"/>
        </w:rPr>
        <w:t>shall have no obligation to, issue, amend or extend, or cause to be issued, amended or extended, any Letter of Credit for the ratable account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risk of Lenders from time to time if the Administrative Agent believes that making such Loans or issuing, amending or extending, or causing the issuance, amendment or extension of, any such Letter of Credit is in the best interests of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w:t>
      </w:r>
    </w:p>
    <w:p>
      <w:pPr>
        <w:spacing w:after="0" w:line="228" w:lineRule="auto"/>
        <w:rPr>
          <w:sz w:val="20"/>
          <w:szCs w:val="20"/>
          <w:color w:val="auto"/>
        </w:rPr>
      </w:pPr>
      <w:r>
        <w:rPr>
          <w:rFonts w:ascii="Times New Roman" w:cs="Times New Roman" w:eastAsia="Times New Roman" w:hAnsi="Times New Roman"/>
          <w:sz w:val="20"/>
          <w:szCs w:val="20"/>
          <w:color w:val="auto"/>
        </w:rPr>
        <w:t>principal amount of such Loans made and Letters of Credit issued, amended or extended pursuant to this sentence shall not exceed $10,000,000 at any one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42"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5.01.</w:t>
      </w:r>
      <w:r>
        <w:rPr>
          <w:sz w:val="20"/>
          <w:szCs w:val="20"/>
          <w:color w:val="auto"/>
        </w:rPr>
        <w:tab/>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Administrative Agent and each</w:t>
      </w: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67" w:lineRule="exact"/>
        <w:rPr>
          <w:sz w:val="20"/>
          <w:szCs w:val="20"/>
          <w:color w:val="auto"/>
        </w:rPr>
      </w:pPr>
    </w:p>
    <w:p>
      <w:pPr>
        <w:jc w:val="both"/>
        <w:ind w:firstLine="656"/>
        <w:spacing w:after="0" w:line="213" w:lineRule="auto"/>
        <w:tabs>
          <w:tab w:leader="none" w:pos="1106" w:val="left"/>
        </w:tabs>
        <w:numPr>
          <w:ilvl w:val="0"/>
          <w:numId w:val="1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ninety (90) days after the end of each fiscal year of the Borrower (or, if earlier, by the date that the Annual Report on Form 10-K of the Borrower for such fiscal year would be required to be filed under the rules and regulations of the SEC, giving effect to any automatic extension available thereunder for the filing of such form) (commencing with the fiscal year ending December 31, 2023),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61"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076" w:val="left"/>
        </w:tabs>
        <w:numPr>
          <w:ilvl w:val="0"/>
          <w:numId w:val="1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forty-five (45) days after the end of each of the first three fiscal quarters of each fiscal year of the Borrower (or, if earlier, by the date that the Quarterly Report on Form 10 Q of the Borrower for such fiscal quarter would be required to be filed under the rules and regulations of the SEC, giving effect to any automatic extension available thereunder for the filing of such form) (commencing with the fiscal quarter ending September 30, 2023),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47" w:lineRule="exact"/>
        <w:rPr>
          <w:rFonts w:ascii="Times New Roman" w:cs="Times New Roman" w:eastAsia="Times New Roman" w:hAnsi="Times New Roman"/>
          <w:sz w:val="20"/>
          <w:szCs w:val="20"/>
          <w:color w:val="010000"/>
        </w:rPr>
      </w:pPr>
    </w:p>
    <w:p>
      <w:pPr>
        <w:jc w:val="both"/>
        <w:ind w:firstLine="656"/>
        <w:spacing w:after="0" w:line="224" w:lineRule="auto"/>
        <w:tabs>
          <w:tab w:leader="none" w:pos="1065" w:val="left"/>
        </w:tabs>
        <w:numPr>
          <w:ilvl w:val="0"/>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concurrently with any delivery of financial statements under clause (a) or (b) above (commencing with the fiscal quarter ending September 30, 2023) (collectively or individually, as the context requires, the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a Compliance Certificate (i) certifying, in the case of the Financial Statements delivered under clause (a) or (b) above,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w:t>
      </w:r>
    </w:p>
    <w:p>
      <w:pPr>
        <w:spacing w:after="0" w:line="198" w:lineRule="auto"/>
        <w:rPr>
          <w:sz w:val="20"/>
          <w:szCs w:val="20"/>
          <w:color w:val="auto"/>
        </w:rPr>
      </w:pPr>
      <w:r>
        <w:rPr>
          <w:rFonts w:ascii="Times New Roman" w:cs="Times New Roman" w:eastAsia="Times New Roman" w:hAnsi="Times New Roman"/>
          <w:sz w:val="20"/>
          <w:szCs w:val="20"/>
          <w:color w:val="auto"/>
        </w:rPr>
        <w:t>has occurred and, if a Default has occurred, specifying the details thereof and any action taken or proposed to be taken with respect thereto,</w:t>
      </w:r>
    </w:p>
    <w:p>
      <w:pPr>
        <w:spacing w:after="0" w:line="1" w:lineRule="exact"/>
        <w:rPr>
          <w:sz w:val="20"/>
          <w:szCs w:val="20"/>
          <w:color w:val="auto"/>
        </w:rPr>
      </w:pPr>
    </w:p>
    <w:p>
      <w:pPr>
        <w:jc w:val="both"/>
        <w:ind w:firstLine="8"/>
        <w:spacing w:after="0" w:line="223" w:lineRule="auto"/>
        <w:tabs>
          <w:tab w:leader="none" w:pos="351"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65" w:val="left"/>
        </w:tabs>
        <w:numPr>
          <w:ilvl w:val="1"/>
          <w:numId w:val="1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soon as available, but in any event no later than the end of, and no earlier than thirty (30) days prior to the end of, each fiscal year of the Borrower, a copy of the plan and forecast (including a projected consolidated balance sheet, income statement and cash flow statement) of the Borrower for each month of the upcoming fiscal year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in form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76" w:lineRule="exact"/>
        <w:rPr>
          <w:sz w:val="20"/>
          <w:szCs w:val="20"/>
          <w:color w:val="auto"/>
        </w:rPr>
      </w:pPr>
    </w:p>
    <w:p>
      <w:pPr>
        <w:jc w:val="both"/>
        <w:ind w:firstLine="656"/>
        <w:spacing w:after="0" w:line="216" w:lineRule="auto"/>
        <w:tabs>
          <w:tab w:leader="none" w:pos="1071" w:val="left"/>
        </w:tabs>
        <w:numPr>
          <w:ilvl w:val="0"/>
          <w:numId w:val="1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(x) such other information regarding the operations, material changes in ownership of Equity Interests, business affairs and financial condition of any Loan Party or any Subsidiary, or compliance with the terms of this Agreement, as the Administrative Agent or any Lender (through the Administrative Agent) may reasonably request and (y) information and documentation reasonably requested in writing by the Administrative Agent or any Lender for purposes of compliance with applicable “know your customer” and anti-money laundering rules and regulations, including the USA PATRIOT Act and the Beneficial Ownership Regulation;</w:t>
      </w:r>
    </w:p>
    <w:p>
      <w:pPr>
        <w:spacing w:after="0" w:line="162"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184" w:val="left"/>
        </w:tabs>
        <w:numPr>
          <w:ilvl w:val="0"/>
          <w:numId w:val="1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any request therefor by the Administrative Agent or any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 and</w:t>
      </w:r>
    </w:p>
    <w:p>
      <w:pPr>
        <w:spacing w:after="0" w:line="162"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211" w:val="left"/>
        </w:tabs>
        <w:numPr>
          <w:ilvl w:val="0"/>
          <w:numId w:val="1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Borrower to its shareholders generally, as the case may be.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required to be delivered pursuant to clauses (a), (b) or (h) of this Section 5.01 (to the extent any such documents are included in</w:t>
      </w:r>
    </w:p>
    <w:p>
      <w:pPr>
        <w:spacing w:after="0" w:line="204" w:lineRule="auto"/>
        <w:rPr>
          <w:sz w:val="20"/>
          <w:szCs w:val="20"/>
          <w:color w:val="auto"/>
        </w:rPr>
      </w:pPr>
      <w:r>
        <w:rPr>
          <w:rFonts w:ascii="Times New Roman" w:cs="Times New Roman" w:eastAsia="Times New Roman" w:hAnsi="Times New Roman"/>
          <w:sz w:val="20"/>
          <w:szCs w:val="20"/>
          <w:color w:val="auto"/>
        </w:rPr>
        <w:t>materials otherwise filed with the SEC) may be delivered electronically and shall be deemed to have been delivered on the date (i) on which such materials are publicly available as posted on the Electronic Data Gathering, Analysis and Retrieval system (EDGAR) or (ii) on which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w:t>
      </w:r>
    </w:p>
    <w:p>
      <w:pPr>
        <w:spacing w:after="0" w:line="211" w:lineRule="auto"/>
        <w:rPr>
          <w:sz w:val="20"/>
          <w:szCs w:val="20"/>
          <w:color w:val="auto"/>
        </w:rPr>
      </w:pPr>
      <w:r>
        <w:rPr>
          <w:rFonts w:ascii="Times New Roman" w:cs="Times New Roman" w:eastAsia="Times New Roman" w:hAnsi="Times New Roman"/>
          <w:sz w:val="20"/>
          <w:szCs w:val="20"/>
          <w:color w:val="auto"/>
        </w:rPr>
        <w:t>written request by the Administrative Agent (or any Lender through the Administrative Agent) to the Borrower, (A) the Borrower shall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deliver paper copies of such documents to the Administrative Agent or such Lender until a written request to cease delivering paper copies is given by the Administrative Agent or such Lender and (B) the Borrower shall notify the Administrative Agent and each Lender (by facsimile</w:t>
      </w:r>
    </w:p>
    <w:p>
      <w:pPr>
        <w:spacing w:after="0" w:line="211" w:lineRule="auto"/>
        <w:rPr>
          <w:sz w:val="20"/>
          <w:szCs w:val="20"/>
          <w:color w:val="auto"/>
        </w:rPr>
      </w:pPr>
      <w:r>
        <w:rPr>
          <w:rFonts w:ascii="Times New Roman" w:cs="Times New Roman" w:eastAsia="Times New Roman" w:hAnsi="Times New Roman"/>
          <w:sz w:val="20"/>
          <w:szCs w:val="20"/>
          <w:color w:val="auto"/>
        </w:rPr>
        <w:t>or through Electronic System) of the posting of any such documents and provide to the Administrative Agent through Electronic System</w:t>
      </w:r>
    </w:p>
    <w:p>
      <w:pPr>
        <w:spacing w:after="0" w:line="204" w:lineRule="auto"/>
        <w:rPr>
          <w:sz w:val="20"/>
          <w:szCs w:val="20"/>
          <w:color w:val="auto"/>
        </w:rPr>
      </w:pPr>
      <w:r>
        <w:rPr>
          <w:rFonts w:ascii="Times New Roman" w:cs="Times New Roman" w:eastAsia="Times New Roman" w:hAnsi="Times New Roman"/>
          <w:sz w:val="20"/>
          <w:szCs w:val="20"/>
          <w:color w:val="auto"/>
        </w:rPr>
        <w:t>electronic versions (i.e., soft copies) of such documents. The Administrative Agent shall have no obligation to request the delivery of or to maintain paper copies of the documents referred to above, and in any event shall have no responsibility to monitor compliance by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010000"/>
        </w:rPr>
        <w:t xml:space="preserve">SECTION 5.02. </w:t>
      </w:r>
      <w:r>
        <w:rPr>
          <w:rFonts w:ascii="Times New Roman" w:cs="Times New Roman" w:eastAsia="Times New Roman" w:hAnsi="Times New Roman"/>
          <w:sz w:val="20"/>
          <w:szCs w:val="20"/>
          <w:u w:val="single" w:color="auto"/>
          <w:color w:val="000000"/>
        </w:rPr>
        <w:t>Notices of Material Events</w:t>
      </w:r>
      <w:r>
        <w:rPr>
          <w:rFonts w:ascii="Times New Roman" w:cs="Times New Roman" w:eastAsia="Times New Roman" w:hAnsi="Times New Roman"/>
          <w:sz w:val="20"/>
          <w:szCs w:val="20"/>
          <w:color w:val="000000"/>
        </w:rPr>
        <w:t>. The Borrower will furnish to the Administrative Agent and each Lender prompt (but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any event within any time period that may be specified below) written notice of the following:</w:t>
      </w:r>
    </w:p>
    <w:p>
      <w:pPr>
        <w:spacing w:after="0" w:line="161" w:lineRule="exact"/>
        <w:rPr>
          <w:sz w:val="20"/>
          <w:szCs w:val="20"/>
          <w:color w:val="auto"/>
        </w:rPr>
      </w:pPr>
    </w:p>
    <w:p>
      <w:pPr>
        <w:ind w:left="1080" w:hanging="424"/>
        <w:spacing w:after="0"/>
        <w:tabs>
          <w:tab w:leader="none" w:pos="1080" w:val="left"/>
        </w:tabs>
        <w:numPr>
          <w:ilvl w:val="0"/>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Default or Event of Default;</w:t>
      </w:r>
    </w:p>
    <w:p>
      <w:pPr>
        <w:spacing w:after="0" w:line="175"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076" w:val="left"/>
        </w:tabs>
        <w:numPr>
          <w:ilvl w:val="0"/>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receipt of any notice of any investigation by a Governmental Authority or any Proceeding commenced or threatened against any Loan Party or any Subsidiary that (i) seeks damages in excess of $1,000,000, (ii) seeks injunctive relief,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(vi) asserts liability on the part of any Loan Party or any Subsidiary in excess of $1,000,000 in respect of any tax, fee, assessment, or other governmental charge, or (vii) involves any product recall;</w:t>
      </w:r>
    </w:p>
    <w:p>
      <w:pPr>
        <w:spacing w:after="0" w:line="150"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change in accounting or financial reporting practices by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76" w:lineRule="exact"/>
        <w:rPr>
          <w:sz w:val="20"/>
          <w:szCs w:val="20"/>
          <w:color w:val="auto"/>
        </w:rPr>
      </w:pPr>
    </w:p>
    <w:p>
      <w:pPr>
        <w:ind w:firstLine="656"/>
        <w:spacing w:after="0"/>
        <w:tabs>
          <w:tab w:leader="none" w:pos="1090" w:val="left"/>
        </w:tabs>
        <w:numPr>
          <w:ilvl w:val="0"/>
          <w:numId w:val="1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ERISA Event that, alone or together with any other ERISA Events that have occurred, would reasonably be expected to result in liability of the Borrower and its Subsidiaries in an aggregate amount exceeding $5,000,000;</w:t>
      </w:r>
    </w:p>
    <w:p>
      <w:pPr>
        <w:spacing w:after="0" w:line="147" w:lineRule="exact"/>
        <w:rPr>
          <w:rFonts w:ascii="Times New Roman" w:cs="Times New Roman" w:eastAsia="Times New Roman" w:hAnsi="Times New Roman"/>
          <w:sz w:val="20"/>
          <w:szCs w:val="20"/>
          <w:color w:val="010000"/>
        </w:rPr>
      </w:pPr>
    </w:p>
    <w:p>
      <w:pPr>
        <w:ind w:firstLine="656"/>
        <w:spacing w:after="0"/>
        <w:tabs>
          <w:tab w:leader="none" w:pos="1065" w:val="left"/>
        </w:tabs>
        <w:numPr>
          <w:ilvl w:val="0"/>
          <w:numId w:val="1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ten (10) Business Days after the occurrence thereof, any Loan Party entering into a Swap Agreement or an amendment to a Swap Agreement, together with copies of all agreements evidencing such Swap Agreement or amendment;</w:t>
      </w:r>
    </w:p>
    <w:p>
      <w:pPr>
        <w:spacing w:after="0" w:line="161" w:lineRule="exact"/>
        <w:rPr>
          <w:rFonts w:ascii="Times New Roman" w:cs="Times New Roman" w:eastAsia="Times New Roman" w:hAnsi="Times New Roman"/>
          <w:sz w:val="20"/>
          <w:szCs w:val="20"/>
          <w:color w:val="010000"/>
        </w:rPr>
      </w:pPr>
    </w:p>
    <w:p>
      <w:pPr>
        <w:ind w:left="1060" w:hanging="404"/>
        <w:spacing w:after="0"/>
        <w:tabs>
          <w:tab w:leader="none" w:pos="1060" w:val="left"/>
        </w:tabs>
        <w:numPr>
          <w:ilvl w:val="0"/>
          <w:numId w:val="1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development that results in, or could reasonably be expected to result in, a Material Adverse Effect; and</w:t>
      </w:r>
    </w:p>
    <w:p>
      <w:pPr>
        <w:spacing w:after="0" w:line="175" w:lineRule="exact"/>
        <w:rPr>
          <w:rFonts w:ascii="Times New Roman" w:cs="Times New Roman" w:eastAsia="Times New Roman" w:hAnsi="Times New Roman"/>
          <w:sz w:val="20"/>
          <w:szCs w:val="20"/>
          <w:color w:val="010000"/>
        </w:rPr>
      </w:pPr>
    </w:p>
    <w:p>
      <w:pPr>
        <w:ind w:firstLine="656"/>
        <w:spacing w:after="0"/>
        <w:tabs>
          <w:tab w:leader="none" w:pos="1090" w:val="left"/>
        </w:tabs>
        <w:numPr>
          <w:ilvl w:val="0"/>
          <w:numId w:val="1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Each notice delivered under this Section (i) shall be in writing, (ii) shall contain a heading or a reference line that reads “Notice under Section 5.02 of NerdWallet, Inc. Credit Agreement dated September 26, 2023” and (iii) shall be accompanied by a statement of a Financial Officer or</w:t>
      </w:r>
    </w:p>
    <w:p>
      <w:pPr>
        <w:spacing w:after="0" w:line="228" w:lineRule="auto"/>
        <w:rPr>
          <w:sz w:val="20"/>
          <w:szCs w:val="20"/>
          <w:color w:val="auto"/>
        </w:rPr>
      </w:pPr>
      <w:r>
        <w:rPr>
          <w:rFonts w:ascii="Times New Roman" w:cs="Times New Roman" w:eastAsia="Times New Roman" w:hAnsi="Times New Roman"/>
          <w:sz w:val="20"/>
          <w:szCs w:val="20"/>
          <w:color w:val="auto"/>
        </w:rPr>
        <w:t>other executive officer of the Borrower setting forth the details of the event or development requiring such notice and any action taken or proposed to be taken with respect thereto.</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5.03. </w:t>
      </w:r>
      <w:r>
        <w:rPr>
          <w:rFonts w:ascii="Times New Roman" w:cs="Times New Roman" w:eastAsia="Times New Roman" w:hAnsi="Times New Roman"/>
          <w:sz w:val="19"/>
          <w:szCs w:val="19"/>
          <w:u w:val="single" w:color="auto"/>
          <w:color w:val="000000"/>
        </w:rPr>
        <w:t>Existence; Conduct of Business</w:t>
      </w:r>
      <w:r>
        <w:rPr>
          <w:rFonts w:ascii="Times New Roman" w:cs="Times New Roman" w:eastAsia="Times New Roman" w:hAnsi="Times New Roman"/>
          <w:sz w:val="19"/>
          <w:szCs w:val="19"/>
          <w:color w:val="000000"/>
        </w:rPr>
        <w:t>. Each Loan Party will, and will cause each Subsidiary to, (a) do or cause to be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done all things necessary to preserve, renew and keep in full force and effect (i) its legal existence and (ii) the rights, qualifications, licenses,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Times New Roman" w:cs="Times New Roman" w:eastAsia="Times New Roman" w:hAnsi="Times New Roman"/>
          <w:sz w:val="19"/>
          <w:szCs w:val="19"/>
          <w:u w:val="single" w:color="auto"/>
          <w:color w:val="0000FF"/>
        </w:rPr>
        <w:t>except,</w:t>
      </w:r>
      <w:r>
        <w:rPr>
          <w:rFonts w:ascii="Times New Roman" w:cs="Times New Roman" w:eastAsia="Times New Roman" w:hAnsi="Times New Roman"/>
          <w:sz w:val="19"/>
          <w:szCs w:val="19"/>
          <w:color w:val="auto"/>
        </w:rPr>
        <w:t xml:space="preserve"> in each case of this</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clause (ii), to the extent that the failure to do so could not be expected to result in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w:t>
      </w:r>
    </w:p>
    <w:p>
      <w:pPr>
        <w:ind w:right="20"/>
        <w:spacing w:after="0" w:line="221" w:lineRule="auto"/>
        <w:rPr>
          <w:sz w:val="20"/>
          <w:szCs w:val="20"/>
          <w:color w:val="auto"/>
        </w:rPr>
      </w:pPr>
      <w:r>
        <w:rPr>
          <w:rFonts w:ascii="Times New Roman" w:cs="Times New Roman" w:eastAsia="Times New Roman" w:hAnsi="Times New Roman"/>
          <w:sz w:val="20"/>
          <w:szCs w:val="20"/>
          <w:color w:val="auto"/>
        </w:rPr>
        <w:t>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6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010000"/>
        </w:rPr>
        <w:t xml:space="preserve">SECTION 5.04. </w:t>
      </w:r>
      <w:r>
        <w:rPr>
          <w:rFonts w:ascii="Times New Roman" w:cs="Times New Roman" w:eastAsia="Times New Roman" w:hAnsi="Times New Roman"/>
          <w:sz w:val="19"/>
          <w:szCs w:val="19"/>
          <w:u w:val="single" w:color="auto"/>
          <w:color w:val="000000"/>
        </w:rPr>
        <w:t>Payment of Obligations</w:t>
      </w:r>
      <w:r>
        <w:rPr>
          <w:rFonts w:ascii="Times New Roman" w:cs="Times New Roman" w:eastAsia="Times New Roman" w:hAnsi="Times New Roman"/>
          <w:sz w:val="19"/>
          <w:szCs w:val="19"/>
          <w:color w:val="000000"/>
        </w:rPr>
        <w:t>. Each Loan Party will, and will cause each Subsidiary to, pay or discharge all Material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Indebtedness and all other material liabilities and obligations, including Taxes, before the same shall become delinquent or in default, except</w:t>
      </w:r>
    </w:p>
    <w:p>
      <w:pPr>
        <w:spacing w:after="0" w:line="211" w:lineRule="auto"/>
        <w:rPr>
          <w:sz w:val="20"/>
          <w:szCs w:val="20"/>
          <w:color w:val="auto"/>
        </w:rPr>
      </w:pPr>
      <w:r>
        <w:rPr>
          <w:rFonts w:ascii="Times New Roman" w:cs="Times New Roman" w:eastAsia="Times New Roman" w:hAnsi="Times New Roman"/>
          <w:sz w:val="20"/>
          <w:szCs w:val="20"/>
          <w:color w:val="auto"/>
        </w:rPr>
        <w:t>where (a) the validity or amount thereof is being contested in good faith by appropriate proceedings and such Loan Party or Subsidiary has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set aside on its books adequate reserves with respect thereto in accordance with GAAP or (b) the failure to make such payment could not reasonably be expected to result in a Material Adverse Effect.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010000"/>
        </w:rPr>
        <w:t xml:space="preserve">SECTION 5.05. </w:t>
      </w:r>
      <w:r>
        <w:rPr>
          <w:rFonts w:ascii="Times New Roman" w:cs="Times New Roman" w:eastAsia="Times New Roman" w:hAnsi="Times New Roman"/>
          <w:sz w:val="20"/>
          <w:szCs w:val="20"/>
          <w:u w:val="single" w:color="auto"/>
          <w:color w:val="000000"/>
        </w:rPr>
        <w:t>Maintenance of Properties</w:t>
      </w:r>
      <w:r>
        <w:rPr>
          <w:rFonts w:ascii="Times New Roman" w:cs="Times New Roman" w:eastAsia="Times New Roman" w:hAnsi="Times New Roman"/>
          <w:sz w:val="20"/>
          <w:szCs w:val="20"/>
          <w:color w:val="000000"/>
        </w:rPr>
        <w:t>. Each Loan Party will, and will cause each Subsidiary to, keep and maintain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property material to the conduct of its business in good working order and condition, ordinary wear and tear excepted.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70"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5.06.</w:t>
      </w:r>
      <w:r>
        <w:rPr>
          <w:sz w:val="20"/>
          <w:szCs w:val="20"/>
          <w:color w:val="auto"/>
        </w:rPr>
        <w:tab/>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Each Loan Party will, and will cause each Subsidiary to, (a) keep proper</w:t>
      </w:r>
    </w:p>
    <w:p>
      <w:pPr>
        <w:spacing w:after="0" w:line="204" w:lineRule="auto"/>
        <w:rPr>
          <w:sz w:val="20"/>
          <w:szCs w:val="20"/>
          <w:color w:val="auto"/>
        </w:rPr>
      </w:pPr>
      <w:r>
        <w:rPr>
          <w:rFonts w:ascii="Times New Roman" w:cs="Times New Roman" w:eastAsia="Times New Roman" w:hAnsi="Times New Roman"/>
          <w:sz w:val="20"/>
          <w:szCs w:val="20"/>
          <w:color w:val="auto"/>
        </w:rPr>
        <w:t>books of record and account in which full, true and correct entries are made of all dealings and transactions in relation to its business and activities and (b) unless an Event of Default has occurred and is continuing, no more than once per fiscal year, permit any representatives</w:t>
      </w:r>
    </w:p>
    <w:p>
      <w:pPr>
        <w:spacing w:after="0" w:line="211" w:lineRule="auto"/>
        <w:rPr>
          <w:sz w:val="20"/>
          <w:szCs w:val="20"/>
          <w:color w:val="auto"/>
        </w:rPr>
      </w:pPr>
      <w:r>
        <w:rPr>
          <w:rFonts w:ascii="Times New Roman" w:cs="Times New Roman" w:eastAsia="Times New Roman" w:hAnsi="Times New Roman"/>
          <w:sz w:val="20"/>
          <w:szCs w:val="20"/>
          <w:color w:val="auto"/>
        </w:rPr>
        <w:t>designated by the Administrative Agent or any Lender (including employees of the Administrative Agent, any Lender or any consultants,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accountants, lawyers, agents and appraisers retained by the Administrative Agent), upon reasonable prior notice, to visit and inspect its properties, conduct at the Loan Party’s premises field examinations of the Loan Party’s assets, liabilities, books and records, including</w:t>
      </w:r>
    </w:p>
    <w:p>
      <w:pPr>
        <w:spacing w:after="0" w:line="223" w:lineRule="auto"/>
        <w:rPr>
          <w:sz w:val="20"/>
          <w:szCs w:val="20"/>
          <w:color w:val="auto"/>
        </w:rPr>
      </w:pPr>
      <w:r>
        <w:rPr>
          <w:rFonts w:ascii="Times New Roman" w:cs="Times New Roman" w:eastAsia="Times New Roman" w:hAnsi="Times New Roman"/>
          <w:sz w:val="19"/>
          <w:szCs w:val="19"/>
          <w:color w:val="auto"/>
        </w:rPr>
        <w:t>examining and making extracts from its books and records, and to discuss its affairs, finances and condition with its officers and independent</w:t>
      </w:r>
    </w:p>
    <w:p>
      <w:pPr>
        <w:spacing w:after="0" w:line="215" w:lineRule="auto"/>
        <w:rPr>
          <w:sz w:val="20"/>
          <w:szCs w:val="20"/>
          <w:color w:val="auto"/>
        </w:rPr>
      </w:pPr>
      <w:r>
        <w:rPr>
          <w:rFonts w:ascii="Times New Roman" w:cs="Times New Roman" w:eastAsia="Times New Roman" w:hAnsi="Times New Roman"/>
          <w:sz w:val="19"/>
          <w:szCs w:val="19"/>
          <w:color w:val="auto"/>
        </w:rPr>
        <w:t>accountants (and hereby authorizes the Administrative Agent and each Lender to contact its independent accountants directly) and to provide contact information for each bank where each Loan Party has a depository and/or securities account and each such Loan Party hereby</w:t>
      </w:r>
    </w:p>
    <w:p>
      <w:pPr>
        <w:spacing w:after="0" w:line="211" w:lineRule="auto"/>
        <w:rPr>
          <w:sz w:val="20"/>
          <w:szCs w:val="20"/>
          <w:color w:val="auto"/>
        </w:rPr>
      </w:pPr>
      <w:r>
        <w:rPr>
          <w:rFonts w:ascii="Times New Roman" w:cs="Times New Roman" w:eastAsia="Times New Roman" w:hAnsi="Times New Roman"/>
          <w:sz w:val="20"/>
          <w:szCs w:val="20"/>
          <w:color w:val="auto"/>
        </w:rPr>
        <w:t>authorizes the Administrative Agent and each Lender to contact the bank(s) in order to request bank statements and/or balances, all at such</w:t>
      </w:r>
    </w:p>
    <w:p>
      <w:pPr>
        <w:spacing w:after="0" w:line="204" w:lineRule="auto"/>
        <w:rPr>
          <w:sz w:val="20"/>
          <w:szCs w:val="20"/>
          <w:color w:val="auto"/>
        </w:rPr>
      </w:pPr>
      <w:r>
        <w:rPr>
          <w:rFonts w:ascii="Times New Roman" w:cs="Times New Roman" w:eastAsia="Times New Roman" w:hAnsi="Times New Roman"/>
          <w:sz w:val="20"/>
          <w:szCs w:val="20"/>
          <w:color w:val="auto"/>
        </w:rPr>
        <w:t>reasonable times and as often as reasonably requested. The Loan Parties acknowledge that the Administrative Agent, after exercising its rights of inspection, may prepare and distribute to the Lenders certain reports pertaining to the Loan Parties’ assets for internal use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Lenders.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5.07. </w:t>
      </w:r>
      <w:r>
        <w:rPr>
          <w:rFonts w:ascii="Times New Roman" w:cs="Times New Roman" w:eastAsia="Times New Roman" w:hAnsi="Times New Roman"/>
          <w:sz w:val="20"/>
          <w:szCs w:val="20"/>
          <w:u w:val="single" w:color="auto"/>
          <w:color w:val="000000"/>
        </w:rPr>
        <w:t>Compliance with Laws and Material Contractual Obligations</w:t>
      </w:r>
      <w:r>
        <w:rPr>
          <w:rFonts w:ascii="Times New Roman" w:cs="Times New Roman" w:eastAsia="Times New Roman" w:hAnsi="Times New Roman"/>
          <w:sz w:val="20"/>
          <w:szCs w:val="20"/>
          <w:color w:val="000000"/>
        </w:rPr>
        <w:t>. Each Loan Party will, and will cause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to, (i) comply with each Requirement of Law applicable to it or its property (including without limitation Environmental Laws)</w:t>
      </w:r>
    </w:p>
    <w:p>
      <w:pPr>
        <w:spacing w:after="0" w:line="212" w:lineRule="auto"/>
        <w:rPr>
          <w:sz w:val="20"/>
          <w:szCs w:val="20"/>
          <w:color w:val="auto"/>
        </w:rPr>
      </w:pPr>
      <w:r>
        <w:rPr>
          <w:rFonts w:ascii="Times New Roman" w:cs="Times New Roman" w:eastAsia="Times New Roman" w:hAnsi="Times New Roman"/>
          <w:sz w:val="20"/>
          <w:szCs w:val="20"/>
          <w:color w:val="auto"/>
        </w:rPr>
        <w:t>and (ii) perform its obligations under material agreements to which it is a party, except, in each case, where the failure to do so, individually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in the aggregate, could not reasonably be expected to result in a Material Adverse Effect. Each Loan Party will maintain in effect and enforce policies and procedures reasonably designed to ensure material compliance by such Loan Party, its Subsidiaries and their respective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officers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auto"/>
        </w:rPr>
        <w:t xml:space="preserve"> employees </w:t>
      </w:r>
      <w:r>
        <w:rPr>
          <w:rFonts w:ascii="Times New Roman" w:cs="Times New Roman" w:eastAsia="Times New Roman" w:hAnsi="Times New Roman"/>
          <w:sz w:val="20"/>
          <w:szCs w:val="20"/>
          <w:color w:val="FF0000"/>
          <w:strike w:val="1"/>
        </w:rPr>
        <w:t>and agents</w:t>
      </w:r>
      <w:r>
        <w:rPr>
          <w:rFonts w:ascii="Times New Roman" w:cs="Times New Roman" w:eastAsia="Times New Roman" w:hAnsi="Times New Roman"/>
          <w:sz w:val="20"/>
          <w:szCs w:val="20"/>
          <w:color w:val="auto"/>
        </w:rPr>
        <w:t xml:space="preserve"> with Anti-Corruption Laws and applicable Sanctions.</w:t>
      </w:r>
    </w:p>
    <w:p>
      <w:pPr>
        <w:spacing w:after="0" w:line="15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5.08.</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0" w:lineRule="auto"/>
        <w:tabs>
          <w:tab w:leader="none" w:pos="1160"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proceeds of the Loans and the Letters of Credit will be used only to (i) refinance certain existing indebtedness of the Borrower and (ii) finance the working capital needs and general corporate purposes of the Borrower and its Subsidiaries (including, without limitation, Permitted Acquisitions and stock repurchases). No part of the proceeds of any Loan and no Letter of Credit will be used, whether directly or indirectly, for any purpose that entails a violation of any of the regulations of the Federal Reserve Board, including Regulations T, U and X.</w:t>
      </w:r>
    </w:p>
    <w:p>
      <w:pPr>
        <w:spacing w:after="0" w:line="147"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44"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will not request any Borrowing or Letter of Credit, and the Borrower shall not use, and shall procure that its Subsidiaries and its or their respective directors, officers, and employees shall not use, the proceeds of any Borrowing or Letter of Credit (i) in furtherance of an offer, payment, promise to pay, or authorization of the payment or giving of money, or anything else of value, to any Person in violation of any Anti-Corruption Laws in any material respect, (ii) for the purpose of funding, financing or facilitating any activities, business or transaction of or with any Sanctioned Person, or in any Sanctioned Country, in each case, except to the extent permitted for a Person required to comply with Sanctions, or (iii) in any manner that would result in the violation of any Sanctions applicable to any party hereto.</w:t>
      </w:r>
    </w:p>
    <w:p>
      <w:pPr>
        <w:spacing w:after="0" w:line="159"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5.09.</w:t>
      </w:r>
      <w:r>
        <w:rPr>
          <w:sz w:val="20"/>
          <w:szCs w:val="20"/>
          <w:color w:val="auto"/>
        </w:rPr>
        <w:tab/>
      </w:r>
      <w:r>
        <w:rPr>
          <w:rFonts w:ascii="Times New Roman" w:cs="Times New Roman" w:eastAsia="Times New Roman" w:hAnsi="Times New Roman"/>
          <w:sz w:val="20"/>
          <w:szCs w:val="20"/>
          <w:u w:val="single" w:color="auto"/>
          <w:color w:val="auto"/>
        </w:rPr>
        <w:t>Accuracy of Information</w:t>
      </w:r>
      <w:r>
        <w:rPr>
          <w:rFonts w:ascii="Times New Roman" w:cs="Times New Roman" w:eastAsia="Times New Roman" w:hAnsi="Times New Roman"/>
          <w:sz w:val="20"/>
          <w:szCs w:val="20"/>
          <w:color w:val="auto"/>
        </w:rPr>
        <w:t>. The Loan Parties will ensure that any information, including financial statements or</w:t>
      </w:r>
    </w:p>
    <w:p>
      <w:pPr>
        <w:spacing w:after="0" w:line="204" w:lineRule="auto"/>
        <w:rPr>
          <w:sz w:val="20"/>
          <w:szCs w:val="20"/>
          <w:color w:val="auto"/>
        </w:rPr>
      </w:pPr>
      <w:r>
        <w:rPr>
          <w:rFonts w:ascii="Times New Roman" w:cs="Times New Roman" w:eastAsia="Times New Roman" w:hAnsi="Times New Roman"/>
          <w:sz w:val="20"/>
          <w:szCs w:val="20"/>
          <w:color w:val="auto"/>
        </w:rPr>
        <w:t>other documents, furnished to the Administrative Agent or the Lenders in connection with this Agreement or any other Loan Document or any amendment or modification hereof or thereof or waiver hereunder or thereunder contains no material misstatement of fact or omits to</w:t>
      </w:r>
    </w:p>
    <w:p>
      <w:pPr>
        <w:spacing w:after="0" w:line="211" w:lineRule="auto"/>
        <w:rPr>
          <w:sz w:val="20"/>
          <w:szCs w:val="20"/>
          <w:color w:val="auto"/>
        </w:rPr>
      </w:pPr>
      <w:r>
        <w:rPr>
          <w:rFonts w:ascii="Times New Roman" w:cs="Times New Roman" w:eastAsia="Times New Roman" w:hAnsi="Times New Roman"/>
          <w:sz w:val="20"/>
          <w:szCs w:val="20"/>
          <w:color w:val="auto"/>
        </w:rPr>
        <w:t>state any material fact necessary to make the statements therein, in the light of the circumstances under which they were made, not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misleading, and the furnishing of such information shall be deemed to be a representation and warranty by the Borrower on the date thereof as to the matters specified in this Section 5.09; provided that, with respect to the Projections, the Loan Parties will cause the Projections to be</w:t>
      </w:r>
    </w:p>
    <w:p>
      <w:pPr>
        <w:spacing w:after="0"/>
        <w:rPr>
          <w:sz w:val="20"/>
          <w:szCs w:val="20"/>
          <w:color w:val="auto"/>
        </w:rPr>
      </w:pPr>
      <w:r>
        <w:rPr>
          <w:rFonts w:ascii="Times New Roman" w:cs="Times New Roman" w:eastAsia="Times New Roman" w:hAnsi="Times New Roman"/>
          <w:sz w:val="20"/>
          <w:szCs w:val="20"/>
          <w:color w:val="auto"/>
        </w:rPr>
        <w:t>prepared in good faith based upon assumptions believed to be reasonable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70"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5.10.</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 Each Loan Party will, and will cause each Subsidiary to, maintain with financially sound and reputable</w:t>
      </w:r>
    </w:p>
    <w:p>
      <w:pPr>
        <w:spacing w:after="0" w:line="215" w:lineRule="auto"/>
        <w:rPr>
          <w:sz w:val="20"/>
          <w:szCs w:val="20"/>
          <w:color w:val="auto"/>
        </w:rPr>
      </w:pPr>
      <w:r>
        <w:rPr>
          <w:rFonts w:ascii="Times New Roman" w:cs="Times New Roman" w:eastAsia="Times New Roman" w:hAnsi="Times New Roman"/>
          <w:sz w:val="19"/>
          <w:szCs w:val="19"/>
          <w:color w:val="auto"/>
        </w:rPr>
        <w:t>carriers having a financial strength rating of at least A- by A.M. Best Company (a) insurance in such amounts (with no greater risk retention) and against such risks (including loss or damage by fire and loss in transit; theft, burglary, pilferage, larceny, embezzlement, and other</w:t>
      </w:r>
    </w:p>
    <w:p>
      <w:pPr>
        <w:spacing w:after="0" w:line="211" w:lineRule="auto"/>
        <w:rPr>
          <w:sz w:val="20"/>
          <w:szCs w:val="20"/>
          <w:color w:val="auto"/>
        </w:rPr>
      </w:pPr>
      <w:r>
        <w:rPr>
          <w:rFonts w:ascii="Times New Roman" w:cs="Times New Roman" w:eastAsia="Times New Roman" w:hAnsi="Times New Roman"/>
          <w:sz w:val="20"/>
          <w:szCs w:val="20"/>
          <w:color w:val="auto"/>
        </w:rPr>
        <w:t>criminal activities; business interruption; and general liability) and such other hazards, as is customarily maintained by companies of</w:t>
      </w:r>
    </w:p>
    <w:p>
      <w:pPr>
        <w:spacing w:after="0" w:line="215" w:lineRule="auto"/>
        <w:rPr>
          <w:sz w:val="20"/>
          <w:szCs w:val="20"/>
          <w:color w:val="auto"/>
        </w:rPr>
      </w:pPr>
      <w:r>
        <w:rPr>
          <w:rFonts w:ascii="Times New Roman" w:cs="Times New Roman" w:eastAsia="Times New Roman" w:hAnsi="Times New Roman"/>
          <w:sz w:val="19"/>
          <w:szCs w:val="19"/>
          <w:color w:val="auto"/>
        </w:rPr>
        <w:t>established repute engaged in the same or similar businesses operating in the same or similar locations and (b) all insurance required pursuant to the Collateral Documents. The Borrower will furnish to the Lenders, upon written request of the Administrative Agent, but no more</w:t>
      </w:r>
    </w:p>
    <w:p>
      <w:pPr>
        <w:spacing w:after="0"/>
        <w:rPr>
          <w:sz w:val="20"/>
          <w:szCs w:val="20"/>
          <w:color w:val="auto"/>
        </w:rPr>
      </w:pPr>
      <w:r>
        <w:rPr>
          <w:rFonts w:ascii="Times New Roman" w:cs="Times New Roman" w:eastAsia="Times New Roman" w:hAnsi="Times New Roman"/>
          <w:sz w:val="20"/>
          <w:szCs w:val="20"/>
          <w:color w:val="auto"/>
        </w:rPr>
        <w:t>frequently than annually, information in reasonable detail as to the insurance so maintained.</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5.11. </w:t>
      </w:r>
      <w:r>
        <w:rPr>
          <w:rFonts w:ascii="Times New Roman" w:cs="Times New Roman" w:eastAsia="Times New Roman" w:hAnsi="Times New Roman"/>
          <w:sz w:val="20"/>
          <w:szCs w:val="20"/>
          <w:u w:val="single" w:color="auto"/>
          <w:color w:val="000000"/>
        </w:rPr>
        <w:t>Casualty and Condemnation</w:t>
      </w:r>
      <w:r>
        <w:rPr>
          <w:rFonts w:ascii="Times New Roman" w:cs="Times New Roman" w:eastAsia="Times New Roman" w:hAnsi="Times New Roman"/>
          <w:sz w:val="20"/>
          <w:szCs w:val="20"/>
          <w:color w:val="000000"/>
        </w:rPr>
        <w:t>. The Borrower will furnish to the Administrative Agent and the Lenders prompt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written notice of any casualty or other insured damage to any material portion of the Collateral or the commencement of any action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proceeding for the taking of any material portion of the Collateral or interest therein under power of eminent domain or by condemnation or similar proceeding.</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5.12. </w:t>
      </w:r>
      <w:r>
        <w:rPr>
          <w:rFonts w:ascii="Times New Roman" w:cs="Times New Roman" w:eastAsia="Times New Roman" w:hAnsi="Times New Roman"/>
          <w:sz w:val="19"/>
          <w:szCs w:val="19"/>
          <w:u w:val="single" w:color="auto"/>
          <w:color w:val="000000"/>
        </w:rPr>
        <w:t>Depository Banks</w:t>
      </w:r>
      <w:r>
        <w:rPr>
          <w:rFonts w:ascii="Times New Roman" w:cs="Times New Roman" w:eastAsia="Times New Roman" w:hAnsi="Times New Roman"/>
          <w:sz w:val="19"/>
          <w:szCs w:val="19"/>
          <w:color w:val="000000"/>
        </w:rPr>
        <w:t>. Not later than one hundred eighty (180) days after the Effective Date (or such later date as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agreed by the Administrative Agent in its sole discretion), the Borrower and each Subsidiary will maintain the Administrative Agent as its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principal depository bank, including for the maintenance of operating, administrative, cash management, collection activity, and other deposit accounts for the conduct of its business and (b) principal provider of other bank products.</w:t>
      </w:r>
    </w:p>
    <w:p>
      <w:pPr>
        <w:spacing w:after="0" w:line="16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5.13.</w:t>
      </w:r>
      <w:r>
        <w:rPr>
          <w:sz w:val="20"/>
          <w:szCs w:val="20"/>
          <w:color w:val="auto"/>
        </w:rPr>
        <w:tab/>
      </w:r>
      <w:r>
        <w:rPr>
          <w:rFonts w:ascii="Times New Roman" w:cs="Times New Roman" w:eastAsia="Times New Roman" w:hAnsi="Times New Roman"/>
          <w:sz w:val="19"/>
          <w:szCs w:val="19"/>
          <w:u w:val="single" w:color="auto"/>
          <w:color w:val="auto"/>
        </w:rPr>
        <w:t>Subsidiary Guarantors; Additional Collateral; Further Assurances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0" w:lineRule="auto"/>
        <w:tabs>
          <w:tab w:leader="none" w:pos="1065" w:val="left"/>
        </w:tabs>
        <w:numPr>
          <w:ilvl w:val="0"/>
          <w:numId w:val="1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promptly as possible but in any event within sixty (60) days (or such later date as may be agreed upon by the Administrative Agent) after any Person becomes a Subsidiary or any Subsidiary qualifies independently as, or is designated by the Borrower or the Administrative Agent as, a Material Domestic Subsidiary pursuant to the definition of “Material Domestic Subsidiary”, the Borrower shall (i) provide the Administrative Agent with written notice thereof setting forth information in reasonable detail describing the material assets of such Person and (ii) cause each such Subsidiary which also qualifies as a Material Domestic Subsidiary to execute and deliver to the Administrative Agent a Joinder Agreement and a joinder to the Security Agreement (in the form contemplated thereby) pursuant to which such Subsidiary agrees to be bound by the terms and provisions thereof, which shall be accompanied by appropriate organizational resolutions, other organizational documentation and legal opinions in form and substance reasonably satisfactory to the Administrative Agent and its counsel.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Each such Person delivering a Joinder Agreement (x) shall automatically become a Subsidiary Guarantor hereunder and thereupon shall have all of the rights, benefits, duties, and obligations in such capacity under the Loan Documents and (y) will grant Liens to the Administrative Agent, for the benefit of the Administrative Agent and the other Secured Parties, in any property of such Loan Party which constitutes Collateral.</w:t>
      </w:r>
    </w:p>
    <w:p>
      <w:pPr>
        <w:spacing w:after="0" w:line="166"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184" w:val="left"/>
        </w:tabs>
        <w:numPr>
          <w:ilvl w:val="0"/>
          <w:numId w:val="1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will cause, and will cause each other Loan Party to cause, all of its owned property (whether personal, tangible, intangible, or mixed, but excluding any Excluded Assets)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to the extent any such Permitted Encumbrances would have priority over the Liens in favor of the Administrative Agent pursuant to any applicable law. Without limiting the generality of the foregoing, each Loan Party will cause (x) 100% of the issued and outstanding Equity Interests of each of its Domestic Subsidiaries and (y) 65%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any Loan Party, in each case, to be subject at all times to a first priority, perfected Lien in favor of the Administrative Agent for the benefit of the Administrative Agent and the other Secured Parties to secure the Secured Obligations in accordance with the terms and conditions of the Collateral Documents or other pledge or security documents as the Administrative Agent shall reasonably request.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foregoing, no such pledge agreement in respect of the Equity Interests of a Foreign Subsidiary shall be required pursuant to foreign law.</w:t>
      </w:r>
    </w:p>
    <w:p>
      <w:pPr>
        <w:spacing w:after="0" w:line="189" w:lineRule="exact"/>
        <w:rPr>
          <w:sz w:val="20"/>
          <w:szCs w:val="20"/>
          <w:color w:val="auto"/>
        </w:rPr>
      </w:pPr>
    </w:p>
    <w:p>
      <w:pPr>
        <w:jc w:val="both"/>
        <w:ind w:firstLine="656"/>
        <w:spacing w:after="0" w:line="215" w:lineRule="auto"/>
        <w:tabs>
          <w:tab w:leader="none" w:pos="1133" w:val="left"/>
        </w:tabs>
        <w:numPr>
          <w:ilvl w:val="0"/>
          <w:numId w:val="1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50"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238" w:val="left"/>
        </w:tabs>
        <w:numPr>
          <w:ilvl w:val="0"/>
          <w:numId w:val="1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material assets are acquired by any Loan Party after the Effective Date (other than Excluded Assets and assets constituting Collateral under the Security Agreement that become subject to the Lien under the Security Agreement upon acquisition thereof), the Borrower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paragraphs (b) and (c) of this Section, all at the expense of the Loan Parties.</w:t>
      </w:r>
    </w:p>
    <w:p>
      <w:pPr>
        <w:spacing w:after="0" w:line="150"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092" w:val="left"/>
        </w:tabs>
        <w:numPr>
          <w:ilvl w:val="0"/>
          <w:numId w:val="1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in this Agreement or the other Loan Documents to the contrary, the Administrative Agent may (but shall not be obligated to) determine in its sole and reasonable discretion that the cost to the Loan Parties of granting and perfecting any Lien is disproportionate to the benefit to be realized by the Administrative Agent, the Lenders and the other Secured Parties by perfecting a Lien in a given asset or group of assets included in the Collateral and, in such case, the Administrative Agent shall be permitted to, without the consent of the Lenders or Required Lenders, waive any requirement of perfection of any such Lien required under the Loan Documents.</w:t>
      </w:r>
    </w:p>
    <w:p>
      <w:pPr>
        <w:spacing w:after="0" w:line="14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5.14.</w:t>
      </w:r>
      <w:r>
        <w:rPr>
          <w:sz w:val="20"/>
          <w:szCs w:val="20"/>
          <w:color w:val="auto"/>
        </w:rPr>
        <w:tab/>
      </w:r>
      <w:r>
        <w:rPr>
          <w:rFonts w:ascii="Times New Roman" w:cs="Times New Roman" w:eastAsia="Times New Roman" w:hAnsi="Times New Roman"/>
          <w:sz w:val="19"/>
          <w:szCs w:val="19"/>
          <w:u w:val="single" w:color="auto"/>
          <w:color w:val="auto"/>
        </w:rPr>
        <w:t>Data Security and Privacy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tabs>
          <w:tab w:leader="none" w:pos="1119" w:val="left"/>
        </w:tabs>
        <w:numPr>
          <w:ilvl w:val="0"/>
          <w:numId w:val="1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will maintain compliance in all material respects with (i) all applicable Data Protection Laws, including but not limited to the GDPR and those relating to cross-border transfers; and (ii) the Privacy Agreements.</w:t>
      </w:r>
    </w:p>
    <w:p>
      <w:pPr>
        <w:spacing w:after="0" w:line="147" w:lineRule="exact"/>
        <w:rPr>
          <w:rFonts w:ascii="Times New Roman" w:cs="Times New Roman" w:eastAsia="Times New Roman" w:hAnsi="Times New Roman"/>
          <w:sz w:val="20"/>
          <w:szCs w:val="20"/>
          <w:color w:val="010000"/>
        </w:rPr>
      </w:pPr>
    </w:p>
    <w:p>
      <w:pPr>
        <w:ind w:right="20" w:firstLine="656"/>
        <w:spacing w:after="0"/>
        <w:tabs>
          <w:tab w:leader="none" w:pos="1090" w:val="left"/>
        </w:tabs>
        <w:numPr>
          <w:ilvl w:val="0"/>
          <w:numId w:val="1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will maintain compliance in all material respects with all Privacy Policies consistent with the actual practices of each Loan Party and its Subsidiaries.</w:t>
      </w:r>
    </w:p>
    <w:p>
      <w:pPr>
        <w:spacing w:after="0" w:line="161"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079" w:val="left"/>
        </w:tabs>
        <w:numPr>
          <w:ilvl w:val="0"/>
          <w:numId w:val="1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will maintain and comply in all material respects with its Security Program. Any Security Program of the Loan Parties or their Subsidiaries will at all times (i) comply in all material respects with all applicable Data Protection Laws, applicable Privacy Policies, and applicable Privacy Agreements, and (ii) include commercially reasonable administrative, technical, organization, and physical security procedures and measures designed to preserve the security, integrity and confidentiality of all Personal Data or Company Sensitive Information in such Loan Party’s or Subsidiary’s possession or control, and each Loan Party and its respective Subsidiaries will use commercially reasonable practices to protect such Company Sensitive Information against unauthorized or unlawful processing, access, acquisition, use, theft, interruption, modification, disclosure, loss, destruction or damage.</w:t>
      </w:r>
    </w:p>
    <w:p>
      <w:pPr>
        <w:spacing w:after="0" w:line="15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03" w:val="left"/>
        </w:tabs>
        <w:numPr>
          <w:ilvl w:val="0"/>
          <w:numId w:val="1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Parties shall, in accordance with its reasonable business judgment, take steps designed to ensure that no material (i) incidents of unauthorized access, use, intrusion, disclosure or breach of the security of any information technology systems operated in connection with a Loan Party or a Subsidiary or (ii) incidents of unauthorized acquisition, destruction, damage, disclosure, loss, corruption, alteration, or use of any Company Sensitive Information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76" w:lineRule="exact"/>
        <w:rPr>
          <w:sz w:val="20"/>
          <w:szCs w:val="20"/>
          <w:color w:val="auto"/>
        </w:rPr>
      </w:pPr>
    </w:p>
    <w:p>
      <w:pPr>
        <w:jc w:val="both"/>
        <w:ind w:firstLine="656"/>
        <w:spacing w:after="0" w:line="222" w:lineRule="auto"/>
        <w:tabs>
          <w:tab w:leader="none" w:pos="1133" w:val="left"/>
        </w:tabs>
        <w:numPr>
          <w:ilvl w:val="0"/>
          <w:numId w:val="1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its Subsidiaries will, in accordance with its reasonable business judgment, have a valid and legal right (whether contractually, by Applicable Law or otherwise) to use all Personal Data that is used by or on behalf of a Loan Party or a Subsidiary in connection with the sale, use and/or operation of their products, services and businesses, except as could not reasonably be expected to result in a Material Adverse Effect.</w:t>
      </w:r>
    </w:p>
    <w:p>
      <w:pPr>
        <w:spacing w:after="0" w:line="161"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11" w:val="left"/>
        </w:tabs>
        <w:numPr>
          <w:ilvl w:val="0"/>
          <w:numId w:val="1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will promptly give notice to the Administrative Agent upon any Loan Party becoming aware of any pending, written demands, inquiries, proceedings, or other notices that could reasonably be expected to result in an investigation or other legal proceeding, including any notices of any investigation or other legal proceedings, regarding a Loan Party or a Subsidiary and of which it becomes aware,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Loan Party or a Subsidiary: (1) is in violation of any applicable Data Protection Laws, (2) is in violation of any Privacy Agreements, or (3) is in violation of any Privacy Policies, in each case, in any material respect.</w:t>
      </w:r>
    </w:p>
    <w:p>
      <w:pPr>
        <w:spacing w:after="0" w:line="15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5.15. </w:t>
      </w:r>
      <w:r>
        <w:rPr>
          <w:rFonts w:ascii="Times New Roman" w:cs="Times New Roman" w:eastAsia="Times New Roman" w:hAnsi="Times New Roman"/>
          <w:sz w:val="19"/>
          <w:szCs w:val="19"/>
          <w:u w:val="single" w:color="auto"/>
          <w:color w:val="000000"/>
        </w:rPr>
        <w:t>Post-Closing Requirements</w:t>
      </w:r>
      <w:r>
        <w:rPr>
          <w:rFonts w:ascii="Times New Roman" w:cs="Times New Roman" w:eastAsia="Times New Roman" w:hAnsi="Times New Roman"/>
          <w:sz w:val="19"/>
          <w:szCs w:val="19"/>
          <w:color w:val="000000"/>
        </w:rPr>
        <w:t>. Not later than the dates set forth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u w:val="single" w:color="auto"/>
          <w:color w:val="000000"/>
        </w:rPr>
        <w:t>Schedule 5.15</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(or such later dates as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Administrative Agent shall agree in its sole discretion) or as otherwise required thereunder, the Loan Parties shall take the actions set forth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 5.15</w:t>
      </w:r>
      <w:r>
        <w:rPr>
          <w:rFonts w:ascii="Times New Roman" w:cs="Times New Roman" w:eastAsia="Times New Roman" w:hAnsi="Times New Roman"/>
          <w:sz w:val="20"/>
          <w:szCs w:val="20"/>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42"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20"/>
          <w:szCs w:val="20"/>
          <w:color w:val="010000"/>
        </w:rPr>
        <w:t>SECTION 6.01.</w:t>
      </w:r>
      <w:r>
        <w:rPr>
          <w:sz w:val="20"/>
          <w:szCs w:val="20"/>
          <w:color w:val="auto"/>
        </w:rPr>
        <w:tab/>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No Loan Party will, nor will it permit any Subsidiary to, create, incur, assume or suffer to exist any</w:t>
      </w:r>
    </w:p>
    <w:p>
      <w:pPr>
        <w:spacing w:after="0"/>
        <w:rPr>
          <w:sz w:val="20"/>
          <w:szCs w:val="20"/>
          <w:color w:val="auto"/>
        </w:rPr>
      </w:pPr>
      <w:r>
        <w:rPr>
          <w:rFonts w:ascii="Times New Roman" w:cs="Times New Roman" w:eastAsia="Times New Roman" w:hAnsi="Times New Roman"/>
          <w:sz w:val="20"/>
          <w:szCs w:val="20"/>
          <w:color w:val="auto"/>
        </w:rPr>
        <w:t>Indebtedness, except:</w:t>
      </w:r>
    </w:p>
    <w:p>
      <w:pPr>
        <w:spacing w:after="0" w:line="167"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Obligations;</w:t>
      </w:r>
    </w:p>
    <w:p>
      <w:pPr>
        <w:spacing w:after="0" w:line="188"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existing on the date hereof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any Refinance Indebtedness in respect thereof;</w:t>
      </w:r>
    </w:p>
    <w:p>
      <w:pPr>
        <w:spacing w:after="0" w:line="175"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65"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the Borrower to any Subsidiary and of any Subsidiary to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Indebtedness of any Subsidiary that is not a Loan Party to the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103"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Section 6.01, (ii) Guarantees by the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 if applicable;</w:t>
      </w:r>
    </w:p>
    <w:p>
      <w:pPr>
        <w:spacing w:after="0" w:line="161" w:lineRule="exact"/>
        <w:rPr>
          <w:rFonts w:ascii="Times New Roman" w:cs="Times New Roman" w:eastAsia="Times New Roman" w:hAnsi="Times New Roman"/>
          <w:sz w:val="20"/>
          <w:szCs w:val="20"/>
          <w:color w:val="010000"/>
        </w:rPr>
      </w:pPr>
    </w:p>
    <w:p>
      <w:pPr>
        <w:jc w:val="both"/>
        <w:ind w:firstLine="656"/>
        <w:spacing w:after="0" w:line="216" w:lineRule="auto"/>
        <w:tabs>
          <w:tab w:leader="none" w:pos="1065" w:val="left"/>
        </w:tabs>
        <w:numPr>
          <w:ilvl w:val="0"/>
          <w:numId w:val="1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7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clause (f) below, shall not exceed $5,000,000 (or such greater amount as the Administrative Agent may agree in its sole discretion) at any time outstanding;</w:t>
      </w:r>
    </w:p>
    <w:p>
      <w:pPr>
        <w:spacing w:after="0" w:line="148" w:lineRule="exact"/>
        <w:rPr>
          <w:sz w:val="20"/>
          <w:szCs w:val="20"/>
          <w:color w:val="auto"/>
        </w:rPr>
      </w:pPr>
    </w:p>
    <w:p>
      <w:pPr>
        <w:jc w:val="both"/>
        <w:ind w:firstLine="656"/>
        <w:spacing w:after="0" w:line="212" w:lineRule="auto"/>
        <w:tabs>
          <w:tab w:leader="none" w:pos="1206"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20"/>
          <w:szCs w:val="20"/>
          <w:u w:val="single" w:color="auto"/>
          <w:color w:val="auto"/>
        </w:rPr>
        <w:t>Refinance Indebtedness</w:t>
      </w:r>
      <w:r>
        <w:rPr>
          <w:rFonts w:ascii="Times New Roman" w:cs="Times New Roman" w:eastAsia="Times New Roman" w:hAnsi="Times New Roman"/>
          <w:sz w:val="20"/>
          <w:szCs w:val="20"/>
          <w:color w:val="auto"/>
        </w:rPr>
        <w:t>”) of any of the Indebtedness described in clauses (b), (e), (i) and (j) hereof (such Indebtedness being referred to herein as the “</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Refinance Indebtedness does not increase the principal amount or interest rate of the Original Indebtedness, except by an amount equal to a reasonable premium and other fees and expenses reasonably incurred in connection therewith, (ii) any Liens securing such Refinance Indebtedness are not extended to any additional property of any Loan Party or any Subsidiary, (iii) no Loan Party nor any Subsidiary, in each case that is not originally obligated with respect to repayment of such Original Indebtedness, is required to become obligated with respect to such Refinance Indebtedness, (iv) such Refinance Indebtedness does not result in a shortening of the maturity of such Original Indebtedness and (v) if such Original Indebtedness was subordinated in right of payment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68"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17"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0" w:lineRule="exact"/>
        <w:rPr>
          <w:rFonts w:ascii="Times New Roman" w:cs="Times New Roman" w:eastAsia="Times New Roman" w:hAnsi="Times New Roman"/>
          <w:sz w:val="20"/>
          <w:szCs w:val="20"/>
          <w:color w:val="010000"/>
        </w:rPr>
      </w:pPr>
    </w:p>
    <w:p>
      <w:pPr>
        <w:ind w:right="20" w:firstLine="656"/>
        <w:spacing w:after="0" w:line="233" w:lineRule="auto"/>
        <w:tabs>
          <w:tab w:leader="none" w:pos="1117"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any Loan Party in respect of letters of credit, banker’s acceptances, bank guarantees, performance bonds, bid bonds, appeal bonds, surety bonds and similar obligations, in each case provided in the ordinary course of business;</w:t>
      </w:r>
    </w:p>
    <w:p>
      <w:pPr>
        <w:spacing w:after="0" w:line="160" w:lineRule="exact"/>
        <w:rPr>
          <w:rFonts w:ascii="Times New Roman" w:cs="Times New Roman" w:eastAsia="Times New Roman" w:hAnsi="Times New Roman"/>
          <w:sz w:val="20"/>
          <w:szCs w:val="20"/>
          <w:color w:val="010000"/>
        </w:rPr>
      </w:pPr>
    </w:p>
    <w:p>
      <w:pPr>
        <w:ind w:right="20" w:firstLine="656"/>
        <w:spacing w:after="0" w:line="233" w:lineRule="auto"/>
        <w:tabs>
          <w:tab w:leader="none" w:pos="1060"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Subordinated Indebtedness on terms and conditions (including with respect to any cash payments) acceptable to the Administrative Agent in its sole discretion;</w:t>
      </w:r>
    </w:p>
    <w:p>
      <w:pPr>
        <w:spacing w:after="0" w:line="160"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33"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Person that becomes a Subsidiary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(j), together with any Refinance Indebtedness in respect thereof permitted by clause (f) above, shall not exceed $2,500,000 at any time outstanding;</w:t>
      </w:r>
    </w:p>
    <w:p>
      <w:pPr>
        <w:spacing w:after="0" w:line="161" w:lineRule="exact"/>
        <w:rPr>
          <w:rFonts w:ascii="Times New Roman" w:cs="Times New Roman" w:eastAsia="Times New Roman" w:hAnsi="Times New Roman"/>
          <w:sz w:val="20"/>
          <w:szCs w:val="20"/>
          <w:color w:val="010000"/>
        </w:rPr>
      </w:pPr>
    </w:p>
    <w:p>
      <w:pPr>
        <w:ind w:firstLine="656"/>
        <w:spacing w:after="0" w:line="233" w:lineRule="auto"/>
        <w:tabs>
          <w:tab w:leader="none" w:pos="1184"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obligations (contingent or otherwise) of the Borrower and its Subsidiaries existing or arising under any Swap Agreement permitted by Section 6.07;</w:t>
      </w:r>
    </w:p>
    <w:p>
      <w:pPr>
        <w:spacing w:after="0" w:line="160" w:lineRule="exact"/>
        <w:rPr>
          <w:rFonts w:ascii="Times New Roman" w:cs="Times New Roman" w:eastAsia="Times New Roman" w:hAnsi="Times New Roman"/>
          <w:sz w:val="20"/>
          <w:szCs w:val="20"/>
          <w:color w:val="010000"/>
        </w:rPr>
      </w:pPr>
    </w:p>
    <w:p>
      <w:pPr>
        <w:ind w:left="1040" w:hanging="384"/>
        <w:spacing w:after="0"/>
        <w:tabs>
          <w:tab w:leader="none" w:pos="1040"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Indebtedness to trade creditors in the ordinary course of business and not past due;</w:t>
      </w:r>
    </w:p>
    <w:p>
      <w:pPr>
        <w:spacing w:after="0" w:line="188" w:lineRule="exact"/>
        <w:rPr>
          <w:rFonts w:ascii="Times New Roman" w:cs="Times New Roman" w:eastAsia="Times New Roman" w:hAnsi="Times New Roman"/>
          <w:sz w:val="20"/>
          <w:szCs w:val="20"/>
          <w:color w:val="010000"/>
        </w:rPr>
      </w:pPr>
    </w:p>
    <w:p>
      <w:pPr>
        <w:ind w:left="1140" w:hanging="484"/>
        <w:spacing w:after="0"/>
        <w:tabs>
          <w:tab w:leader="none" w:pos="1140"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Indebtedness incurred as a result of endorsing negotiable instruments received in the ordinary course of business;</w:t>
      </w:r>
    </w:p>
    <w:p>
      <w:pPr>
        <w:spacing w:after="0" w:line="175"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consisting of the financing of insurance premiums;</w:t>
      </w:r>
    </w:p>
    <w:p>
      <w:pPr>
        <w:spacing w:after="0" w:line="188" w:lineRule="exact"/>
        <w:rPr>
          <w:rFonts w:ascii="Times New Roman" w:cs="Times New Roman" w:eastAsia="Times New Roman" w:hAnsi="Times New Roman"/>
          <w:sz w:val="20"/>
          <w:szCs w:val="20"/>
          <w:color w:val="010000"/>
        </w:rPr>
      </w:pPr>
    </w:p>
    <w:p>
      <w:pPr>
        <w:ind w:firstLine="656"/>
        <w:spacing w:after="0"/>
        <w:tabs>
          <w:tab w:leader="none" w:pos="1157"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Foreign Subsidiaries (i) in respect of business credit cards in an aggregate principal amount not to exceed $2,500,000 at any time outstanding; and (ii) otherwise in an aggregate principal amount not to exceed $5,000,000 at any time outstanding;</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44"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Indebtedness in the form of purchase price adjustments, earn outs, deferred compensation, or other arrangements representing Acquisition consideration or deferred payments of a similar nature incurred in connection with Investments permitted by Section 6.04; and</w:t>
      </w:r>
    </w:p>
    <w:p>
      <w:pPr>
        <w:spacing w:after="0" w:line="148"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Indebtedness in an aggregate principal amount not exceeding $5,000,000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7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010000"/>
        </w:rPr>
        <w:t xml:space="preserve">SECTION 6.02.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No Loan Party will, nor will it permit any Subsidiary to, create, incur, assume or permit to exist any Lien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property or asset now owned or hereafter acquired by it, except:</w:t>
      </w:r>
    </w:p>
    <w:p>
      <w:pPr>
        <w:spacing w:after="0" w:line="148"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created pursuant to any Loan Document;</w:t>
      </w:r>
    </w:p>
    <w:p>
      <w:pPr>
        <w:spacing w:after="0" w:line="188"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Encumbrances;</w:t>
      </w:r>
    </w:p>
    <w:p>
      <w:pPr>
        <w:spacing w:after="0" w:line="18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79"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on any property or asset of the Borrower or any Subsidiary existing on the date hereof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48" w:lineRule="exact"/>
        <w:rPr>
          <w:rFonts w:ascii="Times New Roman" w:cs="Times New Roman" w:eastAsia="Times New Roman" w:hAnsi="Times New Roman"/>
          <w:sz w:val="20"/>
          <w:szCs w:val="20"/>
          <w:color w:val="010000"/>
        </w:rPr>
      </w:pPr>
    </w:p>
    <w:p>
      <w:pPr>
        <w:jc w:val="both"/>
        <w:ind w:firstLine="656"/>
        <w:spacing w:after="0" w:line="234" w:lineRule="auto"/>
        <w:tabs>
          <w:tab w:leader="none" w:pos="1130" w:val="left"/>
        </w:tabs>
        <w:numPr>
          <w:ilvl w:val="0"/>
          <w:numId w:val="1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Liens on fixed or capital assets acquired, constructed or improved by the Borrower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secure Indebtedness permitted by Section 6.01(e), (ii) such Liens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Borrower or any Subsidiary;</w:t>
      </w:r>
    </w:p>
    <w:p>
      <w:pPr>
        <w:spacing w:after="0" w:line="160" w:lineRule="exact"/>
        <w:rPr>
          <w:rFonts w:ascii="Times New Roman" w:cs="Times New Roman" w:eastAsia="Times New Roman" w:hAnsi="Times New Roman"/>
          <w:sz w:val="19"/>
          <w:szCs w:val="19"/>
          <w:color w:val="010000"/>
        </w:rPr>
      </w:pPr>
    </w:p>
    <w:p>
      <w:pPr>
        <w:jc w:val="both"/>
        <w:ind w:firstLine="656"/>
        <w:spacing w:after="0" w:line="215" w:lineRule="auto"/>
        <w:tabs>
          <w:tab w:leader="none" w:pos="1092"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existing on any property or asset prior to the acquisition thereof by (including any merger into or consolidation with) the Borrower or any Subsidiary or existing on any property or asset of any Person that becomes a Loan Party after the date hereof prior to the time such Person becomes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Loan Party, as the case may be, (ii) such Lien shall not apply to any other property or assets of any Loan Party or Subsidiary, (iii) such Lien shall only secure Indebtedness or obligations permitted pursuant to Section 6.01(j) and (iv)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50"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098"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bankers’ Liens, rights of setoff and other similar Liens existing solely with respect to cash, Permitted Investments,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60"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out of Sale and Leaseback Transactions permitted by Section 6.06;</w:t>
      </w:r>
    </w:p>
    <w:p>
      <w:pPr>
        <w:spacing w:after="0" w:line="175" w:lineRule="exact"/>
        <w:rPr>
          <w:rFonts w:ascii="Times New Roman" w:cs="Times New Roman" w:eastAsia="Times New Roman" w:hAnsi="Times New Roman"/>
          <w:sz w:val="20"/>
          <w:szCs w:val="20"/>
          <w:color w:val="010000"/>
        </w:rPr>
      </w:pPr>
    </w:p>
    <w:p>
      <w:pPr>
        <w:jc w:val="both"/>
        <w:ind w:firstLine="656"/>
        <w:spacing w:after="0" w:line="218" w:lineRule="auto"/>
        <w:tabs>
          <w:tab w:leader="none" w:pos="1103"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(x) any interest or title of a lessor or licensor under any lease or license entered into by the Borrower or any Subsidiary in the ordinary course of its business and covering only the assets so leased or licensed, (y) leases, licenses, subleases and sublicenses of real property granted to others in the ordinary course of business and (z) non-exclusive licenses of Intellectual Property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in each case in the ordinary course of business;</w:t>
      </w:r>
    </w:p>
    <w:p>
      <w:pPr>
        <w:spacing w:after="0" w:line="150"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27" w:val="left"/>
        </w:tabs>
        <w:numPr>
          <w:ilvl w:val="0"/>
          <w:numId w:val="1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replacement, extension or renewal of any Lien permitted by clause (e) above upon or in the same property theretofore subject thereto or the replacement, extension or renewal (without increase in the amount or change in any direct or contingent obligor) of the Indebtedness secured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70" w:lineRule="exact"/>
        <w:rPr>
          <w:sz w:val="20"/>
          <w:szCs w:val="20"/>
          <w:color w:val="auto"/>
        </w:rPr>
      </w:pPr>
    </w:p>
    <w:p>
      <w:pPr>
        <w:ind w:left="1060" w:hanging="404"/>
        <w:spacing w:after="0"/>
        <w:tabs>
          <w:tab w:leader="none" w:pos="1060" w:val="left"/>
        </w:tabs>
        <w:numPr>
          <w:ilvl w:val="1"/>
          <w:numId w:val="1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cash deposits and liens on cash and Permitted Investments pledged to secure Indebtedness permitted under Section 6.01(h),</w:t>
      </w:r>
    </w:p>
    <w:p>
      <w:pPr>
        <w:jc w:val="both"/>
        <w:ind w:firstLine="8"/>
        <w:spacing w:after="0" w:line="216" w:lineRule="auto"/>
        <w:tabs>
          <w:tab w:leader="none" w:pos="29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and Permitted Investments securing reimbursement obligations with respect to letters of credit, banker’s acceptances, bank guarantees permitted by Section 6.01(h) that encumber documents and other property relating to such letters of credit, (iii) Liens on cash and Permitted Investments securing Obligations under any Swap Agreements permitted by Section 6.01(k), and (iv) Liens on cash deposits securing minimum capitalization requirements;</w:t>
      </w:r>
    </w:p>
    <w:p>
      <w:pPr>
        <w:spacing w:after="0" w:line="149" w:lineRule="exact"/>
        <w:rPr>
          <w:rFonts w:ascii="Times New Roman" w:cs="Times New Roman" w:eastAsia="Times New Roman" w:hAnsi="Times New Roman"/>
          <w:sz w:val="20"/>
          <w:szCs w:val="20"/>
          <w:color w:val="auto"/>
        </w:rPr>
      </w:pPr>
    </w:p>
    <w:p>
      <w:pPr>
        <w:ind w:firstLine="656"/>
        <w:spacing w:after="0"/>
        <w:tabs>
          <w:tab w:leader="none" w:pos="1184" w:val="left"/>
        </w:tabs>
        <w:numPr>
          <w:ilvl w:val="1"/>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any earnest money deposits required in connection with a Permitted Acquisition or consisting of earnest money deposits required in connection with an acquisition of property expressly permitted hereunder;</w:t>
      </w:r>
    </w:p>
    <w:p>
      <w:pPr>
        <w:spacing w:after="0" w:line="161" w:lineRule="exact"/>
        <w:rPr>
          <w:rFonts w:ascii="Times New Roman" w:cs="Times New Roman" w:eastAsia="Times New Roman" w:hAnsi="Times New Roman"/>
          <w:sz w:val="20"/>
          <w:szCs w:val="20"/>
          <w:color w:val="010000"/>
        </w:rPr>
      </w:pPr>
    </w:p>
    <w:p>
      <w:pPr>
        <w:ind w:firstLine="656"/>
        <w:spacing w:after="0" w:line="233" w:lineRule="auto"/>
        <w:tabs>
          <w:tab w:leader="none" w:pos="1060" w:val="left"/>
        </w:tabs>
        <w:numPr>
          <w:ilvl w:val="1"/>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that are contractual rights of setoff relating to purchase orders and other agreements entered into with customers of such Person in the ordinary course of business;</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293" w:val="left"/>
        </w:tabs>
        <w:numPr>
          <w:ilvl w:val="1"/>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granted by a Subsidiary that is not a Loan Party in favor of the Borrower or another Loan Party in respect of Indebtedness owed by such Subsidiary;</w:t>
      </w:r>
    </w:p>
    <w:p>
      <w:pPr>
        <w:spacing w:after="0" w:line="147"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1"/>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insurance proceeds in favor of insurance companies granted solely to </w:t>
      </w:r>
      <w:r>
        <w:rPr>
          <w:rFonts w:ascii="Times New Roman" w:cs="Times New Roman" w:eastAsia="Times New Roman" w:hAnsi="Times New Roman"/>
          <w:sz w:val="20"/>
          <w:szCs w:val="20"/>
          <w:color w:val="FF0000"/>
          <w:strike w:val="1"/>
        </w:rPr>
        <w:t>secured</w:t>
      </w:r>
      <w:r>
        <w:rPr>
          <w:rFonts w:ascii="Times New Roman" w:cs="Times New Roman" w:eastAsia="Times New Roman" w:hAnsi="Times New Roman"/>
          <w:sz w:val="20"/>
          <w:szCs w:val="20"/>
          <w:u w:val="single" w:color="auto"/>
          <w:color w:val="0000FF"/>
        </w:rPr>
        <w:t>secure</w:t>
      </w:r>
      <w:r>
        <w:rPr>
          <w:rFonts w:ascii="Times New Roman" w:cs="Times New Roman" w:eastAsia="Times New Roman" w:hAnsi="Times New Roman"/>
          <w:sz w:val="20"/>
          <w:szCs w:val="20"/>
          <w:color w:val="auto"/>
        </w:rPr>
        <w:t xml:space="preserve"> financed insurance premiums;</w:t>
      </w:r>
    </w:p>
    <w:p>
      <w:pPr>
        <w:spacing w:after="0" w:line="188" w:lineRule="exact"/>
        <w:rPr>
          <w:rFonts w:ascii="Times New Roman" w:cs="Times New Roman" w:eastAsia="Times New Roman" w:hAnsi="Times New Roman"/>
          <w:sz w:val="20"/>
          <w:szCs w:val="20"/>
          <w:color w:val="010000"/>
        </w:rPr>
      </w:pPr>
    </w:p>
    <w:p>
      <w:pPr>
        <w:ind w:right="20" w:firstLine="656"/>
        <w:spacing w:after="0"/>
        <w:tabs>
          <w:tab w:leader="none" w:pos="1076" w:val="left"/>
        </w:tabs>
        <w:numPr>
          <w:ilvl w:val="1"/>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custom and revenue authorities arising as a matter of law to secure the payment of custom duties in connection with the importation of goods; and</w:t>
      </w:r>
    </w:p>
    <w:p>
      <w:pPr>
        <w:spacing w:after="0" w:line="147"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1"/>
          <w:numId w:val="1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Liens securing obligations in an outstanding amount not to exceed $5,000,000 at any one time;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no such Lien (other than Liens arising by operation of law, Permitted Encumbrances and Liens permitted pursuant to clause (h) above) shall encumber any Material Intellectual Property or real property owned by any Loan Party or Subsidiary.</w:t>
      </w:r>
    </w:p>
    <w:p>
      <w:pPr>
        <w:spacing w:after="0" w:line="148"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6.03.</w:t>
      </w:r>
      <w:r>
        <w:rPr>
          <w:sz w:val="20"/>
          <w:szCs w:val="20"/>
          <w:color w:val="auto"/>
        </w:rPr>
        <w:tab/>
      </w:r>
      <w:r>
        <w:rPr>
          <w:rFonts w:ascii="Times New Roman" w:cs="Times New Roman" w:eastAsia="Times New Roman" w:hAnsi="Times New Roman"/>
          <w:sz w:val="19"/>
          <w:szCs w:val="19"/>
          <w:u w:val="single" w:color="auto"/>
          <w:color w:val="auto"/>
        </w:rPr>
        <w:t>Fundamental Changes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1" w:lineRule="auto"/>
        <w:tabs>
          <w:tab w:leader="none" w:pos="1092" w:val="left"/>
        </w:tabs>
        <w:numPr>
          <w:ilvl w:val="0"/>
          <w:numId w:val="1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 Loan Party will, nor will it permit any Subsidiary to, merge into or consolidate with any other Person, or permit any other Person to merge into or consolidate with it, or otherwise Dispose of all or substantially all of its assets, or all or substantially all of the Equity Interests of any of its Subsidiaries (in each case, whether now owned or hereafter acquired), or liquidate or dissolve, except that, (i) any Subsidiary of the Borrower may merge into the Borrower in a transaction in which the Borrower is the surviving entity, (ii) any Loan Party (other than the Borrower) may merge into any other Loan Party in a transaction in which the surviving entity is a Loan Party; (iii) any Subsidiary that is a limited liability company may consummate a division as the dividing Person if, immediately upon the consummation of the division, all of the assets of the applicable dividing Person are held by one or more Loan Parties, and (iv) any Subsidiary that is not a Loan Party may liquidate or dissolve if the Borrower determines in good faith that such liquidation or dissolution is in the best interests of the Borrower and is not materially disadvantageous to the Lenders (as reasonably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Person that is not a wholly-owned Subsidiary immediately prior to such merger or consolidation shall not be permitted unless also permitted by Section 6.04.</w:t>
      </w:r>
    </w:p>
    <w:p>
      <w:pPr>
        <w:spacing w:after="0" w:line="165" w:lineRule="exact"/>
        <w:rPr>
          <w:rFonts w:ascii="Times New Roman" w:cs="Times New Roman" w:eastAsia="Times New Roman" w:hAnsi="Times New Roman"/>
          <w:sz w:val="20"/>
          <w:szCs w:val="20"/>
          <w:color w:val="010000"/>
        </w:rPr>
      </w:pPr>
    </w:p>
    <w:p>
      <w:pPr>
        <w:ind w:firstLine="656"/>
        <w:spacing w:after="0"/>
        <w:tabs>
          <w:tab w:leader="none" w:pos="1090" w:val="left"/>
        </w:tabs>
        <w:numPr>
          <w:ilvl w:val="0"/>
          <w:numId w:val="1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engage to any material extent in any business other than businesses of the type conducted by the Borrower and its Subsidiaries on the date hereof and businesses reasonably related thereto.</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06" w:val="left"/>
        </w:tabs>
        <w:numPr>
          <w:ilvl w:val="0"/>
          <w:numId w:val="1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will not change its fiscal year or any fiscal quarter from the basis in effect on the Effective Date, and no other Loan Party will, nor will it permit any Subsidiary to change its fiscal year or any fiscal quarter from the basis in effect on the Effective Date except, with prior written notice to the Administrative Agent, to align with the fiscal year and fiscal quarters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76" w:lineRule="exact"/>
        <w:rPr>
          <w:sz w:val="20"/>
          <w:szCs w:val="20"/>
          <w:color w:val="auto"/>
        </w:rPr>
      </w:pPr>
    </w:p>
    <w:p>
      <w:pPr>
        <w:jc w:val="both"/>
        <w:ind w:firstLine="656"/>
        <w:spacing w:after="0" w:line="226" w:lineRule="auto"/>
        <w:tabs>
          <w:tab w:leader="none" w:pos="1130" w:val="left"/>
        </w:tabs>
        <w:numPr>
          <w:ilvl w:val="0"/>
          <w:numId w:val="1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will not change the accounting basis upon which its financial statements are prepared, and no Loan Party will change the accounting basis upon which its financial statements are prepared except, with prior written notice to the Administrative Agent, to align with the accounting basis of the Borrower.</w:t>
      </w:r>
    </w:p>
    <w:p>
      <w:pPr>
        <w:spacing w:after="0" w:line="155"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6.04.</w:t>
      </w:r>
      <w:r>
        <w:rPr>
          <w:sz w:val="20"/>
          <w:szCs w:val="20"/>
          <w:color w:val="auto"/>
        </w:rPr>
        <w:tab/>
      </w:r>
      <w:r>
        <w:rPr>
          <w:rFonts w:ascii="Times New Roman" w:cs="Times New Roman" w:eastAsia="Times New Roman" w:hAnsi="Times New Roman"/>
          <w:sz w:val="19"/>
          <w:szCs w:val="19"/>
          <w:u w:val="single" w:color="auto"/>
          <w:color w:val="auto"/>
        </w:rPr>
        <w:t>Investments, Loans, Advances, Guarantees and Acquisitions</w:t>
      </w:r>
      <w:r>
        <w:rPr>
          <w:rFonts w:ascii="Times New Roman" w:cs="Times New Roman" w:eastAsia="Times New Roman" w:hAnsi="Times New Roman"/>
          <w:sz w:val="19"/>
          <w:szCs w:val="19"/>
          <w:color w:val="auto"/>
        </w:rPr>
        <w:t>. No Loan Party will, nor will it permit any Subsidiary</w:t>
      </w:r>
    </w:p>
    <w:p>
      <w:pPr>
        <w:spacing w:after="0" w:line="204" w:lineRule="auto"/>
        <w:rPr>
          <w:sz w:val="20"/>
          <w:szCs w:val="20"/>
          <w:color w:val="auto"/>
        </w:rPr>
      </w:pPr>
      <w:r>
        <w:rPr>
          <w:rFonts w:ascii="Times New Roman" w:cs="Times New Roman" w:eastAsia="Times New Roman" w:hAnsi="Times New Roman"/>
          <w:sz w:val="20"/>
          <w:szCs w:val="20"/>
          <w:color w:val="auto"/>
        </w:rPr>
        <w:t>to, form any subsidiary after the Effective Date, or purchase, hold or acquire (including pursuant to any merger or consolidation with any Person that was not a Loan Party and a wholly-owned Subsidiary prior to such merger or consolidation) any Equity Interests, evidences of</w:t>
      </w:r>
    </w:p>
    <w:p>
      <w:pPr>
        <w:spacing w:after="0" w:line="211" w:lineRule="auto"/>
        <w:rPr>
          <w:sz w:val="20"/>
          <w:szCs w:val="20"/>
          <w:color w:val="auto"/>
        </w:rPr>
      </w:pPr>
      <w:r>
        <w:rPr>
          <w:rFonts w:ascii="Times New Roman" w:cs="Times New Roman" w:eastAsia="Times New Roman" w:hAnsi="Times New Roman"/>
          <w:sz w:val="20"/>
          <w:szCs w:val="20"/>
          <w:color w:val="auto"/>
        </w:rPr>
        <w:t>indebtedness or other securities (including any option, warrant or other right to acquire any of the foregoing) of, make or permit to exist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loans or advances to, Guarantee any obligations of, or make or permit to exist any investment or any other interest in, any other Person, or purchase or otherwise acquire (in one transaction or a series of transactions) any Person or any assets of any other Person constituting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unit (whether through purchase of assets, merger or otherwise), except:</w:t>
      </w:r>
    </w:p>
    <w:p>
      <w:pPr>
        <w:spacing w:after="0" w:line="167" w:lineRule="exact"/>
        <w:rPr>
          <w:sz w:val="20"/>
          <w:szCs w:val="20"/>
          <w:color w:val="auto"/>
        </w:rPr>
      </w:pPr>
    </w:p>
    <w:p>
      <w:pPr>
        <w:jc w:val="both"/>
        <w:ind w:firstLine="656"/>
        <w:spacing w:after="0" w:line="222" w:lineRule="auto"/>
        <w:tabs>
          <w:tab w:leader="none" w:pos="1119" w:val="left"/>
        </w:tabs>
        <w:numPr>
          <w:ilvl w:val="0"/>
          <w:numId w:val="1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 and Permitted Investments, plus any investments in an amount not to exceed $5,000,000 in the aggregate, which would otherwise constitute Permitted Investments under clause (c) of the definition thereof but-for the requirement that any such investment be issued, guaranteed or offered by, or placed with a domestic office of any commercial bank organized under the laws of the U.S. or any state thereof which has a combined capital and surplus and undivided profits of not less than $500,000,000;</w:t>
      </w:r>
    </w:p>
    <w:p>
      <w:pPr>
        <w:spacing w:after="0" w:line="148"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existence on the date hereof and described in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065" w:val="left"/>
        </w:tabs>
        <w:numPr>
          <w:ilvl w:val="0"/>
          <w:numId w:val="1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investments made by the Borrower and the Subsidiaries in Equity Interests in their respective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Equity Interests held by a Loan Party (other than Excluded Assets) shall be pledged pursuant to the Security Agreement, (ii) the aggregate outstanding amount of investments by Loan Parties in Subsidiaries that are not Loan Parties (together with outstanding intercompany loans permitted under clause (ii) of the proviso to Section 6.04(d) and outstanding principal amount of Indebtedness subject to Guarantees permitted under the proviso to Section 6.04(e)) shall not exceed $15,000,000 (or such greater amount as agreed by the Administrative Agent in its sole discretion) in any fiscal year of the Borrower (in each case determined without regard to any write-downs or write-offs) and (iii) no Event of Default exists and is continuing if such investment is by a Loan Party in a Subsidiary that is not a Loan Party;</w:t>
      </w:r>
    </w:p>
    <w:p>
      <w:pPr>
        <w:spacing w:after="0" w:line="152" w:lineRule="exact"/>
        <w:rPr>
          <w:rFonts w:ascii="Times New Roman" w:cs="Times New Roman" w:eastAsia="Times New Roman" w:hAnsi="Times New Roman"/>
          <w:sz w:val="19"/>
          <w:szCs w:val="19"/>
          <w:color w:val="010000"/>
        </w:rPr>
      </w:pPr>
    </w:p>
    <w:p>
      <w:pPr>
        <w:jc w:val="both"/>
        <w:ind w:firstLine="656"/>
        <w:spacing w:after="0" w:line="215" w:lineRule="auto"/>
        <w:tabs>
          <w:tab w:leader="none" w:pos="1184" w:val="left"/>
        </w:tabs>
        <w:numPr>
          <w:ilvl w:val="0"/>
          <w:numId w:val="1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loans and advances made by a Loan Party shall be evidenced by a promissory note pledged pursuant to the Security Agreement, (ii) the outstanding amount of such loans and advances made by Loan Parties to Subsidiaries that are not Loan Parties (together with outstanding investments permitted under clause (ii) of the proviso to Section 6.04(c) and the outstanding principal amount of Indebtedness subject to Guarantees permitted under the proviso to Section 6.04(e)) shall not exceed $15,000,000 (or such greater amount as agreed by the Administrative Agent in its sole discretion) in any fiscal year of the Borrower (in each case determined without regard to any write-downs or write-offs) and (iii) no Event of Default exists and is continuing if such investment is by a Loan Party in a Subsidiary that is not a Loan Party;</w:t>
      </w:r>
    </w:p>
    <w:p>
      <w:pPr>
        <w:spacing w:after="0" w:line="160"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079" w:val="left"/>
        </w:tabs>
        <w:numPr>
          <w:ilvl w:val="0"/>
          <w:numId w:val="1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Guarantee Obligations permitted by Section 6.01 and Guarantee Obligations of obligations not constituting Indebtedness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outstanding principal amount of Indebtedness of Subsidiaries that are not Loan Parties that is Guaranteed by any Loan Party (together with outstanding investments permitted under clause (ii) of the proviso to Section 6.04(c) and outstanding intercompany loans permitted under clause (ii) of the proviso to Section 6.04(d)) shall not exceed $15,000,000 (or such greater amount as agreed by the Administrative Agent in its sole discretion) in any fiscal year of the Borrower (in each case determined without regard to any write-downs or write-offs) and (ii) no Event of Default exists and is continuing if such investment is by a Loan Party in a Subsidiary that is not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76" w:lineRule="exact"/>
        <w:rPr>
          <w:sz w:val="20"/>
          <w:szCs w:val="20"/>
          <w:color w:val="auto"/>
        </w:rPr>
      </w:pPr>
    </w:p>
    <w:p>
      <w:pPr>
        <w:jc w:val="both"/>
        <w:ind w:left="-20" w:firstLine="656"/>
        <w:spacing w:after="0" w:line="226" w:lineRule="auto"/>
        <w:tabs>
          <w:tab w:leader="none" w:pos="1118"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consisting of (i) travel advances and employee relocation loans and other employee loans and advances in the ordinary course of business, and (ii) non-cash loans to employees, officers or directors relating to the purchase of equity securities of the Borrower and its Subsidiaries pursuant to employee stock purchase plans or agreements approved by the Borrower’s board of directors;</w:t>
      </w:r>
    </w:p>
    <w:p>
      <w:pPr>
        <w:spacing w:after="0" w:line="160" w:lineRule="exact"/>
        <w:rPr>
          <w:rFonts w:ascii="Times New Roman" w:cs="Times New Roman" w:eastAsia="Times New Roman" w:hAnsi="Times New Roman"/>
          <w:sz w:val="20"/>
          <w:szCs w:val="20"/>
          <w:color w:val="010000"/>
        </w:rPr>
      </w:pPr>
    </w:p>
    <w:p>
      <w:pPr>
        <w:ind w:left="-20" w:firstLine="656"/>
        <w:spacing w:after="0"/>
        <w:tabs>
          <w:tab w:leader="none" w:pos="1097"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47" w:lineRule="exact"/>
        <w:rPr>
          <w:rFonts w:ascii="Times New Roman" w:cs="Times New Roman" w:eastAsia="Times New Roman" w:hAnsi="Times New Roman"/>
          <w:sz w:val="20"/>
          <w:szCs w:val="20"/>
          <w:color w:val="010000"/>
        </w:rPr>
      </w:pPr>
    </w:p>
    <w:p>
      <w:pPr>
        <w:ind w:left="1060" w:hanging="424"/>
        <w:spacing w:after="0"/>
        <w:tabs>
          <w:tab w:leader="none" w:pos="106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the form of Swap Agreements permitted by Section 6.07;</w:t>
      </w:r>
    </w:p>
    <w:p>
      <w:pPr>
        <w:spacing w:after="0" w:line="188" w:lineRule="exact"/>
        <w:rPr>
          <w:rFonts w:ascii="Times New Roman" w:cs="Times New Roman" w:eastAsia="Times New Roman" w:hAnsi="Times New Roman"/>
          <w:sz w:val="20"/>
          <w:szCs w:val="20"/>
          <w:color w:val="010000"/>
        </w:rPr>
      </w:pPr>
    </w:p>
    <w:p>
      <w:pPr>
        <w:jc w:val="both"/>
        <w:ind w:left="-20" w:firstLine="656"/>
        <w:spacing w:after="0" w:line="226" w:lineRule="auto"/>
        <w:tabs>
          <w:tab w:leader="none" w:pos="108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60" w:lineRule="exact"/>
        <w:rPr>
          <w:rFonts w:ascii="Times New Roman" w:cs="Times New Roman" w:eastAsia="Times New Roman" w:hAnsi="Times New Roman"/>
          <w:sz w:val="20"/>
          <w:szCs w:val="20"/>
          <w:color w:val="010000"/>
        </w:rPr>
      </w:pPr>
    </w:p>
    <w:p>
      <w:pPr>
        <w:ind w:left="1020" w:hanging="384"/>
        <w:spacing w:after="0"/>
        <w:tabs>
          <w:tab w:leader="none" w:pos="102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received in connection with the Disposition of assets permitted by Section 6.05;</w:t>
      </w:r>
    </w:p>
    <w:p>
      <w:pPr>
        <w:spacing w:after="0" w:line="188" w:lineRule="exact"/>
        <w:rPr>
          <w:rFonts w:ascii="Times New Roman" w:cs="Times New Roman" w:eastAsia="Times New Roman" w:hAnsi="Times New Roman"/>
          <w:sz w:val="20"/>
          <w:szCs w:val="20"/>
          <w:color w:val="010000"/>
        </w:rPr>
      </w:pPr>
    </w:p>
    <w:p>
      <w:pPr>
        <w:ind w:left="1060" w:hanging="424"/>
        <w:spacing w:after="0"/>
        <w:tabs>
          <w:tab w:leader="none" w:pos="106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constituting deposits described in clauses (c) and (d) of the definition of the term “Permitted Encumbrances”;</w:t>
      </w:r>
    </w:p>
    <w:p>
      <w:pPr>
        <w:spacing w:after="0" w:line="175" w:lineRule="exact"/>
        <w:rPr>
          <w:rFonts w:ascii="Times New Roman" w:cs="Times New Roman" w:eastAsia="Times New Roman" w:hAnsi="Times New Roman"/>
          <w:sz w:val="20"/>
          <w:szCs w:val="20"/>
          <w:color w:val="010000"/>
        </w:rPr>
      </w:pPr>
    </w:p>
    <w:p>
      <w:pPr>
        <w:ind w:left="1020" w:hanging="384"/>
        <w:spacing w:after="0"/>
        <w:tabs>
          <w:tab w:leader="none" w:pos="102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Acquisitions;</w:t>
      </w:r>
    </w:p>
    <w:p>
      <w:pPr>
        <w:spacing w:after="0" w:line="188" w:lineRule="exact"/>
        <w:rPr>
          <w:rFonts w:ascii="Times New Roman" w:cs="Times New Roman" w:eastAsia="Times New Roman" w:hAnsi="Times New Roman"/>
          <w:sz w:val="20"/>
          <w:szCs w:val="20"/>
          <w:color w:val="010000"/>
        </w:rPr>
      </w:pPr>
    </w:p>
    <w:p>
      <w:pPr>
        <w:jc w:val="both"/>
        <w:ind w:left="-20" w:firstLine="656"/>
        <w:spacing w:after="0" w:line="226" w:lineRule="auto"/>
        <w:tabs>
          <w:tab w:leader="none" w:pos="1125"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received in settlement of amounts due to any Loan Party or Subsidiary effected in the ordinary course of business or owing to such Loan Party or Subsidiary as a result of insolvency proceedings involving an Account Debtor or upon the foreclosure or enforcement of any Lien in favor of such Loan Party or Subsidiary;</w:t>
      </w:r>
    </w:p>
    <w:p>
      <w:pPr>
        <w:spacing w:after="0" w:line="160" w:lineRule="exact"/>
        <w:rPr>
          <w:rFonts w:ascii="Times New Roman" w:cs="Times New Roman" w:eastAsia="Times New Roman" w:hAnsi="Times New Roman"/>
          <w:sz w:val="20"/>
          <w:szCs w:val="20"/>
          <w:color w:val="010000"/>
        </w:rPr>
      </w:pPr>
    </w:p>
    <w:p>
      <w:pPr>
        <w:ind w:left="-20" w:firstLine="656"/>
        <w:spacing w:after="0"/>
        <w:tabs>
          <w:tab w:leader="none" w:pos="1178"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licensing or contribution of intellectual property pursuant to joint marketing or joint venture arrangements with other Persons in the ordinary course of business;</w:t>
      </w:r>
    </w:p>
    <w:p>
      <w:pPr>
        <w:spacing w:after="0" w:line="147" w:lineRule="exact"/>
        <w:rPr>
          <w:rFonts w:ascii="Times New Roman" w:cs="Times New Roman" w:eastAsia="Times New Roman" w:hAnsi="Times New Roman"/>
          <w:sz w:val="20"/>
          <w:szCs w:val="20"/>
          <w:color w:val="010000"/>
        </w:rPr>
      </w:pPr>
    </w:p>
    <w:p>
      <w:pPr>
        <w:ind w:left="-20" w:firstLine="656"/>
        <w:spacing w:after="0"/>
        <w:tabs>
          <w:tab w:leader="none" w:pos="1097"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deposits made to secure the performance of leases, licenses or contracts in the ordinary course of business and other deposits made in connection with the insurance of Liens permitted by Section 6.02;</w:t>
      </w:r>
    </w:p>
    <w:p>
      <w:pPr>
        <w:spacing w:after="0" w:line="147" w:lineRule="exact"/>
        <w:rPr>
          <w:rFonts w:ascii="Times New Roman" w:cs="Times New Roman" w:eastAsia="Times New Roman" w:hAnsi="Times New Roman"/>
          <w:sz w:val="20"/>
          <w:szCs w:val="20"/>
          <w:color w:val="010000"/>
        </w:rPr>
      </w:pPr>
    </w:p>
    <w:p>
      <w:pPr>
        <w:ind w:left="-20" w:firstLine="656"/>
        <w:spacing w:after="0"/>
        <w:tabs>
          <w:tab w:leader="none" w:pos="1097"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promissory notes and other non-cash consideration received in connection with Dispositions permitted by Section 6.05, to the extent not exceeding the limits specified therein with respect to the receipt of non-cash consideration in connection with such Dispositions;</w:t>
      </w:r>
    </w:p>
    <w:p>
      <w:pPr>
        <w:spacing w:after="0" w:line="161" w:lineRule="exact"/>
        <w:rPr>
          <w:rFonts w:ascii="Times New Roman" w:cs="Times New Roman" w:eastAsia="Times New Roman" w:hAnsi="Times New Roman"/>
          <w:sz w:val="20"/>
          <w:szCs w:val="20"/>
          <w:color w:val="010000"/>
        </w:rPr>
      </w:pPr>
    </w:p>
    <w:p>
      <w:pPr>
        <w:ind w:left="1060" w:hanging="424"/>
        <w:spacing w:after="0"/>
        <w:tabs>
          <w:tab w:leader="none" w:pos="106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the ordinary course of business consisting of endorsements of negotiable instruments for collection or deposit;</w:t>
      </w:r>
    </w:p>
    <w:p>
      <w:pPr>
        <w:spacing w:after="0" w:line="175" w:lineRule="exact"/>
        <w:rPr>
          <w:rFonts w:ascii="Times New Roman" w:cs="Times New Roman" w:eastAsia="Times New Roman" w:hAnsi="Times New Roman"/>
          <w:sz w:val="20"/>
          <w:szCs w:val="20"/>
          <w:color w:val="010000"/>
        </w:rPr>
      </w:pPr>
    </w:p>
    <w:p>
      <w:pPr>
        <w:ind w:left="1040" w:hanging="404"/>
        <w:spacing w:after="0"/>
        <w:tabs>
          <w:tab w:leader="none" w:pos="1040"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extensions of trade credit to customers in the ordinary course of business consistent with past practice;</w:t>
      </w:r>
    </w:p>
    <w:p>
      <w:pPr>
        <w:spacing w:after="0" w:line="188" w:lineRule="exact"/>
        <w:rPr>
          <w:rFonts w:ascii="Times New Roman" w:cs="Times New Roman" w:eastAsia="Times New Roman" w:hAnsi="Times New Roman"/>
          <w:sz w:val="20"/>
          <w:szCs w:val="20"/>
          <w:color w:val="010000"/>
        </w:rPr>
      </w:pPr>
    </w:p>
    <w:p>
      <w:pPr>
        <w:jc w:val="both"/>
        <w:ind w:left="-20" w:firstLine="656"/>
        <w:spacing w:after="0" w:line="226" w:lineRule="auto"/>
        <w:tabs>
          <w:tab w:leader="none" w:pos="1075"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no Event of Default exists immediately after giving effect to such investment, in addition to investments otherwise expressly permitted by this Section 6.04, any investments in an aggregate amount not to exceed $5,000,000 in any fiscal year of the Borrower;</w:t>
      </w:r>
    </w:p>
    <w:p>
      <w:pPr>
        <w:spacing w:after="0" w:line="160" w:lineRule="exact"/>
        <w:rPr>
          <w:rFonts w:ascii="Times New Roman" w:cs="Times New Roman" w:eastAsia="Times New Roman" w:hAnsi="Times New Roman"/>
          <w:sz w:val="20"/>
          <w:szCs w:val="20"/>
          <w:color w:val="010000"/>
        </w:rPr>
      </w:pPr>
    </w:p>
    <w:p>
      <w:pPr>
        <w:jc w:val="both"/>
        <w:ind w:left="-20" w:firstLine="656"/>
        <w:spacing w:after="0" w:line="226" w:lineRule="auto"/>
        <w:tabs>
          <w:tab w:leader="none" w:pos="1013" w:val="left"/>
        </w:tabs>
        <w:numPr>
          <w:ilvl w:val="0"/>
          <w:numId w:val="1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so long as no Event of Default exists immediately after giving effect to such investment, investments in joint ventures, corporate collaborations, or strategic alliances;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investments made in cash shall not exceed, together with investments permitted by Section 6.04(u), $15,000,000 in any fiscal year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20"/>
          </w:cols>
          <w:pgMar w:left="340" w:top="1440" w:right="339" w:bottom="1440" w:gutter="0" w:footer="0" w:header="0"/>
        </w:sectPr>
      </w:pPr>
    </w:p>
    <w:bookmarkStart w:id="213" w:name="page214"/>
    <w:bookmarkEnd w:id="213"/>
    <w:p>
      <w:pPr>
        <w:spacing w:after="0" w:line="176" w:lineRule="exact"/>
        <w:rPr>
          <w:sz w:val="20"/>
          <w:szCs w:val="20"/>
          <w:color w:val="auto"/>
        </w:rPr>
      </w:pPr>
    </w:p>
    <w:p>
      <w:pPr>
        <w:jc w:val="both"/>
        <w:ind w:firstLine="656"/>
        <w:spacing w:after="0" w:line="226" w:lineRule="auto"/>
        <w:tabs>
          <w:tab w:leader="none" w:pos="1198" w:val="left"/>
        </w:tabs>
        <w:numPr>
          <w:ilvl w:val="0"/>
          <w:numId w:val="1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no Event of Default exists immediately after giving effect to such investment, minority equity investments in companies in a similar line of business with non-U.S. operations in amounts not to exceed, together with Investments permitted by Section 6.04(t), $15,000,000 in any fiscal year of the Borrower; and</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117" w:val="left"/>
        </w:tabs>
        <w:numPr>
          <w:ilvl w:val="0"/>
          <w:numId w:val="1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formation and/or capitalization of a new Subsidiary so long as such Loan Party and Subsidiary comply with Section 5.13, and so long as any such capitalization is otherwise permitted by this Section 6.04.</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010000"/>
        </w:rPr>
        <w:t xml:space="preserve">SECTION 6.05. </w:t>
      </w:r>
      <w:r>
        <w:rPr>
          <w:rFonts w:ascii="Times New Roman" w:cs="Times New Roman" w:eastAsia="Times New Roman" w:hAnsi="Times New Roman"/>
          <w:sz w:val="20"/>
          <w:szCs w:val="20"/>
          <w:u w:val="single" w:color="auto"/>
          <w:color w:val="000000"/>
        </w:rPr>
        <w:t>Asset Sales</w:t>
      </w:r>
      <w:r>
        <w:rPr>
          <w:rFonts w:ascii="Times New Roman" w:cs="Times New Roman" w:eastAsia="Times New Roman" w:hAnsi="Times New Roman"/>
          <w:sz w:val="20"/>
          <w:szCs w:val="20"/>
          <w:color w:val="000000"/>
        </w:rPr>
        <w:t>. No Loan Party will, nor will it permit any Subsidiary to, Dispose of any asset, including any Equity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Interest owned by it, nor will the Borrower permit any Subsidiary to issue any additional Equity Interest in such Subsidiary (other than to the Borrower or another Subsidiary in compliance with Section 6.04), except:</w:t>
      </w:r>
    </w:p>
    <w:p>
      <w:pPr>
        <w:spacing w:after="0" w:line="149" w:lineRule="exact"/>
        <w:rPr>
          <w:sz w:val="20"/>
          <w:szCs w:val="20"/>
          <w:color w:val="auto"/>
        </w:rPr>
      </w:pPr>
    </w:p>
    <w:p>
      <w:pPr>
        <w:ind w:firstLine="656"/>
        <w:spacing w:after="0"/>
        <w:tabs>
          <w:tab w:leader="none" w:pos="1173"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(i) Inventory in the ordinary course of business and (ii) used, obsolete, worn out or surplus equipment or property in the ordinary course of business;</w:t>
      </w:r>
    </w:p>
    <w:p>
      <w:pPr>
        <w:spacing w:after="0" w:line="161" w:lineRule="exact"/>
        <w:rPr>
          <w:rFonts w:ascii="Times New Roman" w:cs="Times New Roman" w:eastAsia="Times New Roman" w:hAnsi="Times New Roman"/>
          <w:sz w:val="20"/>
          <w:szCs w:val="20"/>
          <w:color w:val="010000"/>
        </w:rPr>
      </w:pPr>
    </w:p>
    <w:p>
      <w:pPr>
        <w:jc w:val="both"/>
        <w:ind w:right="20" w:firstLine="656"/>
        <w:spacing w:after="0" w:line="226" w:lineRule="auto"/>
        <w:tabs>
          <w:tab w:leader="none" w:pos="109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Dispositions of assets to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Dispositions involving a Subsidiary that is not a Loan Party shall be made in compliance with Section 6.09 and (ii) the aggregate fair market value of all assets Disposed by Loan Parties to Subsidiaries that are not Loan Parties during the term of this Agreement shall not exceed $5,000,000;</w:t>
      </w:r>
    </w:p>
    <w:p>
      <w:pPr>
        <w:spacing w:after="0" w:line="160" w:lineRule="exact"/>
        <w:rPr>
          <w:rFonts w:ascii="Times New Roman" w:cs="Times New Roman" w:eastAsia="Times New Roman" w:hAnsi="Times New Roman"/>
          <w:sz w:val="20"/>
          <w:szCs w:val="20"/>
          <w:color w:val="010000"/>
        </w:rPr>
      </w:pPr>
    </w:p>
    <w:p>
      <w:pPr>
        <w:ind w:firstLine="656"/>
        <w:spacing w:after="0" w:line="233" w:lineRule="auto"/>
        <w:tabs>
          <w:tab w:leader="none" w:pos="1065"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Accounts (excluding Dispositions in a factoring arrangement) in connection with the compromise, settlement or collection thereof;</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09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cash, Permitted Investments and other investments permitted by clauses (i) and (k) of Section 6.04 to the extent not otherwise prohibited by the terms of this Agreement or the other Loan Documents;</w:t>
      </w:r>
    </w:p>
    <w:p>
      <w:pPr>
        <w:spacing w:after="0" w:line="147"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 and Leaseback Transactions permitted by Section 6.06;</w:t>
      </w:r>
    </w:p>
    <w:p>
      <w:pPr>
        <w:spacing w:after="0" w:line="188" w:lineRule="exact"/>
        <w:rPr>
          <w:rFonts w:ascii="Times New Roman" w:cs="Times New Roman" w:eastAsia="Times New Roman" w:hAnsi="Times New Roman"/>
          <w:sz w:val="20"/>
          <w:szCs w:val="20"/>
          <w:color w:val="010000"/>
        </w:rPr>
      </w:pPr>
    </w:p>
    <w:p>
      <w:pPr>
        <w:ind w:firstLine="656"/>
        <w:spacing w:after="0" w:line="233" w:lineRule="auto"/>
        <w:tabs>
          <w:tab w:leader="none" w:pos="1152"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the Borrower or any Subsidiary;</w:t>
      </w:r>
    </w:p>
    <w:p>
      <w:pPr>
        <w:spacing w:after="0" w:line="160"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permitted by Section 6.03(a);</w:t>
      </w:r>
    </w:p>
    <w:p>
      <w:pPr>
        <w:spacing w:after="0" w:line="18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9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so long as at the time of making such Disposition no Event of Default then exists or would result therefrom, other 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assets Disposed of in reliance upon this paragraph (h) shall not exceed $1,000,000 during any fiscal year of the Borrower;</w:t>
      </w:r>
    </w:p>
    <w:p>
      <w:pPr>
        <w:spacing w:after="0" w:line="148"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033"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sale or issuance of the Equity Interests of a Subsidiary (i) to the Borrower or any other Loan Party, (ii) by a Subsidiary that is not a Loan Party to another Subsidiary that is not a Loan Party or (iii) in connection with any transaction that does not result in a Change in Control;</w:t>
      </w:r>
    </w:p>
    <w:p>
      <w:pPr>
        <w:spacing w:after="0" w:line="143" w:lineRule="exact"/>
        <w:rPr>
          <w:rFonts w:ascii="Times New Roman" w:cs="Times New Roman" w:eastAsia="Times New Roman" w:hAnsi="Times New Roman"/>
          <w:sz w:val="20"/>
          <w:szCs w:val="20"/>
          <w:color w:val="010000"/>
        </w:rPr>
      </w:pPr>
    </w:p>
    <w:p>
      <w:pPr>
        <w:ind w:left="1100" w:hanging="444"/>
        <w:spacing w:after="0"/>
        <w:tabs>
          <w:tab w:leader="none" w:pos="110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non-exclusive licensing of patents, trademarks, copyrights, and other intellectual property rights in the ordinary course of</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business;</w:t>
      </w:r>
    </w:p>
    <w:p>
      <w:pPr>
        <w:spacing w:after="0" w:line="166"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leases or subleases of real property in the ordinary course of business;</w:t>
      </w:r>
    </w:p>
    <w:p>
      <w:pPr>
        <w:spacing w:after="0" w:line="175" w:lineRule="exact"/>
        <w:rPr>
          <w:rFonts w:ascii="Times New Roman" w:cs="Times New Roman" w:eastAsia="Times New Roman" w:hAnsi="Times New Roman"/>
          <w:sz w:val="20"/>
          <w:szCs w:val="20"/>
          <w:color w:val="010000"/>
        </w:rPr>
      </w:pPr>
    </w:p>
    <w:p>
      <w:pPr>
        <w:ind w:firstLine="656"/>
        <w:spacing w:after="0"/>
        <w:tabs>
          <w:tab w:leader="none" w:pos="1060"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constituting a Disposition, Restricted Payments permitted by Section 6.08, Investments permitted by Section 6.04 and Liens permitted by Section 6.02;</w:t>
      </w:r>
    </w:p>
    <w:p>
      <w:pPr>
        <w:spacing w:after="0" w:line="161" w:lineRule="exact"/>
        <w:rPr>
          <w:rFonts w:ascii="Times New Roman" w:cs="Times New Roman" w:eastAsia="Times New Roman" w:hAnsi="Times New Roman"/>
          <w:sz w:val="20"/>
          <w:szCs w:val="20"/>
          <w:color w:val="010000"/>
        </w:rPr>
      </w:pPr>
    </w:p>
    <w:p>
      <w:pPr>
        <w:ind w:firstLine="656"/>
        <w:spacing w:after="0" w:line="233" w:lineRule="auto"/>
        <w:tabs>
          <w:tab w:leader="none" w:pos="1172" w:val="left"/>
        </w:tabs>
        <w:numPr>
          <w:ilvl w:val="0"/>
          <w:numId w:val="1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sale or discount without recourse of accounts receivable arising in the ordinary course of business in connection with the compromise or collection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76" w:lineRule="exact"/>
        <w:rPr>
          <w:sz w:val="20"/>
          <w:szCs w:val="20"/>
          <w:color w:val="auto"/>
        </w:rPr>
      </w:pPr>
    </w:p>
    <w:p>
      <w:pPr>
        <w:jc w:val="both"/>
        <w:ind w:firstLine="656"/>
        <w:spacing w:after="0" w:line="226" w:lineRule="auto"/>
        <w:tabs>
          <w:tab w:leader="none" w:pos="1090" w:val="left"/>
        </w:tabs>
        <w:numPr>
          <w:ilvl w:val="0"/>
          <w:numId w:val="1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abandonment, cancellation, non-renewal or discontinuance of use or maintenance of intellectual property (or rights relating thereto) of any Loan Party or Subsidiary that the Borrower determines in good faith is desirable in the conduct of its business and not materially disadvantageous to the interests of the Lenders;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Dispositions permitted under clauses (a), (e), and (h) above shall be made for fair value and for at least 75% cash consideration.</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6.06. </w:t>
      </w:r>
      <w:r>
        <w:rPr>
          <w:rFonts w:ascii="Times New Roman" w:cs="Times New Roman" w:eastAsia="Times New Roman" w:hAnsi="Times New Roman"/>
          <w:sz w:val="19"/>
          <w:szCs w:val="19"/>
          <w:u w:val="single" w:color="auto"/>
          <w:color w:val="000000"/>
        </w:rPr>
        <w:t>Sale and Leaseback Transactions</w:t>
      </w:r>
      <w:r>
        <w:rPr>
          <w:rFonts w:ascii="Times New Roman" w:cs="Times New Roman" w:eastAsia="Times New Roman" w:hAnsi="Times New Roman"/>
          <w:sz w:val="19"/>
          <w:szCs w:val="19"/>
          <w:color w:val="000000"/>
        </w:rPr>
        <w:t>. No Loan Party will, nor will it permit any Subsidiary to, enter into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arrangement, directly or indirectly, whereby it shall sell or transfer any property, real or personal, used or useful in its business, whether now</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9"/>
          <w:szCs w:val="19"/>
          <w:u w:val="single" w:color="auto"/>
          <w:color w:val="auto"/>
        </w:rPr>
        <w:t>Sale and Leaseback Transaction</w:t>
      </w:r>
      <w:r>
        <w:rPr>
          <w:rFonts w:ascii="Times New Roman" w:cs="Times New Roman" w:eastAsia="Times New Roman" w:hAnsi="Times New Roman"/>
          <w:sz w:val="19"/>
          <w:szCs w:val="19"/>
          <w:color w:val="auto"/>
        </w:rPr>
        <w:t>”), except for any such sale of any fixed or capital</w:t>
      </w:r>
    </w:p>
    <w:p>
      <w:pPr>
        <w:spacing w:after="0" w:line="222" w:lineRule="auto"/>
        <w:rPr>
          <w:sz w:val="20"/>
          <w:szCs w:val="20"/>
          <w:color w:val="auto"/>
        </w:rPr>
      </w:pPr>
      <w:r>
        <w:rPr>
          <w:rFonts w:ascii="Times New Roman" w:cs="Times New Roman" w:eastAsia="Times New Roman" w:hAnsi="Times New Roman"/>
          <w:sz w:val="19"/>
          <w:szCs w:val="19"/>
          <w:color w:val="auto"/>
        </w:rPr>
        <w:t>assets by the Borrower or any Subsidiary that is made for cash consideration in an amount not less than the fair value of such fixed or capital</w:t>
      </w:r>
    </w:p>
    <w:p>
      <w:pPr>
        <w:spacing w:after="0" w:line="221" w:lineRule="auto"/>
        <w:rPr>
          <w:sz w:val="20"/>
          <w:szCs w:val="20"/>
          <w:color w:val="auto"/>
        </w:rPr>
      </w:pPr>
      <w:r>
        <w:rPr>
          <w:rFonts w:ascii="Times New Roman" w:cs="Times New Roman" w:eastAsia="Times New Roman" w:hAnsi="Times New Roman"/>
          <w:sz w:val="20"/>
          <w:szCs w:val="20"/>
          <w:color w:val="auto"/>
        </w:rPr>
        <w:t>asset and is consummated within 90 days after the Borrower or such Subsidiary acquires or completes the construction of such fixed or capital asset.</w:t>
      </w:r>
    </w:p>
    <w:p>
      <w:pPr>
        <w:spacing w:after="0" w:line="156"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6.07.</w:t>
      </w:r>
      <w:r>
        <w:rPr>
          <w:sz w:val="20"/>
          <w:szCs w:val="20"/>
          <w:color w:val="auto"/>
        </w:rPr>
        <w:tab/>
      </w:r>
      <w:r>
        <w:rPr>
          <w:rFonts w:ascii="Times New Roman" w:cs="Times New Roman" w:eastAsia="Times New Roman" w:hAnsi="Times New Roman"/>
          <w:sz w:val="20"/>
          <w:szCs w:val="20"/>
          <w:u w:val="single" w:color="auto"/>
          <w:color w:val="auto"/>
        </w:rPr>
        <w:t>Swap Agreements</w:t>
      </w:r>
      <w:r>
        <w:rPr>
          <w:rFonts w:ascii="Times New Roman" w:cs="Times New Roman" w:eastAsia="Times New Roman" w:hAnsi="Times New Roman"/>
          <w:sz w:val="20"/>
          <w:szCs w:val="20"/>
          <w:color w:val="auto"/>
        </w:rPr>
        <w:t>. No Loan Party will, nor will it permit any Subsidiary to, enter into any Swap Agreement,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except (a) Swap Agreements entered into to hedge or mitigate risks to which the Borrower or any Subsidiary has actual exposure (other than those in respect of Equity Interests of the Borrower or any Subsidiary), and (b) Swap Agreements entered into in order to effectively cap,</w:t>
      </w:r>
    </w:p>
    <w:p>
      <w:pPr>
        <w:ind w:right="20"/>
        <w:spacing w:after="0" w:line="228" w:lineRule="auto"/>
        <w:rPr>
          <w:sz w:val="20"/>
          <w:szCs w:val="20"/>
          <w:color w:val="auto"/>
        </w:rPr>
      </w:pPr>
      <w:r>
        <w:rPr>
          <w:rFonts w:ascii="Times New Roman" w:cs="Times New Roman" w:eastAsia="Times New Roman" w:hAnsi="Times New Roman"/>
          <w:sz w:val="20"/>
          <w:szCs w:val="20"/>
          <w:color w:val="auto"/>
        </w:rPr>
        <w:t>collar or exchange interest rates (from floating to fixed rates, from one floating rate to another floating rate or otherwise) with respect to any interest-bearing liability or investment of the Borrower or any Subsidiary.</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6.08.</w:t>
      </w:r>
      <w:r>
        <w:rPr>
          <w:sz w:val="20"/>
          <w:szCs w:val="20"/>
          <w:color w:val="auto"/>
        </w:rPr>
        <w:tab/>
      </w:r>
      <w:r>
        <w:rPr>
          <w:rFonts w:ascii="Times New Roman" w:cs="Times New Roman" w:eastAsia="Times New Roman" w:hAnsi="Times New Roman"/>
          <w:sz w:val="19"/>
          <w:szCs w:val="19"/>
          <w:u w:val="single" w:color="auto"/>
          <w:color w:val="auto"/>
        </w:rPr>
        <w:t>Restricted Payments; Certain Payments of Indebtedness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33" w:lineRule="auto"/>
        <w:tabs>
          <w:tab w:leader="none" w:pos="1065" w:val="left"/>
        </w:tabs>
        <w:numPr>
          <w:ilvl w:val="0"/>
          <w:numId w:val="2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declare or make, or agree to declare or make, directly or indirectly, any Restricted Payment, or incur any obligation (contingent or otherwise) to do so, except:</w:t>
      </w:r>
    </w:p>
    <w:p>
      <w:pPr>
        <w:spacing w:after="0" w:line="160" w:lineRule="exact"/>
        <w:rPr>
          <w:rFonts w:ascii="Times New Roman" w:cs="Times New Roman" w:eastAsia="Times New Roman" w:hAnsi="Times New Roman"/>
          <w:sz w:val="20"/>
          <w:szCs w:val="20"/>
          <w:color w:val="010000"/>
        </w:rPr>
      </w:pPr>
    </w:p>
    <w:p>
      <w:pPr>
        <w:ind w:left="660" w:firstLine="644"/>
        <w:spacing w:after="0"/>
        <w:tabs>
          <w:tab w:leader="none" w:pos="1693" w:val="left"/>
        </w:tabs>
        <w:numPr>
          <w:ilvl w:val="1"/>
          <w:numId w:val="2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may declare and pay dividends with respect to its Equity Interests payable solely in additional shares of its Equity Interests (other than Disqualified Stock);</w:t>
      </w:r>
    </w:p>
    <w:p>
      <w:pPr>
        <w:spacing w:after="0" w:line="147" w:lineRule="exact"/>
        <w:rPr>
          <w:rFonts w:ascii="Times New Roman" w:cs="Times New Roman" w:eastAsia="Times New Roman" w:hAnsi="Times New Roman"/>
          <w:sz w:val="20"/>
          <w:szCs w:val="20"/>
          <w:color w:val="010000"/>
        </w:rPr>
      </w:pPr>
    </w:p>
    <w:p>
      <w:pPr>
        <w:ind w:left="1740" w:hanging="436"/>
        <w:spacing w:after="0"/>
        <w:tabs>
          <w:tab w:leader="none" w:pos="1740" w:val="left"/>
        </w:tabs>
        <w:numPr>
          <w:ilvl w:val="1"/>
          <w:numId w:val="2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Subsidiaries may declare and pay dividends ratably with respect to their Equity Interests;</w:t>
      </w:r>
    </w:p>
    <w:p>
      <w:pPr>
        <w:spacing w:after="0" w:line="188"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1"/>
          <w:numId w:val="2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and Subsidiary may make Restricted Payments to any Loan Party;</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832" w:val="left"/>
        </w:tabs>
        <w:numPr>
          <w:ilvl w:val="1"/>
          <w:numId w:val="2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at the time of making such Restricted Payment no Event of Default then exists or would result therefrom, the Borrower may make Restricted Payments, not exceeding $5,000,000 during any fiscal year to repurchase equity interest from present or former officers, directors or employees of any Loan Party or Subsidiary;</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13" w:lineRule="auto"/>
        <w:tabs>
          <w:tab w:leader="none" w:pos="1777" w:val="left"/>
        </w:tabs>
        <w:numPr>
          <w:ilvl w:val="1"/>
          <w:numId w:val="2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may repurchase its Equity Interests and/or purchase Equity Interests from present or former officers, directors or employees, consultants, advisors, or other service providers of any Loan Party or Subsidiary (but excluding equity investment firms) (each a “</w:t>
      </w:r>
      <w:r>
        <w:rPr>
          <w:rFonts w:ascii="Times New Roman" w:cs="Times New Roman" w:eastAsia="Times New Roman" w:hAnsi="Times New Roman"/>
          <w:sz w:val="20"/>
          <w:szCs w:val="20"/>
          <w:u w:val="single" w:color="auto"/>
          <w:color w:val="auto"/>
        </w:rPr>
        <w:t>Share Repurchase</w:t>
      </w:r>
      <w:r>
        <w:rPr>
          <w:rFonts w:ascii="Times New Roman" w:cs="Times New Roman" w:eastAsia="Times New Roman" w:hAnsi="Times New Roman"/>
          <w:sz w:val="20"/>
          <w:szCs w:val="20"/>
          <w:color w:val="auto"/>
        </w:rPr>
        <w:t>”) so long as immediately after giving effect to any such Share Repurchase, (i) the Total Net Leverage Ratio is less than 2.50 to 1.00, (ii), the aggregate amount of Liquidity is equal to or greater than $50,000,000, (iii) the Borrower is (A) in pro forma compliance with the financial covenants in Section 6.12 as of the most recently ended fiscal quarter for which financial statements were required to be delivered, and (B) projected to be in compliance with the financial covenants in Section 6.12 for the twelve (12) month period thereafter, in each case based on financial statements and projections delivered to the Administrative Agent which give effect, on a pro forma basis, to such Share Repurchase and (iv) no Event of Default then exists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76" w:lineRule="exact"/>
        <w:rPr>
          <w:sz w:val="20"/>
          <w:szCs w:val="20"/>
          <w:color w:val="auto"/>
        </w:rPr>
      </w:pPr>
    </w:p>
    <w:p>
      <w:pPr>
        <w:jc w:val="both"/>
        <w:ind w:left="660" w:firstLine="644"/>
        <w:spacing w:after="0" w:line="220" w:lineRule="auto"/>
        <w:tabs>
          <w:tab w:leader="none" w:pos="1818" w:val="left"/>
        </w:tabs>
        <w:numPr>
          <w:ilvl w:val="1"/>
          <w:numId w:val="2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each Loan Party and Subsidiary may make repurchases of Equity Interests deemed to occur upon exercise of stock options or warrants if such repurchased Equity Interests represents a portion of the exercise price of such options or warrants, and (ii) each Loan Party and Subsidiary may make repurchases of Equity Interests deemed to occur upon the withholding of a portion of the Equity Interests issued, granted or awarded to a current or former officer, director, employee or consultant to pay for the taxes payable by such Person upon such issuance, grant or award (or upon vesting thereof);</w:t>
      </w:r>
    </w:p>
    <w:p>
      <w:pPr>
        <w:spacing w:after="0" w:line="147"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887" w:val="left"/>
        </w:tabs>
        <w:numPr>
          <w:ilvl w:val="1"/>
          <w:numId w:val="2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Party and Subsidiary may purchase, redeem or otherwise acquire Equity Interests issued by it solely with the proceeds received from the substantially concurrent issue of new shares of its Equity Interests (other than Disqualified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issuance is otherwise permitted hereunder;</w:t>
      </w:r>
    </w:p>
    <w:p>
      <w:pPr>
        <w:spacing w:after="0" w:line="148" w:lineRule="exact"/>
        <w:rPr>
          <w:rFonts w:ascii="Times New Roman" w:cs="Times New Roman" w:eastAsia="Times New Roman" w:hAnsi="Times New Roman"/>
          <w:sz w:val="20"/>
          <w:szCs w:val="20"/>
          <w:color w:val="010000"/>
        </w:rPr>
      </w:pPr>
    </w:p>
    <w:p>
      <w:pPr>
        <w:ind w:left="660" w:firstLine="644"/>
        <w:spacing w:after="0"/>
        <w:tabs>
          <w:tab w:leader="none" w:pos="1915" w:val="left"/>
        </w:tabs>
        <w:numPr>
          <w:ilvl w:val="1"/>
          <w:numId w:val="2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may deliver its common Equity Interests upon conversion of any convertible Indebtedness having been issued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otherwise permitted by Section 6.01;</w:t>
      </w:r>
    </w:p>
    <w:p>
      <w:pPr>
        <w:spacing w:after="0" w:line="161" w:lineRule="exact"/>
        <w:rPr>
          <w:rFonts w:ascii="Times New Roman" w:cs="Times New Roman" w:eastAsia="Times New Roman" w:hAnsi="Times New Roman"/>
          <w:sz w:val="20"/>
          <w:szCs w:val="20"/>
          <w:color w:val="010000"/>
        </w:rPr>
      </w:pPr>
    </w:p>
    <w:p>
      <w:pPr>
        <w:ind w:left="660" w:right="20" w:firstLine="644"/>
        <w:spacing w:after="0" w:line="233" w:lineRule="auto"/>
        <w:tabs>
          <w:tab w:leader="none" w:pos="1886" w:val="left"/>
        </w:tabs>
        <w:numPr>
          <w:ilvl w:val="1"/>
          <w:numId w:val="2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may deliver its common Equity Interests in connection with the exercise of stock options, warrants, restricted stock units or other equity awards by way of cashless exercise; and</w:t>
      </w:r>
    </w:p>
    <w:p>
      <w:pPr>
        <w:spacing w:after="0" w:line="160" w:lineRule="exact"/>
        <w:rPr>
          <w:rFonts w:ascii="Times New Roman" w:cs="Times New Roman" w:eastAsia="Times New Roman" w:hAnsi="Times New Roman"/>
          <w:sz w:val="20"/>
          <w:szCs w:val="20"/>
          <w:color w:val="010000"/>
        </w:rPr>
      </w:pPr>
    </w:p>
    <w:p>
      <w:pPr>
        <w:ind w:left="660" w:firstLine="644"/>
        <w:spacing w:after="0"/>
        <w:tabs>
          <w:tab w:leader="none" w:pos="1804" w:val="left"/>
        </w:tabs>
        <w:numPr>
          <w:ilvl w:val="1"/>
          <w:numId w:val="2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no Event of Default exists or would result therefrom, the Borrower and its Subsidiaries may make other Restricted Payments in an aggregate amount not exceeding $2,500,000 in any fiscal year of the Borrower.</w:t>
      </w:r>
    </w:p>
    <w:p>
      <w:pPr>
        <w:spacing w:after="0" w:line="147" w:lineRule="exact"/>
        <w:rPr>
          <w:rFonts w:ascii="Times New Roman" w:cs="Times New Roman" w:eastAsia="Times New Roman" w:hAnsi="Times New Roman"/>
          <w:sz w:val="20"/>
          <w:szCs w:val="20"/>
          <w:color w:val="010000"/>
        </w:rPr>
      </w:pPr>
    </w:p>
    <w:p>
      <w:pPr>
        <w:jc w:val="both"/>
        <w:ind w:firstLine="656"/>
        <w:spacing w:after="0" w:line="220" w:lineRule="auto"/>
        <w:tabs>
          <w:tab w:leader="none" w:pos="1103" w:val="left"/>
        </w:tabs>
        <w:numPr>
          <w:ilvl w:val="0"/>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Subsidiary to, make or agree to pay or make, directly or indirectly, any payment or other distribution (whether in cash, securities or other property) of or in respect of principal of or interest on any Indebtedness (including any earn-out, seller debt or deferred purchase price payments),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47"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1"/>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Indebtedness created under the Loan Documents;</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869" w:val="left"/>
        </w:tabs>
        <w:numPr>
          <w:ilvl w:val="1"/>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regularly scheduled interest and principal payments as and when due in respect of any Indebtedness permitted under Section 6.01, other than payments in respect of Subordinated Indebtedness prohibited by the subordination provisions thereof;</w:t>
      </w:r>
    </w:p>
    <w:p>
      <w:pPr>
        <w:spacing w:after="0" w:line="160" w:lineRule="exact"/>
        <w:rPr>
          <w:rFonts w:ascii="Times New Roman" w:cs="Times New Roman" w:eastAsia="Times New Roman" w:hAnsi="Times New Roman"/>
          <w:sz w:val="20"/>
          <w:szCs w:val="20"/>
          <w:color w:val="010000"/>
        </w:rPr>
      </w:pPr>
    </w:p>
    <w:p>
      <w:pPr>
        <w:ind w:left="1800" w:hanging="496"/>
        <w:spacing w:after="0"/>
        <w:tabs>
          <w:tab w:leader="none" w:pos="1800" w:val="left"/>
        </w:tabs>
        <w:numPr>
          <w:ilvl w:val="1"/>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refinancings of Indebtedness to the extent permitted by Section 6.01;</w:t>
      </w:r>
    </w:p>
    <w:p>
      <w:pPr>
        <w:spacing w:after="0" w:line="188" w:lineRule="exact"/>
        <w:rPr>
          <w:rFonts w:ascii="Times New Roman" w:cs="Times New Roman" w:eastAsia="Times New Roman" w:hAnsi="Times New Roman"/>
          <w:sz w:val="20"/>
          <w:szCs w:val="20"/>
          <w:color w:val="010000"/>
        </w:rPr>
      </w:pPr>
    </w:p>
    <w:p>
      <w:pPr>
        <w:ind w:left="660" w:firstLine="644"/>
        <w:spacing w:after="0" w:line="233" w:lineRule="auto"/>
        <w:tabs>
          <w:tab w:leader="none" w:pos="1791" w:val="left"/>
        </w:tabs>
        <w:numPr>
          <w:ilvl w:val="1"/>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secured Indebtedness that becomes due as a result of the voluntary sale or transfer of the property or assets securing such Indebtedness to the extent such sale or transfer is permitted by the terms of Section 6.05; and</w:t>
      </w:r>
    </w:p>
    <w:p>
      <w:pPr>
        <w:spacing w:after="0" w:line="160" w:lineRule="exact"/>
        <w:rPr>
          <w:rFonts w:ascii="Times New Roman" w:cs="Times New Roman" w:eastAsia="Times New Roman" w:hAnsi="Times New Roman"/>
          <w:sz w:val="20"/>
          <w:szCs w:val="20"/>
          <w:color w:val="010000"/>
        </w:rPr>
      </w:pPr>
    </w:p>
    <w:p>
      <w:pPr>
        <w:jc w:val="both"/>
        <w:ind w:left="660" w:firstLine="644"/>
        <w:spacing w:after="0" w:line="216" w:lineRule="auto"/>
        <w:tabs>
          <w:tab w:leader="none" w:pos="1858" w:val="left"/>
        </w:tabs>
        <w:numPr>
          <w:ilvl w:val="1"/>
          <w:numId w:val="20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 Parties and Subsidiaries may make payments in respect of any earn-out obligation, seller debt or other deferred purchase price payments (A) so long as immediately after giving effect to any such payment, no Event of Default exists and the Borrower is in pro forma compliance with the financial covenants in Section 6.12 as of the most recently ended fiscal quarter for which financial statements were required to be delivered or (B) solely with the proceeds received from the substantially concurrent issue of new shares of its Equity Interests (other than Disqualified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issuance is otherwise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0"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6.09.</w:t>
      </w:r>
      <w:r>
        <w:rPr>
          <w:sz w:val="20"/>
          <w:szCs w:val="20"/>
          <w:color w:val="auto"/>
        </w:rPr>
        <w:tab/>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No Loan Party will, nor will it permit any Subsidiary to, sell, lease or otherwise</w:t>
      </w:r>
    </w:p>
    <w:p>
      <w:pPr>
        <w:spacing w:after="0" w:line="215" w:lineRule="auto"/>
        <w:rPr>
          <w:sz w:val="20"/>
          <w:szCs w:val="20"/>
          <w:color w:val="auto"/>
        </w:rPr>
      </w:pPr>
      <w:r>
        <w:rPr>
          <w:rFonts w:ascii="Times New Roman" w:cs="Times New Roman" w:eastAsia="Times New Roman" w:hAnsi="Times New Roman"/>
          <w:sz w:val="19"/>
          <w:szCs w:val="19"/>
          <w:color w:val="auto"/>
        </w:rPr>
        <w:t>transfer material property or assets to, or purchase, lease or otherwise acquire material property or assets from, or otherwise engage in any other material transactions with, any of its Affiliates, except (a) transactions that (i) are in the ordinary course of business and (ii) are at prices</w:t>
      </w:r>
    </w:p>
    <w:p>
      <w:pPr>
        <w:spacing w:after="0" w:line="211" w:lineRule="auto"/>
        <w:rPr>
          <w:sz w:val="20"/>
          <w:szCs w:val="20"/>
          <w:color w:val="auto"/>
        </w:rPr>
      </w:pPr>
      <w:r>
        <w:rPr>
          <w:rFonts w:ascii="Times New Roman" w:cs="Times New Roman" w:eastAsia="Times New Roman" w:hAnsi="Times New Roman"/>
          <w:sz w:val="20"/>
          <w:szCs w:val="20"/>
          <w:color w:val="auto"/>
        </w:rPr>
        <w:t>and on terms and conditions not less favorable to such Loan Party or such Subsidiary than could be obtained on an arm’s-length basis from</w:t>
      </w:r>
    </w:p>
    <w:p>
      <w:pPr>
        <w:jc w:val="both"/>
        <w:spacing w:after="0" w:line="215" w:lineRule="auto"/>
        <w:rPr>
          <w:sz w:val="20"/>
          <w:szCs w:val="20"/>
          <w:color w:val="auto"/>
        </w:rPr>
      </w:pPr>
      <w:r>
        <w:rPr>
          <w:rFonts w:ascii="Times New Roman" w:cs="Times New Roman" w:eastAsia="Times New Roman" w:hAnsi="Times New Roman"/>
          <w:sz w:val="19"/>
          <w:szCs w:val="19"/>
          <w:color w:val="auto"/>
        </w:rPr>
        <w:t>unrelated third parties, (b) transactions between or among the Loan Parties not involving any other Affiliate, (c) any investment permitted by Sections 6.04(c) or 6.04(d), (d) any Indebtedness permitted under Section 6.01(c), (e) any Restricted Payment permitted by Section 6.08, (f)</w:t>
      </w:r>
    </w:p>
    <w:p>
      <w:pPr>
        <w:spacing w:after="0" w:line="211" w:lineRule="auto"/>
        <w:rPr>
          <w:sz w:val="20"/>
          <w:szCs w:val="20"/>
          <w:color w:val="auto"/>
        </w:rPr>
      </w:pPr>
      <w:r>
        <w:rPr>
          <w:rFonts w:ascii="Times New Roman" w:cs="Times New Roman" w:eastAsia="Times New Roman" w:hAnsi="Times New Roman"/>
          <w:sz w:val="20"/>
          <w:szCs w:val="20"/>
          <w:color w:val="auto"/>
        </w:rPr>
        <w:t>loans or advances to employees permitted under Section 6.04(f), (g) the payment of reasonable fees to directors of the Borrower or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Subsidiary who are not employees of the Borrower or any Subsidiary, and compensation and employee benefit arrangements paid to, and indemnities provided for the benefit of, directors, officers or employees of the Borrower or its Subsidiaries in the ordinary course of business,</w:t>
      </w:r>
    </w:p>
    <w:p>
      <w:pPr>
        <w:jc w:val="both"/>
        <w:ind w:firstLine="8"/>
        <w:spacing w:after="0" w:line="216" w:lineRule="auto"/>
        <w:tabs>
          <w:tab w:leader="none" w:pos="28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issuances of securities or other payments, awards or grants in cash, securities or otherwise pursuant to, or the funding of, employment agreements, stock options and stock ownership plans approved by the Borrower’s board of directors, and (i) equity (other than Disqualified Stock) or debt financings with the Borrower’s investors so long as any such debt financings constitute Subordinated Indebtedness permitted by this Agreement.</w:t>
      </w:r>
    </w:p>
    <w:p>
      <w:pPr>
        <w:spacing w:after="0" w:line="16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6.10. </w:t>
      </w:r>
      <w:r>
        <w:rPr>
          <w:rFonts w:ascii="Times New Roman" w:cs="Times New Roman" w:eastAsia="Times New Roman" w:hAnsi="Times New Roman"/>
          <w:sz w:val="20"/>
          <w:szCs w:val="20"/>
          <w:u w:val="single" w:color="auto"/>
          <w:color w:val="000000"/>
        </w:rPr>
        <w:t>Restrictive Agreements</w:t>
      </w:r>
      <w:r>
        <w:rPr>
          <w:rFonts w:ascii="Times New Roman" w:cs="Times New Roman" w:eastAsia="Times New Roman" w:hAnsi="Times New Roman"/>
          <w:sz w:val="20"/>
          <w:szCs w:val="20"/>
          <w:color w:val="000000"/>
        </w:rPr>
        <w:t>. No Loan Party will, nor will it permit any Subsidiary to, directly or indirectly enter into,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incur or permit to exist any agreement or other arrangement that prohibits, restricts or imposes any condition upon (a) the ability of such</w:t>
      </w:r>
    </w:p>
    <w:p>
      <w:pPr>
        <w:spacing w:after="0" w:line="224" w:lineRule="auto"/>
        <w:rPr>
          <w:sz w:val="20"/>
          <w:szCs w:val="20"/>
          <w:color w:val="auto"/>
        </w:rPr>
      </w:pPr>
      <w:r>
        <w:rPr>
          <w:rFonts w:ascii="Times New Roman" w:cs="Times New Roman" w:eastAsia="Times New Roman" w:hAnsi="Times New Roman"/>
          <w:sz w:val="19"/>
          <w:szCs w:val="19"/>
          <w:color w:val="auto"/>
        </w:rPr>
        <w:t>Loan Party or any Subsidiary to create, incur or permit to exist any Lien upon any of its property or assets, or (b) the ability of any Subsidiary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to pay dividends or other distributions with respect to any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restrictions and conditions imposed by any applicable law or by any Loan Document, (ii) the foregoing shall not apply to restrictions and conditions existing on the date hereof identified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(but shall apply to any extension or renewal of, or any amendment or</w:t>
      </w:r>
    </w:p>
    <w:p>
      <w:pPr>
        <w:spacing w:after="0" w:line="211" w:lineRule="auto"/>
        <w:rPr>
          <w:sz w:val="20"/>
          <w:szCs w:val="20"/>
          <w:color w:val="auto"/>
        </w:rPr>
      </w:pPr>
      <w:r>
        <w:rPr>
          <w:rFonts w:ascii="Times New Roman" w:cs="Times New Roman" w:eastAsia="Times New Roman" w:hAnsi="Times New Roman"/>
          <w:sz w:val="20"/>
          <w:szCs w:val="20"/>
          <w:color w:val="auto"/>
        </w:rPr>
        <w:t>modification expanding the scope of, any such restriction or condition), (iii) the foregoing shall not apply to customary restrictions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conditions contained in agreements relating to the sale of assets or a Subsidiary pending such sale, provided such restrictions and conditions apply only to such assets or the Subsidiary that is to be sold and such sale is permitted hereunder, (iv) clause (a) of the foregoing shall not</w:t>
      </w:r>
    </w:p>
    <w:p>
      <w:pPr>
        <w:spacing w:after="0" w:line="211" w:lineRule="auto"/>
        <w:rPr>
          <w:sz w:val="20"/>
          <w:szCs w:val="20"/>
          <w:color w:val="auto"/>
        </w:rPr>
      </w:pPr>
      <w:r>
        <w:rPr>
          <w:rFonts w:ascii="Times New Roman" w:cs="Times New Roman" w:eastAsia="Times New Roman" w:hAnsi="Times New Roman"/>
          <w:sz w:val="20"/>
          <w:szCs w:val="20"/>
          <w:color w:val="auto"/>
        </w:rPr>
        <w:t>apply to restrictions or conditions imposed by any agreement relating to secured Indebtedness permitted by this Agreement if such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restrictions or conditions apply only to the property or assets securing such Indebtedness and (v) clause (a) of the foregoing shall not apply to customary provisions in leases and other contracts restricting the assignment thereof.</w:t>
      </w:r>
    </w:p>
    <w:p>
      <w:pPr>
        <w:spacing w:after="0" w:line="156"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20"/>
          <w:szCs w:val="20"/>
          <w:color w:val="010000"/>
        </w:rPr>
        <w:t>SECTION 6.11.</w:t>
      </w:r>
      <w:r>
        <w:rPr>
          <w:sz w:val="20"/>
          <w:szCs w:val="20"/>
          <w:color w:val="auto"/>
        </w:rPr>
        <w:tab/>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No Loan Party will, nor will it permit any Subsidiary to, amend, modify or</w:t>
      </w:r>
    </w:p>
    <w:p>
      <w:pPr>
        <w:spacing w:after="0" w:line="204" w:lineRule="auto"/>
        <w:rPr>
          <w:sz w:val="20"/>
          <w:szCs w:val="20"/>
          <w:color w:val="auto"/>
        </w:rPr>
      </w:pPr>
      <w:r>
        <w:rPr>
          <w:rFonts w:ascii="Times New Roman" w:cs="Times New Roman" w:eastAsia="Times New Roman" w:hAnsi="Times New Roman"/>
          <w:sz w:val="20"/>
          <w:szCs w:val="20"/>
          <w:color w:val="auto"/>
        </w:rPr>
        <w:t>waive any of its rights under (a) any agreement relating to any Subordinated Indebtedness, or (b) its charter, articles or certificate of organization or incorporation and bylaws or operating, management or partnership agreement, or other organizational or governing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documents, in each case, to the extent any such amendment, modification or waiver would be materially adverse to the Lenders (as reasonably determined by the Administrative Agent).</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6.12.</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133" w:val="left"/>
        </w:tabs>
        <w:numPr>
          <w:ilvl w:val="0"/>
          <w:numId w:val="2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The Borrower will not permit the Total Net Leverage Ratio, on the last day of any fiscal quarter, commencing with the fiscal quarter ending on December 31, 2023, to be greater than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so long as no Event of Default exists at such time or would result therefrom, the Borrower may elect to increase the maximum Total Net Leverage Ratio permitted under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to 3.50 to 1.00 for a period of up to four (4) consecutive fiscal quarters, as specified by the Borrower, in connection with a Material Acquisition consummated during the first fiscal quarter of such specified period (each such specified period of consecutive fiscal quarters, an “</w:t>
      </w:r>
      <w:r>
        <w:rPr>
          <w:rFonts w:ascii="Times New Roman" w:cs="Times New Roman" w:eastAsia="Times New Roman" w:hAnsi="Times New Roman"/>
          <w:sz w:val="20"/>
          <w:szCs w:val="20"/>
          <w:u w:val="single" w:color="auto"/>
          <w:color w:val="auto"/>
        </w:rPr>
        <w:t>Adjusted Covenant Period</w:t>
      </w:r>
      <w:r>
        <w:rPr>
          <w:rFonts w:ascii="Times New Roman" w:cs="Times New Roman" w:eastAsia="Times New Roman" w:hAnsi="Times New Roman"/>
          <w:sz w:val="20"/>
          <w:szCs w:val="20"/>
          <w:color w:val="auto"/>
        </w:rPr>
        <w:t>”) and (y) notwithstanding the foregoing clause (x), the Borrower may not elect a new Adjusted Covenant Period for at least one (1) full fiscal quarter following the end of another Adjusted Covenant Period. Any such election must be made in writing to the Administrative Agent within fifteen (15) Business Days of the consummation of such Material Acquisition, and shall specify the number of fiscal quarters (between one (1) and four (4)) for which the Adjusted Covenant Period will apply following the Material Acquisition; provided that to the extent the Borrower initially elects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Covenant Period to apply for less than four (4) fiscal quarters, the Borrower may subsequently elect to extend the Adjusted</w:t>
      </w:r>
    </w:p>
    <w:p>
      <w:pPr>
        <w:spacing w:after="0" w:line="204" w:lineRule="auto"/>
        <w:rPr>
          <w:sz w:val="20"/>
          <w:szCs w:val="20"/>
          <w:color w:val="auto"/>
        </w:rPr>
      </w:pPr>
      <w:r>
        <w:rPr>
          <w:rFonts w:ascii="Times New Roman" w:cs="Times New Roman" w:eastAsia="Times New Roman" w:hAnsi="Times New Roman"/>
          <w:sz w:val="20"/>
          <w:szCs w:val="20"/>
          <w:color w:val="auto"/>
        </w:rPr>
        <w:t>Covenant Period for additional, consecutive fiscal quarters (not to exceed four (4) fiscal quarters from the date of the Material Acquisition), by delivering written notice of such extension to the Administrative Agent at least fifteen (15) Business Days prior to the end of the initially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Adjusted Covenant Period.</w:t>
      </w:r>
    </w:p>
    <w:p>
      <w:pPr>
        <w:spacing w:after="0" w:line="167" w:lineRule="exact"/>
        <w:rPr>
          <w:sz w:val="20"/>
          <w:szCs w:val="20"/>
          <w:color w:val="auto"/>
        </w:rPr>
      </w:pPr>
    </w:p>
    <w:p>
      <w:pPr>
        <w:jc w:val="both"/>
        <w:ind w:firstLine="656"/>
        <w:spacing w:after="0" w:line="226" w:lineRule="auto"/>
        <w:tabs>
          <w:tab w:leader="none" w:pos="1225" w:val="left"/>
        </w:tabs>
        <w:numPr>
          <w:ilvl w:val="0"/>
          <w:numId w:val="2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The Borrower will not permit the Fixed Charge Coverage Ratio, for any period of four consecutive fiscal quarters ending on the last day of any fiscal quarter, commencing with the fiscal quarter ending on December 31, 2023, to be less than 1.20 to 1.00.</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175" w:lineRule="exact"/>
        <w:rPr>
          <w:sz w:val="20"/>
          <w:szCs w:val="20"/>
          <w:color w:val="auto"/>
        </w:rPr>
      </w:pPr>
    </w:p>
    <w:p>
      <w:pPr>
        <w:ind w:firstLine="656"/>
        <w:spacing w:after="0"/>
        <w:tabs>
          <w:tab w:leader="none" w:pos="1106"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whether at the due date thereof or otherwise;</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30"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60"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079"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61" w:lineRule="exact"/>
        <w:rPr>
          <w:rFonts w:ascii="Times New Roman" w:cs="Times New Roman" w:eastAsia="Times New Roman" w:hAnsi="Times New Roman"/>
          <w:sz w:val="20"/>
          <w:szCs w:val="20"/>
          <w:color w:val="010000"/>
        </w:rPr>
      </w:pPr>
    </w:p>
    <w:p>
      <w:pPr>
        <w:ind w:firstLine="656"/>
        <w:spacing w:after="0"/>
        <w:tabs>
          <w:tab w:leader="none" w:pos="1103"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shall fail to observe or perform any covenant, condition or agreement contained in Section 5.02(a), 5.03 (with respect to a Loan Party’s existence), 5.08 or 5.15, or in Article VI;</w:t>
      </w:r>
    </w:p>
    <w:p>
      <w:pPr>
        <w:spacing w:after="0" w:line="147"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092" w:val="left"/>
        </w:tabs>
        <w:numPr>
          <w:ilvl w:val="0"/>
          <w:numId w:val="2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shall fail to observe or perform any covenant, condition or agreement contained in this Agreement (other than those specified in clause (a), (b) or (d) of this Article) or any other Loan Document,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w:t>
      </w:r>
    </w:p>
    <w:p>
      <w:pPr>
        <w:spacing w:after="0" w:line="199" w:lineRule="auto"/>
        <w:rPr>
          <w:sz w:val="20"/>
          <w:szCs w:val="20"/>
          <w:color w:val="auto"/>
        </w:rPr>
      </w:pPr>
      <w:r>
        <w:rPr>
          <w:rFonts w:ascii="Times New Roman" w:cs="Times New Roman" w:eastAsia="Times New Roman" w:hAnsi="Times New Roman"/>
          <w:sz w:val="20"/>
          <w:szCs w:val="20"/>
          <w:color w:val="auto"/>
        </w:rPr>
        <w:t>Section 5.02(a)), 5.03 (other than with respect to a Loan Party’s existence) through 5.07, 5.10, 5.11 or 5.13 of this Agreement or (ii) fifteen</w:t>
      </w:r>
    </w:p>
    <w:p>
      <w:pPr>
        <w:jc w:val="both"/>
        <w:ind w:firstLine="8"/>
        <w:spacing w:after="0" w:line="223" w:lineRule="auto"/>
        <w:tabs>
          <w:tab w:leader="none" w:pos="39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w:t>
      </w:r>
    </w:p>
    <w:p>
      <w:pPr>
        <w:spacing w:after="0" w:line="146" w:lineRule="exact"/>
        <w:rPr>
          <w:rFonts w:ascii="Times New Roman" w:cs="Times New Roman" w:eastAsia="Times New Roman" w:hAnsi="Times New Roman"/>
          <w:sz w:val="20"/>
          <w:szCs w:val="20"/>
          <w:color w:val="auto"/>
        </w:rPr>
      </w:pPr>
    </w:p>
    <w:p>
      <w:pPr>
        <w:ind w:firstLine="656"/>
        <w:spacing w:after="0"/>
        <w:tabs>
          <w:tab w:leader="none" w:pos="1098" w:val="left"/>
        </w:tabs>
        <w:numPr>
          <w:ilvl w:val="1"/>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or any Subsidiary shall fail to make any payment (whether of principal or interest and regardless of amount), subject to any applicable grace periods, in respect of any Material Indebtedness, when and as the same shall become due and payable;</w:t>
      </w:r>
    </w:p>
    <w:p>
      <w:pPr>
        <w:spacing w:after="0" w:line="161"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144" w:val="left"/>
        </w:tabs>
        <w:numPr>
          <w:ilvl w:val="1"/>
          <w:numId w:val="2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secured Indebtedness that becomes due as a result of the voluntary sale or transfer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assets securing such Indebtedness to the extent such sale or transfer is permitted by the terms of Section 6.05;</w:t>
      </w:r>
    </w:p>
    <w:p>
      <w:pPr>
        <w:spacing w:after="0" w:line="189" w:lineRule="exact"/>
        <w:rPr>
          <w:sz w:val="20"/>
          <w:szCs w:val="20"/>
          <w:color w:val="auto"/>
        </w:rPr>
      </w:pPr>
    </w:p>
    <w:p>
      <w:pPr>
        <w:jc w:val="both"/>
        <w:ind w:firstLine="656"/>
        <w:spacing w:after="0" w:line="216" w:lineRule="auto"/>
        <w:tabs>
          <w:tab w:leader="none" w:pos="1076" w:val="left"/>
        </w:tabs>
        <w:numPr>
          <w:ilvl w:val="1"/>
          <w:numId w:val="2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or for a substantial part of its assets, and, in any such case, such proceeding or petition shall continue undismissed for sixty (60) days or an order or decree approving or ordering any of the foregoing shall be entered;</w:t>
      </w:r>
    </w:p>
    <w:p>
      <w:pPr>
        <w:spacing w:after="0" w:line="162" w:lineRule="exact"/>
        <w:rPr>
          <w:rFonts w:ascii="Times New Roman" w:cs="Times New Roman" w:eastAsia="Times New Roman" w:hAnsi="Times New Roman"/>
          <w:sz w:val="20"/>
          <w:szCs w:val="20"/>
          <w:color w:val="010000"/>
        </w:rPr>
      </w:pPr>
    </w:p>
    <w:p>
      <w:pPr>
        <w:jc w:val="both"/>
        <w:ind w:firstLine="656"/>
        <w:spacing w:after="0" w:line="227" w:lineRule="auto"/>
        <w:tabs>
          <w:tab w:leader="none" w:pos="1154" w:val="left"/>
        </w:tabs>
        <w:numPr>
          <w:ilvl w:val="1"/>
          <w:numId w:val="20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or any Subsidiary shall (i) voluntarily commence any proceeding or file any petition seeking liquidation, reorganization or other relief under any federal, state or foreign bankruptcy, insolvency, receivership or similar law now or hereafter in effect,</w:t>
      </w:r>
    </w:p>
    <w:p>
      <w:pPr>
        <w:jc w:val="both"/>
        <w:ind w:firstLine="8"/>
        <w:spacing w:after="0" w:line="215" w:lineRule="auto"/>
        <w:tabs>
          <w:tab w:leader="none" w:pos="291"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4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17"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one or more judgments for the payment of money in an aggregate amount in excess of $10,000,000 shall be rendered against any Loan Party, any Subsidiary or any combination thereof and the same shall remain undischarged for a period of forty-five (45) consecutive days during which execution shall not be effectively stayed, or any action shall be legally taken by a judgment creditor to attach or levy upon any assets of any Loan Party or any Subsidiary to enforce any such judgment or any Loan Party or any Subsidiary shall fail within forty-five (45)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50" w:lineRule="exact"/>
        <w:rPr>
          <w:rFonts w:ascii="Times New Roman" w:cs="Times New Roman" w:eastAsia="Times New Roman" w:hAnsi="Times New Roman"/>
          <w:sz w:val="20"/>
          <w:szCs w:val="20"/>
          <w:color w:val="010000"/>
        </w:rPr>
      </w:pPr>
    </w:p>
    <w:p>
      <w:pPr>
        <w:ind w:firstLine="656"/>
        <w:spacing w:after="0"/>
        <w:tabs>
          <w:tab w:leader="none" w:pos="1181"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ERISA Event shall have occurred that, when taken together with all other ERISA Events that have occurred, would reasonably be expected to result in a Material Adverse Effect;</w:t>
      </w:r>
    </w:p>
    <w:p>
      <w:pPr>
        <w:spacing w:after="0" w:line="161" w:lineRule="exact"/>
        <w:rPr>
          <w:rFonts w:ascii="Times New Roman" w:cs="Times New Roman" w:eastAsia="Times New Roman" w:hAnsi="Times New Roman"/>
          <w:sz w:val="20"/>
          <w:szCs w:val="20"/>
          <w:color w:val="010000"/>
        </w:rPr>
      </w:pPr>
    </w:p>
    <w:p>
      <w:pPr>
        <w:ind w:left="1140" w:hanging="484"/>
        <w:spacing w:after="0"/>
        <w:tabs>
          <w:tab w:leader="none" w:pos="1140"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Control shall occur;</w:t>
      </w:r>
    </w:p>
    <w:p>
      <w:pPr>
        <w:spacing w:after="0" w:line="175"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17"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Guaranty shall fail to remain in full force or effect (other than pursuant to the terms hereof or thereof) or any action shall be taken to discontinue or to assert the invalidity or unenforceability of the Loan Guaranty or any Loan Guarantor shall fail to comply with any of the terms or provisions of the Loan Guaranty, or any Loan Guarantor shall deny that it has any further liability under the Loan Guaranty, or shall give notice to such effect;</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03"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on any material portion of the Collateral;</w:t>
      </w:r>
    </w:p>
    <w:p>
      <w:pPr>
        <w:spacing w:after="0" w:line="160" w:lineRule="exact"/>
        <w:rPr>
          <w:rFonts w:ascii="Times New Roman" w:cs="Times New Roman" w:eastAsia="Times New Roman" w:hAnsi="Times New Roman"/>
          <w:sz w:val="20"/>
          <w:szCs w:val="20"/>
          <w:color w:val="010000"/>
        </w:rPr>
      </w:pPr>
    </w:p>
    <w:p>
      <w:pPr>
        <w:ind w:firstLine="656"/>
        <w:spacing w:after="0" w:line="233" w:lineRule="auto"/>
        <w:tabs>
          <w:tab w:leader="none" w:pos="1117" w:val="left"/>
        </w:tabs>
        <w:numPr>
          <w:ilvl w:val="1"/>
          <w:numId w:val="2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Collateral Document shall fail to remain in full force or effect (other than pursuant to the terms hereof or thereof) or any action shall be taken to discontinue or to assert the invalidity or unenforceability of any Collateral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76" w:lineRule="exact"/>
        <w:rPr>
          <w:sz w:val="20"/>
          <w:szCs w:val="20"/>
          <w:color w:val="auto"/>
        </w:rPr>
      </w:pPr>
    </w:p>
    <w:p>
      <w:pPr>
        <w:jc w:val="both"/>
        <w:ind w:firstLine="656"/>
        <w:spacing w:after="0" w:line="222" w:lineRule="auto"/>
        <w:tabs>
          <w:tab w:leader="none" w:pos="1057" w:val="left"/>
        </w:tabs>
        <w:numPr>
          <w:ilvl w:val="0"/>
          <w:numId w:val="2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6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then, and in every such event (other than an event with respect to the Borrower described in clause (h) or (i) of this Article), and at any time thereafter during the continuance of such event, the Administrative Agent may, and at the request of the Required Lenders shall, by notice to</w:t>
      </w:r>
    </w:p>
    <w:p>
      <w:pPr>
        <w:spacing w:after="0" w:line="211" w:lineRule="auto"/>
        <w:rPr>
          <w:sz w:val="20"/>
          <w:szCs w:val="20"/>
          <w:color w:val="auto"/>
        </w:rPr>
      </w:pPr>
      <w:r>
        <w:rPr>
          <w:rFonts w:ascii="Times New Roman" w:cs="Times New Roman" w:eastAsia="Times New Roman" w:hAnsi="Times New Roman"/>
          <w:sz w:val="20"/>
          <w:szCs w:val="20"/>
          <w:color w:val="auto"/>
        </w:rPr>
        <w:t>the Borrower, take any or all of the following actions, at the same or different times: (i) terminate the Revolving Commitments, whereupon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Revolving Commitments shall terminate immediately, (ii) declare the Loans then outstanding to be due and payable in whole (or in part, but ratably as among the Loans at the time outstanding, in which case any principal not so declared to be due and payable may thereafter be</w:t>
      </w:r>
    </w:p>
    <w:p>
      <w:pPr>
        <w:spacing w:after="0" w:line="211" w:lineRule="auto"/>
        <w:rPr>
          <w:sz w:val="20"/>
          <w:szCs w:val="20"/>
          <w:color w:val="auto"/>
        </w:rPr>
      </w:pPr>
      <w:r>
        <w:rPr>
          <w:rFonts w:ascii="Times New Roman" w:cs="Times New Roman" w:eastAsia="Times New Roman" w:hAnsi="Times New Roman"/>
          <w:sz w:val="20"/>
          <w:szCs w:val="20"/>
          <w:color w:val="auto"/>
        </w:rPr>
        <w:t>declared to be due and payable), whereupon the principal of the Loans so declared to be due and payable, together with accrued interest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thereon and all fees and other Secured Obligations (including, for the avoidance of doubt, any break funding payment) accrued hereunder and under the other Loan Documents, shall become due and payable immediately, in each case without presentment, demand, protest or other</w:t>
      </w:r>
    </w:p>
    <w:p>
      <w:pPr>
        <w:spacing w:after="0" w:line="211" w:lineRule="auto"/>
        <w:rPr>
          <w:sz w:val="20"/>
          <w:szCs w:val="20"/>
          <w:color w:val="auto"/>
        </w:rPr>
      </w:pPr>
      <w:r>
        <w:rPr>
          <w:rFonts w:ascii="Times New Roman" w:cs="Times New Roman" w:eastAsia="Times New Roman" w:hAnsi="Times New Roman"/>
          <w:sz w:val="20"/>
          <w:szCs w:val="20"/>
          <w:color w:val="auto"/>
        </w:rPr>
        <w:t>notice of any kind, all of which are hereby waived by the Loan Parties, (iii) require cash collateral for the LC Exposure in accordance with</w:t>
      </w:r>
    </w:p>
    <w:p>
      <w:pPr>
        <w:spacing w:after="0" w:line="204" w:lineRule="auto"/>
        <w:rPr>
          <w:sz w:val="20"/>
          <w:szCs w:val="20"/>
          <w:color w:val="auto"/>
        </w:rPr>
      </w:pPr>
      <w:r>
        <w:rPr>
          <w:rFonts w:ascii="Times New Roman" w:cs="Times New Roman" w:eastAsia="Times New Roman" w:hAnsi="Times New Roman"/>
          <w:sz w:val="20"/>
          <w:szCs w:val="20"/>
          <w:color w:val="auto"/>
        </w:rPr>
        <w:t>Section 2.06(j) hereof and (iv) exercise all other rights and remedies of the Secured Parties under the Loan Documents and applicable law; and in the case of any event with respect to the Borrower described in clause (h) or (i) of this Article, the Revolving Commitments shall</w:t>
      </w:r>
    </w:p>
    <w:p>
      <w:pPr>
        <w:spacing w:after="0" w:line="211" w:lineRule="auto"/>
        <w:rPr>
          <w:sz w:val="20"/>
          <w:szCs w:val="20"/>
          <w:color w:val="auto"/>
        </w:rPr>
      </w:pPr>
      <w:r>
        <w:rPr>
          <w:rFonts w:ascii="Times New Roman" w:cs="Times New Roman" w:eastAsia="Times New Roman" w:hAnsi="Times New Roman"/>
          <w:sz w:val="20"/>
          <w:szCs w:val="20"/>
          <w:color w:val="auto"/>
        </w:rPr>
        <w:t>automatically terminate and the principal of the Loans then outstanding and cash collateral for the LC Exposure, together with accrued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thereon and all fees and other Secured Obligations (including, for the avoidance of doubt, any break funding payment) accrued hereunder and under the other Loan Documents, shall automatically become due and payable, and the obligation of the Borrower to cash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collateralize the LC Exposure as provided in clause (iii) above shall automatically become effective, in each case without presentment, demand, protest or other notice of any kind, all of which are hereby waived by the Loan Parties. Upon the occurrence and during the</w:t>
      </w:r>
    </w:p>
    <w:p>
      <w:pPr>
        <w:spacing w:after="0" w:line="211" w:lineRule="auto"/>
        <w:rPr>
          <w:sz w:val="20"/>
          <w:szCs w:val="20"/>
          <w:color w:val="auto"/>
        </w:rPr>
      </w:pPr>
      <w:r>
        <w:rPr>
          <w:rFonts w:ascii="Times New Roman" w:cs="Times New Roman" w:eastAsia="Times New Roman" w:hAnsi="Times New Roman"/>
          <w:sz w:val="20"/>
          <w:szCs w:val="20"/>
          <w:color w:val="auto"/>
        </w:rPr>
        <w:t>continuance of an Event of Default, the Administrative Agent may, and at the request of the Required Lenders shall, increase the rate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interest applicable to the Loans and other Obligations as set forth in Section 2.13(d) of this Agreement and exercise any rights and remedies provided to the Administrative Agent under the Loan Documents or at law or equity, including all remedies provided under the UCC.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to any other rights and remedies granted to the Administrative Agent and the Lenders in the Loan Documents, the Administrative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Agent on behalf of the Secured Parties may exercise all rights and remedies of a secured party under the UCC or any other applicable law. Without limiting the generality of the foregoing, the Administrative Agent, without demand of performance or other demand, presentment,</w:t>
      </w:r>
    </w:p>
    <w:p>
      <w:pPr>
        <w:spacing w:after="0" w:line="211" w:lineRule="auto"/>
        <w:rPr>
          <w:sz w:val="20"/>
          <w:szCs w:val="20"/>
          <w:color w:val="auto"/>
        </w:rPr>
      </w:pPr>
      <w:r>
        <w:rPr>
          <w:rFonts w:ascii="Times New Roman" w:cs="Times New Roman" w:eastAsia="Times New Roman" w:hAnsi="Times New Roman"/>
          <w:sz w:val="20"/>
          <w:szCs w:val="20"/>
          <w:color w:val="auto"/>
        </w:rPr>
        <w:t>protest, advertisement or notice of any kind (except any notice required by law referred to below) to or upon any Loan Party or any other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Person (all and each of which demands, defenses, advertisements and notices are hereby waived by the Borrower on behalf of itself and its Subsidiaries), may in such circumstances forthwith collect, receive, appropriate and realize upon the Collateral, or any part thereof, or</w:t>
      </w:r>
    </w:p>
    <w:p>
      <w:pPr>
        <w:spacing w:after="0" w:line="211" w:lineRule="auto"/>
        <w:rPr>
          <w:sz w:val="20"/>
          <w:szCs w:val="20"/>
          <w:color w:val="auto"/>
        </w:rPr>
      </w:pPr>
      <w:r>
        <w:rPr>
          <w:rFonts w:ascii="Times New Roman" w:cs="Times New Roman" w:eastAsia="Times New Roman" w:hAnsi="Times New Roman"/>
          <w:sz w:val="20"/>
          <w:szCs w:val="20"/>
          <w:color w:val="auto"/>
        </w:rPr>
        <w:t>consent to the use by any Loan Party of any cash collateral arising in respect of the Collateral on such terms as the Administrative Agent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deems reasonable, and/or may forthwith sell, lease, assign give an option or options to purchase or otherwise dispose of and deliver, or acquire by credit bid on behalf of the Lenders, the Collateral or any part thereof (or contract to do any of the foregoing), in one or more</w:t>
      </w:r>
    </w:p>
    <w:p>
      <w:pPr>
        <w:spacing w:after="0" w:line="211" w:lineRule="auto"/>
        <w:rPr>
          <w:sz w:val="20"/>
          <w:szCs w:val="20"/>
          <w:color w:val="auto"/>
        </w:rPr>
      </w:pPr>
      <w:r>
        <w:rPr>
          <w:rFonts w:ascii="Times New Roman" w:cs="Times New Roman" w:eastAsia="Times New Roman" w:hAnsi="Times New Roman"/>
          <w:sz w:val="20"/>
          <w:szCs w:val="20"/>
          <w:color w:val="auto"/>
        </w:rPr>
        <w:t>parcels at public or private sale or sales, at any exchange, broker’s board or office of the Administrative Agent or any Lender or elsewhere,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upon such terms and conditions as it may deem advisable and at such prices as it may deem best, for cash or on credit or for future delivery, all without assumption of any credit risk. The Administrative Agent or any Lender shall have the right upon any such public sale or sales,</w:t>
      </w:r>
    </w:p>
    <w:p>
      <w:pPr>
        <w:spacing w:after="0" w:line="223" w:lineRule="auto"/>
        <w:rPr>
          <w:sz w:val="20"/>
          <w:szCs w:val="20"/>
          <w:color w:val="auto"/>
        </w:rPr>
      </w:pPr>
      <w:r>
        <w:rPr>
          <w:rFonts w:ascii="Times New Roman" w:cs="Times New Roman" w:eastAsia="Times New Roman" w:hAnsi="Times New Roman"/>
          <w:sz w:val="19"/>
          <w:szCs w:val="19"/>
          <w:color w:val="auto"/>
        </w:rPr>
        <w:t>and, to the extent permitted by law, upon any such private sale or sales, to purchase the whole or any part of the Collateral so sold, free of any</w:t>
      </w:r>
    </w:p>
    <w:p>
      <w:pPr>
        <w:spacing w:after="0" w:line="204" w:lineRule="auto"/>
        <w:rPr>
          <w:sz w:val="20"/>
          <w:szCs w:val="20"/>
          <w:color w:val="auto"/>
        </w:rPr>
      </w:pPr>
      <w:r>
        <w:rPr>
          <w:rFonts w:ascii="Times New Roman" w:cs="Times New Roman" w:eastAsia="Times New Roman" w:hAnsi="Times New Roman"/>
          <w:sz w:val="20"/>
          <w:szCs w:val="20"/>
          <w:color w:val="auto"/>
        </w:rPr>
        <w:t>right or equity of redemption in any Loan Party, which right or equity is hereby waived and released by the Borrower on behalf of itself and its Subsidiaries. The Borrower further agrees on behalf of itself and its Subsidiaries, at the Administrative Agent’s request, to assemble the</w:t>
      </w:r>
    </w:p>
    <w:p>
      <w:pPr>
        <w:spacing w:after="0" w:line="223" w:lineRule="auto"/>
        <w:rPr>
          <w:sz w:val="20"/>
          <w:szCs w:val="20"/>
          <w:color w:val="auto"/>
        </w:rPr>
      </w:pPr>
      <w:r>
        <w:rPr>
          <w:rFonts w:ascii="Times New Roman" w:cs="Times New Roman" w:eastAsia="Times New Roman" w:hAnsi="Times New Roman"/>
          <w:sz w:val="19"/>
          <w:szCs w:val="19"/>
          <w:color w:val="auto"/>
        </w:rPr>
        <w:t>Collateral and make it available to the Administrative Agent at places which the Administrative Agent shall reasonably select, whether at the</w:t>
      </w:r>
    </w:p>
    <w:p>
      <w:pPr>
        <w:spacing w:after="0" w:line="204" w:lineRule="auto"/>
        <w:rPr>
          <w:sz w:val="20"/>
          <w:szCs w:val="20"/>
          <w:color w:val="auto"/>
        </w:rPr>
      </w:pPr>
      <w:r>
        <w:rPr>
          <w:rFonts w:ascii="Times New Roman" w:cs="Times New Roman" w:eastAsia="Times New Roman" w:hAnsi="Times New Roman"/>
          <w:sz w:val="20"/>
          <w:szCs w:val="20"/>
          <w:color w:val="auto"/>
        </w:rPr>
        <w:t>premises of the Borrower, another Loan Party or elsewhere. The Administrative Agent shall apply the net proceeds of any action taken by it pursuant to this Article VII, after deducting all reasonable costs and expenses of every kind incurred in connection therewith or incidental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care or safekeeping of any of the Collateral or in any other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relating to the Collateral or the rights of the Administrative Agent and the Lenders hereunder, including reasonable attorneys’ fees and</w:t>
      </w:r>
    </w:p>
    <w:p>
      <w:pPr>
        <w:spacing w:after="0" w:line="204" w:lineRule="auto"/>
        <w:rPr>
          <w:sz w:val="20"/>
          <w:szCs w:val="20"/>
          <w:color w:val="auto"/>
        </w:rPr>
      </w:pPr>
      <w:r>
        <w:rPr>
          <w:rFonts w:ascii="Times New Roman" w:cs="Times New Roman" w:eastAsia="Times New Roman" w:hAnsi="Times New Roman"/>
          <w:sz w:val="20"/>
          <w:szCs w:val="20"/>
          <w:color w:val="auto"/>
        </w:rPr>
        <w:t>disbursements, to the payment in whole or in part of the obligations of the Loan Parties under the Loan Documents, in such order as the Administrative Agent may elect, and only after such application and after the payment by the Administrative Agent of any other amount</w:t>
      </w:r>
    </w:p>
    <w:p>
      <w:pPr>
        <w:spacing w:after="0" w:line="223" w:lineRule="auto"/>
        <w:rPr>
          <w:sz w:val="20"/>
          <w:szCs w:val="20"/>
          <w:color w:val="auto"/>
        </w:rPr>
      </w:pPr>
      <w:r>
        <w:rPr>
          <w:rFonts w:ascii="Times New Roman" w:cs="Times New Roman" w:eastAsia="Times New Roman" w:hAnsi="Times New Roman"/>
          <w:sz w:val="19"/>
          <w:szCs w:val="19"/>
          <w:color w:val="auto"/>
        </w:rPr>
        <w:t>required by any provision of law, including Section 9-615(a)(3) of the UCC, need the Administrative Agent account for the surplus, if any, to</w:t>
      </w:r>
    </w:p>
    <w:p>
      <w:pPr>
        <w:spacing w:after="0" w:line="204" w:lineRule="auto"/>
        <w:rPr>
          <w:sz w:val="20"/>
          <w:szCs w:val="20"/>
          <w:color w:val="auto"/>
        </w:rPr>
      </w:pPr>
      <w:r>
        <w:rPr>
          <w:rFonts w:ascii="Times New Roman" w:cs="Times New Roman" w:eastAsia="Times New Roman" w:hAnsi="Times New Roman"/>
          <w:sz w:val="20"/>
          <w:szCs w:val="20"/>
          <w:color w:val="auto"/>
        </w:rPr>
        <w:t>any Loan Party. To the extent permitted by applicable law, the Borrower on behalf of itself and its Subsidiaries waives all Liabilities it may acquire against the Administrative Agent or any Lender arising out of the exercise by them of any rights hereunder. If any notice of a</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proposed sale or other disposition of Collateral shall be required by law, such notice shall be deemed reasonable and proper if given at least 10 days before such sale or other disposition.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94"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8.01.</w:t>
      </w:r>
      <w:r>
        <w:rPr>
          <w:sz w:val="20"/>
          <w:szCs w:val="20"/>
          <w:color w:val="auto"/>
        </w:rPr>
        <w:tab/>
      </w:r>
      <w:r>
        <w:rPr>
          <w:rFonts w:ascii="Times New Roman" w:cs="Times New Roman" w:eastAsia="Times New Roman" w:hAnsi="Times New Roman"/>
          <w:sz w:val="19"/>
          <w:szCs w:val="19"/>
          <w:u w:val="single" w:color="auto"/>
          <w:color w:val="auto"/>
        </w:rPr>
        <w:t>Authorization and Action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133" w:val="left"/>
        </w:tabs>
        <w:numPr>
          <w:ilvl w:val="0"/>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54" w:lineRule="exact"/>
        <w:rPr>
          <w:rFonts w:ascii="Times New Roman" w:cs="Times New Roman" w:eastAsia="Times New Roman" w:hAnsi="Times New Roman"/>
          <w:sz w:val="20"/>
          <w:szCs w:val="20"/>
          <w:color w:val="010000"/>
        </w:rPr>
      </w:pPr>
    </w:p>
    <w:p>
      <w:pPr>
        <w:jc w:val="both"/>
        <w:ind w:firstLine="656"/>
        <w:spacing w:after="0" w:line="209" w:lineRule="auto"/>
        <w:tabs>
          <w:tab w:leader="none" w:pos="1076" w:val="left"/>
        </w:tabs>
        <w:numPr>
          <w:ilvl w:val="0"/>
          <w:numId w:val="2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76" w:lineRule="exact"/>
        <w:rPr>
          <w:sz w:val="20"/>
          <w:szCs w:val="20"/>
          <w:color w:val="auto"/>
        </w:rPr>
      </w:pPr>
    </w:p>
    <w:p>
      <w:pPr>
        <w:jc w:val="both"/>
        <w:ind w:firstLine="656"/>
        <w:spacing w:after="0" w:line="237" w:lineRule="auto"/>
        <w:tabs>
          <w:tab w:leader="none" w:pos="1065"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62" w:lineRule="exact"/>
        <w:rPr>
          <w:rFonts w:ascii="Times New Roman" w:cs="Times New Roman" w:eastAsia="Times New Roman" w:hAnsi="Times New Roman"/>
          <w:sz w:val="19"/>
          <w:szCs w:val="19"/>
          <w:color w:val="010000"/>
        </w:rPr>
      </w:pPr>
    </w:p>
    <w:p>
      <w:pPr>
        <w:jc w:val="both"/>
        <w:ind w:firstLine="1304"/>
        <w:spacing w:after="0" w:line="213" w:lineRule="auto"/>
        <w:tabs>
          <w:tab w:leader="none" w:pos="1681" w:val="left"/>
        </w:tabs>
        <w:numPr>
          <w:ilvl w:val="1"/>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 and</w:t>
      </w:r>
    </w:p>
    <w:p>
      <w:pPr>
        <w:spacing w:after="0" w:line="161" w:lineRule="exact"/>
        <w:rPr>
          <w:rFonts w:ascii="Times New Roman" w:cs="Times New Roman" w:eastAsia="Times New Roman" w:hAnsi="Times New Roman"/>
          <w:sz w:val="20"/>
          <w:szCs w:val="20"/>
          <w:color w:val="010000"/>
        </w:rPr>
      </w:pPr>
    </w:p>
    <w:p>
      <w:pPr>
        <w:ind w:firstLine="1304"/>
        <w:spacing w:after="0"/>
        <w:tabs>
          <w:tab w:leader="none" w:pos="1762" w:val="left"/>
        </w:tabs>
        <w:numPr>
          <w:ilvl w:val="1"/>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in this Agreement or any Loan Document shall require the Administrative Agent to account to any Lender for any sum or the profit element of any sum received by the Administrative Agent for its own account.</w:t>
      </w:r>
    </w:p>
    <w:p>
      <w:pPr>
        <w:spacing w:after="0" w:line="147"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03"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bad faith or willful misconduct in the selection of such sub-agent.</w:t>
      </w:r>
    </w:p>
    <w:p>
      <w:pPr>
        <w:spacing w:after="0" w:line="166" w:lineRule="exact"/>
        <w:rPr>
          <w:rFonts w:ascii="Times New Roman" w:cs="Times New Roman" w:eastAsia="Times New Roman" w:hAnsi="Times New Roman"/>
          <w:sz w:val="19"/>
          <w:szCs w:val="19"/>
          <w:color w:val="010000"/>
        </w:rPr>
      </w:pPr>
    </w:p>
    <w:p>
      <w:pPr>
        <w:jc w:val="both"/>
        <w:ind w:firstLine="656"/>
        <w:spacing w:after="0" w:line="226" w:lineRule="auto"/>
        <w:tabs>
          <w:tab w:leader="none" w:pos="1092" w:val="left"/>
        </w:tabs>
        <w:numPr>
          <w:ilvl w:val="0"/>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No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Arranger shall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not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have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obligations or duties whatsoever in such capacity under this Agreement or any other Loan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Document and shall incur no liability hereunder or thereunder in such capacity, but all such persons shall have the benefit of the indemnities provided for hereunder.</w:t>
      </w:r>
    </w:p>
    <w:p>
      <w:pPr>
        <w:spacing w:after="0" w:line="160"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138" w:val="left"/>
        </w:tabs>
        <w:numPr>
          <w:ilvl w:val="0"/>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61"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721" w:val="left"/>
        </w:tabs>
        <w:numPr>
          <w:ilvl w:val="1"/>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42" w:lineRule="exact"/>
        <w:rPr>
          <w:rFonts w:ascii="Times New Roman" w:cs="Times New Roman" w:eastAsia="Times New Roman" w:hAnsi="Times New Roman"/>
          <w:sz w:val="20"/>
          <w:szCs w:val="20"/>
          <w:color w:val="010000"/>
        </w:rPr>
      </w:pPr>
    </w:p>
    <w:p>
      <w:pPr>
        <w:ind w:left="1820" w:hanging="516"/>
        <w:spacing w:after="0"/>
        <w:tabs>
          <w:tab w:leader="none" w:pos="1820" w:val="left"/>
        </w:tabs>
        <w:numPr>
          <w:ilvl w:val="1"/>
          <w:numId w:val="2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proceeding is hereby authorized by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each Lender, each Issuing Bank and each other Secured Party to make such payments to the Administrative Agent and, in the event that the Administrative Agent shall consent to the making of such payments directly to the Lenders, the Issuing Banks or the other Secured Parties, to</w:t>
      </w:r>
    </w:p>
    <w:p>
      <w:pPr>
        <w:spacing w:after="0" w:line="211" w:lineRule="auto"/>
        <w:rPr>
          <w:sz w:val="20"/>
          <w:szCs w:val="20"/>
          <w:color w:val="auto"/>
        </w:rPr>
      </w:pPr>
      <w:r>
        <w:rPr>
          <w:rFonts w:ascii="Times New Roman" w:cs="Times New Roman" w:eastAsia="Times New Roman" w:hAnsi="Times New Roman"/>
          <w:sz w:val="20"/>
          <w:szCs w:val="20"/>
          <w:color w:val="auto"/>
        </w:rPr>
        <w:t>pay to the Administrative Agent any amount due to it, in its capacity as the Administrative Agent, under the Loan Documents (including</w:t>
      </w:r>
    </w:p>
    <w:p>
      <w:pPr>
        <w:spacing w:after="0" w:line="204" w:lineRule="auto"/>
        <w:rPr>
          <w:sz w:val="20"/>
          <w:szCs w:val="20"/>
          <w:color w:val="auto"/>
        </w:rPr>
      </w:pPr>
      <w:r>
        <w:rPr>
          <w:rFonts w:ascii="Times New Roman" w:cs="Times New Roman" w:eastAsia="Times New Roman" w:hAnsi="Times New Roman"/>
          <w:sz w:val="20"/>
          <w:szCs w:val="20"/>
          <w:color w:val="auto"/>
        </w:rPr>
        <w:t>under Section 9.03). Nothing contained herein shall be deemed to authorize the Administrative Agent to authorize or consent to or accept or adopt on behalf of any Lender or Issuing Bank any plan of reorganization, arrangement, adjustment or composition affecting the Secured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Obligations or the rights of any Lender or Issuing Bank or to authorize the Administrative Agent to vote in respect of the claim of any Lender or Issuing Bank in any such proceeding.</w:t>
      </w:r>
    </w:p>
    <w:p>
      <w:pPr>
        <w:spacing w:after="0" w:line="149" w:lineRule="exact"/>
        <w:rPr>
          <w:sz w:val="20"/>
          <w:szCs w:val="20"/>
          <w:color w:val="auto"/>
        </w:rPr>
      </w:pPr>
    </w:p>
    <w:p>
      <w:pPr>
        <w:jc w:val="both"/>
        <w:ind w:firstLine="656"/>
        <w:spacing w:after="0" w:line="220" w:lineRule="auto"/>
        <w:tabs>
          <w:tab w:leader="none" w:pos="1117" w:val="left"/>
        </w:tabs>
        <w:numPr>
          <w:ilvl w:val="0"/>
          <w:numId w:val="2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6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8.02.</w:t>
      </w:r>
      <w:r>
        <w:rPr>
          <w:sz w:val="20"/>
          <w:szCs w:val="20"/>
          <w:color w:val="auto"/>
        </w:rPr>
        <w:tab/>
      </w:r>
      <w:r>
        <w:rPr>
          <w:rFonts w:ascii="Times New Roman" w:cs="Times New Roman" w:eastAsia="Times New Roman" w:hAnsi="Times New Roman"/>
          <w:sz w:val="19"/>
          <w:szCs w:val="19"/>
          <w:color w:val="auto"/>
        </w:rPr>
        <w:t>Administrative Agent’s Reliance, Limitation of Liability, Indemnification, Etc.</w:t>
      </w:r>
    </w:p>
    <w:p>
      <w:pPr>
        <w:spacing w:after="0" w:line="175" w:lineRule="exact"/>
        <w:rPr>
          <w:sz w:val="20"/>
          <w:szCs w:val="20"/>
          <w:color w:val="auto"/>
        </w:rPr>
      </w:pPr>
    </w:p>
    <w:p>
      <w:pPr>
        <w:jc w:val="both"/>
        <w:ind w:firstLine="656"/>
        <w:spacing w:after="0" w:line="222" w:lineRule="auto"/>
        <w:tabs>
          <w:tab w:leader="none" w:pos="1079" w:val="left"/>
        </w:tabs>
        <w:numPr>
          <w:ilvl w:val="1"/>
          <w:numId w:val="2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w:t>
      </w:r>
    </w:p>
    <w:p>
      <w:pPr>
        <w:spacing w:after="0" w:line="1" w:lineRule="exact"/>
        <w:rPr>
          <w:rFonts w:ascii="Times New Roman" w:cs="Times New Roman" w:eastAsia="Times New Roman" w:hAnsi="Times New Roman"/>
          <w:sz w:val="20"/>
          <w:szCs w:val="20"/>
          <w:color w:val="010000"/>
        </w:rPr>
      </w:pPr>
    </w:p>
    <w:p>
      <w:pPr>
        <w:jc w:val="both"/>
        <w:ind w:firstLine="8"/>
        <w:spacing w:after="0" w:line="209" w:lineRule="auto"/>
        <w:tabs>
          <w:tab w:leader="none" w:pos="28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bad faith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64" w:lineRule="exact"/>
        <w:rPr>
          <w:rFonts w:ascii="Times New Roman" w:cs="Times New Roman" w:eastAsia="Times New Roman" w:hAnsi="Times New Roman"/>
          <w:sz w:val="20"/>
          <w:szCs w:val="20"/>
          <w:color w:val="auto"/>
        </w:rPr>
      </w:pPr>
    </w:p>
    <w:p>
      <w:pPr>
        <w:jc w:val="both"/>
        <w:ind w:firstLine="656"/>
        <w:spacing w:after="0" w:line="210" w:lineRule="auto"/>
        <w:tabs>
          <w:tab w:leader="none" w:pos="1117" w:val="left"/>
        </w:tabs>
        <w:numPr>
          <w:ilvl w:val="1"/>
          <w:numId w:val="2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(y)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Liability, cost or expense suffered by the Borrower, any other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Subsidiary, any Lender or the Issuing Bank as a result of, any determination of any Revolving Exposure, any of the component amounts thereof or any portion thereof attributable to each Lender or the Issuing Bank.</w:t>
      </w:r>
    </w:p>
    <w:p>
      <w:pPr>
        <w:spacing w:after="0" w:line="148" w:lineRule="exact"/>
        <w:rPr>
          <w:sz w:val="20"/>
          <w:szCs w:val="20"/>
          <w:color w:val="auto"/>
        </w:rPr>
      </w:pPr>
    </w:p>
    <w:p>
      <w:pPr>
        <w:jc w:val="both"/>
        <w:ind w:firstLine="656"/>
        <w:spacing w:after="0" w:line="234" w:lineRule="auto"/>
        <w:tabs>
          <w:tab w:leader="none" w:pos="1079" w:val="left"/>
        </w:tabs>
        <w:numPr>
          <w:ilvl w:val="1"/>
          <w:numId w:val="21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w:t>
      </w:r>
    </w:p>
    <w:p>
      <w:pPr>
        <w:jc w:val="both"/>
        <w:ind w:firstLine="8"/>
        <w:spacing w:after="0" w:line="220" w:lineRule="auto"/>
        <w:tabs>
          <w:tab w:leader="none" w:pos="349"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6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8.03.</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26" w:lineRule="auto"/>
        <w:tabs>
          <w:tab w:leader="none" w:pos="1092"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252"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61" w:lineRule="exact"/>
        <w:rPr>
          <w:rFonts w:ascii="Times New Roman" w:cs="Times New Roman" w:eastAsia="Times New Roman" w:hAnsi="Times New Roman"/>
          <w:sz w:val="20"/>
          <w:szCs w:val="20"/>
          <w:color w:val="010000"/>
        </w:rPr>
      </w:pPr>
    </w:p>
    <w:p>
      <w:pPr>
        <w:jc w:val="both"/>
        <w:ind w:firstLine="656"/>
        <w:spacing w:after="0" w:line="212" w:lineRule="auto"/>
        <w:tabs>
          <w:tab w:leader="none" w:pos="1173" w:val="left"/>
        </w:tabs>
        <w:numPr>
          <w:ilvl w:val="0"/>
          <w:numId w:val="2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OR ANY OF THEIR RESPECTIVE RELATED PARTIES (COLLECTIVELY, “</w:t>
      </w:r>
      <w:r>
        <w:rPr>
          <w:rFonts w:ascii="Times New Roman" w:cs="Times New Roman" w:eastAsia="Times New Roman" w:hAnsi="Times New Roman"/>
          <w:sz w:val="20"/>
          <w:szCs w:val="20"/>
          <w:u w:val="single" w:color="auto"/>
          <w:color w:val="auto"/>
        </w:rPr>
        <w:t>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HAVE ANY LIABILITY TO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LENDER, ANY ISSUING BANK OR ANY OTHER PERSON OR ENTITY FOR DAMAGES OF ANY KIND, INCLUDING</w:t>
      </w:r>
    </w:p>
    <w:p>
      <w:pPr>
        <w:spacing w:after="0" w:line="204" w:lineRule="auto"/>
        <w:rPr>
          <w:sz w:val="20"/>
          <w:szCs w:val="20"/>
          <w:color w:val="auto"/>
        </w:rPr>
      </w:pPr>
      <w:r>
        <w:rPr>
          <w:rFonts w:ascii="Times New Roman" w:cs="Times New Roman" w:eastAsia="Times New Roman" w:hAnsi="Times New Roman"/>
          <w:sz w:val="20"/>
          <w:szCs w:val="20"/>
          <w:color w:val="auto"/>
        </w:rPr>
        <w:t>DIRECT OR INDIRECT, SPECIAL, INCIDENTAL OR CONSEQUENTIAL DAMAGES, LOSSES OR EXPENSES (WHETHER IN TORT, CONTRACT OR OTHERWISE) ARISING OUT OF ANY LOAN PARTY’S OR THE ADMINISTRATIVE AGENT’S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TRANSMISSION OF COMMUNICATIONS THROUGH THE INTERNET OR THROUGH AN ELECTRONIC SYSTEM OR THE APPROVED ELECTRONIC PLATFORM.</w:t>
      </w:r>
    </w:p>
    <w:p>
      <w:pPr>
        <w:spacing w:after="0" w:line="14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means, collectively, any notice, demand, communication, information, document or other material provided by or on behalf of any Loan Party pursuant to any Loan Document or the transactions contemplated therein which is distributed by the Administrative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Agent, any Lender or any Issuing Bank by means of electronic communications pursuant to this Section, including through an Approved Electronic Platform.</w:t>
      </w:r>
    </w:p>
    <w:p>
      <w:pPr>
        <w:spacing w:after="0" w:line="162" w:lineRule="exact"/>
        <w:rPr>
          <w:sz w:val="20"/>
          <w:szCs w:val="20"/>
          <w:color w:val="auto"/>
        </w:rPr>
      </w:pPr>
    </w:p>
    <w:p>
      <w:pPr>
        <w:jc w:val="both"/>
        <w:ind w:firstLine="656"/>
        <w:spacing w:after="0" w:line="220" w:lineRule="auto"/>
        <w:tabs>
          <w:tab w:leader="none" w:pos="1103" w:val="left"/>
        </w:tabs>
        <w:numPr>
          <w:ilvl w:val="0"/>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079" w:val="left"/>
        </w:tabs>
        <w:numPr>
          <w:ilvl w:val="0"/>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48" w:lineRule="exact"/>
        <w:rPr>
          <w:rFonts w:ascii="Times New Roman" w:cs="Times New Roman" w:eastAsia="Times New Roman" w:hAnsi="Times New Roman"/>
          <w:sz w:val="20"/>
          <w:szCs w:val="20"/>
          <w:color w:val="010000"/>
        </w:rPr>
      </w:pPr>
    </w:p>
    <w:p>
      <w:pPr>
        <w:ind w:firstLine="656"/>
        <w:spacing w:after="0"/>
        <w:tabs>
          <w:tab w:leader="none" w:pos="1044" w:val="left"/>
        </w:tabs>
        <w:numPr>
          <w:ilvl w:val="0"/>
          <w:numId w:val="2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8.04. </w:t>
      </w:r>
      <w:r>
        <w:rPr>
          <w:rFonts w:ascii="Times New Roman" w:cs="Times New Roman" w:eastAsia="Times New Roman" w:hAnsi="Times New Roman"/>
          <w:sz w:val="20"/>
          <w:szCs w:val="20"/>
          <w:u w:val="single" w:color="auto"/>
          <w:color w:val="000000"/>
        </w:rPr>
        <w:t>The Administrative Agent Individually</w:t>
      </w:r>
      <w:r>
        <w:rPr>
          <w:rFonts w:ascii="Times New Roman" w:cs="Times New Roman" w:eastAsia="Times New Roman" w:hAnsi="Times New Roman"/>
          <w:sz w:val="20"/>
          <w:szCs w:val="20"/>
          <w:color w:val="000000"/>
        </w:rPr>
        <w:t>. With respect to its Revolving Commitment, Loans (including Swingline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Loans) and Letters of Credit, the Person serving as the Administrative Agent shall have and may exercise the same rights and powers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hereunder and is subject to the same obligations and liabilities as and to the extent set forth herein for any other Lender or Issuing Bank, as the case may be. The terms “Issuing Banks”, “Lenders”, “Required Lenders” and any similar terms shall, unless the context clearly otherwise</w:t>
      </w:r>
    </w:p>
    <w:p>
      <w:pPr>
        <w:spacing w:after="0" w:line="211" w:lineRule="auto"/>
        <w:rPr>
          <w:sz w:val="20"/>
          <w:szCs w:val="20"/>
          <w:color w:val="auto"/>
        </w:rPr>
      </w:pPr>
      <w:r>
        <w:rPr>
          <w:rFonts w:ascii="Times New Roman" w:cs="Times New Roman" w:eastAsia="Times New Roman" w:hAnsi="Times New Roman"/>
          <w:sz w:val="20"/>
          <w:szCs w:val="20"/>
          <w:color w:val="auto"/>
        </w:rPr>
        <w:t>indicates, include the Administrative Agent in its individual capacity as a Lender, Issuing Bank or as one of the Required Lenders, as</w:t>
      </w:r>
    </w:p>
    <w:p>
      <w:pPr>
        <w:spacing w:after="0" w:line="215" w:lineRule="auto"/>
        <w:rPr>
          <w:sz w:val="20"/>
          <w:szCs w:val="20"/>
          <w:color w:val="auto"/>
        </w:rPr>
      </w:pPr>
      <w:r>
        <w:rPr>
          <w:rFonts w:ascii="Times New Roman" w:cs="Times New Roman" w:eastAsia="Times New Roman" w:hAnsi="Times New Roman"/>
          <w:sz w:val="19"/>
          <w:szCs w:val="19"/>
          <w:color w:val="auto"/>
        </w:rPr>
        <w:t>applicable. The Person serving as the Administrative Agent and its Affiliates may accept deposits from, lend money to, own securities of, act as the financial advisor or in any other advisory capacity for and generally engage in any kind of banking, trust or other business with, any</w:t>
      </w:r>
    </w:p>
    <w:p>
      <w:pPr>
        <w:spacing w:after="0" w:line="228" w:lineRule="auto"/>
        <w:rPr>
          <w:sz w:val="20"/>
          <w:szCs w:val="20"/>
          <w:color w:val="auto"/>
        </w:rPr>
      </w:pPr>
      <w:r>
        <w:rPr>
          <w:rFonts w:ascii="Times New Roman" w:cs="Times New Roman" w:eastAsia="Times New Roman" w:hAnsi="Times New Roman"/>
          <w:sz w:val="20"/>
          <w:szCs w:val="20"/>
          <w:color w:val="auto"/>
        </w:rPr>
        <w:t>Loan Party, any Subsidiary or any Affiliate of any of the foregoing as if such Person was not acting as the Administrative Agent and without any duty to account therefor to the Lenders or the Issuing Banks.</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8.05.</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119" w:val="left"/>
        </w:tabs>
        <w:numPr>
          <w:ilvl w:val="0"/>
          <w:numId w:val="2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conditioned or delayed and shall not be required while an Event of Default under clauses (a), (b), (d) (solely with respect to a breach of Section 6.12), (h), (i) or (m) of Article VII has occurred and is continuing). Upon the acceptance of any appointment as Administrative Agent by a successor Administrative Agent, such successor Administrative Agent shall succeed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become vested with, all the rights, powers, privileges and duties of the retiring Administrative Agent. Upon the acceptance of appointment as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by a successor Administrative Agent, the retiring Administrative Agent shall be discharged from its duties and obligations under this Agreement and the other Loan Documents. Prior to any retiring Administrative Agent’s resignation hereunder as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Administrative Agent, the retiring Administrative Agent shall take such action as may be reasonably necessary to assign to the successor Administrative Agent its rights as Administrative Agent under the Loan Documents.</w:t>
      </w:r>
    </w:p>
    <w:p>
      <w:pPr>
        <w:spacing w:after="0" w:line="149" w:lineRule="exact"/>
        <w:rPr>
          <w:sz w:val="20"/>
          <w:szCs w:val="20"/>
          <w:color w:val="auto"/>
        </w:rPr>
      </w:pPr>
    </w:p>
    <w:p>
      <w:pPr>
        <w:jc w:val="both"/>
        <w:ind w:firstLine="656"/>
        <w:spacing w:after="0" w:line="218" w:lineRule="auto"/>
        <w:tabs>
          <w:tab w:leader="none" w:pos="1076" w:val="left"/>
        </w:tabs>
        <w:numPr>
          <w:ilvl w:val="1"/>
          <w:numId w:val="22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all payments required to be made hereunder or under any other Loan Document to the Administrative Agent for the account of any Person other than the Administrative Agent shall be made directly to such Person and</w:t>
      </w:r>
    </w:p>
    <w:p>
      <w:pPr>
        <w:spacing w:after="0" w:line="11" w:lineRule="exact"/>
        <w:rPr>
          <w:rFonts w:ascii="Times New Roman" w:cs="Times New Roman" w:eastAsia="Times New Roman" w:hAnsi="Times New Roman"/>
          <w:sz w:val="19"/>
          <w:szCs w:val="19"/>
          <w:color w:val="010000"/>
        </w:rPr>
      </w:pPr>
    </w:p>
    <w:p>
      <w:pPr>
        <w:ind w:left="320" w:hanging="312"/>
        <w:spacing w:after="0" w:line="222" w:lineRule="auto"/>
        <w:tabs>
          <w:tab w:leader="none" w:pos="32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notices and other communications required or contemplated to be given or made to the Administrative Agent shall directly be given or</w:t>
      </w:r>
    </w:p>
    <w:p>
      <w:pPr>
        <w:spacing w:after="0" w:line="222" w:lineRule="auto"/>
        <w:rPr>
          <w:sz w:val="20"/>
          <w:szCs w:val="20"/>
          <w:color w:val="auto"/>
        </w:rPr>
      </w:pPr>
      <w:r>
        <w:rPr>
          <w:rFonts w:ascii="Times New Roman" w:cs="Times New Roman" w:eastAsia="Times New Roman" w:hAnsi="Times New Roman"/>
          <w:sz w:val="19"/>
          <w:szCs w:val="19"/>
          <w:color w:val="auto"/>
        </w:rPr>
        <w:t>made to each Lender and each Issuing Bank. Following the effectiveness of the Administrative Agent’s resignation from its capacity as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provisions of this Article, Section 2.17(d) and Section 9.03, as well as any exculpatory, reimbursement and indemnification provisions set forth in any other Loan Document, shall continue in effect for the benefit of such retiring Administrative Agent, its sub-agents and their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8.06.</w:t>
      </w:r>
      <w:r>
        <w:rPr>
          <w:sz w:val="20"/>
          <w:szCs w:val="20"/>
          <w:color w:val="auto"/>
        </w:rPr>
        <w:tab/>
      </w:r>
      <w:r>
        <w:rPr>
          <w:rFonts w:ascii="Times New Roman" w:cs="Times New Roman" w:eastAsia="Times New Roman" w:hAnsi="Times New Roman"/>
          <w:sz w:val="19"/>
          <w:szCs w:val="19"/>
          <w:u w:val="single" w:color="auto"/>
          <w:color w:val="auto"/>
        </w:rPr>
        <w:t>Acknowledgments of Lenders and Issuing Banks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0" w:lineRule="auto"/>
        <w:tabs>
          <w:tab w:leader="none" w:pos="1092" w:val="left"/>
        </w:tabs>
        <w:numPr>
          <w:ilvl w:val="0"/>
          <w:numId w:val="2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76" w:lineRule="exact"/>
        <w:rPr>
          <w:sz w:val="20"/>
          <w:szCs w:val="20"/>
          <w:color w:val="auto"/>
        </w:rPr>
      </w:pPr>
    </w:p>
    <w:p>
      <w:pPr>
        <w:jc w:val="both"/>
        <w:ind w:firstLine="656"/>
        <w:spacing w:after="0" w:line="220" w:lineRule="auto"/>
        <w:tabs>
          <w:tab w:leader="none" w:pos="1130" w:val="left"/>
        </w:tabs>
        <w:numPr>
          <w:ilvl w:val="0"/>
          <w:numId w:val="2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47" w:lineRule="exact"/>
        <w:rPr>
          <w:rFonts w:ascii="Times New Roman" w:cs="Times New Roman" w:eastAsia="Times New Roman" w:hAnsi="Times New Roman"/>
          <w:sz w:val="20"/>
          <w:szCs w:val="20"/>
          <w:color w:val="010000"/>
        </w:rPr>
      </w:pPr>
    </w:p>
    <w:p>
      <w:pPr>
        <w:jc w:val="both"/>
        <w:ind w:firstLine="656"/>
        <w:spacing w:after="0" w:line="211" w:lineRule="auto"/>
        <w:tabs>
          <w:tab w:leader="none" w:pos="1160" w:val="left"/>
        </w:tabs>
        <w:numPr>
          <w:ilvl w:val="0"/>
          <w:numId w:val="2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spacing w:after="0" w:line="147" w:lineRule="exact"/>
        <w:rPr>
          <w:sz w:val="20"/>
          <w:szCs w:val="20"/>
          <w:color w:val="auto"/>
        </w:rPr>
      </w:pPr>
    </w:p>
    <w:p>
      <w:pPr>
        <w:ind w:left="1780" w:hanging="476"/>
        <w:spacing w:after="0"/>
        <w:tabs>
          <w:tab w:leader="none" w:pos="1780" w:val="left"/>
        </w:tabs>
        <w:numPr>
          <w:ilvl w:val="1"/>
          <w:numId w:val="2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w:t>
      </w:r>
    </w:p>
    <w:p>
      <w:pPr>
        <w:ind w:left="300" w:hanging="292"/>
        <w:spacing w:after="0" w:line="211" w:lineRule="auto"/>
        <w:tabs>
          <w:tab w:leader="none" w:pos="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in a different amount than, or on a different date from, that specified in a notice of payment sent by the Administrative Agent (or</w:t>
      </w:r>
    </w:p>
    <w:p>
      <w:pPr>
        <w:spacing w:after="0" w:line="222" w:lineRule="auto"/>
        <w:rPr>
          <w:sz w:val="20"/>
          <w:szCs w:val="20"/>
          <w:color w:val="auto"/>
        </w:rPr>
      </w:pPr>
      <w:r>
        <w:rPr>
          <w:rFonts w:ascii="Times New Roman" w:cs="Times New Roman" w:eastAsia="Times New Roman" w:hAnsi="Times New Roman"/>
          <w:sz w:val="19"/>
          <w:szCs w:val="19"/>
          <w:color w:val="auto"/>
        </w:rPr>
        <w:t>any of its Affiliates) with respect to such Payment (a “</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or (y) that was not preceded or accompanied by a Payment Notice, 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be on notice, in each such case, that an error has been made with respect to such Payment. Each Lender agrees that, in each such case, or if it otherwise becomes aware a Payment (or portion thereof) may have been sent in error, such Lender shall promptly notify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of such occurrence and, upon demand from the Administrative Agent, it shall promptly, but in no event later than one</w:t>
      </w:r>
    </w:p>
    <w:p>
      <w:pPr>
        <w:spacing w:after="0" w:line="1" w:lineRule="exact"/>
        <w:rPr>
          <w:sz w:val="20"/>
          <w:szCs w:val="20"/>
          <w:color w:val="auto"/>
        </w:rPr>
      </w:pPr>
    </w:p>
    <w:p>
      <w:pPr>
        <w:jc w:val="both"/>
        <w:ind w:firstLine="8"/>
        <w:spacing w:after="0" w:line="212" w:lineRule="auto"/>
        <w:tabs>
          <w:tab w:leader="none" w:pos="30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3"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90" w:val="left"/>
        </w:tabs>
        <w:numPr>
          <w:ilvl w:val="2"/>
          <w:numId w:val="2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820" w:val="left"/>
        </w:tabs>
        <w:numPr>
          <w:ilvl w:val="2"/>
          <w:numId w:val="2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party’s obligations under this Section 8.06(c) shall survive the resignation or replacement of the Administrative Agent or any transfer of rights or obligations by, or the replacement of, a Lender, the termination of the Revolving Commitments or the repayment, satisfaction or discharge of all Obligations under any Loan Document.</w:t>
      </w:r>
    </w:p>
    <w:p>
      <w:pPr>
        <w:spacing w:after="0" w:line="160"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090" w:val="left"/>
        </w:tabs>
        <w:numPr>
          <w:ilvl w:val="1"/>
          <w:numId w:val="2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regarding the Loan Parties and will rely significantly upon the Loan Parties’ books and records, as well as on representations of</w:t>
      </w:r>
    </w:p>
    <w:p>
      <w:pPr>
        <w:spacing w:after="0" w:line="204" w:lineRule="auto"/>
        <w:rPr>
          <w:sz w:val="20"/>
          <w:szCs w:val="20"/>
          <w:color w:val="auto"/>
        </w:rPr>
      </w:pPr>
      <w:r>
        <w:rPr>
          <w:rFonts w:ascii="Times New Roman" w:cs="Times New Roman" w:eastAsia="Times New Roman" w:hAnsi="Times New Roman"/>
          <w:sz w:val="20"/>
          <w:szCs w:val="20"/>
          <w:color w:val="auto"/>
        </w:rPr>
        <w:t>the Loan Parties’ personnel and that the Administrative Agent undertakes no obligation to update, correct or supplement the reports; (iv) it will keep all reports confidential and strictly for its internal use, not share the report with any Loan Party or any other Person except as</w:t>
      </w:r>
    </w:p>
    <w:p>
      <w:pPr>
        <w:spacing w:after="0" w:line="211" w:lineRule="auto"/>
        <w:rPr>
          <w:sz w:val="20"/>
          <w:szCs w:val="20"/>
          <w:color w:val="auto"/>
        </w:rPr>
      </w:pPr>
      <w:r>
        <w:rPr>
          <w:rFonts w:ascii="Times New Roman" w:cs="Times New Roman" w:eastAsia="Times New Roman" w:hAnsi="Times New Roman"/>
          <w:sz w:val="20"/>
          <w:szCs w:val="20"/>
          <w:color w:val="auto"/>
        </w:rPr>
        <w:t>otherwise permitted pursuant to this Agreement; and (v) without limiting the generality of any other indemnification provision contained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this Agreement, (A) it will hold the Administrative Agent and any such other Person preparing a report harmless from any action the indemnifying Lender may take or conclusion the indemnifying Lender may reach or draw from any report in connection with any extension</w:t>
      </w:r>
    </w:p>
    <w:p>
      <w:pPr>
        <w:spacing w:after="0" w:line="211" w:lineRule="auto"/>
        <w:rPr>
          <w:sz w:val="20"/>
          <w:szCs w:val="20"/>
          <w:color w:val="auto"/>
        </w:rPr>
      </w:pPr>
      <w:r>
        <w:rPr>
          <w:rFonts w:ascii="Times New Roman" w:cs="Times New Roman" w:eastAsia="Times New Roman" w:hAnsi="Times New Roman"/>
          <w:sz w:val="20"/>
          <w:szCs w:val="20"/>
          <w:color w:val="auto"/>
        </w:rPr>
        <w:t>of credit that the indemnifying Lender has made or may make to the Borrower, or the indemnifying Lender’s participation in, or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indemnifying Lender’s purchase of, a Loan or Loans; and (B) it will pay and protect, and indemnify, defend, and hold the Administrative Agent and any such other Person preparing a report harmless from and against, the claims, actions, proceedings, damages, costs, expenses,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8.07.</w:t>
      </w:r>
      <w:r>
        <w:rPr>
          <w:sz w:val="20"/>
          <w:szCs w:val="20"/>
          <w:color w:val="auto"/>
        </w:rPr>
        <w:tab/>
      </w: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079" w:val="left"/>
        </w:tabs>
        <w:numPr>
          <w:ilvl w:val="0"/>
          <w:numId w:val="2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61" w:lineRule="exact"/>
        <w:rPr>
          <w:rFonts w:ascii="Times New Roman" w:cs="Times New Roman" w:eastAsia="Times New Roman" w:hAnsi="Times New Roman"/>
          <w:sz w:val="20"/>
          <w:szCs w:val="20"/>
          <w:color w:val="010000"/>
        </w:rPr>
      </w:pPr>
    </w:p>
    <w:p>
      <w:pPr>
        <w:jc w:val="both"/>
        <w:ind w:firstLine="656"/>
        <w:spacing w:after="0" w:line="215" w:lineRule="auto"/>
        <w:tabs>
          <w:tab w:leader="none" w:pos="1130" w:val="left"/>
        </w:tabs>
        <w:numPr>
          <w:ilvl w:val="0"/>
          <w:numId w:val="2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5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8.08. </w:t>
      </w:r>
      <w:r>
        <w:rPr>
          <w:rFonts w:ascii="Times New Roman" w:cs="Times New Roman" w:eastAsia="Times New Roman" w:hAnsi="Times New Roman"/>
          <w:sz w:val="20"/>
          <w:szCs w:val="20"/>
          <w:u w:val="single" w:color="auto"/>
          <w:color w:val="000000"/>
        </w:rPr>
        <w:t>Credit Bidding</w:t>
      </w:r>
      <w:r>
        <w:rPr>
          <w:rFonts w:ascii="Times New Roman" w:cs="Times New Roman" w:eastAsia="Times New Roman" w:hAnsi="Times New Roman"/>
          <w:sz w:val="20"/>
          <w:szCs w:val="20"/>
          <w:color w:val="000000"/>
        </w:rPr>
        <w:t>. The Secured Parties hereby irrevocably authorize the Administrative Agent, at the direction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Required Lenders, to credit bid all or any portion of the Secured Obligations (including by accepting some or all of the Collateral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satisfaction of some or all of the Secured Obligations pursuant to a deed in lieu of foreclosure or otherwise) and in such manner purchase (either directly or through one or more acquisition vehicles) all or any portion of the Collateral (a) at any sale thereof conducted under the</w:t>
      </w:r>
    </w:p>
    <w:p>
      <w:pPr>
        <w:spacing w:after="0" w:line="211" w:lineRule="auto"/>
        <w:rPr>
          <w:sz w:val="20"/>
          <w:szCs w:val="20"/>
          <w:color w:val="auto"/>
        </w:rPr>
      </w:pPr>
      <w:r>
        <w:rPr>
          <w:rFonts w:ascii="Times New Roman" w:cs="Times New Roman" w:eastAsia="Times New Roman" w:hAnsi="Times New Roman"/>
          <w:sz w:val="20"/>
          <w:szCs w:val="20"/>
          <w:color w:val="auto"/>
        </w:rPr>
        <w:t>provisions of the Bankruptcy Code, including under Sections 363, 1123 or 1129 of the Bankruptcy Code, or any similar laws in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w:t>
      </w:r>
    </w:p>
    <w:p>
      <w:pPr>
        <w:spacing w:after="0" w:line="211" w:lineRule="auto"/>
        <w:rPr>
          <w:sz w:val="20"/>
          <w:szCs w:val="20"/>
          <w:color w:val="auto"/>
        </w:rPr>
      </w:pPr>
      <w:r>
        <w:rPr>
          <w:rFonts w:ascii="Times New Roman" w:cs="Times New Roman" w:eastAsia="Times New Roman" w:hAnsi="Times New Roman"/>
          <w:sz w:val="20"/>
          <w:szCs w:val="20"/>
          <w:color w:val="auto"/>
        </w:rPr>
        <w:t>law. In connection with any such credit bid and purchase, the Secured Obligations owed to the Secured Parties shall be entitled to be,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w:t>
      </w:r>
    </w:p>
    <w:p>
      <w:pPr>
        <w:spacing w:after="0" w:line="211" w:lineRule="auto"/>
        <w:rPr>
          <w:sz w:val="20"/>
          <w:szCs w:val="20"/>
          <w:color w:val="auto"/>
        </w:rPr>
      </w:pPr>
      <w:r>
        <w:rPr>
          <w:rFonts w:ascii="Times New Roman" w:cs="Times New Roman" w:eastAsia="Times New Roman" w:hAnsi="Times New Roman"/>
          <w:sz w:val="20"/>
          <w:szCs w:val="20"/>
          <w:color w:val="auto"/>
        </w:rPr>
        <w:t>liquidation of such claims in an amount proportional to the liquidated portion of the contingent claim amount used in allocating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contingent interests) for the asset or assets so purchased (or for the equity interests or debt instruments of the acquisition vehicle or vehicles that are issued in connection with such purchase).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bid (i) the Administrative Agent shall be authorized to form one or more acquisition vehicles and to assign any successful credit bid to</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acquisition vehicle or vehicles, (ii) each of the Secured Parties’ ratable interests in the Secured Obligations which were credit bid shall be deemed without any further action under this Agreement to be assigned to such vehicle or vehicles for the purpose of closing such sale,</w:t>
      </w:r>
    </w:p>
    <w:p>
      <w:pPr>
        <w:spacing w:after="0" w:line="1" w:lineRule="exact"/>
        <w:rPr>
          <w:sz w:val="20"/>
          <w:szCs w:val="20"/>
          <w:color w:val="auto"/>
        </w:rPr>
      </w:pPr>
    </w:p>
    <w:p>
      <w:pPr>
        <w:jc w:val="both"/>
        <w:ind w:firstLine="8"/>
        <w:spacing w:after="0" w:line="208" w:lineRule="auto"/>
        <w:tabs>
          <w:tab w:leader="none" w:pos="36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6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8.09.</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2" w:lineRule="auto"/>
        <w:tabs>
          <w:tab w:leader="none" w:pos="1092" w:val="left"/>
        </w:tabs>
        <w:numPr>
          <w:ilvl w:val="0"/>
          <w:numId w:val="2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and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and their respective Affiliates, and not, for the avoidance of doubt, to or for the benefit of the Borrower or any other Loan Party, that at least one of the following is and will be true:</w:t>
      </w:r>
    </w:p>
    <w:p>
      <w:pPr>
        <w:spacing w:after="0" w:line="148" w:lineRule="exact"/>
        <w:rPr>
          <w:rFonts w:ascii="Times New Roman" w:cs="Times New Roman" w:eastAsia="Times New Roman" w:hAnsi="Times New Roman"/>
          <w:sz w:val="20"/>
          <w:szCs w:val="20"/>
          <w:color w:val="010000"/>
        </w:rPr>
      </w:pPr>
    </w:p>
    <w:p>
      <w:pPr>
        <w:ind w:firstLine="1304"/>
        <w:spacing w:after="0"/>
        <w:tabs>
          <w:tab w:leader="none" w:pos="1694" w:val="left"/>
        </w:tabs>
        <w:numPr>
          <w:ilvl w:val="1"/>
          <w:numId w:val="2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the Revolving Commitments or this Agreement,</w:t>
      </w:r>
    </w:p>
    <w:p>
      <w:pPr>
        <w:spacing w:after="0" w:line="161"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749" w:val="left"/>
        </w:tabs>
        <w:numPr>
          <w:ilvl w:val="1"/>
          <w:numId w:val="2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76" w:lineRule="exact"/>
        <w:rPr>
          <w:sz w:val="20"/>
          <w:szCs w:val="20"/>
          <w:color w:val="auto"/>
        </w:rPr>
      </w:pPr>
    </w:p>
    <w:p>
      <w:pPr>
        <w:jc w:val="both"/>
        <w:ind w:firstLine="1304"/>
        <w:spacing w:after="0" w:line="215" w:lineRule="auto"/>
        <w:tabs>
          <w:tab w:leader="none" w:pos="1817" w:val="left"/>
        </w:tabs>
        <w:numPr>
          <w:ilvl w:val="1"/>
          <w:numId w:val="2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64" w:lineRule="exact"/>
        <w:rPr>
          <w:rFonts w:ascii="Times New Roman" w:cs="Times New Roman" w:eastAsia="Times New Roman" w:hAnsi="Times New Roman"/>
          <w:sz w:val="20"/>
          <w:szCs w:val="20"/>
          <w:color w:val="010000"/>
        </w:rPr>
      </w:pPr>
    </w:p>
    <w:p>
      <w:pPr>
        <w:ind w:firstLine="1304"/>
        <w:spacing w:after="0" w:line="233" w:lineRule="auto"/>
        <w:tabs>
          <w:tab w:leader="none" w:pos="1779" w:val="left"/>
        </w:tabs>
        <w:numPr>
          <w:ilvl w:val="1"/>
          <w:numId w:val="2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0" w:lineRule="exact"/>
        <w:rPr>
          <w:rFonts w:ascii="Times New Roman" w:cs="Times New Roman" w:eastAsia="Times New Roman" w:hAnsi="Times New Roman"/>
          <w:sz w:val="20"/>
          <w:szCs w:val="20"/>
          <w:color w:val="010000"/>
        </w:rPr>
      </w:pPr>
    </w:p>
    <w:p>
      <w:pPr>
        <w:jc w:val="both"/>
        <w:ind w:firstLine="656"/>
        <w:spacing w:after="0" w:line="213" w:lineRule="auto"/>
        <w:tabs>
          <w:tab w:leader="none" w:pos="1144" w:val="left"/>
        </w:tabs>
        <w:numPr>
          <w:ilvl w:val="0"/>
          <w:numId w:val="2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and their respective Affiliates, and not, for the avoidance of doubt, to or for the benefit of the Borrower or any other Loan Party, that none of the Administrative Agent or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or any of their respective Affiliates is a fiduciary with respect to the assets of such Lender in connection with the Loans, the Letters of Credit, the Revolving Commitments or this Agreement (including in connection with the reservation or exercise of any rights by the Administrative Agent under this Agreement, any Loan Document or any documents related to hereto or thereto).</w:t>
      </w:r>
    </w:p>
    <w:p>
      <w:pPr>
        <w:spacing w:after="0" w:line="161"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106" w:val="left"/>
        </w:tabs>
        <w:numPr>
          <w:ilvl w:val="0"/>
          <w:numId w:val="2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and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xml:space="preserve">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w:t>
      </w:r>
    </w:p>
    <w:p>
      <w:pPr>
        <w:spacing w:after="0" w:line="208" w:lineRule="auto"/>
        <w:rPr>
          <w:sz w:val="20"/>
          <w:szCs w:val="20"/>
          <w:color w:val="auto"/>
        </w:rPr>
      </w:pPr>
      <w:r>
        <w:rPr>
          <w:rFonts w:ascii="Times New Roman" w:cs="Times New Roman" w:eastAsia="Times New Roman" w:hAnsi="Times New Roman"/>
          <w:sz w:val="19"/>
          <w:szCs w:val="19"/>
          <w:color w:val="auto"/>
        </w:rPr>
        <w:t>other payments with respect to the Loans, the Letters of Credit, the Revolving Commitments, this Agreement and any other Loan Documents,</w:t>
      </w:r>
    </w:p>
    <w:p>
      <w:pPr>
        <w:jc w:val="both"/>
        <w:ind w:firstLine="8"/>
        <w:spacing w:after="0" w:line="226" w:lineRule="auto"/>
        <w:tabs>
          <w:tab w:leader="none" w:pos="302"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94"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20"/>
          <w:szCs w:val="20"/>
          <w:color w:val="010000"/>
        </w:rPr>
        <w:t>SECTION 9.01.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20" w:firstLine="656"/>
        <w:spacing w:after="0" w:line="226" w:lineRule="auto"/>
        <w:tabs>
          <w:tab w:leader="none" w:pos="1126" w:val="left"/>
        </w:tabs>
        <w:numPr>
          <w:ilvl w:val="0"/>
          <w:numId w:val="2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in the case of notices and other communications expressly permitted to be given by fax or Electronic Systems (and subject in each case to paragraph (b) below), all notices and other communications provided for herein shall be in writing and shall be delivered by hand or overnight courier service, mailed by certified or registered mail or sent by fax or Electronic Systems, as follows:</w:t>
      </w:r>
    </w:p>
    <w:p>
      <w:pPr>
        <w:spacing w:after="0" w:line="160" w:lineRule="exact"/>
        <w:rPr>
          <w:sz w:val="20"/>
          <w:szCs w:val="20"/>
          <w:color w:val="auto"/>
        </w:rPr>
      </w:pPr>
    </w:p>
    <w:p>
      <w:pPr>
        <w:ind w:left="1660" w:hanging="376"/>
        <w:spacing w:after="0"/>
        <w:tabs>
          <w:tab w:leader="none" w:pos="1660" w:val="left"/>
        </w:tabs>
        <w:numPr>
          <w:ilvl w:val="0"/>
          <w:numId w:val="2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Loan Party, to it in care of the Borrower at:</w:t>
      </w:r>
    </w:p>
    <w:p>
      <w:pPr>
        <w:spacing w:after="0" w:line="16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NerdWallet, Inc.</w:t>
      </w:r>
    </w:p>
    <w:p>
      <w:pPr>
        <w:ind w:left="1940"/>
        <w:spacing w:after="0" w:line="181" w:lineRule="auto"/>
        <w:rPr>
          <w:sz w:val="20"/>
          <w:szCs w:val="20"/>
          <w:color w:val="auto"/>
        </w:rPr>
      </w:pPr>
      <w:r>
        <w:rPr>
          <w:rFonts w:ascii="Times New Roman" w:cs="Times New Roman" w:eastAsia="Times New Roman" w:hAnsi="Times New Roman"/>
          <w:sz w:val="19"/>
          <w:szCs w:val="19"/>
          <w:color w:val="auto"/>
        </w:rPr>
        <w:t xml:space="preserve">55 Hawthorne St., </w:t>
      </w:r>
      <w:r>
        <w:rPr>
          <w:rFonts w:ascii="Times New Roman" w:cs="Times New Roman" w:eastAsia="Times New Roman" w:hAnsi="Times New Roman"/>
          <w:sz w:val="19"/>
          <w:szCs w:val="19"/>
          <w:color w:val="FF0000"/>
          <w:strike w:val="1"/>
        </w:rPr>
        <w:t>11</w:t>
      </w:r>
      <w:r>
        <w:rPr>
          <w:rFonts w:ascii="Times New Roman" w:cs="Times New Roman" w:eastAsia="Times New Roman" w:hAnsi="Times New Roman"/>
          <w:sz w:val="24"/>
          <w:szCs w:val="24"/>
          <w:color w:val="FF0000"/>
          <w:strike w:val="1"/>
          <w:vertAlign w:val="superscript"/>
        </w:rPr>
        <w:t>th</w:t>
      </w:r>
      <w:r>
        <w:rPr>
          <w:rFonts w:ascii="Times New Roman" w:cs="Times New Roman" w:eastAsia="Times New Roman" w:hAnsi="Times New Roman"/>
          <w:sz w:val="19"/>
          <w:szCs w:val="19"/>
          <w:u w:val="single" w:color="auto"/>
          <w:color w:val="0000FF"/>
        </w:rPr>
        <w:t>10</w:t>
      </w:r>
      <w:r>
        <w:rPr>
          <w:rFonts w:ascii="Times New Roman" w:cs="Times New Roman" w:eastAsia="Times New Roman" w:hAnsi="Times New Roman"/>
          <w:sz w:val="24"/>
          <w:szCs w:val="24"/>
          <w:u w:val="single" w:color="auto"/>
          <w:color w:val="0000FF"/>
          <w:vertAlign w:val="superscript"/>
        </w:rPr>
        <w:t>th</w:t>
      </w:r>
      <w:r>
        <w:rPr>
          <w:rFonts w:ascii="Times New Roman" w:cs="Times New Roman" w:eastAsia="Times New Roman" w:hAnsi="Times New Roman"/>
          <w:sz w:val="19"/>
          <w:szCs w:val="19"/>
          <w:color w:val="auto"/>
        </w:rPr>
        <w:t xml:space="preserve"> Floor</w:t>
      </w:r>
    </w:p>
    <w:p>
      <w:pPr>
        <w:ind w:left="1940"/>
        <w:spacing w:after="0" w:line="197" w:lineRule="auto"/>
        <w:rPr>
          <w:sz w:val="20"/>
          <w:szCs w:val="20"/>
          <w:color w:val="auto"/>
        </w:rPr>
      </w:pPr>
      <w:r>
        <w:rPr>
          <w:rFonts w:ascii="Times New Roman" w:cs="Times New Roman" w:eastAsia="Times New Roman" w:hAnsi="Times New Roman"/>
          <w:sz w:val="20"/>
          <w:szCs w:val="20"/>
          <w:color w:val="auto"/>
        </w:rPr>
        <w:t>San Francisco, CA 94105</w:t>
      </w:r>
    </w:p>
    <w:p>
      <w:pPr>
        <w:ind w:left="1940"/>
        <w:spacing w:after="0" w:line="211" w:lineRule="auto"/>
        <w:rPr>
          <w:sz w:val="20"/>
          <w:szCs w:val="20"/>
          <w:color w:val="auto"/>
        </w:rPr>
      </w:pPr>
      <w:r>
        <w:rPr>
          <w:rFonts w:ascii="Times New Roman" w:cs="Times New Roman" w:eastAsia="Times New Roman" w:hAnsi="Times New Roman"/>
          <w:sz w:val="20"/>
          <w:szCs w:val="20"/>
          <w:color w:val="auto"/>
        </w:rPr>
        <w:t>Attention: General Counsel</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Email: generalcounsel@nerdwallet.com</w:t>
      </w:r>
    </w:p>
    <w:p>
      <w:pPr>
        <w:spacing w:after="0" w:line="16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17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Jones Day</w:t>
      </w:r>
    </w:p>
    <w:p>
      <w:pPr>
        <w:ind w:left="1940"/>
        <w:spacing w:after="0" w:line="211" w:lineRule="auto"/>
        <w:rPr>
          <w:sz w:val="20"/>
          <w:szCs w:val="20"/>
          <w:color w:val="auto"/>
        </w:rPr>
      </w:pPr>
      <w:r>
        <w:rPr>
          <w:rFonts w:ascii="Times New Roman" w:cs="Times New Roman" w:eastAsia="Times New Roman" w:hAnsi="Times New Roman"/>
          <w:sz w:val="20"/>
          <w:szCs w:val="20"/>
          <w:color w:val="auto"/>
        </w:rPr>
        <w:t>500 Grant Street, Suite 4500</w:t>
      </w:r>
    </w:p>
    <w:p>
      <w:pPr>
        <w:ind w:left="1940"/>
        <w:spacing w:after="0" w:line="197" w:lineRule="auto"/>
        <w:rPr>
          <w:sz w:val="20"/>
          <w:szCs w:val="20"/>
          <w:color w:val="auto"/>
        </w:rPr>
      </w:pPr>
      <w:r>
        <w:rPr>
          <w:rFonts w:ascii="Times New Roman" w:cs="Times New Roman" w:eastAsia="Times New Roman" w:hAnsi="Times New Roman"/>
          <w:sz w:val="20"/>
          <w:szCs w:val="20"/>
          <w:color w:val="auto"/>
        </w:rPr>
        <w:t>Pittsburgh, PA 15219-2514</w:t>
      </w:r>
    </w:p>
    <w:p>
      <w:pPr>
        <w:ind w:left="1940"/>
        <w:spacing w:after="0" w:line="211" w:lineRule="auto"/>
        <w:rPr>
          <w:sz w:val="20"/>
          <w:szCs w:val="20"/>
          <w:color w:val="auto"/>
        </w:rPr>
      </w:pPr>
      <w:r>
        <w:rPr>
          <w:rFonts w:ascii="Times New Roman" w:cs="Times New Roman" w:eastAsia="Times New Roman" w:hAnsi="Times New Roman"/>
          <w:sz w:val="20"/>
          <w:szCs w:val="20"/>
          <w:color w:val="auto"/>
        </w:rPr>
        <w:t>Attention: Brian Trudgen</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Email: btrudgen@jonesday.com</w:t>
      </w:r>
    </w:p>
    <w:p>
      <w:pPr>
        <w:spacing w:after="0" w:line="167" w:lineRule="exact"/>
        <w:rPr>
          <w:sz w:val="20"/>
          <w:szCs w:val="20"/>
          <w:color w:val="auto"/>
        </w:rPr>
      </w:pPr>
    </w:p>
    <w:p>
      <w:pPr>
        <w:ind w:left="1720" w:hanging="436"/>
        <w:spacing w:after="0"/>
        <w:tabs>
          <w:tab w:leader="none" w:pos="1720" w:val="left"/>
        </w:tabs>
        <w:numPr>
          <w:ilvl w:val="0"/>
          <w:numId w:val="2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Administrative Agent, the Swingline Lender, to JPMorgan Chase Bank, N.A. at:</w:t>
      </w:r>
    </w:p>
    <w:p>
      <w:pPr>
        <w:spacing w:after="0" w:line="17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JPMorgan Chase Bank, N.A.</w:t>
      </w:r>
    </w:p>
    <w:p>
      <w:pPr>
        <w:ind w:left="1940"/>
        <w:spacing w:after="0" w:line="211" w:lineRule="auto"/>
        <w:rPr>
          <w:sz w:val="20"/>
          <w:szCs w:val="20"/>
          <w:color w:val="auto"/>
        </w:rPr>
      </w:pPr>
      <w:r>
        <w:rPr>
          <w:rFonts w:ascii="Times New Roman" w:cs="Times New Roman" w:eastAsia="Times New Roman" w:hAnsi="Times New Roman"/>
          <w:sz w:val="20"/>
          <w:szCs w:val="20"/>
          <w:color w:val="auto"/>
        </w:rPr>
        <w:t>131 S Dearborn St, Floor 04</w:t>
      </w:r>
    </w:p>
    <w:p>
      <w:pPr>
        <w:ind w:left="1940"/>
        <w:spacing w:after="0" w:line="197" w:lineRule="auto"/>
        <w:rPr>
          <w:sz w:val="20"/>
          <w:szCs w:val="20"/>
          <w:color w:val="auto"/>
        </w:rPr>
      </w:pPr>
      <w:r>
        <w:rPr>
          <w:rFonts w:ascii="Times New Roman" w:cs="Times New Roman" w:eastAsia="Times New Roman" w:hAnsi="Times New Roman"/>
          <w:sz w:val="20"/>
          <w:szCs w:val="20"/>
          <w:color w:val="auto"/>
        </w:rPr>
        <w:t>Chicago, IL, 60603-5506</w:t>
      </w:r>
    </w:p>
    <w:p>
      <w:pPr>
        <w:ind w:left="1940"/>
        <w:spacing w:after="0" w:line="211" w:lineRule="auto"/>
        <w:rPr>
          <w:sz w:val="20"/>
          <w:szCs w:val="20"/>
          <w:color w:val="auto"/>
        </w:rPr>
      </w:pPr>
      <w:r>
        <w:rPr>
          <w:rFonts w:ascii="Times New Roman" w:cs="Times New Roman" w:eastAsia="Times New Roman" w:hAnsi="Times New Roman"/>
          <w:sz w:val="20"/>
          <w:szCs w:val="20"/>
          <w:color w:val="auto"/>
        </w:rPr>
        <w:t>Attention: Loan and Agency Servicing</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Email: jpm.agency.cri@jpmorgan.com</w:t>
      </w:r>
    </w:p>
    <w:p>
      <w:pPr>
        <w:spacing w:after="0" w:line="14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Agency Withholding Tax Inquiries:</w:t>
      </w:r>
    </w:p>
    <w:p>
      <w:pPr>
        <w:ind w:left="1940"/>
        <w:spacing w:after="0"/>
        <w:rPr>
          <w:sz w:val="20"/>
          <w:szCs w:val="20"/>
          <w:color w:val="auto"/>
        </w:rPr>
      </w:pPr>
      <w:r>
        <w:rPr>
          <w:rFonts w:ascii="Times New Roman" w:cs="Times New Roman" w:eastAsia="Times New Roman" w:hAnsi="Times New Roman"/>
          <w:sz w:val="20"/>
          <w:szCs w:val="20"/>
          <w:color w:val="auto"/>
        </w:rPr>
        <w:t>Email: agency.tax.reporting@jpmorgan.com</w:t>
      </w:r>
    </w:p>
    <w:p>
      <w:pPr>
        <w:spacing w:after="0" w:line="14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Agency Compliance/Financials/Intralinks:</w:t>
      </w:r>
    </w:p>
    <w:p>
      <w:pPr>
        <w:ind w:left="1940"/>
        <w:spacing w:after="0"/>
        <w:rPr>
          <w:sz w:val="20"/>
          <w:szCs w:val="20"/>
          <w:color w:val="auto"/>
        </w:rPr>
      </w:pPr>
      <w:r>
        <w:rPr>
          <w:rFonts w:ascii="Times New Roman" w:cs="Times New Roman" w:eastAsia="Times New Roman" w:hAnsi="Times New Roman"/>
          <w:sz w:val="20"/>
          <w:szCs w:val="20"/>
          <w:color w:val="auto"/>
        </w:rPr>
        <w:t>Email: covenant.compliance@jpmchase.com</w:t>
      </w:r>
    </w:p>
    <w:p>
      <w:pPr>
        <w:spacing w:after="0" w:line="16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if to Chase in its capacity as an Issuing Bank, to JPMorgan Chase Bank, N.A. at</w:t>
      </w:r>
    </w:p>
    <w:p>
      <w:pPr>
        <w:spacing w:after="0" w:line="17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JPMorgan Chase Bank, N.A.</w:t>
      </w:r>
    </w:p>
    <w:p>
      <w:pPr>
        <w:ind w:left="1940"/>
        <w:spacing w:after="0" w:line="211" w:lineRule="auto"/>
        <w:rPr>
          <w:sz w:val="20"/>
          <w:szCs w:val="20"/>
          <w:color w:val="auto"/>
        </w:rPr>
      </w:pPr>
      <w:r>
        <w:rPr>
          <w:rFonts w:ascii="Times New Roman" w:cs="Times New Roman" w:eastAsia="Times New Roman" w:hAnsi="Times New Roman"/>
          <w:sz w:val="20"/>
          <w:szCs w:val="20"/>
          <w:color w:val="auto"/>
        </w:rPr>
        <w:t>131 S Dearborn St, Floor 04</w:t>
      </w:r>
    </w:p>
    <w:p>
      <w:pPr>
        <w:ind w:left="1940"/>
        <w:spacing w:after="0" w:line="211" w:lineRule="auto"/>
        <w:rPr>
          <w:sz w:val="20"/>
          <w:szCs w:val="20"/>
          <w:color w:val="auto"/>
        </w:rPr>
      </w:pPr>
      <w:r>
        <w:rPr>
          <w:rFonts w:ascii="Times New Roman" w:cs="Times New Roman" w:eastAsia="Times New Roman" w:hAnsi="Times New Roman"/>
          <w:sz w:val="20"/>
          <w:szCs w:val="20"/>
          <w:color w:val="auto"/>
        </w:rPr>
        <w:t>Chicago, IL, 60603-5506</w:t>
      </w:r>
    </w:p>
    <w:p>
      <w:pPr>
        <w:ind w:left="1940"/>
        <w:spacing w:after="0" w:line="197" w:lineRule="auto"/>
        <w:rPr>
          <w:sz w:val="20"/>
          <w:szCs w:val="20"/>
          <w:color w:val="auto"/>
        </w:rPr>
      </w:pPr>
      <w:r>
        <w:rPr>
          <w:rFonts w:ascii="Times New Roman" w:cs="Times New Roman" w:eastAsia="Times New Roman" w:hAnsi="Times New Roman"/>
          <w:sz w:val="20"/>
          <w:szCs w:val="20"/>
          <w:color w:val="auto"/>
        </w:rPr>
        <w:t>Attention: LC Agency Team</w:t>
      </w:r>
    </w:p>
    <w:p>
      <w:pPr>
        <w:ind w:left="1940"/>
        <w:spacing w:after="0" w:line="212" w:lineRule="auto"/>
        <w:rPr>
          <w:sz w:val="20"/>
          <w:szCs w:val="20"/>
          <w:color w:val="auto"/>
        </w:rPr>
      </w:pPr>
      <w:r>
        <w:rPr>
          <w:rFonts w:ascii="Times New Roman" w:cs="Times New Roman" w:eastAsia="Times New Roman" w:hAnsi="Times New Roman"/>
          <w:sz w:val="20"/>
          <w:szCs w:val="20"/>
          <w:color w:val="auto"/>
        </w:rPr>
        <w:t>Tel: 800-364-1969</w:t>
      </w:r>
    </w:p>
    <w:p>
      <w:pPr>
        <w:ind w:left="1940"/>
        <w:spacing w:after="0" w:line="211" w:lineRule="auto"/>
        <w:rPr>
          <w:sz w:val="20"/>
          <w:szCs w:val="20"/>
          <w:color w:val="auto"/>
        </w:rPr>
      </w:pPr>
      <w:r>
        <w:rPr>
          <w:rFonts w:ascii="Times New Roman" w:cs="Times New Roman" w:eastAsia="Times New Roman" w:hAnsi="Times New Roman"/>
          <w:sz w:val="20"/>
          <w:szCs w:val="20"/>
          <w:color w:val="auto"/>
        </w:rPr>
        <w:t>Fax: 856-294-5267</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Email: chicago.lc.agency.activity.team@jpmchase.com</w:t>
      </w:r>
    </w:p>
    <w:p>
      <w:pPr>
        <w:spacing w:after="0" w:line="15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20"/>
          </w:cols>
          <w:pgMar w:left="340" w:top="1440" w:right="339" w:bottom="1440" w:gutter="0" w:footer="0" w:header="0"/>
        </w:sectPr>
      </w:pPr>
    </w:p>
    <w:bookmarkStart w:id="231" w:name="page232"/>
    <w:bookmarkEnd w:id="231"/>
    <w:p>
      <w:pPr>
        <w:spacing w:after="0" w:line="17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JPMorgan Chase Bank, N.A.</w:t>
      </w:r>
    </w:p>
    <w:p>
      <w:pPr>
        <w:ind w:left="1960"/>
        <w:spacing w:after="0" w:line="197" w:lineRule="auto"/>
        <w:rPr>
          <w:sz w:val="20"/>
          <w:szCs w:val="20"/>
          <w:color w:val="auto"/>
        </w:rPr>
      </w:pPr>
      <w:r>
        <w:rPr>
          <w:rFonts w:ascii="Times New Roman" w:cs="Times New Roman" w:eastAsia="Times New Roman" w:hAnsi="Times New Roman"/>
          <w:sz w:val="20"/>
          <w:szCs w:val="20"/>
          <w:color w:val="auto"/>
        </w:rPr>
        <w:t>131 S Dearborn St, Floor 04</w:t>
      </w:r>
    </w:p>
    <w:p>
      <w:pPr>
        <w:ind w:left="1960"/>
        <w:spacing w:after="0" w:line="211" w:lineRule="auto"/>
        <w:rPr>
          <w:sz w:val="20"/>
          <w:szCs w:val="20"/>
          <w:color w:val="auto"/>
        </w:rPr>
      </w:pPr>
      <w:r>
        <w:rPr>
          <w:rFonts w:ascii="Times New Roman" w:cs="Times New Roman" w:eastAsia="Times New Roman" w:hAnsi="Times New Roman"/>
          <w:sz w:val="20"/>
          <w:szCs w:val="20"/>
          <w:color w:val="auto"/>
        </w:rPr>
        <w:t>Chicago, IL, 60603-5506</w:t>
      </w:r>
    </w:p>
    <w:p>
      <w:pPr>
        <w:ind w:left="1960"/>
        <w:spacing w:after="0" w:line="211" w:lineRule="auto"/>
        <w:rPr>
          <w:sz w:val="20"/>
          <w:szCs w:val="20"/>
          <w:color w:val="auto"/>
        </w:rPr>
      </w:pPr>
      <w:r>
        <w:rPr>
          <w:rFonts w:ascii="Times New Roman" w:cs="Times New Roman" w:eastAsia="Times New Roman" w:hAnsi="Times New Roman"/>
          <w:sz w:val="20"/>
          <w:szCs w:val="20"/>
          <w:color w:val="auto"/>
        </w:rPr>
        <w:t>Attention: Loan and Agency Servicing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jpm.agency.cri@jpmorgan.com</w:t>
      </w:r>
    </w:p>
    <w:p>
      <w:pPr>
        <w:spacing w:after="0" w:line="153" w:lineRule="exact"/>
        <w:rPr>
          <w:sz w:val="20"/>
          <w:szCs w:val="20"/>
          <w:color w:val="auto"/>
        </w:rPr>
      </w:pPr>
    </w:p>
    <w:p>
      <w:pPr>
        <w:ind w:left="1800" w:hanging="496"/>
        <w:spacing w:after="0"/>
        <w:tabs>
          <w:tab w:leader="none" w:pos="1800" w:val="left"/>
        </w:tabs>
        <w:numPr>
          <w:ilvl w:val="0"/>
          <w:numId w:val="2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other Lender or Issuing Bank, to it at its address or fax number set forth in its Administrative Questionnaire.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such notices and other communications (i) sent by hand or overnight courier service, or mailed by certified or registered mail shall be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deemed to have been given when received, (ii) sent by fax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such notice or communication shall be deemed to have been given at the opening of business 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next Business Day of the recipient, or (iii) delivered through any Electronic Systems or Approved Electronic Platforms, as applicable, to the extent provided in paragraph (b) below shall be effective as provided in such paragraph (b).</w:t>
      </w:r>
    </w:p>
    <w:p>
      <w:pPr>
        <w:spacing w:after="0" w:line="149" w:lineRule="exact"/>
        <w:rPr>
          <w:sz w:val="20"/>
          <w:szCs w:val="20"/>
          <w:color w:val="auto"/>
        </w:rPr>
      </w:pPr>
    </w:p>
    <w:p>
      <w:pPr>
        <w:jc w:val="both"/>
        <w:ind w:firstLine="656"/>
        <w:spacing w:after="0" w:line="210" w:lineRule="auto"/>
        <w:tabs>
          <w:tab w:leader="none" w:pos="1211" w:val="left"/>
        </w:tabs>
        <w:numPr>
          <w:ilvl w:val="0"/>
          <w:numId w:val="2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Notices and other communications to any Loan Party or any Lender hereunder may be delivered or furnished by using Electronic Systems or Approved Electronic Platforms, as applicable, or pursuant to procedures approved by the Administrative Agent; provided that the foregoing shall not apply to notices pursuant to Article II or to compliance and no Default certificates delivered pursuant to Section 5.01(c) unless otherwise agreed by the Administrative Agent and the applicable Lender. Each of the Administrative Agent and the Borrower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67" w:lineRule="exact"/>
        <w:rPr>
          <w:rFonts w:ascii="Times New Roman" w:cs="Times New Roman" w:eastAsia="Times New Roman" w:hAnsi="Times New Roman"/>
          <w:sz w:val="20"/>
          <w:szCs w:val="20"/>
          <w:color w:val="010000"/>
        </w:rPr>
      </w:pPr>
    </w:p>
    <w:p>
      <w:pPr>
        <w:ind w:firstLine="656"/>
        <w:spacing w:after="0"/>
        <w:tabs>
          <w:tab w:leader="none" w:pos="1092" w:val="left"/>
        </w:tabs>
        <w:numPr>
          <w:ilvl w:val="0"/>
          <w:numId w:val="2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148"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079" w:val="left"/>
        </w:tabs>
        <w:numPr>
          <w:ilvl w:val="0"/>
          <w:numId w:val="2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76" w:lineRule="exact"/>
        <w:rPr>
          <w:sz w:val="20"/>
          <w:szCs w:val="20"/>
          <w:color w:val="auto"/>
        </w:rPr>
      </w:pPr>
    </w:p>
    <w:p>
      <w:pPr>
        <w:jc w:val="both"/>
        <w:ind w:firstLine="656"/>
        <w:spacing w:after="0" w:line="208" w:lineRule="auto"/>
        <w:tabs>
          <w:tab w:leader="none" w:pos="1130" w:val="left"/>
        </w:tabs>
        <w:numPr>
          <w:ilvl w:val="0"/>
          <w:numId w:val="2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provided in Section 2.09 with respect to any Incremental Facility Amendment or modification of the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and subject to Sections 2.14(b) and (c) and Sections 9.02(c) and (e), neither this Agreement nor any other Loan Document nor any provision hereof or thereof may be waived, amended or modified except (i) in the case of this Agreement, pursuant to an agreement or agreements in writing entered into by the Borrower and the Required Lenders or (ii) in the case of any other Loan Document, pursuant to an agreement or agreements in writing entered into by the Administrative Agent and the Loan Party or Loan Parties that are parties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Secured Obligations payable hereunder, or reduce the amount of, waive or excuse any such payment, or postpone the scheduled date of expiration of any Revolving Commitment, without the written consent of each Lender (including any such Lender that is a Defaulting Lender) directly affected thereby, (D) change Section 2.09(d) or Section 2.18(b) or (d) in a manner that would alter the ratable reduction of Revolving Commitments or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(it being understood that, solely with the consent of the parties prescribed by Section 2.09 to be parties to an Incremental Facility Amendment, additional Revolving Commitments may be included in the determination of Required Lenders on substantially the same basis as the initial Revolving Commitments and Loans are included on the Effective Date), (F) release the Borrower or release any Loan Guarantor from its obligation under its Loan Guaranty (except as otherwise permitted herein or in the other Loan Documents), without the written consent of each Lender (other than any Defaulting Lender), (G) except as provided in clause (c) of this Section or in any Collateral Document, release all or substantially all of the Collateral without the written consent of each Lender (other than any Defaulting Lender), or (H) subordinate the Liens on the Collateral or subordinate the right of payment of the Secured Obligations without the written consent of each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provided further that no such agreement shall amend or modify the provisions of Section 2.06 or any Letter of Credit Agreement or any letter of credit application and any bilateral agreement between the Borrower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xml:space="preserve"> to reflect assignments entered into pursuant to Section 9.04.</w:t>
      </w:r>
    </w:p>
    <w:p>
      <w:pPr>
        <w:spacing w:after="0" w:line="162" w:lineRule="exact"/>
        <w:rPr>
          <w:rFonts w:ascii="Times New Roman" w:cs="Times New Roman" w:eastAsia="Times New Roman" w:hAnsi="Times New Roman"/>
          <w:sz w:val="20"/>
          <w:szCs w:val="20"/>
          <w:color w:val="010000"/>
        </w:rPr>
      </w:pPr>
    </w:p>
    <w:p>
      <w:pPr>
        <w:jc w:val="both"/>
        <w:ind w:firstLine="656"/>
        <w:spacing w:after="0" w:line="214" w:lineRule="auto"/>
        <w:tabs>
          <w:tab w:leader="none" w:pos="1187" w:val="left"/>
        </w:tabs>
        <w:numPr>
          <w:ilvl w:val="0"/>
          <w:numId w:val="2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Parties hereby irrevocably authorize the Administrative Agent (or its designee), at its option and in its sole discretion, to release any Liens granted to the Administrative Agent by the Loan Parties on any Collateral (i) upon the Payment in Full of all Secured Obligations, and the cash collateralization (or receipt of a backstop letter of credit if agreed by the affected Lender) of all Unliquidated Obligations in a manner reasonably satisfactory to each affected Lender, (ii) constituting property being Disposed of if the Loan Party Disposing of such property certifies to the Administrative Agent that the Disposition is made in compliance with the terms of this Agreement (and the Administrative Agent may rely conclusively on any such certificate, without further inquiry), and to the extent that the property being Disposed of constitutes 100% of the Equity Interests of a Subsidiary, the Administrative Agent is authorized to release the Loan Guaranty provided by such Subsidiary, (iii) constituting property leased to a Loan Party under a lease which has expired or been terminated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permitted under this Agreement, (iv) as required to effect any Disposition of such Collateral in connection with any exercise of</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remedies of the Administrative Agent and the Lenders pursuant to Article VII, (v) in the event such property becomes an Excluded Asset and no longer constitutes Collateral or (vi) owned by a Subsidiary that ceases to be a Loan Party. Except as provided in the preceding sentence,</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will not release any Liens on Collateral without the prior written authorization of the Required Lenders or, to the</w:t>
      </w:r>
    </w:p>
    <w:p>
      <w:pPr>
        <w:spacing w:after="0" w:line="204" w:lineRule="auto"/>
        <w:rPr>
          <w:sz w:val="20"/>
          <w:szCs w:val="20"/>
          <w:color w:val="auto"/>
        </w:rPr>
      </w:pPr>
      <w:r>
        <w:rPr>
          <w:rFonts w:ascii="Times New Roman" w:cs="Times New Roman" w:eastAsia="Times New Roman" w:hAnsi="Times New Roman"/>
          <w:sz w:val="20"/>
          <w:szCs w:val="20"/>
          <w:color w:val="auto"/>
        </w:rPr>
        <w:t>extent required by Section 9.02(b), all of the Lenders (and it is acknowledged and agreed that the Administrative Agent may release any Collateral with such written authorization). Any such release shall not in any manner discharge, affect, or impair the Secured Obligations or</w:t>
      </w:r>
    </w:p>
    <w:p>
      <w:pPr>
        <w:spacing w:after="0" w:line="223" w:lineRule="auto"/>
        <w:rPr>
          <w:sz w:val="20"/>
          <w:szCs w:val="20"/>
          <w:color w:val="auto"/>
        </w:rPr>
      </w:pPr>
      <w:r>
        <w:rPr>
          <w:rFonts w:ascii="Times New Roman" w:cs="Times New Roman" w:eastAsia="Times New Roman" w:hAnsi="Times New Roman"/>
          <w:sz w:val="19"/>
          <w:szCs w:val="19"/>
          <w:color w:val="auto"/>
        </w:rPr>
        <w:t>any Liens (other than those expressly being released) upon (or obligations of the Loan Parties in respect of) all interests retained by the Loan</w:t>
      </w:r>
    </w:p>
    <w:p>
      <w:pPr>
        <w:spacing w:after="0" w:line="204" w:lineRule="auto"/>
        <w:rPr>
          <w:sz w:val="20"/>
          <w:szCs w:val="20"/>
          <w:color w:val="auto"/>
        </w:rPr>
      </w:pPr>
      <w:r>
        <w:rPr>
          <w:rFonts w:ascii="Times New Roman" w:cs="Times New Roman" w:eastAsia="Times New Roman" w:hAnsi="Times New Roman"/>
          <w:sz w:val="20"/>
          <w:szCs w:val="20"/>
          <w:color w:val="auto"/>
        </w:rPr>
        <w:t>Parties, including the proceeds of any sale, all of which shall continue to constitute part of the Collateral. In connection with any release pursuant to this Section, the Administrative Agent shall (and is hereby irrevocably authorized by each Secured Party to) execute and deliver</w:t>
      </w:r>
    </w:p>
    <w:p>
      <w:pPr>
        <w:spacing w:after="0" w:line="211" w:lineRule="auto"/>
        <w:rPr>
          <w:sz w:val="20"/>
          <w:szCs w:val="20"/>
          <w:color w:val="auto"/>
        </w:rPr>
      </w:pPr>
      <w:r>
        <w:rPr>
          <w:rFonts w:ascii="Times New Roman" w:cs="Times New Roman" w:eastAsia="Times New Roman" w:hAnsi="Times New Roman"/>
          <w:sz w:val="20"/>
          <w:szCs w:val="20"/>
          <w:color w:val="auto"/>
        </w:rPr>
        <w:t>to any Loan Party, at such Loan Party’s expense and without recourse or warranty to or by the Administrative Agent or any other Secured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all documents that such Loan Party shall reasonably request to evidence such release. Any execution and delivery by the Administrative Agent of documents in connection with any such release shall be without recourse to or warranty by the Administrative</w:t>
      </w:r>
    </w:p>
    <w:p>
      <w:pPr>
        <w:spacing w:after="0" w:line="223" w:lineRule="auto"/>
        <w:rPr>
          <w:sz w:val="20"/>
          <w:szCs w:val="20"/>
          <w:color w:val="auto"/>
        </w:rPr>
      </w:pPr>
      <w:r>
        <w:rPr>
          <w:rFonts w:ascii="Times New Roman" w:cs="Times New Roman" w:eastAsia="Times New Roman" w:hAnsi="Times New Roman"/>
          <w:sz w:val="19"/>
          <w:szCs w:val="19"/>
          <w:color w:val="auto"/>
        </w:rPr>
        <w:t>Agent. In addition, each of the Secured Parties, on behalf of itself and any of its Affiliates that are Secured Parties, irrevocably authorizes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(or its designee), at its option and in its discretion, (x) to subordinate any Lien on any assets granted to or held by the Administrative Agent under any Loan Document to the holder of any Lien on such property that is permitted by Section 6.02(b) or 6.02(d)</w:t>
      </w:r>
    </w:p>
    <w:p>
      <w:pPr>
        <w:spacing w:after="0" w:line="223" w:lineRule="auto"/>
        <w:rPr>
          <w:sz w:val="20"/>
          <w:szCs w:val="20"/>
          <w:color w:val="auto"/>
        </w:rPr>
      </w:pPr>
      <w:r>
        <w:rPr>
          <w:rFonts w:ascii="Times New Roman" w:cs="Times New Roman" w:eastAsia="Times New Roman" w:hAnsi="Times New Roman"/>
          <w:sz w:val="19"/>
          <w:szCs w:val="19"/>
          <w:color w:val="auto"/>
        </w:rPr>
        <w:t>(each as in effect on the date hereof), or (y) in the event that the Borrower shall have advised the Administrative Agent that, notwithstanding</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use by the Borrower of commercially reasonable efforts to obtain the consent of such holder (but without the requirement to pay any sums to obtain such consent) to permit the Administrative Agent to retain its liens (on a subordinated basis as contemplated by clause (x)</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above), the holder of such other Indebtedness requires, as a condition to the extension of such credit, that the Liens on such assets granted to or held by the Administrative Agent under any Loan Document be released, to release the Administrative Agent’s Liens on such assets.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shall not be responsible for or have a duty to ascertain or inquire into any representation or warranty regarding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existence, value or collectability of the Collateral, the existence, priority or perfection of the Administrative Agent’s Lien thereon or any certificate prepared by any Loan Party in connection therewith, nor shall the Administrative Agent be responsible or liable to the Lenders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other Secured Party for any failure to monitor or maintain any portion of the Collateral.</w:t>
      </w:r>
    </w:p>
    <w:p>
      <w:pPr>
        <w:spacing w:after="0" w:line="167" w:lineRule="exact"/>
        <w:rPr>
          <w:sz w:val="20"/>
          <w:szCs w:val="20"/>
          <w:color w:val="auto"/>
        </w:rPr>
      </w:pPr>
    </w:p>
    <w:p>
      <w:pPr>
        <w:jc w:val="both"/>
        <w:ind w:firstLine="656"/>
        <w:spacing w:after="0" w:line="209" w:lineRule="auto"/>
        <w:tabs>
          <w:tab w:leader="none" w:pos="1076" w:val="left"/>
        </w:tabs>
        <w:numPr>
          <w:ilvl w:val="0"/>
          <w:numId w:val="2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in connection with any proposed amendment, restatement, supplement, modification,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(other than any Ineligible Institution) which is reasonably satisfactory to the Borrower, the Administrative Agent,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such replacement Lender agrees to the applicable proposed amendment, restatement, supplement, modification, waiver or consent and (iii) the Borrower shall pay to such Non-Consenting Lender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(b) the Lender required to make such assignment need not be a party thereto in order for such assignment to be effective and shall be deemed to have consented to and be bound by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w:t>
      </w:r>
    </w:p>
    <w:p>
      <w:pPr>
        <w:spacing w:after="0" w:line="221" w:lineRule="auto"/>
        <w:rPr>
          <w:sz w:val="20"/>
          <w:szCs w:val="20"/>
          <w:color w:val="auto"/>
        </w:rPr>
      </w:pPr>
      <w:r>
        <w:rPr>
          <w:rFonts w:ascii="Times New Roman" w:cs="Times New Roman" w:eastAsia="Times New Roman" w:hAnsi="Times New Roman"/>
          <w:sz w:val="20"/>
          <w:szCs w:val="20"/>
          <w:color w:val="auto"/>
        </w:rPr>
        <w:t>such documents necessary to evidence such assignment as reasonably requested by the applicable Lender, provided that any such documents shall be without recourse to or warranty by the parties thereto.</w:t>
      </w:r>
    </w:p>
    <w:p>
      <w:pPr>
        <w:spacing w:after="0" w:line="162" w:lineRule="exact"/>
        <w:rPr>
          <w:sz w:val="20"/>
          <w:szCs w:val="20"/>
          <w:color w:val="auto"/>
        </w:rPr>
      </w:pPr>
    </w:p>
    <w:p>
      <w:pPr>
        <w:jc w:val="both"/>
        <w:ind w:right="20" w:firstLine="656"/>
        <w:spacing w:after="0" w:line="266" w:lineRule="auto"/>
        <w:tabs>
          <w:tab w:leader="none" w:pos="1092" w:val="left"/>
        </w:tabs>
        <w:numPr>
          <w:ilvl w:val="0"/>
          <w:numId w:val="2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herein the Administrative Agent may, with the consent of the Borrower only, amend, modify or supplement this Agreement or any of the other Loan Documents to cure any ambiguity, omission, mistake, defect or inconsistency.</w:t>
      </w:r>
    </w:p>
    <w:p>
      <w:pPr>
        <w:spacing w:after="0" w:line="12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9.03.</w:t>
      </w:r>
      <w:r>
        <w:rPr>
          <w:sz w:val="20"/>
          <w:szCs w:val="20"/>
          <w:color w:val="auto"/>
        </w:rPr>
        <w:tab/>
      </w:r>
      <w:r>
        <w:rPr>
          <w:rFonts w:ascii="Times New Roman" w:cs="Times New Roman" w:eastAsia="Times New Roman" w:hAnsi="Times New Roman"/>
          <w:sz w:val="19"/>
          <w:szCs w:val="19"/>
          <w:u w:val="single" w:color="auto"/>
          <w:color w:val="auto"/>
        </w:rPr>
        <w:t>Expenses; Limitation of Liability; Indemnity;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21" w:lineRule="auto"/>
        <w:tabs>
          <w:tab w:leader="none" w:pos="1079" w:val="left"/>
        </w:tabs>
        <w:numPr>
          <w:ilvl w:val="0"/>
          <w:numId w:val="2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Expenses</w:t>
      </w:r>
      <w:r>
        <w:rPr>
          <w:rFonts w:ascii="Times New Roman" w:cs="Times New Roman" w:eastAsia="Times New Roman" w:hAnsi="Times New Roman"/>
          <w:sz w:val="19"/>
          <w:szCs w:val="19"/>
          <w:color w:val="auto"/>
        </w:rPr>
        <w:t>. The Loan Parties, jointly and severally, shall pay all (i) reasonable and documented out-of-pocket expenses incurred by the Administrative Agent and its Affiliates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 connection with the syndication and distribution (including, without limitation, via the internet or through an Electronic System or Approved Electronic Platform) of the credit facility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reasonable and documented out-of-pocket expenses incurred by the Administrative Agent, the Issuing Bank or any Lender, including the fees, charges and disbursements of any counsel (but limited to the reasonable and documented fees and out-of-pocket expenses of one primary counsel and one local counsel in each relevant material jurisdiction and one additional counsel in the case of any conflicts (in each case, excluding allocated costs of in-house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8" w:lineRule="exact"/>
        <w:rPr>
          <w:rFonts w:ascii="Times New Roman" w:cs="Times New Roman" w:eastAsia="Times New Roman" w:hAnsi="Times New Roman"/>
          <w:sz w:val="19"/>
          <w:szCs w:val="19"/>
          <w:color w:val="010000"/>
        </w:rPr>
      </w:pPr>
    </w:p>
    <w:p>
      <w:pPr>
        <w:jc w:val="both"/>
        <w:ind w:firstLine="656"/>
        <w:spacing w:after="0" w:line="219" w:lineRule="auto"/>
        <w:tabs>
          <w:tab w:leader="none" w:pos="1076" w:val="left"/>
        </w:tabs>
        <w:numPr>
          <w:ilvl w:val="0"/>
          <w:numId w:val="2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Limitation of Liability</w:t>
      </w:r>
      <w:r>
        <w:rPr>
          <w:rFonts w:ascii="Times New Roman" w:cs="Times New Roman" w:eastAsia="Times New Roman" w:hAnsi="Times New Roman"/>
          <w:sz w:val="19"/>
          <w:szCs w:val="19"/>
          <w:color w:val="auto"/>
        </w:rPr>
        <w:t xml:space="preserve">. To the extent permitted by applicable law (i) neither the Borrower nor any other Loan Party shall assert, and the Borrower and each other Loan Party hereby waives, any claim against the Administrative Agent, the </w:t>
      </w:r>
      <w:r>
        <w:rPr>
          <w:rFonts w:ascii="Times New Roman" w:cs="Times New Roman" w:eastAsia="Times New Roman" w:hAnsi="Times New Roman"/>
          <w:sz w:val="19"/>
          <w:szCs w:val="19"/>
          <w:color w:val="FF0000"/>
          <w:strike w:val="1"/>
        </w:rPr>
        <w:t>Arranger</w:t>
      </w:r>
      <w:r>
        <w:rPr>
          <w:rFonts w:ascii="Times New Roman" w:cs="Times New Roman" w:eastAsia="Times New Roman" w:hAnsi="Times New Roman"/>
          <w:sz w:val="19"/>
          <w:szCs w:val="19"/>
          <w:u w:val="single" w:color="auto"/>
          <w:color w:val="0000FF"/>
        </w:rPr>
        <w:t>Arrangers</w:t>
      </w:r>
      <w:r>
        <w:rPr>
          <w:rFonts w:ascii="Times New Roman" w:cs="Times New Roman" w:eastAsia="Times New Roman" w:hAnsi="Times New Roman"/>
          <w:sz w:val="19"/>
          <w:szCs w:val="19"/>
          <w:color w:val="auto"/>
        </w:rPr>
        <w:t>, the Issuing Bank and any Lender, and any Related Party of any of the foregoing Persons (each such Person being called a “</w:t>
      </w:r>
      <w:r>
        <w:rPr>
          <w:rFonts w:ascii="Times New Roman" w:cs="Times New Roman" w:eastAsia="Times New Roman" w:hAnsi="Times New Roman"/>
          <w:sz w:val="19"/>
          <w:szCs w:val="19"/>
          <w:u w:val="single" w:color="auto"/>
          <w:color w:val="auto"/>
        </w:rPr>
        <w:t>Lender-Related Person</w:t>
      </w:r>
      <w:r>
        <w:rPr>
          <w:rFonts w:ascii="Times New Roman" w:cs="Times New Roman" w:eastAsia="Times New Roman" w:hAnsi="Times New Roman"/>
          <w:sz w:val="19"/>
          <w:szCs w:val="19"/>
          <w:color w:val="auto"/>
        </w:rPr>
        <w:t>”) for any Liabilities arising from the use by others of information or other materials (including, without limitation, any personal data) obtained through telecommunications, electronic or other information transmission systems (including the Internet), except to the extent they are found by a final, non-appealable judgment of a court of competent jurisdiction to result from the willful misconduct, bad faith or gross negligence of such Lender-Related Person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the Borrower or any other Loan Party of any obligation it may have to indemnify an Indemnitee, as provided in Section</w:t>
      </w:r>
    </w:p>
    <w:p>
      <w:pPr>
        <w:spacing w:after="0" w:line="2"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9.03(c), against any special, indirect, consequential or punitive damages asserted against such Indemnitee by a third party.</w:t>
      </w:r>
    </w:p>
    <w:p>
      <w:pPr>
        <w:spacing w:after="0" w:line="166" w:lineRule="exact"/>
        <w:rPr>
          <w:rFonts w:ascii="Times New Roman" w:cs="Times New Roman" w:eastAsia="Times New Roman" w:hAnsi="Times New Roman"/>
          <w:sz w:val="19"/>
          <w:szCs w:val="19"/>
          <w:color w:val="010000"/>
        </w:rPr>
      </w:pPr>
    </w:p>
    <w:p>
      <w:pPr>
        <w:jc w:val="both"/>
        <w:ind w:firstLine="656"/>
        <w:spacing w:after="0" w:line="216" w:lineRule="auto"/>
        <w:tabs>
          <w:tab w:leader="none" w:pos="1187" w:val="left"/>
        </w:tabs>
        <w:numPr>
          <w:ilvl w:val="0"/>
          <w:numId w:val="2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xml:space="preserve">. The Loan Parties, jointly and severally, shall indemnify the Administrative Agent, the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the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Liabilities and related expenses (but limited to the reasonable and documented fees and out-of-pocket expenses of one primary counsel for the Administrative Agent, and one local counsel in each relevant material jurisdiction and one additional counsel in the case of any conflicts (in each case, excluding allocated costs of in-house counsel)), incurred by or asserted against any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arising out of, in connection with, or as a result of (i) the execution or delivery of the Loan Documents or any agreement or instrument</w:t>
      </w:r>
    </w:p>
    <w:p>
      <w:pPr>
        <w:spacing w:after="0" w:line="204" w:lineRule="auto"/>
        <w:rPr>
          <w:sz w:val="20"/>
          <w:szCs w:val="20"/>
          <w:color w:val="auto"/>
        </w:rPr>
      </w:pPr>
      <w:r>
        <w:rPr>
          <w:rFonts w:ascii="Times New Roman" w:cs="Times New Roman" w:eastAsia="Times New Roman" w:hAnsi="Times New Roman"/>
          <w:sz w:val="20"/>
          <w:szCs w:val="20"/>
          <w:color w:val="auto"/>
        </w:rPr>
        <w:t>contemplated thereby, the performance by the parties hereto of their respective obligations thereunder or the consummation of the Transactions or any other transactions contemplated hereby, (ii) any Loan or Letter of Credit or the use of the proceeds therefrom (including</w:t>
      </w:r>
    </w:p>
    <w:p>
      <w:pPr>
        <w:spacing w:after="0" w:line="211" w:lineRule="auto"/>
        <w:rPr>
          <w:sz w:val="20"/>
          <w:szCs w:val="20"/>
          <w:color w:val="auto"/>
        </w:rPr>
      </w:pPr>
      <w:r>
        <w:rPr>
          <w:rFonts w:ascii="Times New Roman" w:cs="Times New Roman" w:eastAsia="Times New Roman" w:hAnsi="Times New Roman"/>
          <w:sz w:val="20"/>
          <w:szCs w:val="20"/>
          <w:color w:val="auto"/>
        </w:rPr>
        <w:t>any refusal by the Issuing Bank to honor a demand for payment under a Letter of Credit if the documents presented in connection with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demand do not strictly comply with the terms of such Letter of Credit), (iii) any actual or alleged presence or Release of Hazardous Materials on or from any property owned or operated by a Loan Party or a Subsidiary, or any Environmental Liability related in any way to a Loan</w:t>
      </w:r>
    </w:p>
    <w:p>
      <w:pPr>
        <w:spacing w:after="0" w:line="211" w:lineRule="auto"/>
        <w:rPr>
          <w:sz w:val="20"/>
          <w:szCs w:val="20"/>
          <w:color w:val="auto"/>
        </w:rPr>
      </w:pPr>
      <w:r>
        <w:rPr>
          <w:rFonts w:ascii="Times New Roman" w:cs="Times New Roman" w:eastAsia="Times New Roman" w:hAnsi="Times New Roman"/>
          <w:sz w:val="20"/>
          <w:szCs w:val="20"/>
          <w:color w:val="auto"/>
        </w:rPr>
        <w:t>Party or a Subsidiary, (iv) [reserved], or (v) any actual or prospective Proceeding relating to any of the foregoing, whether or not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w:t>
      </w:r>
    </w:p>
    <w:p>
      <w:pPr>
        <w:spacing w:after="0" w:line="211" w:lineRule="auto"/>
        <w:rPr>
          <w:sz w:val="20"/>
          <w:szCs w:val="20"/>
          <w:color w:val="auto"/>
        </w:rPr>
      </w:pPr>
      <w:r>
        <w:rPr>
          <w:rFonts w:ascii="Times New Roman" w:cs="Times New Roman" w:eastAsia="Times New Roman" w:hAnsi="Times New Roman"/>
          <w:sz w:val="20"/>
          <w:szCs w:val="20"/>
          <w:color w:val="auto"/>
        </w:rPr>
        <w:t>any Indemnitee, be available to the extent that such Liabilities or related expenses are determined by a court of competent jurisdiction by</w:t>
      </w:r>
    </w:p>
    <w:p>
      <w:pPr>
        <w:spacing w:after="0" w:line="204" w:lineRule="auto"/>
        <w:rPr>
          <w:sz w:val="20"/>
          <w:szCs w:val="20"/>
          <w:color w:val="auto"/>
        </w:rPr>
      </w:pPr>
      <w:r>
        <w:rPr>
          <w:rFonts w:ascii="Times New Roman" w:cs="Times New Roman" w:eastAsia="Times New Roman" w:hAnsi="Times New Roman"/>
          <w:sz w:val="20"/>
          <w:szCs w:val="20"/>
          <w:color w:val="auto"/>
        </w:rPr>
        <w:t>final and nonappealable judgment to have resulted from (x) the bad faith, gross negligence or willful misconduct of such Indemnitee, (y) the breach by such Indemnitee of its express funding obligations under this Agreement pursuant to a claim initiated by the Borrower or (z) any</w:t>
      </w:r>
    </w:p>
    <w:p>
      <w:pPr>
        <w:spacing w:after="0" w:line="211" w:lineRule="auto"/>
        <w:rPr>
          <w:sz w:val="20"/>
          <w:szCs w:val="20"/>
          <w:color w:val="auto"/>
        </w:rPr>
      </w:pPr>
      <w:r>
        <w:rPr>
          <w:rFonts w:ascii="Times New Roman" w:cs="Times New Roman" w:eastAsia="Times New Roman" w:hAnsi="Times New Roman"/>
          <w:sz w:val="20"/>
          <w:szCs w:val="20"/>
          <w:color w:val="auto"/>
        </w:rPr>
        <w:t>disputes solely among Indemnitees and not arising out of any act or omission of the Borrower or any of its Affiliates (other than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proceeding against any Indemnitee solely in its capacity or in fulfilling its role as Administrative Agent, Issuing Bank, Swingline Lender, lead </w:t>
      </w:r>
      <w:r>
        <w:rPr>
          <w:rFonts w:ascii="Times New Roman" w:cs="Times New Roman" w:eastAsia="Times New Roman" w:hAnsi="Times New Roman"/>
          <w:sz w:val="20"/>
          <w:szCs w:val="20"/>
          <w:color w:val="FF0000"/>
          <w:strike w:val="1"/>
        </w:rPr>
        <w:t>arranger</w:t>
      </w:r>
      <w:r>
        <w:rPr>
          <w:rFonts w:ascii="Times New Roman" w:cs="Times New Roman" w:eastAsia="Times New Roman" w:hAnsi="Times New Roman"/>
          <w:sz w:val="20"/>
          <w:szCs w:val="20"/>
          <w:u w:val="single" w:color="auto"/>
          <w:color w:val="0000FF"/>
        </w:rPr>
        <w:t>arrangers</w:t>
      </w:r>
      <w:r>
        <w:rPr>
          <w:rFonts w:ascii="Times New Roman" w:cs="Times New Roman" w:eastAsia="Times New Roman" w:hAnsi="Times New Roman"/>
          <w:sz w:val="20"/>
          <w:szCs w:val="20"/>
          <w:color w:val="auto"/>
        </w:rPr>
        <w:t>, bookrunner or any other similar role with respect to the credit facility evidenced by this Agreement), and in the case</w:t>
      </w:r>
    </w:p>
    <w:p>
      <w:pPr>
        <w:spacing w:after="0" w:line="223" w:lineRule="auto"/>
        <w:rPr>
          <w:sz w:val="20"/>
          <w:szCs w:val="20"/>
          <w:color w:val="auto"/>
        </w:rPr>
      </w:pPr>
      <w:r>
        <w:rPr>
          <w:rFonts w:ascii="Times New Roman" w:cs="Times New Roman" w:eastAsia="Times New Roman" w:hAnsi="Times New Roman"/>
          <w:sz w:val="19"/>
          <w:szCs w:val="19"/>
          <w:color w:val="auto"/>
        </w:rPr>
        <w:t>of legal fees and expenses, shall be limited to the reasonable fees and reasonable documented out-of-pocket expenses of one primary counsel</w:t>
      </w:r>
    </w:p>
    <w:p>
      <w:pPr>
        <w:spacing w:after="0" w:line="221" w:lineRule="auto"/>
        <w:rPr>
          <w:sz w:val="20"/>
          <w:szCs w:val="20"/>
          <w:color w:val="auto"/>
        </w:rPr>
      </w:pPr>
      <w:r>
        <w:rPr>
          <w:rFonts w:ascii="Times New Roman" w:cs="Times New Roman" w:eastAsia="Times New Roman" w:hAnsi="Times New Roman"/>
          <w:sz w:val="20"/>
          <w:szCs w:val="20"/>
          <w:color w:val="auto"/>
        </w:rPr>
        <w:t>and one local counsel in each relevant material jurisdiction (in each case, excluding allocated costs of in-house counsel). This Section 9.03(c) shall not apply with respect to Taxes other than any Taxes that represent losses, claims or damages arising from any non-Tax claim.</w:t>
      </w:r>
    </w:p>
    <w:p>
      <w:pPr>
        <w:spacing w:after="0" w:line="162" w:lineRule="exact"/>
        <w:rPr>
          <w:sz w:val="20"/>
          <w:szCs w:val="20"/>
          <w:color w:val="auto"/>
        </w:rPr>
      </w:pPr>
    </w:p>
    <w:p>
      <w:pPr>
        <w:jc w:val="both"/>
        <w:ind w:firstLine="656"/>
        <w:spacing w:after="0" w:line="209" w:lineRule="auto"/>
        <w:tabs>
          <w:tab w:leader="none" w:pos="1211" w:val="left"/>
        </w:tabs>
        <w:numPr>
          <w:ilvl w:val="0"/>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Lender Reimbursement</w:t>
      </w:r>
      <w:r>
        <w:rPr>
          <w:rFonts w:ascii="Times New Roman" w:cs="Times New Roman" w:eastAsia="Times New Roman" w:hAnsi="Times New Roman"/>
          <w:sz w:val="20"/>
          <w:szCs w:val="20"/>
          <w:color w:val="auto"/>
        </w:rPr>
        <w:t xml:space="preserve">. Each Lender severally agrees to pay any amount required to be paid by any Loan Party under paragraphs (a), (b) or (c)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the Swingline Lender and the Issuing Bank, and each Related Party of any of the foregoing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bad faith, gross negligence or willful misconduct, and in the case of legal fees and expenses, shall be limited to the reasonable fees and reasonable documented out-of-pocket expenses of one primary counsel and one local counsel in each relevant material jurisdiction, except in cases where there is a conflict of interest (in each case, excluding allocated costs of in-house counsel). The agreements in this Section shall survive the termination of this Agreement and Payment in Full of the Secured Obligations.</w:t>
      </w:r>
    </w:p>
    <w:p>
      <w:pPr>
        <w:spacing w:after="0" w:line="163"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2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9.03 shall be payable promptly after written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76"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160"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(i)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076" w:val="left"/>
        </w:tabs>
        <w:numPr>
          <w:ilvl w:val="0"/>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conditioned or delayed) of:</w:t>
      </w:r>
    </w:p>
    <w:p>
      <w:pPr>
        <w:spacing w:after="0" w:line="148" w:lineRule="exact"/>
        <w:rPr>
          <w:rFonts w:ascii="Times New Roman" w:cs="Times New Roman" w:eastAsia="Times New Roman" w:hAnsi="Times New Roman"/>
          <w:sz w:val="20"/>
          <w:szCs w:val="20"/>
          <w:color w:val="010000"/>
        </w:rPr>
      </w:pPr>
    </w:p>
    <w:p>
      <w:pPr>
        <w:jc w:val="both"/>
        <w:ind w:left="1300" w:firstLine="652"/>
        <w:spacing w:after="0" w:line="216" w:lineRule="auto"/>
        <w:tabs>
          <w:tab w:leader="none" w:pos="2515" w:val="left"/>
        </w:tabs>
        <w:numPr>
          <w:ilvl w:val="2"/>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 assignment of all or a portion of the Revolving Loans and Revolving Commitments unless it shall object thereto by written notice to the Administrative Agent within ten (10) Business Days after having received notice thereof,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or, if an Event of Default under clauses (a), (b), (d) (solely with respect to a breach of Section 6.12), (h), (i) or (m) under Article VII has occurred and is continuing, any other assignee;</w:t>
      </w:r>
    </w:p>
    <w:p>
      <w:pPr>
        <w:spacing w:after="0" w:line="162"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771" w:val="left"/>
        </w:tabs>
        <w:numPr>
          <w:ilvl w:val="1"/>
          <w:numId w:val="2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to an assignee that is a Lender (other than a Defaulting Lender) with a Revolving Commitment immediately prior to giving effect to such assignment;</w:t>
      </w:r>
    </w:p>
    <w:p>
      <w:pPr>
        <w:spacing w:after="0" w:line="160"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2"/>
          <w:numId w:val="2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Issuing Bank; and</w:t>
      </w:r>
    </w:p>
    <w:p>
      <w:pPr>
        <w:spacing w:after="0" w:line="188"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2"/>
          <w:numId w:val="2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Swingline Lender.</w:t>
      </w:r>
    </w:p>
    <w:p>
      <w:pPr>
        <w:spacing w:after="0" w:line="175" w:lineRule="exact"/>
        <w:rPr>
          <w:sz w:val="20"/>
          <w:szCs w:val="20"/>
          <w:color w:val="auto"/>
        </w:rPr>
      </w:pPr>
    </w:p>
    <w:p>
      <w:pPr>
        <w:ind w:left="1740" w:hanging="436"/>
        <w:spacing w:after="0"/>
        <w:tabs>
          <w:tab w:leader="none" w:pos="1740" w:val="left"/>
        </w:tabs>
        <w:numPr>
          <w:ilvl w:val="0"/>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010000"/>
        </w:rPr>
      </w:pPr>
    </w:p>
    <w:p>
      <w:pPr>
        <w:jc w:val="both"/>
        <w:ind w:left="1300" w:firstLine="652"/>
        <w:spacing w:after="0" w:line="215" w:lineRule="auto"/>
        <w:tabs>
          <w:tab w:leader="none" w:pos="2528" w:val="left"/>
        </w:tabs>
        <w:numPr>
          <w:ilvl w:val="1"/>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Revolving Commitment or Loans, the amount of the Revolving Commitment or Loans of the assigning Lender subject to each such assignment (determined as of the date the Assignment and Assumption with respect to such assignment is delivered to the Administrative Agent) shall not be less than $10,000,000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under clauses (a), (b), (d) (solely with respect to a breach of Section 6.12), (h), (i) or (m) has occurred and is continuing under Article VII has occurred and is continuing;</w:t>
      </w:r>
    </w:p>
    <w:p>
      <w:pPr>
        <w:spacing w:after="0" w:line="164" w:lineRule="exact"/>
        <w:rPr>
          <w:rFonts w:ascii="Times New Roman" w:cs="Times New Roman" w:eastAsia="Times New Roman" w:hAnsi="Times New Roman"/>
          <w:sz w:val="20"/>
          <w:szCs w:val="20"/>
          <w:color w:val="010000"/>
        </w:rPr>
      </w:pPr>
    </w:p>
    <w:p>
      <w:pPr>
        <w:ind w:left="1300" w:firstLine="652"/>
        <w:spacing w:after="0" w:line="233" w:lineRule="auto"/>
        <w:tabs>
          <w:tab w:leader="none" w:pos="2464" w:val="left"/>
        </w:tabs>
        <w:numPr>
          <w:ilvl w:val="1"/>
          <w:numId w:val="2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76" w:lineRule="exact"/>
        <w:rPr>
          <w:sz w:val="20"/>
          <w:szCs w:val="20"/>
          <w:color w:val="auto"/>
        </w:rPr>
      </w:pPr>
    </w:p>
    <w:p>
      <w:pPr>
        <w:jc w:val="both"/>
        <w:ind w:left="1300" w:firstLine="652"/>
        <w:spacing w:after="0" w:line="222" w:lineRule="auto"/>
        <w:tabs>
          <w:tab w:leader="none" w:pos="2464"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61" w:lineRule="exact"/>
        <w:rPr>
          <w:rFonts w:ascii="Times New Roman" w:cs="Times New Roman" w:eastAsia="Times New Roman" w:hAnsi="Times New Roman"/>
          <w:sz w:val="20"/>
          <w:szCs w:val="20"/>
          <w:color w:val="010000"/>
        </w:rPr>
      </w:pPr>
    </w:p>
    <w:p>
      <w:pPr>
        <w:jc w:val="both"/>
        <w:ind w:left="1300" w:firstLine="652"/>
        <w:spacing w:after="0" w:line="217" w:lineRule="auto"/>
        <w:tabs>
          <w:tab w:leader="none" w:pos="2609" w:val="left"/>
        </w:tabs>
        <w:numPr>
          <w:ilvl w:val="0"/>
          <w:numId w:val="2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this Section 9.04(b),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 of a Lender or (c) an entity or an Affiliate of an entity that administers or manages a Lender.</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Ineligible Institution</w:t>
      </w:r>
      <w:r>
        <w:rPr>
          <w:rFonts w:ascii="Times New Roman" w:cs="Times New Roman" w:eastAsia="Times New Roman" w:hAnsi="Times New Roman"/>
          <w:sz w:val="19"/>
          <w:szCs w:val="19"/>
          <w:color w:val="auto"/>
        </w:rPr>
        <w:t>” means a (a) natural person, (b) Defaulting Lender or its Parent, (c) company, investment vehicle or trust for, or owned and operated for the primary benefit of, a natural person or relative(s) thereof, or (d) a Loan Party or a Subsidiary or other Affiliate</w:t>
      </w:r>
    </w:p>
    <w:p>
      <w:pPr>
        <w:spacing w:after="0"/>
        <w:rPr>
          <w:sz w:val="20"/>
          <w:szCs w:val="20"/>
          <w:color w:val="auto"/>
        </w:rPr>
      </w:pPr>
      <w:r>
        <w:rPr>
          <w:rFonts w:ascii="Times New Roman" w:cs="Times New Roman" w:eastAsia="Times New Roman" w:hAnsi="Times New Roman"/>
          <w:sz w:val="20"/>
          <w:szCs w:val="20"/>
          <w:color w:val="auto"/>
        </w:rPr>
        <w:t>of a Loan Party.</w:t>
      </w:r>
    </w:p>
    <w:p>
      <w:pPr>
        <w:spacing w:after="0" w:line="167" w:lineRule="exact"/>
        <w:rPr>
          <w:sz w:val="20"/>
          <w:szCs w:val="20"/>
          <w:color w:val="auto"/>
        </w:rPr>
      </w:pPr>
    </w:p>
    <w:p>
      <w:pPr>
        <w:jc w:val="both"/>
        <w:ind w:firstLine="1304"/>
        <w:spacing w:after="0" w:line="224" w:lineRule="auto"/>
        <w:tabs>
          <w:tab w:leader="none" w:pos="1817" w:val="left"/>
        </w:tabs>
        <w:numPr>
          <w:ilvl w:val="0"/>
          <w:numId w:val="2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64" w:lineRule="exact"/>
        <w:rPr>
          <w:rFonts w:ascii="Times New Roman" w:cs="Times New Roman" w:eastAsia="Times New Roman" w:hAnsi="Times New Roman"/>
          <w:sz w:val="19"/>
          <w:szCs w:val="19"/>
          <w:color w:val="010000"/>
        </w:rPr>
      </w:pPr>
    </w:p>
    <w:p>
      <w:pPr>
        <w:jc w:val="both"/>
        <w:ind w:firstLine="1304"/>
        <w:spacing w:after="0" w:line="213" w:lineRule="auto"/>
        <w:tabs>
          <w:tab w:leader="none" w:pos="1779" w:val="left"/>
        </w:tabs>
        <w:numPr>
          <w:ilvl w:val="0"/>
          <w:numId w:val="2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Revolving 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w:t>
      </w:r>
    </w:p>
    <w:p>
      <w:pPr>
        <w:spacing w:after="0" w:line="162"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724" w:val="left"/>
        </w:tabs>
        <w:numPr>
          <w:ilvl w:val="0"/>
          <w:numId w:val="2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the tax forms required by Section 2.17(f) and any written consent to such assignment required by paragraph (b) of this Section, the Administrative Agent shall accept such Assignment and Assumption and record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contained therein in the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either the assigning Lender or the assignee shall have failed to make any payment required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be made by it pursuant to Section 2.05, 2.06(d) or (e), 2.07(b), 2.18(d) or 9.03(d), the Administrative Agent shall have no obligation to accept such Assignment and Assumption and record the information therein in the Register unless and until such payment shall have been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made in full, together with all accrued interest thereon. No assignment shall be effective for purposes of this Agreement unless it has been recorded in the Register as provided in this paragraph.</w:t>
      </w:r>
    </w:p>
    <w:p>
      <w:pPr>
        <w:spacing w:after="0" w:line="149" w:lineRule="exact"/>
        <w:rPr>
          <w:sz w:val="20"/>
          <w:szCs w:val="20"/>
          <w:color w:val="auto"/>
        </w:rPr>
      </w:pPr>
    </w:p>
    <w:p>
      <w:pPr>
        <w:jc w:val="both"/>
        <w:ind w:firstLine="656"/>
        <w:spacing w:after="0" w:line="210" w:lineRule="auto"/>
        <w:tabs>
          <w:tab w:leader="none" w:pos="1133" w:val="left"/>
        </w:tabs>
        <w:numPr>
          <w:ilvl w:val="0"/>
          <w:numId w:val="2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or notice to, the Borrower, the Administrative Agent, the Swingline Lender or the Issuing Bank,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Revolving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5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Each Lender that sells a participation agrees, at the Borrower’s request and expense, to use reasonable efforts to cooperate with the Borrower to effectuate the provisions of Section 2.19(b) with respect to any Participant. To the extent permitted by law, each Participant also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be entitled to the benefits of Section 9.08 as though it were a Lender, provided such Participant agrees to be subject to Section 2.18(d) as though it were a Lender. Each Lender that sells a participation shall, acting solely for this purpose as a non-fiduciary agent of the</w:t>
      </w:r>
    </w:p>
    <w:p>
      <w:pPr>
        <w:spacing w:after="0" w:line="211" w:lineRule="auto"/>
        <w:rPr>
          <w:sz w:val="20"/>
          <w:szCs w:val="20"/>
          <w:color w:val="auto"/>
        </w:rPr>
      </w:pPr>
      <w:r>
        <w:rPr>
          <w:rFonts w:ascii="Times New Roman" w:cs="Times New Roman" w:eastAsia="Times New Roman" w:hAnsi="Times New Roman"/>
          <w:sz w:val="20"/>
          <w:szCs w:val="20"/>
          <w:color w:val="auto"/>
        </w:rPr>
        <w:t>Borrower, maintain a register on which it enters the name and address of each Participant and the principal amounts (and stated interest)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each Participant’s interest in the Loans or other obligations under this Agreement or any other Loan Document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w:t>
      </w:r>
    </w:p>
    <w:p>
      <w:pPr>
        <w:spacing w:after="0" w:line="211" w:lineRule="auto"/>
        <w:rPr>
          <w:sz w:val="20"/>
          <w:szCs w:val="20"/>
          <w:color w:val="auto"/>
        </w:rPr>
      </w:pPr>
      <w:r>
        <w:rPr>
          <w:rFonts w:ascii="Times New Roman" w:cs="Times New Roman" w:eastAsia="Times New Roman" w:hAnsi="Times New Roman"/>
          <w:sz w:val="20"/>
          <w:szCs w:val="20"/>
          <w:color w:val="auto"/>
        </w:rPr>
        <w:t>Participant or any information relating to a Participant’s interest in any Revolving Commitments, Loans, Letters of Credit or its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under any Loan Document) to any Person except to the extent that such disclosure is necessary to establish that such Revolving Commitment, Loan, Letter of Credit or other obligation is in registered form under Section 5f.103-1(c) of the United States Treasury</w:t>
      </w:r>
    </w:p>
    <w:p>
      <w:pPr>
        <w:spacing w:after="0" w:line="211" w:lineRule="auto"/>
        <w:rPr>
          <w:sz w:val="20"/>
          <w:szCs w:val="20"/>
          <w:color w:val="auto"/>
        </w:rPr>
      </w:pPr>
      <w:r>
        <w:rPr>
          <w:rFonts w:ascii="Times New Roman" w:cs="Times New Roman" w:eastAsia="Times New Roman" w:hAnsi="Times New Roman"/>
          <w:sz w:val="20"/>
          <w:szCs w:val="20"/>
          <w:color w:val="auto"/>
        </w:rPr>
        <w:t>Regulations. The entries in the Participant Register shall be conclusive absent manifest error, and such Lender shall treat each Person whose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name is recorded in the Participant Register as the owner of such participation for all purposes of this Agreement notwithstanding any notice to the contrary. For the avoidance of doubt, the Administrative Agent (in its capacity as Administrative Agent) shall have no responsibility</w:t>
      </w:r>
    </w:p>
    <w:p>
      <w:pPr>
        <w:spacing w:after="0"/>
        <w:rPr>
          <w:sz w:val="20"/>
          <w:szCs w:val="20"/>
          <w:color w:val="auto"/>
        </w:rPr>
      </w:pPr>
      <w:r>
        <w:rPr>
          <w:rFonts w:ascii="Times New Roman" w:cs="Times New Roman" w:eastAsia="Times New Roman" w:hAnsi="Times New Roman"/>
          <w:sz w:val="20"/>
          <w:szCs w:val="20"/>
          <w:color w:val="auto"/>
        </w:rPr>
        <w:t>for maintaining a Participant Register.</w:t>
      </w:r>
    </w:p>
    <w:p>
      <w:pPr>
        <w:spacing w:after="0" w:line="167" w:lineRule="exact"/>
        <w:rPr>
          <w:sz w:val="20"/>
          <w:szCs w:val="20"/>
          <w:color w:val="auto"/>
        </w:rPr>
      </w:pPr>
    </w:p>
    <w:p>
      <w:pPr>
        <w:jc w:val="both"/>
        <w:ind w:firstLine="656"/>
        <w:spacing w:after="0" w:line="217" w:lineRule="auto"/>
        <w:tabs>
          <w:tab w:leader="none" w:pos="1076" w:val="left"/>
        </w:tabs>
        <w:numPr>
          <w:ilvl w:val="0"/>
          <w:numId w:val="2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70"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0"/>
          <w:szCs w:val="20"/>
          <w:color w:val="010000"/>
        </w:rPr>
        <w:t>SECTION 9.05.</w:t>
      </w:r>
      <w:r>
        <w:rPr>
          <w:sz w:val="20"/>
          <w:szCs w:val="20"/>
          <w:color w:val="auto"/>
        </w:rPr>
        <w:tab/>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Loan Parties in the Loan</w:t>
      </w:r>
    </w:p>
    <w:p>
      <w:pPr>
        <w:spacing w:after="0" w:line="204" w:lineRule="auto"/>
        <w:rPr>
          <w:sz w:val="20"/>
          <w:szCs w:val="20"/>
          <w:color w:val="auto"/>
        </w:rPr>
      </w:pPr>
      <w:r>
        <w:rPr>
          <w:rFonts w:ascii="Times New Roman" w:cs="Times New Roman" w:eastAsia="Times New Roman" w:hAnsi="Times New Roman"/>
          <w:sz w:val="20"/>
          <w:szCs w:val="20"/>
          <w:color w:val="auto"/>
        </w:rPr>
        <w:t>Documents and in the certificates or other instruments delivered in connection with or pursuant to this Agreement or any other Loan Document shall be considered to have been relied upon by the other parties hereto and shall survive the execution and delivery of the Loan</w:t>
      </w:r>
    </w:p>
    <w:p>
      <w:pPr>
        <w:spacing w:after="0" w:line="223" w:lineRule="auto"/>
        <w:rPr>
          <w:sz w:val="20"/>
          <w:szCs w:val="20"/>
          <w:color w:val="auto"/>
        </w:rPr>
      </w:pPr>
      <w:r>
        <w:rPr>
          <w:rFonts w:ascii="Times New Roman" w:cs="Times New Roman" w:eastAsia="Times New Roman" w:hAnsi="Times New Roman"/>
          <w:sz w:val="19"/>
          <w:szCs w:val="19"/>
          <w:color w:val="auto"/>
        </w:rPr>
        <w:t>Documents and the making of any Loans and issuance of any Letters of Credit, regardless of any investigation made by any such other party</w:t>
      </w:r>
    </w:p>
    <w:p>
      <w:pPr>
        <w:spacing w:after="0" w:line="215" w:lineRule="auto"/>
        <w:rPr>
          <w:sz w:val="20"/>
          <w:szCs w:val="20"/>
          <w:color w:val="auto"/>
        </w:rPr>
      </w:pPr>
      <w:r>
        <w:rPr>
          <w:rFonts w:ascii="Times New Roman" w:cs="Times New Roman" w:eastAsia="Times New Roman" w:hAnsi="Times New Roman"/>
          <w:sz w:val="19"/>
          <w:szCs w:val="19"/>
          <w:color w:val="auto"/>
        </w:rPr>
        <w:t>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w:t>
      </w:r>
    </w:p>
    <w:p>
      <w:pPr>
        <w:spacing w:after="0" w:line="222" w:lineRule="auto"/>
        <w:rPr>
          <w:sz w:val="20"/>
          <w:szCs w:val="20"/>
          <w:color w:val="auto"/>
        </w:rPr>
      </w:pPr>
      <w:r>
        <w:rPr>
          <w:rFonts w:ascii="Times New Roman" w:cs="Times New Roman" w:eastAsia="Times New Roman" w:hAnsi="Times New Roman"/>
          <w:sz w:val="19"/>
          <w:szCs w:val="19"/>
          <w:color w:val="auto"/>
        </w:rPr>
        <w:t>Payment in Full of the Secured Obligations. The provisions of Sections 2.15, 2.16, 2.17 and 9.03 and Article VIII shall survive and remain in</w:t>
      </w:r>
    </w:p>
    <w:p>
      <w:pPr>
        <w:spacing w:after="0" w:line="204" w:lineRule="auto"/>
        <w:rPr>
          <w:sz w:val="20"/>
          <w:szCs w:val="20"/>
          <w:color w:val="auto"/>
        </w:rPr>
      </w:pPr>
      <w:r>
        <w:rPr>
          <w:rFonts w:ascii="Times New Roman" w:cs="Times New Roman" w:eastAsia="Times New Roman" w:hAnsi="Times New Roman"/>
          <w:sz w:val="20"/>
          <w:szCs w:val="20"/>
          <w:color w:val="auto"/>
        </w:rPr>
        <w:t>full force and effect regardless of the consummation of the transactions contemplated hereby, the repayment of the Loans, the expiration or termination of the Letters of Credit and the Revolving Commitments or the termination of this Agreement or any other Loan Document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provision hereof or thereof.</w:t>
      </w:r>
    </w:p>
    <w:p>
      <w:pPr>
        <w:spacing w:after="0" w:line="16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9.06.</w:t>
      </w:r>
      <w:r>
        <w:rPr>
          <w:sz w:val="20"/>
          <w:szCs w:val="20"/>
          <w:color w:val="auto"/>
        </w:rPr>
        <w:tab/>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5" w:lineRule="auto"/>
        <w:tabs>
          <w:tab w:leader="none" w:pos="1079" w:val="left"/>
        </w:tabs>
        <w:numPr>
          <w:ilvl w:val="0"/>
          <w:numId w:val="2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47" w:lineRule="exact"/>
        <w:rPr>
          <w:rFonts w:ascii="Times New Roman" w:cs="Times New Roman" w:eastAsia="Times New Roman" w:hAnsi="Times New Roman"/>
          <w:sz w:val="20"/>
          <w:szCs w:val="20"/>
          <w:color w:val="010000"/>
        </w:rPr>
      </w:pPr>
    </w:p>
    <w:p>
      <w:pPr>
        <w:jc w:val="both"/>
        <w:ind w:firstLine="656"/>
        <w:spacing w:after="0" w:line="209" w:lineRule="auto"/>
        <w:tabs>
          <w:tab w:leader="none" w:pos="1130" w:val="left"/>
        </w:tabs>
        <w:numPr>
          <w:ilvl w:val="0"/>
          <w:numId w:val="2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Ancillary Document in the form of an imaged electronic record in any format, which shall be deemed created in the ordinary course of such</w:t>
      </w:r>
    </w:p>
    <w:p>
      <w:pPr>
        <w:ind w:right="20"/>
        <w:spacing w:after="0" w:line="204" w:lineRule="auto"/>
        <w:rPr>
          <w:sz w:val="20"/>
          <w:szCs w:val="20"/>
          <w:color w:val="auto"/>
        </w:rPr>
      </w:pPr>
      <w:r>
        <w:rPr>
          <w:rFonts w:ascii="Times New Roman" w:cs="Times New Roman" w:eastAsia="Times New Roman" w:hAnsi="Times New Roman"/>
          <w:sz w:val="20"/>
          <w:szCs w:val="20"/>
          <w:color w:val="auto"/>
        </w:rPr>
        <w:t>Person’s business, and destroy the original paper document (and all such electronic records shall be considered an original for all purposes and shall have the same legal effect, validity and enforceability as a paper record), (C) waives any argument, defense or right to contest the</w:t>
      </w:r>
    </w:p>
    <w:p>
      <w:pPr>
        <w:spacing w:after="0" w:line="211" w:lineRule="auto"/>
        <w:rPr>
          <w:sz w:val="20"/>
          <w:szCs w:val="20"/>
          <w:color w:val="auto"/>
        </w:rPr>
      </w:pPr>
      <w:r>
        <w:rPr>
          <w:rFonts w:ascii="Times New Roman" w:cs="Times New Roman" w:eastAsia="Times New Roman" w:hAnsi="Times New Roman"/>
          <w:sz w:val="20"/>
          <w:szCs w:val="20"/>
          <w:color w:val="auto"/>
        </w:rPr>
        <w:t>legal effect, validity or enforceability of this Agreement, any other Loan Document and/or any Ancillary Document based solely on the lack</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paper original copies of this Agreement, such other Loan Document and/or such Ancillary Document, respectively, including with respect to any signature pages thereto and (D) waives any claim against any Lender-Related Person for any Liabilities arising solely from the</w:t>
      </w:r>
    </w:p>
    <w:p>
      <w:pPr>
        <w:spacing w:after="0" w:line="222" w:lineRule="auto"/>
        <w:rPr>
          <w:sz w:val="20"/>
          <w:szCs w:val="20"/>
          <w:color w:val="auto"/>
        </w:rPr>
      </w:pPr>
      <w:r>
        <w:rPr>
          <w:rFonts w:ascii="Times New Roman" w:cs="Times New Roman" w:eastAsia="Times New Roman" w:hAnsi="Times New Roman"/>
          <w:sz w:val="19"/>
          <w:szCs w:val="19"/>
          <w:color w:val="auto"/>
        </w:rPr>
        <w:t>Administrative Agent’s and/or any Lender’s reliance on or use of Electronic Signatures and/or transmissions by telecopy, emailed pdf. or any</w:t>
      </w:r>
    </w:p>
    <w:p>
      <w:pPr>
        <w:spacing w:after="0" w:line="204" w:lineRule="auto"/>
        <w:rPr>
          <w:sz w:val="20"/>
          <w:szCs w:val="20"/>
          <w:color w:val="auto"/>
        </w:rPr>
      </w:pPr>
      <w:r>
        <w:rPr>
          <w:rFonts w:ascii="Times New Roman" w:cs="Times New Roman" w:eastAsia="Times New Roman" w:hAnsi="Times New Roman"/>
          <w:sz w:val="20"/>
          <w:szCs w:val="20"/>
          <w:color w:val="auto"/>
        </w:rPr>
        <w:t>other electronic means that reproduces an image of an actual executed signature page, including any Liabilities arising as a result of the failure of the Borrower and/or any Loan Party to use any available security measures in connection with the execution, delivery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transmission of any Electronic Signature.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010000"/>
        </w:rPr>
        <w:t xml:space="preserve">SECTION 9.07. </w:t>
      </w:r>
      <w:r>
        <w:rPr>
          <w:rFonts w:ascii="Times New Roman" w:cs="Times New Roman" w:eastAsia="Times New Roman" w:hAnsi="Times New Roman"/>
          <w:sz w:val="19"/>
          <w:szCs w:val="19"/>
          <w:u w:val="single" w:color="auto"/>
          <w:color w:val="000000"/>
        </w:rPr>
        <w:t>Severability</w:t>
      </w:r>
      <w:r>
        <w:rPr>
          <w:rFonts w:ascii="Times New Roman" w:cs="Times New Roman" w:eastAsia="Times New Roman" w:hAnsi="Times New Roman"/>
          <w:sz w:val="19"/>
          <w:szCs w:val="19"/>
          <w:color w:val="000000"/>
        </w:rPr>
        <w:t>. Any provision of any Loan Document held to be invalid, illegal or unenforceable in any jurisdiction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as to such jurisdiction, be ineffective to the extent of such invalidity, illegality or unenforceability without affecting the validity, legality</w:t>
      </w:r>
    </w:p>
    <w:p>
      <w:pPr>
        <w:ind w:right="20"/>
        <w:spacing w:after="0" w:line="228" w:lineRule="auto"/>
        <w:rPr>
          <w:sz w:val="20"/>
          <w:szCs w:val="20"/>
          <w:color w:val="auto"/>
        </w:rPr>
      </w:pPr>
      <w:r>
        <w:rPr>
          <w:rFonts w:ascii="Times New Roman" w:cs="Times New Roman" w:eastAsia="Times New Roman" w:hAnsi="Times New Roman"/>
          <w:sz w:val="20"/>
          <w:szCs w:val="20"/>
          <w:color w:val="auto"/>
        </w:rPr>
        <w:t>and enforceability of the remaining provisions thereof; and the invalidity of a particular provision in a particular jurisdiction shall not invalidate such provision in any other jurisdiction.</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9.08. </w:t>
      </w:r>
      <w:r>
        <w:rPr>
          <w:rFonts w:ascii="Times New Roman" w:cs="Times New Roman" w:eastAsia="Times New Roman" w:hAnsi="Times New Roman"/>
          <w:sz w:val="19"/>
          <w:szCs w:val="19"/>
          <w:u w:val="single" w:color="auto"/>
          <w:color w:val="000000"/>
        </w:rPr>
        <w:t>Right of Setoff</w:t>
      </w:r>
      <w:r>
        <w:rPr>
          <w:rFonts w:ascii="Times New Roman" w:cs="Times New Roman" w:eastAsia="Times New Roman" w:hAnsi="Times New Roman"/>
          <w:sz w:val="19"/>
          <w:szCs w:val="19"/>
          <w:color w:val="000000"/>
        </w:rPr>
        <w:t>. If an Event of Default shall have occurred and be continuing, each Lender, the Issuing Bank,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each of their respective Affiliates is hereby authorized at any time and from time to time, to the fullest extent permitted by law, to set off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apply any and all deposits (general or special, time or demand, provisional or final and in whatever currency denominated) at any time held, and other obligations at any time owing, by such Lender, the Issuing Bank or any such Affiliate, to or for the credit or the account of any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Loan Party against any and all of the Secured Obligations now or hereafter existing and owing to such Lender or the Issuing Bank or their respective Affiliates, irrespective of whether or not such Lender, the Issuing Bank or such Affiliate shall have made any demand under this</w:t>
      </w:r>
    </w:p>
    <w:p>
      <w:pPr>
        <w:spacing w:after="0" w:line="223" w:lineRule="auto"/>
        <w:rPr>
          <w:sz w:val="20"/>
          <w:szCs w:val="20"/>
          <w:color w:val="auto"/>
        </w:rPr>
      </w:pPr>
      <w:r>
        <w:rPr>
          <w:rFonts w:ascii="Times New Roman" w:cs="Times New Roman" w:eastAsia="Times New Roman" w:hAnsi="Times New Roman"/>
          <w:sz w:val="19"/>
          <w:szCs w:val="19"/>
          <w:color w:val="auto"/>
        </w:rPr>
        <w:t>Agreement or any other Loan Document and although such obligations of the Loan Parties may be contingent or unmatured or are owed to a</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w:t>
      </w:r>
    </w:p>
    <w:p>
      <w:pPr>
        <w:spacing w:after="0" w:line="211" w:lineRule="auto"/>
        <w:rPr>
          <w:sz w:val="20"/>
          <w:szCs w:val="20"/>
          <w:color w:val="auto"/>
        </w:rPr>
      </w:pPr>
      <w:r>
        <w:rPr>
          <w:rFonts w:ascii="Times New Roman" w:cs="Times New Roman" w:eastAsia="Times New Roman" w:hAnsi="Times New Roman"/>
          <w:sz w:val="20"/>
          <w:szCs w:val="20"/>
          <w:color w:val="auto"/>
        </w:rPr>
        <w:t>shall be paid over immediately to the Administrative Agent for further application in accordance with the provisions of Section 2.20 and,</w:t>
      </w:r>
    </w:p>
    <w:p>
      <w:pPr>
        <w:spacing w:after="0" w:line="215" w:lineRule="auto"/>
        <w:rPr>
          <w:sz w:val="20"/>
          <w:szCs w:val="20"/>
          <w:color w:val="auto"/>
        </w:rPr>
      </w:pPr>
      <w:r>
        <w:rPr>
          <w:rFonts w:ascii="Times New Roman" w:cs="Times New Roman" w:eastAsia="Times New Roman" w:hAnsi="Times New Roman"/>
          <w:sz w:val="19"/>
          <w:szCs w:val="19"/>
          <w:color w:val="auto"/>
        </w:rPr>
        <w:t>pending such payment, shall be segregated by such Defaulting Lender from its other funds and deemed held in trust for the benefit of the Administrative Agent, the Issuing Banks, and the Lenders, and (y) the Defaulting Lender shall provide promptly to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a statement describing in reasonable detail the Secured Obligations owing to such Defaulting Lender as to which it exercised such right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setoff. The applicable Lender, the Issuing Bank or such Affiliate shall notify the Borrower and the Administrative Agent of such setoff or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or application under this Section.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4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9.09.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tabs>
          <w:tab w:leader="none" w:pos="1187" w:val="left"/>
        </w:tabs>
        <w:numPr>
          <w:ilvl w:val="0"/>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Documents (other than those containing a contrary express choice of law provision) shall be governed by and construed in accordance with and governed by the law of the State of New York.</w:t>
      </w:r>
    </w:p>
    <w:p>
      <w:pPr>
        <w:spacing w:after="0" w:line="147" w:lineRule="exact"/>
        <w:rPr>
          <w:rFonts w:ascii="Times New Roman" w:cs="Times New Roman" w:eastAsia="Times New Roman" w:hAnsi="Times New Roman"/>
          <w:sz w:val="20"/>
          <w:szCs w:val="20"/>
          <w:color w:val="010000"/>
        </w:rPr>
      </w:pPr>
    </w:p>
    <w:p>
      <w:pPr>
        <w:jc w:val="both"/>
        <w:ind w:firstLine="656"/>
        <w:spacing w:after="0" w:line="222" w:lineRule="auto"/>
        <w:tabs>
          <w:tab w:leader="none" w:pos="1157" w:val="left"/>
        </w:tabs>
        <w:numPr>
          <w:ilvl w:val="0"/>
          <w:numId w:val="2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76" w:lineRule="exact"/>
        <w:rPr>
          <w:sz w:val="20"/>
          <w:szCs w:val="20"/>
          <w:color w:val="auto"/>
        </w:rPr>
      </w:pPr>
    </w:p>
    <w:p>
      <w:pPr>
        <w:jc w:val="both"/>
        <w:ind w:firstLine="656"/>
        <w:spacing w:after="0" w:line="221" w:lineRule="auto"/>
        <w:tabs>
          <w:tab w:leader="none" w:pos="1241" w:val="left"/>
        </w:tabs>
        <w:numPr>
          <w:ilvl w:val="0"/>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UCC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57" w:lineRule="exact"/>
        <w:rPr>
          <w:rFonts w:ascii="Times New Roman" w:cs="Times New Roman" w:eastAsia="Times New Roman" w:hAnsi="Times New Roman"/>
          <w:sz w:val="19"/>
          <w:szCs w:val="19"/>
          <w:color w:val="010000"/>
        </w:rPr>
      </w:pPr>
    </w:p>
    <w:p>
      <w:pPr>
        <w:jc w:val="both"/>
        <w:ind w:firstLine="656"/>
        <w:spacing w:after="0" w:line="220" w:lineRule="auto"/>
        <w:tabs>
          <w:tab w:leader="none" w:pos="1090"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47" w:lineRule="exact"/>
        <w:rPr>
          <w:rFonts w:ascii="Times New Roman" w:cs="Times New Roman" w:eastAsia="Times New Roman" w:hAnsi="Times New Roman"/>
          <w:sz w:val="20"/>
          <w:szCs w:val="20"/>
          <w:color w:val="010000"/>
        </w:rPr>
      </w:pPr>
    </w:p>
    <w:p>
      <w:pPr>
        <w:jc w:val="both"/>
        <w:ind w:firstLine="656"/>
        <w:spacing w:after="0" w:line="230" w:lineRule="auto"/>
        <w:tabs>
          <w:tab w:leader="none" w:pos="1133" w:val="left"/>
        </w:tabs>
        <w:numPr>
          <w:ilvl w:val="0"/>
          <w:numId w:val="2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9.10.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PARTY HERETO HEREBY IRREVOCABLY WAIVES,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FULLEST EXTENT PERMITTED BY APPLICABLE LAW, ANY RIGHT IT MAY HAVE TO A TRIAL BY JURY IN ANY LEGAL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PROCEEDING DIRECTLY OR INDIRECTLY ARISING OUT OF OR RELATING TO THIS AGREEMENT, ANY OTHER LOAN DOCUMENT OR THE TRANSACTIONS CONTEMPLATED HEREBY OR THEREBY (WHETHER BASED ON CONTRACT, TORT</w:t>
      </w:r>
    </w:p>
    <w:p>
      <w:pPr>
        <w:spacing w:after="0" w:line="211" w:lineRule="auto"/>
        <w:rPr>
          <w:sz w:val="20"/>
          <w:szCs w:val="20"/>
          <w:color w:val="auto"/>
        </w:rPr>
      </w:pPr>
      <w:r>
        <w:rPr>
          <w:rFonts w:ascii="Times New Roman" w:cs="Times New Roman" w:eastAsia="Times New Roman" w:hAnsi="Times New Roman"/>
          <w:sz w:val="20"/>
          <w:szCs w:val="20"/>
          <w:color w:val="auto"/>
        </w:rPr>
        <w:t>OR ANY OTHER THEORY). EACH PARTY HERETO (A) CERTIFIES THAT NO REPRESENTATIVE OR OTHER AGENT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(INCLUDING ANY ATTORNEY) OF ANY OTHER PARTY HAS REPRESENTED, EXPRESSLY OR OTHERWISE, THAT SUCH OTHER PARTY WOULD NOT, IN THE EVENT OF LITIGATION, SEEK TO ENFORCE THE FOREGOING WAIVER AND (B)</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BY, AMONG OTHER THINGS, THE MUTUAL WAIVERS AND CERTIFICATIONS IN THIS SECTION.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010000"/>
        </w:rPr>
        <w:t xml:space="preserve">SECTION 9.11.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 reference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only, are not part of this Agreement and shall not affect the construction of, or be taken into consideration in interpreting,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7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0"/>
          <w:szCs w:val="20"/>
          <w:color w:val="010000"/>
        </w:rPr>
        <w:t>SECTION 9.12.</w:t>
      </w:r>
      <w:r>
        <w:rPr>
          <w:sz w:val="20"/>
          <w:szCs w:val="20"/>
          <w:color w:val="auto"/>
        </w:rPr>
        <w:tab/>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the Issuing Bank and the Lenders agrees to maintain the</w:t>
      </w:r>
    </w:p>
    <w:p>
      <w:pPr>
        <w:spacing w:after="0" w:line="204" w:lineRule="auto"/>
        <w:rPr>
          <w:sz w:val="20"/>
          <w:szCs w:val="20"/>
          <w:color w:val="auto"/>
        </w:rPr>
      </w:pPr>
      <w:r>
        <w:rPr>
          <w:rFonts w:ascii="Times New Roman" w:cs="Times New Roman" w:eastAsia="Times New Roman" w:hAnsi="Times New Roman"/>
          <w:sz w:val="20"/>
          <w:szCs w:val="20"/>
          <w:color w:val="auto"/>
        </w:rPr>
        <w:t>confidentiality of the Information (as defined below), except that Information may be disclosed (a) to its Affiliates and to its and their respective directors, officers, employees and agents, including accountants, legal counsel and other advisors (it being understood that the</w:t>
      </w:r>
    </w:p>
    <w:p>
      <w:pPr>
        <w:spacing w:after="0" w:line="211" w:lineRule="auto"/>
        <w:rPr>
          <w:sz w:val="20"/>
          <w:szCs w:val="20"/>
          <w:color w:val="auto"/>
        </w:rPr>
      </w:pPr>
      <w:r>
        <w:rPr>
          <w:rFonts w:ascii="Times New Roman" w:cs="Times New Roman" w:eastAsia="Times New Roman" w:hAnsi="Times New Roman"/>
          <w:sz w:val="20"/>
          <w:szCs w:val="20"/>
          <w:color w:val="auto"/>
        </w:rPr>
        <w:t>Persons to whom such disclosure is made will be informed of the confidential nature of such Information and instructed to keep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Information confidential), (b) to the extent requested by any Governmental Authority (including any self-regulatory authority, such as the National Association of Insurance Commissioners), (c) to the extent required by any Requirement of Law or by any subpoena or similar legal</w:t>
      </w:r>
    </w:p>
    <w:p>
      <w:pPr>
        <w:spacing w:after="0" w:line="211" w:lineRule="auto"/>
        <w:rPr>
          <w:sz w:val="20"/>
          <w:szCs w:val="20"/>
          <w:color w:val="auto"/>
        </w:rPr>
      </w:pPr>
      <w:r>
        <w:rPr>
          <w:rFonts w:ascii="Times New Roman" w:cs="Times New Roman" w:eastAsia="Times New Roman" w:hAnsi="Times New Roman"/>
          <w:sz w:val="20"/>
          <w:szCs w:val="20"/>
          <w:color w:val="auto"/>
        </w:rPr>
        <w:t>process, (d) to any other party to this Agreement, (e) in connection with the exercise of any remedies hereunder or under any other Loan</w:t>
      </w:r>
    </w:p>
    <w:p>
      <w:pPr>
        <w:spacing w:after="0" w:line="204" w:lineRule="auto"/>
        <w:rPr>
          <w:sz w:val="20"/>
          <w:szCs w:val="20"/>
          <w:color w:val="auto"/>
        </w:rPr>
      </w:pPr>
      <w:r>
        <w:rPr>
          <w:rFonts w:ascii="Times New Roman" w:cs="Times New Roman" w:eastAsia="Times New Roman" w:hAnsi="Times New Roman"/>
          <w:sz w:val="20"/>
          <w:szCs w:val="20"/>
          <w:color w:val="auto"/>
        </w:rPr>
        <w:t>Document or any suit, action or proceeding relating to this Agreement or any other Loan Document or the enforcement of rights hereunder or thereunder, (f) subject to an agreement containing provisions substantially the same as those of this Section, to (x) any assignee of or</w:t>
      </w:r>
    </w:p>
    <w:p>
      <w:pPr>
        <w:spacing w:after="0" w:line="211" w:lineRule="auto"/>
        <w:rPr>
          <w:sz w:val="20"/>
          <w:szCs w:val="20"/>
          <w:color w:val="auto"/>
        </w:rPr>
      </w:pPr>
      <w:r>
        <w:rPr>
          <w:rFonts w:ascii="Times New Roman" w:cs="Times New Roman" w:eastAsia="Times New Roman" w:hAnsi="Times New Roman"/>
          <w:sz w:val="20"/>
          <w:szCs w:val="20"/>
          <w:color w:val="auto"/>
        </w:rPr>
        <w:t>Participant in, or any prospective assignee of or Participant in, any of its rights or obligations under this Agreement or (y) any actual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prospective counterparty (or its advisors) to any swap or derivative transaction relating to the Loan Parties and their obligations, (g) on a confidential basis to (1) any rating agency in connection with rating the Borrower or its Subsidiaries or the credit facility provided for herein</w:t>
      </w:r>
    </w:p>
    <w:p>
      <w:pPr>
        <w:spacing w:after="0" w:line="222" w:lineRule="auto"/>
        <w:rPr>
          <w:sz w:val="20"/>
          <w:szCs w:val="20"/>
          <w:color w:val="auto"/>
        </w:rPr>
      </w:pPr>
      <w:r>
        <w:rPr>
          <w:rFonts w:ascii="Times New Roman" w:cs="Times New Roman" w:eastAsia="Times New Roman" w:hAnsi="Times New Roman"/>
          <w:sz w:val="19"/>
          <w:szCs w:val="19"/>
          <w:color w:val="auto"/>
        </w:rPr>
        <w:t>or (2) the CUSIP Service Bureau or any similar agency in connection with the issuance and monitoring of CUSIP numbers with respect to the</w:t>
      </w:r>
    </w:p>
    <w:p>
      <w:pPr>
        <w:spacing w:after="0" w:line="204" w:lineRule="auto"/>
        <w:rPr>
          <w:sz w:val="20"/>
          <w:szCs w:val="20"/>
          <w:color w:val="auto"/>
        </w:rPr>
      </w:pPr>
      <w:r>
        <w:rPr>
          <w:rFonts w:ascii="Times New Roman" w:cs="Times New Roman" w:eastAsia="Times New Roman" w:hAnsi="Times New Roman"/>
          <w:sz w:val="20"/>
          <w:szCs w:val="20"/>
          <w:color w:val="auto"/>
        </w:rPr>
        <w:t>credit facility provided for herein, (h) with the consent of the Borrower, (i) to any Person providing a Guarantee of all or any portion of the Secured Obligations, or (j) to the extent such Information (x) becomes publicly available other than as a result of a breach of this Section or</w:t>
      </w:r>
    </w:p>
    <w:p>
      <w:pPr>
        <w:spacing w:after="0" w:line="1" w:lineRule="exact"/>
        <w:rPr>
          <w:sz w:val="20"/>
          <w:szCs w:val="20"/>
          <w:color w:val="auto"/>
        </w:rPr>
      </w:pPr>
    </w:p>
    <w:p>
      <w:pPr>
        <w:jc w:val="both"/>
        <w:ind w:firstLine="8"/>
        <w:spacing w:after="0" w:line="210" w:lineRule="auto"/>
        <w:tabs>
          <w:tab w:leader="none" w:pos="2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available to the Administrative Agent, the Issuing Bank or any Lender on a non-confidential basis from a source other than the Borrower.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relating to the Borrower or its business, other than any such information that is available to the Administrative Agent, the Issuing Bank or any Lender on a non-confidential basis prior to disclosure by the Borrower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EACH LENDER ACKNOWLEDGES THAT INFORMATION AS DEFINED IN SECTION 9.12 FURNISHED TO IT PURSUANT TO THIS AGREEMENT MAY INCLUDE MATERIAL NON-PUBLIC INFORMATION CONCERNING THE BORROWER, THE</w:t>
      </w:r>
    </w:p>
    <w:p>
      <w:pPr>
        <w:spacing w:after="0" w:line="222" w:lineRule="auto"/>
        <w:rPr>
          <w:sz w:val="20"/>
          <w:szCs w:val="20"/>
          <w:color w:val="auto"/>
        </w:rPr>
      </w:pPr>
      <w:r>
        <w:rPr>
          <w:rFonts w:ascii="Times New Roman" w:cs="Times New Roman" w:eastAsia="Times New Roman" w:hAnsi="Times New Roman"/>
          <w:sz w:val="19"/>
          <w:szCs w:val="19"/>
          <w:color w:val="auto"/>
        </w:rPr>
        <w:t>OTHER LOAN PARTIES AND THEIR RELATED PARTIES OR THEIR RESPECTIVE SECURITIES, AND CONFIRMS THAT IT HAS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DEVELOPED COMPLIANCE PROCEDURES REGARDING THE USE OF MATERIAL NON-PUBLIC INFORMATION AND THAT IT WILL HANDLE SUCH MATERIAL NON-PUBLIC INFORMATION IN ACCORDANCE WITH THOSE PROCEDURES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LAW, INCLUDING FEDERAL AND STATE SECURITIES LAWS.</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w:t>
      </w:r>
    </w:p>
    <w:p>
      <w:pPr>
        <w:spacing w:after="0" w:line="211" w:lineRule="auto"/>
        <w:rPr>
          <w:sz w:val="20"/>
          <w:szCs w:val="20"/>
          <w:color w:val="auto"/>
        </w:rPr>
      </w:pPr>
      <w:r>
        <w:rPr>
          <w:rFonts w:ascii="Times New Roman" w:cs="Times New Roman" w:eastAsia="Times New Roman" w:hAnsi="Times New Roman"/>
          <w:sz w:val="20"/>
          <w:szCs w:val="20"/>
          <w:color w:val="auto"/>
        </w:rPr>
        <w:t>SYNDICATE-LEVEL  INFORMATION,  WHICH  MAY  CONTAIN  MATERIAL  NON-PUBLIC  INFORMATION  ABOUT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THE OTHER LOAN PARTIES AND THEIR RELATED PARTIES OR THEIR RESPECTIVE SECURITIES. ACCORDINGLY, EACH LENDER REPRESENTS TO THE BORROWER AND THE ADMINISTRATIVE AGENT THAT IT HAS</w:t>
      </w:r>
    </w:p>
    <w:p>
      <w:pPr>
        <w:spacing w:after="0" w:line="211" w:lineRule="auto"/>
        <w:rPr>
          <w:sz w:val="20"/>
          <w:szCs w:val="20"/>
          <w:color w:val="auto"/>
        </w:rPr>
      </w:pPr>
      <w:r>
        <w:rPr>
          <w:rFonts w:ascii="Times New Roman" w:cs="Times New Roman" w:eastAsia="Times New Roman" w:hAnsi="Times New Roman"/>
          <w:sz w:val="20"/>
          <w:szCs w:val="20"/>
          <w:color w:val="auto"/>
        </w:rPr>
        <w:t>IDENTIFIED IN ITS ADMINISTRATIVE QUESTIONNAIRE A CREDIT CONTACT WHO MAY RECEIVE INFORMATION THAT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70"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0"/>
          <w:szCs w:val="20"/>
          <w:color w:val="010000"/>
        </w:rPr>
        <w:t>SECTION 9.13.</w:t>
      </w:r>
      <w:r>
        <w:rPr>
          <w:sz w:val="20"/>
          <w:szCs w:val="20"/>
          <w:color w:val="auto"/>
        </w:rPr>
        <w:tab/>
      </w:r>
      <w:r>
        <w:rPr>
          <w:rFonts w:ascii="Times New Roman" w:cs="Times New Roman" w:eastAsia="Times New Roman" w:hAnsi="Times New Roman"/>
          <w:sz w:val="20"/>
          <w:szCs w:val="20"/>
          <w:u w:val="single" w:color="auto"/>
          <w:color w:val="auto"/>
        </w:rPr>
        <w:t>Several Obligations; Nonreliance; Violation of Law</w:t>
      </w:r>
      <w:r>
        <w:rPr>
          <w:rFonts w:ascii="Times New Roman" w:cs="Times New Roman" w:eastAsia="Times New Roman" w:hAnsi="Times New Roman"/>
          <w:sz w:val="20"/>
          <w:szCs w:val="20"/>
          <w:color w:val="auto"/>
        </w:rPr>
        <w:t>. The respective obligations of the Lenders hereunder are</w:t>
      </w:r>
    </w:p>
    <w:p>
      <w:pPr>
        <w:spacing w:after="0" w:line="204" w:lineRule="auto"/>
        <w:rPr>
          <w:sz w:val="20"/>
          <w:szCs w:val="20"/>
          <w:color w:val="auto"/>
        </w:rPr>
      </w:pPr>
      <w:r>
        <w:rPr>
          <w:rFonts w:ascii="Times New Roman" w:cs="Times New Roman" w:eastAsia="Times New Roman" w:hAnsi="Times New Roman"/>
          <w:sz w:val="20"/>
          <w:szCs w:val="20"/>
          <w:color w:val="auto"/>
        </w:rPr>
        <w:t>several and not joint and the failure of any Lender to make any Loan or perform any of its obligations hereunder shall not relieve any other Lender from any of its obligations hereunder. Each Lender hereby represents that it is not relying on or looking to any margin stock (as</w:t>
      </w:r>
    </w:p>
    <w:p>
      <w:pPr>
        <w:spacing w:after="0" w:line="211" w:lineRule="auto"/>
        <w:rPr>
          <w:sz w:val="20"/>
          <w:szCs w:val="20"/>
          <w:color w:val="auto"/>
        </w:rPr>
      </w:pPr>
      <w:r>
        <w:rPr>
          <w:rFonts w:ascii="Times New Roman" w:cs="Times New Roman" w:eastAsia="Times New Roman" w:hAnsi="Times New Roman"/>
          <w:sz w:val="20"/>
          <w:szCs w:val="20"/>
          <w:color w:val="auto"/>
        </w:rPr>
        <w:t>defined in Regulation U of the Federal Reserve Board) for the repayment of the Borrowings provided for herein. Anything contained in this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Agreement to the contrary notwithstanding, neither the Issuing Bank nor any Lender shall be obligated to extend credit to the Borrower in violation of any Requirement of Law.</w:t>
      </w:r>
    </w:p>
    <w:p>
      <w:pPr>
        <w:spacing w:after="0" w:line="156"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20"/>
          <w:szCs w:val="20"/>
          <w:color w:val="010000"/>
        </w:rPr>
        <w:t>SECTION 9.14.</w:t>
      </w:r>
      <w:r>
        <w:rPr>
          <w:sz w:val="20"/>
          <w:szCs w:val="20"/>
          <w:color w:val="auto"/>
        </w:rPr>
        <w:tab/>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USA PATRIOT Act hereby notifies</w:t>
      </w:r>
    </w:p>
    <w:p>
      <w:pPr>
        <w:spacing w:after="0" w:line="204" w:lineRule="auto"/>
        <w:rPr>
          <w:sz w:val="20"/>
          <w:szCs w:val="20"/>
          <w:color w:val="auto"/>
        </w:rPr>
      </w:pPr>
      <w:r>
        <w:rPr>
          <w:rFonts w:ascii="Times New Roman" w:cs="Times New Roman" w:eastAsia="Times New Roman" w:hAnsi="Times New Roman"/>
          <w:sz w:val="20"/>
          <w:szCs w:val="20"/>
          <w:color w:val="auto"/>
        </w:rPr>
        <w:t>each Loan Party that pursuant to the requirements of the USA PATRIOT Act, it is required to obtain, verify and record information that identifies such Loan Party, which information includes the name and address of such Loan Party and other information that will allow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to identify such Loan Party in accordance with the USA PATRIOT Act.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9.15.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Each Loan Party, each Lender and the Issuing Bank hereby acknowledges and agrees that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Administrative Agent and/or its Affiliates from time to time may hold investments in, make other loans to or have other relationships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 Loan Parties and their respective Affiliates.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9.16. </w:t>
      </w:r>
      <w:r>
        <w:rPr>
          <w:rFonts w:ascii="Times New Roman" w:cs="Times New Roman" w:eastAsia="Times New Roman" w:hAnsi="Times New Roman"/>
          <w:sz w:val="20"/>
          <w:szCs w:val="20"/>
          <w:u w:val="single" w:color="auto"/>
          <w:color w:val="000000"/>
        </w:rPr>
        <w:t>Appointment for Perfection</w:t>
      </w:r>
      <w:r>
        <w:rPr>
          <w:rFonts w:ascii="Times New Roman" w:cs="Times New Roman" w:eastAsia="Times New Roman" w:hAnsi="Times New Roman"/>
          <w:sz w:val="20"/>
          <w:szCs w:val="20"/>
          <w:color w:val="000000"/>
        </w:rPr>
        <w:t>. Each Lender hereby appoints each other Lender as its agent for the purpose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perfecting Liens, for the benefit of the Administrative Agent and the Secured Parties, in assets which, in accordance with Article 9 of the</w:t>
      </w:r>
    </w:p>
    <w:p>
      <w:pPr>
        <w:spacing w:after="0" w:line="212" w:lineRule="auto"/>
        <w:rPr>
          <w:sz w:val="20"/>
          <w:szCs w:val="20"/>
          <w:color w:val="auto"/>
        </w:rPr>
      </w:pPr>
      <w:r>
        <w:rPr>
          <w:rFonts w:ascii="Times New Roman" w:cs="Times New Roman" w:eastAsia="Times New Roman" w:hAnsi="Times New Roman"/>
          <w:sz w:val="20"/>
          <w:szCs w:val="20"/>
          <w:color w:val="auto"/>
        </w:rPr>
        <w:t>UCC or any other applicable law can be perfected only by possession or control. Should any Lender (other than the Administrative Agent)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obtain possession or control of any such Collateral, such Lender shall notify the Administrative Agent thereof, and, promptly upon the Administrative Agent’s request therefor shall deliver such Collateral to the Administrative Agent or otherwise deal with such Collateral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the Administrative Agent’s instructions.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9.17. </w:t>
      </w:r>
      <w:r>
        <w:rPr>
          <w:rFonts w:ascii="Times New Roman" w:cs="Times New Roman" w:eastAsia="Times New Roman" w:hAnsi="Times New Roman"/>
          <w:sz w:val="20"/>
          <w:szCs w:val="20"/>
          <w:u w:val="single" w:color="auto"/>
          <w:color w:val="000000"/>
        </w:rPr>
        <w:t>Interest Rate Limitation</w:t>
      </w:r>
      <w:r>
        <w:rPr>
          <w:rFonts w:ascii="Times New Roman" w:cs="Times New Roman" w:eastAsia="Times New Roman" w:hAnsi="Times New Roman"/>
          <w:sz w:val="20"/>
          <w:szCs w:val="20"/>
          <w:color w:val="000000"/>
        </w:rPr>
        <w:t>. Notwithstanding anything herein to the contrary, if at any time the interest rate applicable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any Loan, together with all fees, charges and other amounts which are treated as interest on such Loan under applicable law (collectively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the Lender holding such Loan in accordance with applicable law, the rate of interest payable in respect of such Loan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together with all Charges payable in respect thereof, shall be limited to the Maximum Rate.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9.18. </w:t>
      </w:r>
      <w:r>
        <w:rPr>
          <w:rFonts w:ascii="Times New Roman" w:cs="Times New Roman" w:eastAsia="Times New Roman" w:hAnsi="Times New Roman"/>
          <w:sz w:val="20"/>
          <w:szCs w:val="20"/>
          <w:u w:val="single" w:color="auto"/>
          <w:color w:val="000000"/>
        </w:rPr>
        <w:t>No Fiduciary Duty, etc.</w:t>
      </w:r>
      <w:r>
        <w:rPr>
          <w:rFonts w:ascii="Times New Roman" w:cs="Times New Roman" w:eastAsia="Times New Roman" w:hAnsi="Times New Roman"/>
          <w:sz w:val="20"/>
          <w:szCs w:val="20"/>
          <w:color w:val="000000"/>
        </w:rPr>
        <w:t>. (a) Each Loan Party acknowledges and agrees, and acknowledges its Subsidiaries’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understanding, that no Credit Party will have any obligations except those obligations expressly set forth herein and in the other Loan</w:t>
      </w:r>
    </w:p>
    <w:p>
      <w:pPr>
        <w:spacing w:after="0" w:line="224" w:lineRule="auto"/>
        <w:rPr>
          <w:sz w:val="20"/>
          <w:szCs w:val="20"/>
          <w:color w:val="auto"/>
        </w:rPr>
      </w:pPr>
      <w:r>
        <w:rPr>
          <w:rFonts w:ascii="Times New Roman" w:cs="Times New Roman" w:eastAsia="Times New Roman" w:hAnsi="Times New Roman"/>
          <w:sz w:val="19"/>
          <w:szCs w:val="19"/>
          <w:color w:val="auto"/>
        </w:rPr>
        <w:t>Documents and each Credit Party is acting solely in the capacity of an arm’s length contractual counterparty to the Loan Parties with respect</w:t>
      </w:r>
    </w:p>
    <w:p>
      <w:pPr>
        <w:spacing w:after="0" w:line="204" w:lineRule="auto"/>
        <w:rPr>
          <w:sz w:val="20"/>
          <w:szCs w:val="20"/>
          <w:color w:val="auto"/>
        </w:rPr>
      </w:pPr>
      <w:r>
        <w:rPr>
          <w:rFonts w:ascii="Times New Roman" w:cs="Times New Roman" w:eastAsia="Times New Roman" w:hAnsi="Times New Roman"/>
          <w:sz w:val="20"/>
          <w:szCs w:val="20"/>
          <w:color w:val="auto"/>
        </w:rPr>
        <w:t>to the Loan Documents and the transactions contemplated therein and not as a financial advisor or a fiduciary to, or an agent of, any Loan Party or any other person. Each Loan Party agrees that it will not assert any claim against any Credit Party based on an alleged breach of</w:t>
      </w:r>
    </w:p>
    <w:p>
      <w:pPr>
        <w:spacing w:after="0" w:line="211" w:lineRule="auto"/>
        <w:rPr>
          <w:sz w:val="20"/>
          <w:szCs w:val="20"/>
          <w:color w:val="auto"/>
        </w:rPr>
      </w:pPr>
      <w:r>
        <w:rPr>
          <w:rFonts w:ascii="Times New Roman" w:cs="Times New Roman" w:eastAsia="Times New Roman" w:hAnsi="Times New Roman"/>
          <w:sz w:val="20"/>
          <w:szCs w:val="20"/>
          <w:color w:val="auto"/>
        </w:rPr>
        <w:t>fiduciary duty by such Credit Party in connection with this Agreement and the transactions contemplated by the Loan Documents.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Additionally, each Loan Party acknowledges and agrees that no Credit Party is advising the Loan Parties as to any legal, tax, investment, accounting, regulatory or any other matters in any jurisdiction. Each Loan Party shall consult with its own advisors concerning such matters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shall be responsible for making its own independent investigation and appraisal of the transactions contemplated by the Loan Documents, and the Credit Parties shall have no responsibility or liability to any Loan Party with respect thereto.</w:t>
      </w:r>
    </w:p>
    <w:p>
      <w:pPr>
        <w:spacing w:after="0" w:line="149" w:lineRule="exact"/>
        <w:rPr>
          <w:sz w:val="20"/>
          <w:szCs w:val="20"/>
          <w:color w:val="auto"/>
        </w:rPr>
      </w:pPr>
    </w:p>
    <w:p>
      <w:pPr>
        <w:jc w:val="both"/>
        <w:ind w:firstLine="656"/>
        <w:spacing w:after="0" w:line="218" w:lineRule="auto"/>
        <w:tabs>
          <w:tab w:leader="none" w:pos="1136"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or its Affiliates and other companies with which any Loan Party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or other relationships. With respect to any securities and/or financial instruments so held by any Credit Party or any of its</w:t>
      </w:r>
    </w:p>
    <w:p>
      <w:pPr>
        <w:spacing w:after="0" w:line="221" w:lineRule="auto"/>
        <w:rPr>
          <w:sz w:val="20"/>
          <w:szCs w:val="20"/>
          <w:color w:val="auto"/>
        </w:rPr>
      </w:pPr>
      <w:r>
        <w:rPr>
          <w:rFonts w:ascii="Times New Roman" w:cs="Times New Roman" w:eastAsia="Times New Roman" w:hAnsi="Times New Roman"/>
          <w:sz w:val="20"/>
          <w:szCs w:val="20"/>
          <w:color w:val="auto"/>
        </w:rPr>
        <w:t>customers, all rights in respect of such securities and financial instruments, including any voting rights, will be exercised by the holder of the rights, in its sole discretion.</w:t>
      </w:r>
    </w:p>
    <w:p>
      <w:pPr>
        <w:spacing w:after="0" w:line="162" w:lineRule="exact"/>
        <w:rPr>
          <w:sz w:val="20"/>
          <w:szCs w:val="20"/>
          <w:color w:val="auto"/>
        </w:rPr>
      </w:pPr>
    </w:p>
    <w:p>
      <w:pPr>
        <w:jc w:val="both"/>
        <w:ind w:firstLine="656"/>
        <w:spacing w:after="0" w:line="215" w:lineRule="auto"/>
        <w:tabs>
          <w:tab w:leader="none" w:pos="1162"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w:t>
      </w:r>
    </w:p>
    <w:p>
      <w:pPr>
        <w:spacing w:after="0" w:line="14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0"/>
          <w:szCs w:val="20"/>
          <w:color w:val="010000"/>
        </w:rPr>
        <w:t>SECTION 9.19.</w:t>
      </w:r>
      <w:r>
        <w:rPr>
          <w:sz w:val="20"/>
          <w:szCs w:val="20"/>
          <w:color w:val="auto"/>
        </w:rPr>
        <w:tab/>
      </w:r>
      <w:r>
        <w:rPr>
          <w:rFonts w:ascii="Times New Roman" w:cs="Times New Roman" w:eastAsia="Times New Roman" w:hAnsi="Times New Roman"/>
          <w:sz w:val="20"/>
          <w:szCs w:val="20"/>
          <w:u w:val="single" w:color="auto"/>
          <w:color w:val="auto"/>
        </w:rPr>
        <w:t>Marketing Consent</w:t>
      </w:r>
      <w:r>
        <w:rPr>
          <w:rFonts w:ascii="Times New Roman" w:cs="Times New Roman" w:eastAsia="Times New Roman" w:hAnsi="Times New Roman"/>
          <w:sz w:val="20"/>
          <w:szCs w:val="20"/>
          <w:color w:val="auto"/>
        </w:rPr>
        <w:t>. The Borrower hereby authorizes Chase and its affiliates (collectively, the “</w:t>
      </w:r>
      <w:r>
        <w:rPr>
          <w:rFonts w:ascii="Times New Roman" w:cs="Times New Roman" w:eastAsia="Times New Roman" w:hAnsi="Times New Roman"/>
          <w:sz w:val="20"/>
          <w:szCs w:val="20"/>
          <w:u w:val="single" w:color="auto"/>
          <w:color w:val="auto"/>
        </w:rPr>
        <w:t xml:space="preserve">Chase </w:t>
      </w:r>
      <w:r>
        <w:rPr>
          <w:rFonts w:ascii="Times New Roman" w:cs="Times New Roman" w:eastAsia="Times New Roman" w:hAnsi="Times New Roman"/>
          <w:sz w:val="20"/>
          <w:szCs w:val="20"/>
          <w:u w:val="single" w:color="auto"/>
          <w:color w:val="0000FF"/>
        </w:rPr>
        <w:t>Parties”),</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MUFG and its affiliates (collectively, the “MUFG Parties”) and SVB and its affiliates (collectively, the “SVB</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Parties</w:t>
      </w:r>
      <w:r>
        <w:rPr>
          <w:rFonts w:ascii="Times New Roman" w:cs="Times New Roman" w:eastAsia="Times New Roman" w:hAnsi="Times New Roman"/>
          <w:sz w:val="20"/>
          <w:szCs w:val="20"/>
          <w:color w:val="000000"/>
        </w:rPr>
        <w:t>”), at their respective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sole expense, and without any prior approval by the Borrower, to include the Borrower’s name and logo in advertising, marketing, tombstones, case studies and training materials, and to give such other publicity to this Agreement as </w:t>
      </w:r>
      <w:r>
        <w:rPr>
          <w:rFonts w:ascii="Times New Roman" w:cs="Times New Roman" w:eastAsia="Times New Roman" w:hAnsi="Times New Roman"/>
          <w:sz w:val="19"/>
          <w:szCs w:val="19"/>
          <w:u w:val="single" w:color="auto"/>
          <w:color w:val="0000FF"/>
        </w:rPr>
        <w:t>the</w:t>
      </w:r>
      <w:r>
        <w:rPr>
          <w:rFonts w:ascii="Times New Roman" w:cs="Times New Roman" w:eastAsia="Times New Roman" w:hAnsi="Times New Roman"/>
          <w:sz w:val="19"/>
          <w:szCs w:val="19"/>
          <w:color w:val="auto"/>
        </w:rPr>
        <w:t xml:space="preserve"> Chase </w:t>
      </w:r>
      <w:r>
        <w:rPr>
          <w:rFonts w:ascii="Times New Roman" w:cs="Times New Roman" w:eastAsia="Times New Roman" w:hAnsi="Times New Roman"/>
          <w:sz w:val="19"/>
          <w:szCs w:val="19"/>
          <w:u w:val="single" w:color="auto"/>
          <w:color w:val="0000FF"/>
        </w:rPr>
        <w:t>Parties, the MUFG Parties or</w:t>
      </w:r>
    </w:p>
    <w:p>
      <w:pPr>
        <w:spacing w:after="0" w:line="211" w:lineRule="auto"/>
        <w:rPr>
          <w:sz w:val="20"/>
          <w:szCs w:val="20"/>
          <w:color w:val="auto"/>
        </w:rPr>
      </w:pPr>
      <w:r>
        <w:rPr>
          <w:rFonts w:ascii="Times New Roman" w:cs="Times New Roman" w:eastAsia="Times New Roman" w:hAnsi="Times New Roman"/>
          <w:sz w:val="20"/>
          <w:szCs w:val="20"/>
          <w:u w:val="single" w:color="auto"/>
          <w:color w:val="0000FF"/>
        </w:rPr>
        <w:t>the SVB</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Parties may from time to time determine in their sole discretion provided that notwithstanding the foregoing, no such advertising,</w:t>
      </w:r>
    </w:p>
    <w:p>
      <w:pPr>
        <w:spacing w:after="0" w:line="215" w:lineRule="auto"/>
        <w:rPr>
          <w:sz w:val="20"/>
          <w:szCs w:val="20"/>
          <w:color w:val="auto"/>
        </w:rPr>
      </w:pPr>
      <w:r>
        <w:rPr>
          <w:rFonts w:ascii="Times New Roman" w:cs="Times New Roman" w:eastAsia="Times New Roman" w:hAnsi="Times New Roman"/>
          <w:sz w:val="19"/>
          <w:szCs w:val="19"/>
          <w:color w:val="auto"/>
        </w:rPr>
        <w:t>marketing, tombstones, case studies, training materials, or other publicity may disclose any information that is restricted from being disclosed pursuant to the Loan Documents or that has not previously been disclosed by the Borrower in an 8-K or similar public filing. The foregoing</w:t>
      </w:r>
    </w:p>
    <w:p>
      <w:pPr>
        <w:spacing w:after="0"/>
        <w:rPr>
          <w:sz w:val="20"/>
          <w:szCs w:val="20"/>
          <w:color w:val="auto"/>
        </w:rPr>
      </w:pPr>
      <w:r>
        <w:rPr>
          <w:rFonts w:ascii="Times New Roman" w:cs="Times New Roman" w:eastAsia="Times New Roman" w:hAnsi="Times New Roman"/>
          <w:sz w:val="20"/>
          <w:szCs w:val="20"/>
          <w:color w:val="auto"/>
        </w:rPr>
        <w:t>authorization shall remain in effect unless the Borrower notifies Chase</w:t>
      </w:r>
      <w:r>
        <w:rPr>
          <w:rFonts w:ascii="Times New Roman" w:cs="Times New Roman" w:eastAsia="Times New Roman" w:hAnsi="Times New Roman"/>
          <w:sz w:val="20"/>
          <w:szCs w:val="20"/>
          <w:u w:val="single" w:color="auto"/>
          <w:color w:val="0000FF"/>
        </w:rPr>
        <w:t>, MUFG or SVB</w:t>
      </w:r>
      <w:r>
        <w:rPr>
          <w:rFonts w:ascii="Times New Roman" w:cs="Times New Roman" w:eastAsia="Times New Roman" w:hAnsi="Times New Roman"/>
          <w:sz w:val="20"/>
          <w:szCs w:val="20"/>
          <w:color w:val="auto"/>
        </w:rPr>
        <w:t xml:space="preserve"> in writing that such authorization is revoked.</w:t>
      </w:r>
    </w:p>
    <w:p>
      <w:pPr>
        <w:spacing w:after="0" w:line="14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20"/>
          <w:szCs w:val="20"/>
          <w:color w:val="010000"/>
        </w:rPr>
        <w:t>SECTION 9.20.</w:t>
      </w:r>
      <w:r>
        <w:rPr>
          <w:sz w:val="20"/>
          <w:szCs w:val="20"/>
          <w:color w:val="auto"/>
        </w:rPr>
        <w:tab/>
      </w:r>
      <w:r>
        <w:rPr>
          <w:rFonts w:ascii="Times New Roman" w:cs="Times New Roman" w:eastAsia="Times New Roman" w:hAnsi="Times New Roman"/>
          <w:sz w:val="20"/>
          <w:szCs w:val="20"/>
          <w:u w:val="single" w:color="auto"/>
          <w:color w:val="auto"/>
        </w:rPr>
        <w:t>Acknowledgment and Consent to Bail-In of Affected Financial Institutions</w:t>
      </w:r>
      <w:r>
        <w:rPr>
          <w:rFonts w:ascii="Times New Roman" w:cs="Times New Roman" w:eastAsia="Times New Roman" w:hAnsi="Times New Roman"/>
          <w:sz w:val="20"/>
          <w:szCs w:val="20"/>
          <w:color w:val="auto"/>
        </w:rPr>
        <w:t>. Notwithstanding anything to the</w:t>
      </w:r>
    </w:p>
    <w:p>
      <w:pPr>
        <w:spacing w:after="0" w:line="211" w:lineRule="auto"/>
        <w:rPr>
          <w:sz w:val="20"/>
          <w:szCs w:val="20"/>
          <w:color w:val="auto"/>
        </w:rPr>
      </w:pPr>
      <w:r>
        <w:rPr>
          <w:rFonts w:ascii="Times New Roman" w:cs="Times New Roman" w:eastAsia="Times New Roman" w:hAnsi="Times New Roman"/>
          <w:sz w:val="20"/>
          <w:szCs w:val="20"/>
          <w:color w:val="auto"/>
        </w:rPr>
        <w:t>contrary in any Loan Document or in any other agreement, arrangement or understanding among any such parties, each party hereto</w:t>
      </w:r>
    </w:p>
    <w:p>
      <w:pPr>
        <w:spacing w:after="0" w:line="221" w:lineRule="auto"/>
        <w:rPr>
          <w:sz w:val="20"/>
          <w:szCs w:val="20"/>
          <w:color w:val="auto"/>
        </w:rPr>
      </w:pPr>
      <w:r>
        <w:rPr>
          <w:rFonts w:ascii="Times New Roman" w:cs="Times New Roman" w:eastAsia="Times New Roman" w:hAnsi="Times New Roman"/>
          <w:sz w:val="20"/>
          <w:szCs w:val="20"/>
          <w:color w:val="auto"/>
        </w:rPr>
        <w:t>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2" w:lineRule="exact"/>
        <w:rPr>
          <w:sz w:val="20"/>
          <w:szCs w:val="20"/>
          <w:color w:val="auto"/>
        </w:rPr>
      </w:pPr>
    </w:p>
    <w:p>
      <w:pPr>
        <w:ind w:right="20" w:firstLine="656"/>
        <w:spacing w:after="0"/>
        <w:tabs>
          <w:tab w:leader="none" w:pos="1065" w:val="left"/>
        </w:tabs>
        <w:numPr>
          <w:ilvl w:val="0"/>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7" w:lineRule="exact"/>
        <w:rPr>
          <w:rFonts w:ascii="Times New Roman" w:cs="Times New Roman" w:eastAsia="Times New Roman" w:hAnsi="Times New Roman"/>
          <w:sz w:val="20"/>
          <w:szCs w:val="20"/>
          <w:color w:val="010000"/>
        </w:rPr>
      </w:pPr>
    </w:p>
    <w:p>
      <w:pPr>
        <w:ind w:left="1080" w:hanging="424"/>
        <w:spacing w:after="0"/>
        <w:tabs>
          <w:tab w:leader="none" w:pos="1080" w:val="left"/>
        </w:tabs>
        <w:numPr>
          <w:ilvl w:val="0"/>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010000"/>
        </w:rPr>
      </w:pPr>
    </w:p>
    <w:p>
      <w:pPr>
        <w:ind w:left="1680" w:hanging="376"/>
        <w:spacing w:after="0"/>
        <w:tabs>
          <w:tab w:leader="none" w:pos="1680"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855"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0"/>
          <w:szCs w:val="20"/>
          <w:color w:val="010000"/>
        </w:rPr>
      </w:pPr>
    </w:p>
    <w:p>
      <w:pPr>
        <w:ind w:left="660" w:right="20" w:firstLine="644"/>
        <w:spacing w:after="0"/>
        <w:tabs>
          <w:tab w:leader="none" w:pos="1829" w:val="left"/>
        </w:tabs>
        <w:numPr>
          <w:ilvl w:val="1"/>
          <w:numId w:val="2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70" w:lineRule="exact"/>
        <w:rPr>
          <w:sz w:val="20"/>
          <w:szCs w:val="20"/>
          <w:color w:val="auto"/>
        </w:rPr>
      </w:pPr>
    </w:p>
    <w:p>
      <w:pPr>
        <w:ind w:left="660"/>
        <w:spacing w:after="0"/>
        <w:tabs>
          <w:tab w:leader="none" w:pos="2120" w:val="left"/>
          <w:tab w:leader="none" w:pos="6680" w:val="left"/>
        </w:tabs>
        <w:rPr>
          <w:sz w:val="20"/>
          <w:szCs w:val="20"/>
          <w:color w:val="auto"/>
        </w:rPr>
      </w:pPr>
      <w:r>
        <w:rPr>
          <w:rFonts w:ascii="Times New Roman" w:cs="Times New Roman" w:eastAsia="Times New Roman" w:hAnsi="Times New Roman"/>
          <w:sz w:val="20"/>
          <w:szCs w:val="20"/>
          <w:color w:val="010000"/>
        </w:rPr>
        <w:t>SECTION 9.21.</w:t>
      </w:r>
      <w:r>
        <w:rPr>
          <w:sz w:val="20"/>
          <w:szCs w:val="20"/>
          <w:color w:val="auto"/>
        </w:rPr>
        <w:tab/>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 To the extent that the Loan Documents provide support,</w:t>
      </w:r>
    </w:p>
    <w:p>
      <w:pPr>
        <w:spacing w:after="0" w:line="204" w:lineRule="auto"/>
        <w:rPr>
          <w:sz w:val="20"/>
          <w:szCs w:val="20"/>
          <w:color w:val="auto"/>
        </w:rPr>
      </w:pPr>
      <w:r>
        <w:rPr>
          <w:rFonts w:ascii="Times New Roman" w:cs="Times New Roman" w:eastAsia="Times New Roman" w:hAnsi="Times New Roman"/>
          <w:sz w:val="20"/>
          <w:szCs w:val="20"/>
          <w:color w:val="auto"/>
        </w:rPr>
        <w:t>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w:t>
      </w:r>
    </w:p>
    <w:p>
      <w:pPr>
        <w:spacing w:after="0" w:line="211" w:lineRule="auto"/>
        <w:rPr>
          <w:sz w:val="20"/>
          <w:szCs w:val="20"/>
          <w:color w:val="auto"/>
        </w:rPr>
      </w:pPr>
      <w:r>
        <w:rPr>
          <w:rFonts w:ascii="Times New Roman" w:cs="Times New Roman" w:eastAsia="Times New Roman" w:hAnsi="Times New Roman"/>
          <w:sz w:val="20"/>
          <w:szCs w:val="20"/>
          <w:color w:val="auto"/>
        </w:rPr>
        <w:t>Federal Deposit Insurance Corporation under the Federal Deposit Insurance Act and Title II of the Dodd-Frank Wall Street Reform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w:t>
      </w:r>
    </w:p>
    <w:p>
      <w:pPr>
        <w:spacing w:after="0" w:line="228" w:lineRule="auto"/>
        <w:rPr>
          <w:sz w:val="20"/>
          <w:szCs w:val="20"/>
          <w:color w:val="auto"/>
        </w:rPr>
      </w:pPr>
      <w:r>
        <w:rPr>
          <w:rFonts w:ascii="Times New Roman" w:cs="Times New Roman" w:eastAsia="Times New Roman" w:hAnsi="Times New Roman"/>
          <w:sz w:val="20"/>
          <w:szCs w:val="20"/>
          <w:color w:val="auto"/>
        </w:rPr>
        <w:t>QFC may in fact be stated to be governed by the laws of the State of New York and/or of the United States or any other state of the United States):</w:t>
      </w:r>
    </w:p>
    <w:p>
      <w:pPr>
        <w:spacing w:after="0" w:line="14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 or under such Supported QFC and such QFC Credit Support, and any rights in property securing such Supported QFC or such QFC Credit Support) from such Covered Party will be effective to the same extent as the transfer would be effective under the U.S. Special Resolution</w:t>
      </w:r>
    </w:p>
    <w:p>
      <w:pPr>
        <w:spacing w:after="0" w:line="211" w:lineRule="auto"/>
        <w:rPr>
          <w:sz w:val="20"/>
          <w:szCs w:val="20"/>
          <w:color w:val="auto"/>
        </w:rPr>
      </w:pPr>
      <w:r>
        <w:rPr>
          <w:rFonts w:ascii="Times New Roman" w:cs="Times New Roman" w:eastAsia="Times New Roman" w:hAnsi="Times New Roman"/>
          <w:sz w:val="20"/>
          <w:szCs w:val="20"/>
          <w:color w:val="auto"/>
        </w:rPr>
        <w:t>Regime if the Supported QFC and such QFC Credit Support (and any such interest, obligation and rights in property) were governed by the</w:t>
      </w:r>
    </w:p>
    <w:p>
      <w:pPr>
        <w:spacing w:after="0" w:line="204" w:lineRule="auto"/>
        <w:rPr>
          <w:sz w:val="20"/>
          <w:szCs w:val="20"/>
          <w:color w:val="auto"/>
        </w:rPr>
      </w:pPr>
      <w:r>
        <w:rPr>
          <w:rFonts w:ascii="Times New Roman" w:cs="Times New Roman" w:eastAsia="Times New Roman" w:hAnsi="Times New Roman"/>
          <w:sz w:val="20"/>
          <w:szCs w:val="20"/>
          <w:color w:val="auto"/>
        </w:rPr>
        <w:t>laws of the United States or a state of the United States. In the event a Covered Party or a BHC Act Affiliate of a Covered Party becomes subject to a proceeding under a U.S. Special Resolution Regime, Default Rights under the Loan Documents that might otherwise apply to</w:t>
      </w:r>
    </w:p>
    <w:p>
      <w:pPr>
        <w:spacing w:after="0" w:line="223" w:lineRule="auto"/>
        <w:rPr>
          <w:sz w:val="20"/>
          <w:szCs w:val="20"/>
          <w:color w:val="auto"/>
        </w:rPr>
      </w:pPr>
      <w:r>
        <w:rPr>
          <w:rFonts w:ascii="Times New Roman" w:cs="Times New Roman" w:eastAsia="Times New Roman" w:hAnsi="Times New Roman"/>
          <w:sz w:val="19"/>
          <w:szCs w:val="19"/>
          <w:color w:val="auto"/>
        </w:rPr>
        <w:t>such Supported QFC or any QFC Credit Support that may be exercised against such Covered Party are permitted to be exercised to no greater</w:t>
      </w:r>
    </w:p>
    <w:p>
      <w:pPr>
        <w:spacing w:after="0" w:line="215" w:lineRule="auto"/>
        <w:rPr>
          <w:sz w:val="20"/>
          <w:szCs w:val="20"/>
          <w:color w:val="auto"/>
        </w:rPr>
      </w:pPr>
      <w:r>
        <w:rPr>
          <w:rFonts w:ascii="Times New Roman" w:cs="Times New Roman" w:eastAsia="Times New Roman" w:hAnsi="Times New Roman"/>
          <w:sz w:val="19"/>
          <w:szCs w:val="19"/>
          <w:color w:val="auto"/>
        </w:rPr>
        <w:t>extent than such Default Rights could be exercised under the U.S. Special Resolution Regime if the Supported QFC and the Loan Documents were governed by the laws of the United States or a state of the United States. Without limitation of the foregoing, it is understood and agreed</w:t>
      </w:r>
    </w:p>
    <w:p>
      <w:pPr>
        <w:ind w:right="20"/>
        <w:spacing w:after="0" w:line="221" w:lineRule="auto"/>
        <w:rPr>
          <w:sz w:val="20"/>
          <w:szCs w:val="20"/>
          <w:color w:val="auto"/>
        </w:rPr>
      </w:pPr>
      <w:r>
        <w:rPr>
          <w:rFonts w:ascii="Times New Roman" w:cs="Times New Roman" w:eastAsia="Times New Roman" w:hAnsi="Times New Roman"/>
          <w:sz w:val="20"/>
          <w:szCs w:val="20"/>
          <w:color w:val="auto"/>
        </w:rPr>
        <w:t>that rights and remedies of the parties with respect to a Defaulting Lender shall in no event affect the rights of any Covered Party with respect to a Supported QFC or any QFC Credit Support.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8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0"/>
          <w:szCs w:val="20"/>
          <w:color w:val="010000"/>
        </w:rPr>
        <w:t>SECTION 10.01.</w:t>
      </w:r>
      <w:r>
        <w:rPr>
          <w:sz w:val="20"/>
          <w:szCs w:val="20"/>
          <w:color w:val="auto"/>
        </w:rPr>
        <w:tab/>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Each Loan Guarantor hereby agrees that it is jointly and severally liable for, and, as a primary obligor</w:t>
      </w:r>
    </w:p>
    <w:p>
      <w:pPr>
        <w:jc w:val="both"/>
        <w:spacing w:after="0" w:line="215" w:lineRule="auto"/>
        <w:rPr>
          <w:sz w:val="20"/>
          <w:szCs w:val="20"/>
          <w:color w:val="auto"/>
        </w:rPr>
      </w:pPr>
      <w:r>
        <w:rPr>
          <w:rFonts w:ascii="Times New Roman" w:cs="Times New Roman" w:eastAsia="Times New Roman" w:hAnsi="Times New Roman"/>
          <w:sz w:val="19"/>
          <w:szCs w:val="19"/>
          <w:color w:val="auto"/>
        </w:rPr>
        <w:t>and not merely as surety, absolutely, unconditionally and irrevocably guarantees to the Secured Parties, the prompt payment when due, whether at stated maturity, upon acceleration or otherwise, and at all times thereafter, of the Guaranteed Obligations of such Loan Guarantor.</w:t>
      </w:r>
    </w:p>
    <w:p>
      <w:pPr>
        <w:spacing w:after="0" w:line="211" w:lineRule="auto"/>
        <w:rPr>
          <w:sz w:val="20"/>
          <w:szCs w:val="20"/>
          <w:color w:val="auto"/>
        </w:rPr>
      </w:pPr>
      <w:r>
        <w:rPr>
          <w:rFonts w:ascii="Times New Roman" w:cs="Times New Roman" w:eastAsia="Times New Roman" w:hAnsi="Times New Roman"/>
          <w:sz w:val="20"/>
          <w:szCs w:val="20"/>
          <w:color w:val="auto"/>
        </w:rPr>
        <w:t>Each Loan Guarantor further agrees that the Guaranteed Obligations may be extended or renewed in whole or in part without notice to or</w:t>
      </w:r>
    </w:p>
    <w:p>
      <w:pPr>
        <w:spacing w:after="0" w:line="204" w:lineRule="auto"/>
        <w:rPr>
          <w:sz w:val="20"/>
          <w:szCs w:val="20"/>
          <w:color w:val="auto"/>
        </w:rPr>
      </w:pPr>
      <w:r>
        <w:rPr>
          <w:rFonts w:ascii="Times New Roman" w:cs="Times New Roman" w:eastAsia="Times New Roman" w:hAnsi="Times New Roman"/>
          <w:sz w:val="20"/>
          <w:szCs w:val="20"/>
          <w:color w:val="auto"/>
        </w:rPr>
        <w:t>further assent from it, and that it remains bound upon its guarantee notwithstanding any such extension or renewal. All terms of this Loan Guaranty apply to and may be enforced by or on behalf of any domestic or foreign branch or Affiliate of any Lender that extended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portion of the Guaranteed Obligations.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010000"/>
        </w:rPr>
        <w:t xml:space="preserve">SECTION 10.02. </w:t>
      </w:r>
      <w:r>
        <w:rPr>
          <w:rFonts w:ascii="Times New Roman" w:cs="Times New Roman" w:eastAsia="Times New Roman" w:hAnsi="Times New Roman"/>
          <w:sz w:val="20"/>
          <w:szCs w:val="20"/>
          <w:u w:val="single" w:color="auto"/>
          <w:color w:val="000000"/>
        </w:rPr>
        <w:t>Guaranty of Payment</w:t>
      </w:r>
      <w:r>
        <w:rPr>
          <w:rFonts w:ascii="Times New Roman" w:cs="Times New Roman" w:eastAsia="Times New Roman" w:hAnsi="Times New Roman"/>
          <w:sz w:val="20"/>
          <w:szCs w:val="20"/>
          <w:color w:val="000000"/>
        </w:rPr>
        <w:t>. This Loan Guaranty is a guaranty of payment and not of collection. Each Loan Guarantor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waives any right to require the Administrative Agent, the Issuing Bank or any Lender to sue the Borrower, any Loan Guarantor, any other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guarantor of,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149"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10.03.</w:t>
      </w:r>
      <w:r>
        <w:rPr>
          <w:sz w:val="20"/>
          <w:szCs w:val="20"/>
          <w:color w:val="auto"/>
        </w:rPr>
        <w:tab/>
      </w:r>
      <w:r>
        <w:rPr>
          <w:rFonts w:ascii="Times New Roman" w:cs="Times New Roman" w:eastAsia="Times New Roman" w:hAnsi="Times New Roman"/>
          <w:sz w:val="19"/>
          <w:szCs w:val="19"/>
          <w:u w:val="single" w:color="auto"/>
          <w:color w:val="auto"/>
        </w:rPr>
        <w:t>No Discharge or Diminishment of Loan Guaranty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6" w:lineRule="auto"/>
        <w:tabs>
          <w:tab w:leader="none" w:pos="1092" w:val="left"/>
        </w:tabs>
        <w:numPr>
          <w:ilvl w:val="0"/>
          <w:numId w:val="2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the Borrower or any other Obligated Party liable for any of the Guaranteed Obligations; (iii) any insolvency, bankruptcy, reorganization or other similar proceeding affecting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Obligated Party, or their assets or any resulting release or discharge of any obligation of any Obligated Party; or (iv) the existence of any</w:t>
      </w:r>
    </w:p>
    <w:p>
      <w:pPr>
        <w:spacing w:after="0" w:line="221" w:lineRule="auto"/>
        <w:rPr>
          <w:sz w:val="20"/>
          <w:szCs w:val="20"/>
          <w:color w:val="auto"/>
        </w:rPr>
      </w:pPr>
      <w:r>
        <w:rPr>
          <w:rFonts w:ascii="Times New Roman" w:cs="Times New Roman" w:eastAsia="Times New Roman" w:hAnsi="Times New Roman"/>
          <w:sz w:val="20"/>
          <w:szCs w:val="20"/>
          <w:color w:val="auto"/>
        </w:rPr>
        <w:t>claim, setoff or other rights which any Loan Guarantor may have at any time against any Obligated Party, the Administrative Agent, the Issuing Bank, any Lender, or any other Person, whether in connection herewith or in any unrelated transactions.</w:t>
      </w:r>
    </w:p>
    <w:p>
      <w:pPr>
        <w:spacing w:after="0" w:line="162" w:lineRule="exact"/>
        <w:rPr>
          <w:sz w:val="20"/>
          <w:szCs w:val="20"/>
          <w:color w:val="auto"/>
        </w:rPr>
      </w:pPr>
    </w:p>
    <w:p>
      <w:pPr>
        <w:jc w:val="both"/>
        <w:ind w:firstLine="656"/>
        <w:spacing w:after="0" w:line="222" w:lineRule="auto"/>
        <w:tabs>
          <w:tab w:leader="none" w:pos="1184" w:val="left"/>
        </w:tabs>
        <w:numPr>
          <w:ilvl w:val="1"/>
          <w:numId w:val="2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61" w:lineRule="exact"/>
        <w:rPr>
          <w:rFonts w:ascii="Times New Roman" w:cs="Times New Roman" w:eastAsia="Times New Roman" w:hAnsi="Times New Roman"/>
          <w:sz w:val="20"/>
          <w:szCs w:val="20"/>
          <w:color w:val="010000"/>
        </w:rPr>
      </w:pPr>
    </w:p>
    <w:p>
      <w:pPr>
        <w:jc w:val="both"/>
        <w:ind w:firstLine="656"/>
        <w:spacing w:after="0" w:line="221" w:lineRule="auto"/>
        <w:tabs>
          <w:tab w:leader="none" w:pos="1065" w:val="left"/>
        </w:tabs>
        <w:numPr>
          <w:ilvl w:val="1"/>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w:t>
      </w:r>
    </w:p>
    <w:p>
      <w:pPr>
        <w:spacing w:after="0" w:line="1" w:lineRule="exact"/>
        <w:rPr>
          <w:rFonts w:ascii="Times New Roman" w:cs="Times New Roman" w:eastAsia="Times New Roman" w:hAnsi="Times New Roman"/>
          <w:sz w:val="19"/>
          <w:szCs w:val="19"/>
          <w:color w:val="010000"/>
        </w:rPr>
      </w:pPr>
    </w:p>
    <w:p>
      <w:pPr>
        <w:jc w:val="both"/>
        <w:ind w:firstLine="8"/>
        <w:spacing w:after="0" w:line="215" w:lineRule="auto"/>
        <w:tabs>
          <w:tab w:leader="none" w:pos="342"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44"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20"/>
          <w:szCs w:val="20"/>
          <w:color w:val="010000"/>
        </w:rPr>
        <w:t>SECTION 10.04.</w:t>
      </w:r>
      <w:r>
        <w:rPr>
          <w:sz w:val="20"/>
          <w:szCs w:val="20"/>
          <w:color w:val="auto"/>
        </w:rPr>
        <w:tab/>
      </w:r>
      <w:r>
        <w:rPr>
          <w:rFonts w:ascii="Times New Roman" w:cs="Times New Roman" w:eastAsia="Times New Roman" w:hAnsi="Times New Roman"/>
          <w:sz w:val="20"/>
          <w:szCs w:val="20"/>
          <w:u w:val="single" w:color="auto"/>
          <w:color w:val="auto"/>
        </w:rPr>
        <w:t>Defenses Waived</w:t>
      </w:r>
      <w:r>
        <w:rPr>
          <w:rFonts w:ascii="Times New Roman" w:cs="Times New Roman" w:eastAsia="Times New Roman" w:hAnsi="Times New Roman"/>
          <w:sz w:val="20"/>
          <w:szCs w:val="20"/>
          <w:color w:val="auto"/>
        </w:rPr>
        <w:t>. To the fullest extent permitted by applicable law, each Loan Guarantor hereby waives any</w:t>
      </w:r>
    </w:p>
    <w:p>
      <w:pPr>
        <w:spacing w:after="0" w:line="204" w:lineRule="auto"/>
        <w:rPr>
          <w:sz w:val="20"/>
          <w:szCs w:val="20"/>
          <w:color w:val="auto"/>
        </w:rPr>
      </w:pPr>
      <w:r>
        <w:rPr>
          <w:rFonts w:ascii="Times New Roman" w:cs="Times New Roman" w:eastAsia="Times New Roman" w:hAnsi="Times New Roman"/>
          <w:sz w:val="20"/>
          <w:szCs w:val="20"/>
          <w:color w:val="auto"/>
        </w:rPr>
        <w:t>defense based on or arising out of any defense of the Borrower or any Loan Guarantor or the unenforceability of all or any part of the Guaranteed Obligations from any cause, or the cessation from any cause of the liability of the Borrower, any Loan Guarantor or any other</w:t>
      </w:r>
    </w:p>
    <w:p>
      <w:pPr>
        <w:spacing w:after="0" w:line="211" w:lineRule="auto"/>
        <w:rPr>
          <w:sz w:val="20"/>
          <w:szCs w:val="20"/>
          <w:color w:val="auto"/>
        </w:rPr>
      </w:pPr>
      <w:r>
        <w:rPr>
          <w:rFonts w:ascii="Times New Roman" w:cs="Times New Roman" w:eastAsia="Times New Roman" w:hAnsi="Times New Roman"/>
          <w:sz w:val="20"/>
          <w:szCs w:val="20"/>
          <w:color w:val="auto"/>
        </w:rPr>
        <w:t>Obligated Party, other than the Payment in Full of the Guaranteed Obligations. Without limiting the generality of the foregoing, each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Guarantor irrevocably waives acceptance hereof, presentment, demand, protest and, to the fullest extent permitted by law, any notice not provided for herein, as well as any requirement that at any time any action be taken by any Person against any Obligated Party, or any other</w:t>
      </w:r>
    </w:p>
    <w:p>
      <w:pPr>
        <w:spacing w:after="0" w:line="211" w:lineRule="auto"/>
        <w:rPr>
          <w:sz w:val="20"/>
          <w:szCs w:val="20"/>
          <w:color w:val="auto"/>
        </w:rPr>
      </w:pPr>
      <w:r>
        <w:rPr>
          <w:rFonts w:ascii="Times New Roman" w:cs="Times New Roman" w:eastAsia="Times New Roman" w:hAnsi="Times New Roman"/>
          <w:sz w:val="20"/>
          <w:szCs w:val="20"/>
          <w:color w:val="auto"/>
        </w:rPr>
        <w:t>Person. Each Loan Guarantor confirms that it is not a surety under any state law and shall not raise any such law as a defense to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hereunder. The Administrative Agent may, at its election, foreclose on any Collateral held by it by one or more judicial or nonjudicial sales, accept an assignment of any such Collateral in lieu of foreclosure or otherwise act or fail to act with respect to any</w:t>
      </w:r>
    </w:p>
    <w:p>
      <w:pPr>
        <w:spacing w:after="0" w:line="211" w:lineRule="auto"/>
        <w:rPr>
          <w:sz w:val="20"/>
          <w:szCs w:val="20"/>
          <w:color w:val="auto"/>
        </w:rPr>
      </w:pPr>
      <w:r>
        <w:rPr>
          <w:rFonts w:ascii="Times New Roman" w:cs="Times New Roman" w:eastAsia="Times New Roman" w:hAnsi="Times New Roman"/>
          <w:sz w:val="20"/>
          <w:szCs w:val="20"/>
          <w:color w:val="auto"/>
        </w:rPr>
        <w:t>collateral securing all or a part of the Guaranteed Obligations, compromise or adjust any part of the Guaranteed Obligations, make any other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accommodation with any Obligated Party or exercise any other right or remedy available to it against any Obligated Party, without affecting or impairing in any way the liability of such Loan Guarantor under this Loan Guaranty, except to the extent the Guaranteed Obligations have</w:t>
      </w:r>
    </w:p>
    <w:p>
      <w:pPr>
        <w:spacing w:after="0" w:line="222" w:lineRule="auto"/>
        <w:rPr>
          <w:sz w:val="20"/>
          <w:szCs w:val="20"/>
          <w:color w:val="auto"/>
        </w:rPr>
      </w:pPr>
      <w:r>
        <w:rPr>
          <w:rFonts w:ascii="Times New Roman" w:cs="Times New Roman" w:eastAsia="Times New Roman" w:hAnsi="Times New Roman"/>
          <w:sz w:val="19"/>
          <w:szCs w:val="19"/>
          <w:color w:val="auto"/>
        </w:rPr>
        <w:t>been Paid in Full. To the fullest extent permitted by applicable law, each Loan Guarantor waives any defense arising out of any such election</w:t>
      </w:r>
    </w:p>
    <w:p>
      <w:pPr>
        <w:spacing w:after="0" w:line="221" w:lineRule="auto"/>
        <w:rPr>
          <w:sz w:val="20"/>
          <w:szCs w:val="20"/>
          <w:color w:val="auto"/>
        </w:rPr>
      </w:pPr>
      <w:r>
        <w:rPr>
          <w:rFonts w:ascii="Times New Roman" w:cs="Times New Roman" w:eastAsia="Times New Roman" w:hAnsi="Times New Roman"/>
          <w:sz w:val="20"/>
          <w:szCs w:val="20"/>
          <w:color w:val="auto"/>
        </w:rPr>
        <w:t>even though that election may operate, pursuant to applicable law, to impair or extinguish any right of reimbursement or subrogation or other right or remedy of any Loan Guarantor against any Obligated Party or any security.</w:t>
      </w:r>
    </w:p>
    <w:p>
      <w:pPr>
        <w:spacing w:after="0" w:line="156" w:lineRule="exact"/>
        <w:rPr>
          <w:sz w:val="20"/>
          <w:szCs w:val="20"/>
          <w:color w:val="auto"/>
        </w:rPr>
      </w:pPr>
    </w:p>
    <w:p>
      <w:pPr>
        <w:ind w:left="660"/>
        <w:spacing w:after="0"/>
        <w:tabs>
          <w:tab w:leader="none" w:pos="2320" w:val="left"/>
        </w:tabs>
        <w:rPr>
          <w:sz w:val="20"/>
          <w:szCs w:val="20"/>
          <w:color w:val="auto"/>
        </w:rPr>
      </w:pPr>
      <w:r>
        <w:rPr>
          <w:rFonts w:ascii="Times New Roman" w:cs="Times New Roman" w:eastAsia="Times New Roman" w:hAnsi="Times New Roman"/>
          <w:sz w:val="20"/>
          <w:szCs w:val="20"/>
          <w:color w:val="010000"/>
        </w:rPr>
        <w:t>SECTION 10.05.</w:t>
      </w:r>
      <w:r>
        <w:rPr>
          <w:sz w:val="20"/>
          <w:szCs w:val="20"/>
          <w:color w:val="auto"/>
        </w:rPr>
        <w:tab/>
      </w:r>
      <w:r>
        <w:rPr>
          <w:rFonts w:ascii="Times New Roman" w:cs="Times New Roman" w:eastAsia="Times New Roman" w:hAnsi="Times New Roman"/>
          <w:sz w:val="20"/>
          <w:szCs w:val="20"/>
          <w:u w:val="single" w:color="auto"/>
          <w:color w:val="auto"/>
        </w:rPr>
        <w:t>Rights of Subrogation</w:t>
      </w:r>
      <w:r>
        <w:rPr>
          <w:rFonts w:ascii="Times New Roman" w:cs="Times New Roman" w:eastAsia="Times New Roman" w:hAnsi="Times New Roman"/>
          <w:sz w:val="20"/>
          <w:szCs w:val="20"/>
          <w:color w:val="auto"/>
        </w:rPr>
        <w:t>. No Loan Guarantor will assert any right, claim or cause of action, including, without</w:t>
      </w:r>
    </w:p>
    <w:p>
      <w:pPr>
        <w:spacing w:after="0" w:line="221" w:lineRule="auto"/>
        <w:rPr>
          <w:sz w:val="20"/>
          <w:szCs w:val="20"/>
          <w:color w:val="auto"/>
        </w:rPr>
      </w:pPr>
      <w:r>
        <w:rPr>
          <w:rFonts w:ascii="Times New Roman" w:cs="Times New Roman" w:eastAsia="Times New Roman" w:hAnsi="Times New Roman"/>
          <w:sz w:val="20"/>
          <w:szCs w:val="20"/>
          <w:color w:val="auto"/>
        </w:rPr>
        <w:t>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70"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20"/>
          <w:szCs w:val="20"/>
          <w:color w:val="010000"/>
        </w:rPr>
        <w:t>SECTION 10.06.</w:t>
      </w:r>
      <w:r>
        <w:rPr>
          <w:sz w:val="20"/>
          <w:szCs w:val="20"/>
          <w:color w:val="auto"/>
        </w:rPr>
        <w:tab/>
      </w:r>
      <w:r>
        <w:rPr>
          <w:rFonts w:ascii="Times New Roman" w:cs="Times New Roman" w:eastAsia="Times New Roman" w:hAnsi="Times New Roman"/>
          <w:sz w:val="20"/>
          <w:szCs w:val="20"/>
          <w:u w:val="single" w:color="auto"/>
          <w:color w:val="auto"/>
        </w:rPr>
        <w:t>Reinstatement; Stay of Acceleration</w:t>
      </w:r>
      <w:r>
        <w:rPr>
          <w:rFonts w:ascii="Times New Roman" w:cs="Times New Roman" w:eastAsia="Times New Roman" w:hAnsi="Times New Roman"/>
          <w:sz w:val="20"/>
          <w:szCs w:val="20"/>
          <w:color w:val="auto"/>
        </w:rPr>
        <w:t>. If at any time any payment of any portion of the Guaranteed Obligations</w:t>
      </w:r>
    </w:p>
    <w:p>
      <w:pPr>
        <w:spacing w:after="0" w:line="215" w:lineRule="auto"/>
        <w:rPr>
          <w:sz w:val="20"/>
          <w:szCs w:val="20"/>
          <w:color w:val="auto"/>
        </w:rPr>
      </w:pPr>
      <w:r>
        <w:rPr>
          <w:rFonts w:ascii="Times New Roman" w:cs="Times New Roman" w:eastAsia="Times New Roman" w:hAnsi="Times New Roman"/>
          <w:sz w:val="19"/>
          <w:szCs w:val="19"/>
          <w:color w:val="auto"/>
        </w:rPr>
        <w:t>(including a payment effected through exercise of a right of setoff) is rescinded, or must otherwise be restored or returned upon the insolvency, bankruptcy or reorganization of the Borrower or otherwise (including pursuant to any settlement entered into by a Secured Party</w:t>
      </w:r>
    </w:p>
    <w:p>
      <w:pPr>
        <w:spacing w:after="0" w:line="222" w:lineRule="auto"/>
        <w:rPr>
          <w:sz w:val="20"/>
          <w:szCs w:val="20"/>
          <w:color w:val="auto"/>
        </w:rPr>
      </w:pPr>
      <w:r>
        <w:rPr>
          <w:rFonts w:ascii="Times New Roman" w:cs="Times New Roman" w:eastAsia="Times New Roman" w:hAnsi="Times New Roman"/>
          <w:sz w:val="19"/>
          <w:szCs w:val="19"/>
          <w:color w:val="auto"/>
        </w:rPr>
        <w:t>in its discretion), each Loan Guarantor’s obligations under this Loan Guaranty with respect to that payment shall be reinstated at such time as</w:t>
      </w:r>
    </w:p>
    <w:p>
      <w:pPr>
        <w:spacing w:after="0" w:line="215" w:lineRule="auto"/>
        <w:rPr>
          <w:sz w:val="20"/>
          <w:szCs w:val="20"/>
          <w:color w:val="auto"/>
        </w:rPr>
      </w:pPr>
      <w:r>
        <w:rPr>
          <w:rFonts w:ascii="Times New Roman" w:cs="Times New Roman" w:eastAsia="Times New Roman" w:hAnsi="Times New Roman"/>
          <w:sz w:val="19"/>
          <w:szCs w:val="19"/>
          <w:color w:val="auto"/>
        </w:rPr>
        <w:t>though the payment had not been made and whether or not the Administrative Agent, the Issuing Bank and the Lenders are in possession of this Loan Guaranty. If acceleration of the time for payment of any of the Guaranteed Obligations is stayed upon the insolvency, bankruptcy or</w:t>
      </w:r>
    </w:p>
    <w:p>
      <w:pPr>
        <w:spacing w:after="0" w:line="228" w:lineRule="auto"/>
        <w:rPr>
          <w:sz w:val="20"/>
          <w:szCs w:val="20"/>
          <w:color w:val="auto"/>
        </w:rPr>
      </w:pPr>
      <w:r>
        <w:rPr>
          <w:rFonts w:ascii="Times New Roman" w:cs="Times New Roman" w:eastAsia="Times New Roman" w:hAnsi="Times New Roman"/>
          <w:sz w:val="20"/>
          <w:szCs w:val="20"/>
          <w:color w:val="auto"/>
        </w:rPr>
        <w:t>reorganization of the Borrower, all such amounts otherwise subject to acceleration under the terms of any agreement relating to the Guaranteed Obligations shall nonetheless be payable by the Loan Guarantors forthwith on demand by the Administrative Agent.</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010000"/>
        </w:rPr>
        <w:t xml:space="preserve">SECTION 10.07. </w:t>
      </w:r>
      <w:r>
        <w:rPr>
          <w:rFonts w:ascii="Times New Roman" w:cs="Times New Roman" w:eastAsia="Times New Roman" w:hAnsi="Times New Roman"/>
          <w:sz w:val="19"/>
          <w:szCs w:val="19"/>
          <w:u w:val="single" w:color="auto"/>
          <w:color w:val="000000"/>
        </w:rPr>
        <w:t>Information</w:t>
      </w:r>
      <w:r>
        <w:rPr>
          <w:rFonts w:ascii="Times New Roman" w:cs="Times New Roman" w:eastAsia="Times New Roman" w:hAnsi="Times New Roman"/>
          <w:sz w:val="19"/>
          <w:szCs w:val="19"/>
          <w:color w:val="000000"/>
        </w:rPr>
        <w:t>. Each Loan Guarantor assumes all responsibility for being and keeping itself informed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Borrower’s financial condition and assets, and of all other circumstances bearing upon the risk of nonpayment of the Guaranteed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the nature, scope and extent of the risks that each Loan Guarantor assumes and incurs under this Loan Guaranty, and agrees that none of the Administrative Agent, the Issuing Bank or any Lender shall have any duty to advise any Loan Guarantor of information known to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regarding those circumstances or risks.</w:t>
      </w:r>
    </w:p>
    <w:p>
      <w:pPr>
        <w:spacing w:after="0" w:line="167"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10.08.</w:t>
      </w:r>
      <w:r>
        <w:rPr>
          <w:sz w:val="20"/>
          <w:szCs w:val="20"/>
          <w:color w:val="auto"/>
        </w:rPr>
        <w:tab/>
      </w:r>
      <w:r>
        <w:rPr>
          <w:rFonts w:ascii="Times New Roman" w:cs="Times New Roman" w:eastAsia="Times New Roman" w:hAnsi="Times New Roman"/>
          <w:sz w:val="19"/>
          <w:szCs w:val="19"/>
          <w:u w:val="single" w:color="auto"/>
          <w:color w:val="auto"/>
        </w:rPr>
        <w:t>Release of Loan Guarantors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656"/>
        <w:spacing w:after="0" w:line="215" w:lineRule="auto"/>
        <w:tabs>
          <w:tab w:leader="none" w:pos="1106" w:val="left"/>
        </w:tabs>
        <w:numPr>
          <w:ilvl w:val="0"/>
          <w:numId w:val="2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Subsidiary Guarantor shall automatically be released from its obligations under the Loan Guaranty upon the consummation of any transaction permitted by this Agreement as a result of which such Subsidiary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64"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84" w:val="left"/>
        </w:tabs>
        <w:numPr>
          <w:ilvl w:val="0"/>
          <w:numId w:val="2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 the Administrative Agent may (and is hereby irrevocably authorized by each Lender to), upon the request of the Borrower, release any Subsidiary Guarantor from its obligations under the Loan Guaranty if such Subsidiary Guarantor is no longer a Material Domestic Subsidiary.</w:t>
      </w:r>
    </w:p>
    <w:p>
      <w:pPr>
        <w:spacing w:after="0" w:line="160"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065" w:val="left"/>
        </w:tabs>
        <w:numPr>
          <w:ilvl w:val="0"/>
          <w:numId w:val="2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Payment in Full of all Guaranteed Obligations,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60"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color w:val="010000"/>
        </w:rPr>
        <w:t>SECTION 10.09.</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10.10. </w:t>
      </w:r>
      <w:r>
        <w:rPr>
          <w:rFonts w:ascii="Times New Roman" w:cs="Times New Roman" w:eastAsia="Times New Roman" w:hAnsi="Times New Roman"/>
          <w:sz w:val="20"/>
          <w:szCs w:val="20"/>
          <w:u w:val="single" w:color="auto"/>
          <w:color w:val="000000"/>
        </w:rPr>
        <w:t>Maximum Liability</w:t>
      </w:r>
      <w:r>
        <w:rPr>
          <w:rFonts w:ascii="Times New Roman" w:cs="Times New Roman" w:eastAsia="Times New Roman" w:hAnsi="Times New Roman"/>
          <w:sz w:val="20"/>
          <w:szCs w:val="20"/>
          <w:color w:val="000000"/>
        </w:rPr>
        <w:t>. Notwithstanding any other provision of this Loan Guaranty, the amount guaranteed by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Guarantor hereunder shall be limited to the extent, if any, required so that its obligations hereunder shall not be subject to avoidance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 Section 548 of the Bankruptcy Code or under any applicable state Uniform Fraudulent Transfer Act, Uniform Fraudulent Conveyance Act, Uniform Voidable Transactions Act or similar statute or common law. In determining the limitations, if any, on the amount of any Loan</w:t>
      </w:r>
    </w:p>
    <w:p>
      <w:pPr>
        <w:spacing w:after="0" w:line="211" w:lineRule="auto"/>
        <w:rPr>
          <w:sz w:val="20"/>
          <w:szCs w:val="20"/>
          <w:color w:val="auto"/>
        </w:rPr>
      </w:pPr>
      <w:r>
        <w:rPr>
          <w:rFonts w:ascii="Times New Roman" w:cs="Times New Roman" w:eastAsia="Times New Roman" w:hAnsi="Times New Roman"/>
          <w:sz w:val="20"/>
          <w:szCs w:val="20"/>
          <w:color w:val="auto"/>
        </w:rPr>
        <w:t>Guarantor’s obligations hereunder pursuant to the preceding sentence, it is the intention of the parties hereto that any rights of subrogation,</w:t>
      </w:r>
    </w:p>
    <w:p>
      <w:pPr>
        <w:spacing w:after="0" w:line="221" w:lineRule="auto"/>
        <w:rPr>
          <w:sz w:val="20"/>
          <w:szCs w:val="20"/>
          <w:color w:val="auto"/>
        </w:rPr>
      </w:pPr>
      <w:r>
        <w:rPr>
          <w:rFonts w:ascii="Times New Roman" w:cs="Times New Roman" w:eastAsia="Times New Roman" w:hAnsi="Times New Roman"/>
          <w:sz w:val="20"/>
          <w:szCs w:val="20"/>
          <w:color w:val="auto"/>
        </w:rPr>
        <w:t>indemnification or contribution which such Loan Guarantor may have under this Loan Guaranty, any other agreement or applicable law shall be taken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7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0"/>
          <w:szCs w:val="20"/>
          <w:color w:val="010000"/>
        </w:rPr>
        <w:t>SECTION 10.11.</w:t>
      </w:r>
      <w:r>
        <w:rPr>
          <w:sz w:val="20"/>
          <w:szCs w:val="20"/>
          <w:color w:val="auto"/>
        </w:rPr>
        <w:tab/>
      </w: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3" w:lineRule="auto"/>
        <w:tabs>
          <w:tab w:leader="none" w:pos="1079"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61" w:lineRule="exact"/>
        <w:rPr>
          <w:rFonts w:ascii="Times New Roman" w:cs="Times New Roman" w:eastAsia="Times New Roman" w:hAnsi="Times New Roman"/>
          <w:sz w:val="20"/>
          <w:szCs w:val="20"/>
          <w:color w:val="010000"/>
        </w:rPr>
      </w:pPr>
    </w:p>
    <w:p>
      <w:pPr>
        <w:jc w:val="both"/>
        <w:ind w:firstLine="656"/>
        <w:spacing w:after="0" w:line="217" w:lineRule="auto"/>
        <w:tabs>
          <w:tab w:leader="none" w:pos="1076"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61" w:lineRule="exact"/>
        <w:rPr>
          <w:rFonts w:ascii="Times New Roman" w:cs="Times New Roman" w:eastAsia="Times New Roman" w:hAnsi="Times New Roman"/>
          <w:sz w:val="20"/>
          <w:szCs w:val="20"/>
          <w:color w:val="010000"/>
        </w:rPr>
      </w:pPr>
    </w:p>
    <w:p>
      <w:pPr>
        <w:jc w:val="both"/>
        <w:ind w:firstLine="656"/>
        <w:spacing w:after="0" w:line="226" w:lineRule="auto"/>
        <w:tabs>
          <w:tab w:leader="none" w:pos="1119"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60" w:lineRule="exact"/>
        <w:rPr>
          <w:rFonts w:ascii="Times New Roman" w:cs="Times New Roman" w:eastAsia="Times New Roman" w:hAnsi="Times New Roman"/>
          <w:sz w:val="20"/>
          <w:szCs w:val="20"/>
          <w:color w:val="010000"/>
        </w:rPr>
      </w:pPr>
    </w:p>
    <w:p>
      <w:pPr>
        <w:ind w:firstLine="656"/>
        <w:spacing w:after="0" w:line="233" w:lineRule="auto"/>
        <w:tabs>
          <w:tab w:leader="none" w:pos="1090"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60" w:lineRule="exact"/>
        <w:rPr>
          <w:rFonts w:ascii="Times New Roman" w:cs="Times New Roman" w:eastAsia="Times New Roman" w:hAnsi="Times New Roman"/>
          <w:sz w:val="20"/>
          <w:szCs w:val="20"/>
          <w:color w:val="010000"/>
        </w:rPr>
      </w:pPr>
    </w:p>
    <w:p>
      <w:pPr>
        <w:ind w:firstLine="656"/>
        <w:spacing w:after="0"/>
        <w:tabs>
          <w:tab w:leader="none" w:pos="1119" w:val="left"/>
        </w:tabs>
        <w:numPr>
          <w:ilvl w:val="0"/>
          <w:numId w:val="2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010000"/>
        </w:rPr>
        <w:t xml:space="preserve">SECTION 10.12. </w:t>
      </w:r>
      <w:r>
        <w:rPr>
          <w:rFonts w:ascii="Times New Roman" w:cs="Times New Roman" w:eastAsia="Times New Roman" w:hAnsi="Times New Roman"/>
          <w:sz w:val="20"/>
          <w:szCs w:val="20"/>
          <w:u w:val="single" w:color="auto"/>
          <w:color w:val="000000"/>
        </w:rPr>
        <w:t>Liability Cumulative</w:t>
      </w:r>
      <w:r>
        <w:rPr>
          <w:rFonts w:ascii="Times New Roman" w:cs="Times New Roman" w:eastAsia="Times New Roman" w:hAnsi="Times New Roman"/>
          <w:sz w:val="20"/>
          <w:szCs w:val="20"/>
          <w:color w:val="000000"/>
        </w:rPr>
        <w:t>. The liability of each Loan Party as a Loan Guarantor under this Article X is in addition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shall be cumulative with all liabilities of each Loan Party to the Administrative Agent, the Issuing Bank and the Lenders under this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and the other Loan Documents to which such Loan Party is a party or in respect of any obligations or liabilities of the other Loan Parties, without any limitation as to amount, unless the instrument or agreement evidencing or creating such other liability specifically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provides to the contrary.</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010000"/>
        </w:rPr>
        <w:t xml:space="preserve">SECTION 10.13. </w:t>
      </w:r>
      <w:r>
        <w:rPr>
          <w:rFonts w:ascii="Times New Roman" w:cs="Times New Roman" w:eastAsia="Times New Roman" w:hAnsi="Times New Roman"/>
          <w:sz w:val="19"/>
          <w:szCs w:val="19"/>
          <w:u w:val="single" w:color="auto"/>
          <w:color w:val="000000"/>
        </w:rPr>
        <w:t>Keepwell</w:t>
      </w:r>
      <w:r>
        <w:rPr>
          <w:rFonts w:ascii="Times New Roman" w:cs="Times New Roman" w:eastAsia="Times New Roman" w:hAnsi="Times New Roman"/>
          <w:sz w:val="19"/>
          <w:szCs w:val="19"/>
          <w:color w:val="000000"/>
        </w:rPr>
        <w:t>. Each Qualified ECP Guarantor hereby jointly and severally absolutely, unconditionally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irrevocably undertakes to provide such funds or other support as may be needed from time to time by each other Loan Party to honor all of its</w:t>
      </w:r>
    </w:p>
    <w:p>
      <w:pPr>
        <w:spacing w:after="0" w:line="222" w:lineRule="auto"/>
        <w:rPr>
          <w:sz w:val="20"/>
          <w:szCs w:val="20"/>
          <w:color w:val="auto"/>
        </w:rPr>
      </w:pPr>
      <w:r>
        <w:rPr>
          <w:rFonts w:ascii="Times New Roman" w:cs="Times New Roman" w:eastAsia="Times New Roman" w:hAnsi="Times New Roman"/>
          <w:sz w:val="19"/>
          <w:szCs w:val="19"/>
          <w:color w:val="auto"/>
        </w:rPr>
        <w:t>obligations under this Guarantee in respect of a Swap Obligation (provided, however, that each Qualified ECP Guarantor shall only be liable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under this Section 10.13 for the maximum amount of such liability that can be hereby incurred without rendering its obligations under this Section 10.13 or otherwise under this Loan Guaranty voidable under applicable law relating to fraudulent conveyance or fraudulent transfer,</w:t>
      </w:r>
    </w:p>
    <w:p>
      <w:pPr>
        <w:spacing w:after="0" w:line="211" w:lineRule="auto"/>
        <w:rPr>
          <w:sz w:val="20"/>
          <w:szCs w:val="20"/>
          <w:color w:val="auto"/>
        </w:rPr>
      </w:pPr>
      <w:r>
        <w:rPr>
          <w:rFonts w:ascii="Times New Roman" w:cs="Times New Roman" w:eastAsia="Times New Roman" w:hAnsi="Times New Roman"/>
          <w:sz w:val="20"/>
          <w:szCs w:val="20"/>
          <w:color w:val="auto"/>
        </w:rPr>
        <w:t>and not for any greater amount). Except as otherwise provided herein, the obligations of each Qualified ECP Guarantor under this Section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10.13 shall remain in full force and effect until the termination of all Swap Obligations. Each Qualified ECP Guarantor intends that this Section 10.13 constitute, and this Section 10.13 shall be deemed to constitute, a “keepwell, support, or other agreement” for the benefit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other Loan Party for all purposes of Section 1a(18)(A)(v)(II) of the Commodity Exchange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color w:val="FF0000"/>
          <w:strike w:val="1"/>
        </w:rPr>
        <w:t>Page Follows</w:t>
      </w:r>
      <w:r>
        <w:rPr>
          <w:rFonts w:ascii="Times New Roman" w:cs="Times New Roman" w:eastAsia="Times New Roman" w:hAnsi="Times New Roman"/>
          <w:sz w:val="20"/>
          <w:szCs w:val="20"/>
          <w:u w:val="single" w:color="auto"/>
          <w:color w:val="0000FF"/>
        </w:rPr>
        <w:t>Pages Intentionally Omitted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9019"/>
          </w:cols>
          <w:pgMar w:left="1440" w:top="1440" w:right="1440"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333-269946, No. 333-266087, No. 333-265197, and No. 333-260853 on Form S-8 and Registration Statement No 333-271587 on Form S-3 of our report dated February 20, 2024, relating to the financial statements of NerdWallet, Inc. (the “Company”) appearing in this Annual Report on Form 10-K for the year ended December 31, 2023.</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20, 2024</w:t>
      </w:r>
    </w:p>
    <w:p>
      <w:pPr>
        <w:sectPr>
          <w:pgSz w:w="11900" w:h="16838" w:orient="portrait"/>
          <w:cols w:equalWidth="0" w:num="1">
            <w:col w:w="11240"/>
          </w:cols>
          <w:pgMar w:left="320" w:top="114"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line="282"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2024</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2023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20, 2024</w:t>
      </w:r>
      <w:r>
        <w:rPr>
          <w:sz w:val="20"/>
          <w:szCs w:val="20"/>
          <w:color w:val="auto"/>
        </w:rPr>
        <w:tab/>
      </w:r>
      <w:r>
        <w:rPr>
          <w:rFonts w:ascii="Times New Roman" w:cs="Times New Roman" w:eastAsia="Times New Roman" w:hAnsi="Times New Roman"/>
          <w:sz w:val="17"/>
          <w:szCs w:val="17"/>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Lauren StClair</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Recovery Policy Effective October 2, 2023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right="100" w:firstLine="648"/>
        <w:spacing w:after="0" w:line="230" w:lineRule="auto"/>
        <w:rPr>
          <w:sz w:val="20"/>
          <w:szCs w:val="20"/>
          <w:color w:val="auto"/>
        </w:rPr>
      </w:pPr>
      <w:r>
        <w:rPr>
          <w:rFonts w:ascii="Times New Roman" w:cs="Times New Roman" w:eastAsia="Times New Roman" w:hAnsi="Times New Roman"/>
          <w:sz w:val="17"/>
          <w:szCs w:val="17"/>
          <w:color w:val="auto"/>
        </w:rPr>
        <w:t>As required pursuant to the listing standards of the Nasdaq Stock Market LLC (the “</w:t>
      </w:r>
      <w:r>
        <w:rPr>
          <w:rFonts w:ascii="Times New Roman" w:cs="Times New Roman" w:eastAsia="Times New Roman" w:hAnsi="Times New Roman"/>
          <w:sz w:val="17"/>
          <w:szCs w:val="17"/>
          <w:b w:val="1"/>
          <w:bCs w:val="1"/>
          <w:i w:val="1"/>
          <w:iCs w:val="1"/>
          <w:color w:val="auto"/>
        </w:rPr>
        <w:t>Stock Exchange</w:t>
      </w:r>
      <w:r>
        <w:rPr>
          <w:rFonts w:ascii="Times New Roman" w:cs="Times New Roman" w:eastAsia="Times New Roman" w:hAnsi="Times New Roman"/>
          <w:sz w:val="17"/>
          <w:szCs w:val="17"/>
          <w:color w:val="auto"/>
        </w:rPr>
        <w:t>”), Section 10D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Rule 10D-1 under the Exchange Act, the Compensation Committee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NerdWallet,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Compensation Recovery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to empower the</w:t>
      </w:r>
    </w:p>
    <w:p>
      <w:pPr>
        <w:spacing w:after="0" w:line="2"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Company to recover Covered Compensation (as defined below) erroneously awarded to a Covered Officer (as defined below) in the event of an Accounting Restatement (as defined below).</w:t>
      </w:r>
    </w:p>
    <w:p>
      <w:pPr>
        <w:spacing w:after="0" w:line="198" w:lineRule="exact"/>
        <w:rPr>
          <w:sz w:val="20"/>
          <w:szCs w:val="20"/>
          <w:color w:val="auto"/>
        </w:rPr>
      </w:pPr>
    </w:p>
    <w:p>
      <w:pPr>
        <w:jc w:val="both"/>
        <w:ind w:right="100" w:firstLine="648"/>
        <w:spacing w:after="0" w:line="236" w:lineRule="auto"/>
        <w:rPr>
          <w:sz w:val="20"/>
          <w:szCs w:val="20"/>
          <w:color w:val="auto"/>
        </w:rPr>
      </w:pPr>
      <w:r>
        <w:rPr>
          <w:rFonts w:ascii="Times New Roman" w:cs="Times New Roman" w:eastAsia="Times New Roman" w:hAnsi="Times New Roman"/>
          <w:sz w:val="17"/>
          <w:szCs w:val="17"/>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the final listing standards adopted by the</w:t>
      </w:r>
    </w:p>
    <w:p>
      <w:pPr>
        <w:jc w:val="both"/>
        <w:ind w:right="120"/>
        <w:spacing w:after="0" w:line="239" w:lineRule="auto"/>
        <w:rPr>
          <w:sz w:val="20"/>
          <w:szCs w:val="20"/>
          <w:color w:val="auto"/>
        </w:rPr>
      </w:pPr>
      <w:r>
        <w:rPr>
          <w:rFonts w:ascii="Times New Roman" w:cs="Times New Roman" w:eastAsia="Times New Roman" w:hAnsi="Times New Roman"/>
          <w:sz w:val="17"/>
          <w:szCs w:val="17"/>
          <w:color w:val="auto"/>
        </w:rPr>
        <w:t>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7"/>
          <w:szCs w:val="17"/>
          <w:b w:val="1"/>
          <w:bCs w:val="1"/>
          <w:i w:val="1"/>
          <w:iCs w:val="1"/>
          <w:color w:val="auto"/>
        </w:rPr>
        <w:t>Final Guidance</w:t>
      </w:r>
      <w:r>
        <w:rPr>
          <w:rFonts w:ascii="Times New Roman" w:cs="Times New Roman" w:eastAsia="Times New Roman" w:hAnsi="Times New Roman"/>
          <w:sz w:val="17"/>
          <w:szCs w:val="17"/>
          <w:color w:val="auto"/>
        </w:rPr>
        <w:t xml:space="preserve">”). Questions regarding this Policy should be directed to </w:t>
      </w:r>
      <w:r>
        <w:rPr>
          <w:rFonts w:ascii="Times New Roman" w:cs="Times New Roman" w:eastAsia="Times New Roman" w:hAnsi="Times New Roman"/>
          <w:sz w:val="17"/>
          <w:szCs w:val="17"/>
          <w:u w:val="single" w:color="auto"/>
          <w:color w:val="0000FF"/>
        </w:rPr>
        <w:t>generalcounsel@nerdwallet.com</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229" w:lineRule="exact"/>
        <w:rPr>
          <w:sz w:val="20"/>
          <w:szCs w:val="20"/>
          <w:color w:val="auto"/>
        </w:rPr>
      </w:pPr>
    </w:p>
    <w:p>
      <w:pPr>
        <w:jc w:val="both"/>
        <w:ind w:right="160" w:firstLine="648"/>
        <w:spacing w:after="0" w:line="216" w:lineRule="auto"/>
        <w:rPr>
          <w:sz w:val="20"/>
          <w:szCs w:val="20"/>
          <w:color w:val="auto"/>
        </w:rPr>
      </w:pPr>
      <w:r>
        <w:rPr>
          <w:rFonts w:ascii="Times New Roman" w:cs="Times New Roman" w:eastAsia="Times New Roman" w:hAnsi="Times New Roman"/>
          <w:sz w:val="18"/>
          <w:szCs w:val="18"/>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w:t>
      </w:r>
    </w:p>
    <w:p>
      <w:pPr>
        <w:spacing w:after="0" w:line="1"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 Clawback Exception applies with respect to a Covered Officer, the Company may forgo such recovery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from any such Covered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is defined as any current or former “Section 16 officer” of the Company within the meaning of</w:t>
      </w:r>
    </w:p>
    <w:p>
      <w:pPr>
        <w:spacing w:after="0" w:line="6" w:lineRule="exact"/>
        <w:rPr>
          <w:sz w:val="20"/>
          <w:szCs w:val="20"/>
          <w:color w:val="auto"/>
        </w:rPr>
      </w:pPr>
    </w:p>
    <w:p>
      <w:pPr>
        <w:jc w:val="both"/>
        <w:ind w:right="160"/>
        <w:spacing w:after="0" w:line="226" w:lineRule="auto"/>
        <w:rPr>
          <w:sz w:val="20"/>
          <w:szCs w:val="20"/>
          <w:color w:val="auto"/>
        </w:rPr>
      </w:pPr>
      <w:r>
        <w:rPr>
          <w:rFonts w:ascii="Times New Roman" w:cs="Times New Roman" w:eastAsia="Times New Roman" w:hAnsi="Times New Roman"/>
          <w:sz w:val="18"/>
          <w:szCs w:val="18"/>
          <w:color w:val="auto"/>
        </w:rPr>
        <w:t>Rule 16a-1(f) under the Exchange Act, as determined by the Board or the Committee. Covered Officers include, at a minimum, “executive officers” as defined in Rule 3b-7 under the Exchange Act and identified under Item 401(b) of Regulation 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1" w:lineRule="exact"/>
        <w:rPr>
          <w:sz w:val="20"/>
          <w:szCs w:val="20"/>
          <w:color w:val="auto"/>
        </w:rPr>
      </w:pPr>
    </w:p>
    <w:p>
      <w:pPr>
        <w:jc w:val="both"/>
        <w:ind w:left="1020" w:right="220" w:hanging="484"/>
        <w:spacing w:after="0" w:line="225" w:lineRule="auto"/>
        <w:tabs>
          <w:tab w:leader="none" w:pos="10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Compensation</w:t>
      </w:r>
      <w:r>
        <w:rPr>
          <w:rFonts w:ascii="Times New Roman" w:cs="Times New Roman" w:eastAsia="Times New Roman" w:hAnsi="Times New Roman"/>
          <w:sz w:val="18"/>
          <w:szCs w:val="18"/>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253" w:lineRule="exact"/>
        <w:rPr>
          <w:rFonts w:ascii="Times New Roman" w:cs="Times New Roman" w:eastAsia="Times New Roman" w:hAnsi="Times New Roman"/>
          <w:sz w:val="18"/>
          <w:szCs w:val="18"/>
          <w:color w:val="auto"/>
        </w:rPr>
      </w:pPr>
    </w:p>
    <w:p>
      <w:pPr>
        <w:jc w:val="both"/>
        <w:ind w:left="1020" w:right="20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266" w:lineRule="exact"/>
        <w:rPr>
          <w:rFonts w:ascii="Times New Roman" w:cs="Times New Roman" w:eastAsia="Times New Roman" w:hAnsi="Times New Roman"/>
          <w:sz w:val="18"/>
          <w:szCs w:val="18"/>
          <w:color w:val="auto"/>
        </w:rPr>
      </w:pPr>
    </w:p>
    <w:p>
      <w:pPr>
        <w:jc w:val="both"/>
        <w:ind w:left="1020" w:right="200" w:hanging="484"/>
        <w:spacing w:after="0" w:line="220" w:lineRule="auto"/>
        <w:tabs>
          <w:tab w:leader="none" w:pos="10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ectPr>
          <w:pgSz w:w="11900" w:h="16838" w:orient="portrait"/>
          <w:cols w:equalWidth="0" w:num="1">
            <w:col w:w="11120"/>
          </w:cols>
          <w:pgMar w:left="440" w:top="100" w:right="339" w:bottom="1440" w:gutter="0" w:footer="0" w:header="0"/>
        </w:sectPr>
      </w:pPr>
    </w:p>
    <w:bookmarkStart w:id="256" w:name="page257"/>
    <w:bookmarkEnd w:id="256"/>
    <w:p>
      <w:pPr>
        <w:jc w:val="both"/>
        <w:ind w:left="1020" w:right="120" w:hanging="484"/>
        <w:spacing w:after="0" w:line="225" w:lineRule="auto"/>
        <w:tabs>
          <w:tab w:leader="none" w:pos="1015" w:val="left"/>
        </w:tabs>
        <w:numPr>
          <w:ilvl w:val="0"/>
          <w:numId w:val="2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“Incentive-Based Co</w:t>
      </w:r>
      <w:r>
        <w:rPr>
          <w:rFonts w:ascii="Times New Roman" w:cs="Times New Roman" w:eastAsia="Times New Roman" w:hAnsi="Times New Roman"/>
          <w:sz w:val="19"/>
          <w:szCs w:val="19"/>
          <w:b w:val="1"/>
          <w:bCs w:val="1"/>
          <w:i w:val="1"/>
          <w:iCs w:val="1"/>
          <w:color w:val="auto"/>
        </w:rPr>
        <w:t>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defined as any compensation that is granted, earned, or vested based wholly or in part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211" w:lineRule="exact"/>
        <w:rPr>
          <w:rFonts w:ascii="Times New Roman" w:cs="Times New Roman" w:eastAsia="Times New Roman" w:hAnsi="Times New Roman"/>
          <w:sz w:val="18"/>
          <w:szCs w:val="18"/>
          <w:b w:val="1"/>
          <w:bCs w:val="1"/>
          <w:i w:val="1"/>
          <w:iCs w:val="1"/>
          <w:color w:val="auto"/>
        </w:rPr>
      </w:pPr>
    </w:p>
    <w:p>
      <w:pPr>
        <w:jc w:val="both"/>
        <w:ind w:left="1020" w:right="140" w:hanging="484"/>
        <w:spacing w:after="0" w:line="224" w:lineRule="auto"/>
        <w:tabs>
          <w:tab w:leader="none" w:pos="1008"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208" w:lineRule="exact"/>
        <w:rPr>
          <w:rFonts w:ascii="Times New Roman" w:cs="Times New Roman" w:eastAsia="Times New Roman" w:hAnsi="Times New Roman"/>
          <w:sz w:val="20"/>
          <w:szCs w:val="20"/>
          <w:color w:val="auto"/>
        </w:rPr>
      </w:pPr>
    </w:p>
    <w:p>
      <w:pPr>
        <w:jc w:val="both"/>
        <w:ind w:left="1020" w:right="40" w:hanging="484"/>
        <w:spacing w:after="0" w:line="224" w:lineRule="auto"/>
        <w:tabs>
          <w:tab w:leader="none" w:pos="1008"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Policy, the applicable “</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is defined as the three completed fiscal years immediately preceding the Trigger</w:t>
      </w:r>
    </w:p>
    <w:p>
      <w:pPr>
        <w:spacing w:after="0" w:line="6"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195" w:lineRule="exact"/>
        <w:rPr>
          <w:sz w:val="20"/>
          <w:szCs w:val="20"/>
          <w:color w:val="auto"/>
        </w:rPr>
      </w:pPr>
    </w:p>
    <w:p>
      <w:pPr>
        <w:jc w:val="both"/>
        <w:ind w:right="80" w:firstLine="648"/>
        <w:spacing w:after="0" w:line="217" w:lineRule="auto"/>
        <w:rPr>
          <w:sz w:val="20"/>
          <w:szCs w:val="20"/>
          <w:color w:val="auto"/>
        </w:rPr>
      </w:pPr>
      <w:r>
        <w:rPr>
          <w:rFonts w:ascii="Times New Roman" w:cs="Times New Roman" w:eastAsia="Times New Roman" w:hAnsi="Times New Roman"/>
          <w:sz w:val="18"/>
          <w:szCs w:val="18"/>
          <w:color w:val="auto"/>
        </w:rPr>
        <w:t>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legally authorized body directs the Company to prepare the Accounting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229"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Rule 10D-1 under the Exchange Act (under such circumstances, a “</w:t>
      </w:r>
      <w:r>
        <w:rPr>
          <w:rFonts w:ascii="Times New Roman" w:cs="Times New Roman" w:eastAsia="Times New Roman" w:hAnsi="Times New Roman"/>
          <w:sz w:val="18"/>
          <w:szCs w:val="18"/>
          <w:b w:val="1"/>
          <w:bCs w:val="1"/>
          <w:i w:val="1"/>
          <w:iCs w:val="1"/>
          <w:color w:val="auto"/>
        </w:rPr>
        <w:t>Clawback Exception</w:t>
      </w:r>
      <w:r>
        <w:rPr>
          <w:rFonts w:ascii="Times New Roman" w:cs="Times New Roman" w:eastAsia="Times New Roman" w:hAnsi="Times New Roman"/>
          <w:sz w:val="18"/>
          <w:szCs w:val="18"/>
          <w:color w:val="auto"/>
        </w:rPr>
        <w:t>” applies):</w:t>
      </w:r>
    </w:p>
    <w:p>
      <w:pPr>
        <w:spacing w:after="0" w:line="219" w:lineRule="exact"/>
        <w:rPr>
          <w:sz w:val="20"/>
          <w:szCs w:val="20"/>
          <w:color w:val="auto"/>
        </w:rPr>
      </w:pPr>
    </w:p>
    <w:p>
      <w:pPr>
        <w:jc w:val="both"/>
        <w:ind w:left="1020" w:hanging="484"/>
        <w:spacing w:after="0" w:line="223" w:lineRule="auto"/>
        <w:tabs>
          <w:tab w:leader="none" w:pos="1008"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211" w:lineRule="exact"/>
        <w:rPr>
          <w:rFonts w:ascii="Times New Roman" w:cs="Times New Roman" w:eastAsia="Times New Roman" w:hAnsi="Times New Roman"/>
          <w:sz w:val="20"/>
          <w:szCs w:val="20"/>
          <w:color w:val="auto"/>
        </w:rPr>
      </w:pPr>
    </w:p>
    <w:p>
      <w:pPr>
        <w:jc w:val="both"/>
        <w:ind w:left="1020" w:hanging="484"/>
        <w:spacing w:after="0" w:line="223" w:lineRule="auto"/>
        <w:tabs>
          <w:tab w:leader="none" w:pos="1008"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4" w:lineRule="exact"/>
        <w:rPr>
          <w:rFonts w:ascii="Times New Roman" w:cs="Times New Roman" w:eastAsia="Times New Roman" w:hAnsi="Times New Roman"/>
          <w:sz w:val="20"/>
          <w:szCs w:val="20"/>
          <w:color w:val="auto"/>
        </w:rPr>
      </w:pPr>
    </w:p>
    <w:p>
      <w:pPr>
        <w:jc w:val="both"/>
        <w:ind w:left="1020" w:hanging="484"/>
        <w:spacing w:after="0" w:line="220" w:lineRule="auto"/>
        <w:tabs>
          <w:tab w:leader="none" w:pos="101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2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0"/>
          </w:cols>
          <w:pgMar w:left="440" w:top="1314"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Committee will administer this Policy in accordance with the Final Guidance, and will have full and exclusive authority and discretion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spacing w:after="0" w:line="19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9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Each Covered Officer, upon being so designated or assuming such position, is required to execute and deliver to the HR Department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Company’s filings with the SEC, will be disclosed as required by the Securities Act of 1933, as amended, the Exchange Act, and related rules and regulations, including the Final Guidance.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20"/>
          </w:cols>
          <w:pgMar w:left="440" w:top="1319" w:right="4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Compensation Recovery Policy Acknowledgment and Consent</w:t>
      </w:r>
    </w:p>
    <w:p>
      <w:pPr>
        <w:spacing w:after="0" w:line="22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undersigned hereby acknowledges that he or she has received and reviewed a copy of the Compensation Recovery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NerdWallet,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October 2, 2023, as adopted by the Compensation Committee of the Company’s Board of Directors.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Pursuant to such Policy, the undersigned hereby:</w:t>
      </w:r>
    </w:p>
    <w:p>
      <w:pPr>
        <w:spacing w:after="0" w:line="225" w:lineRule="exact"/>
        <w:rPr>
          <w:sz w:val="20"/>
          <w:szCs w:val="20"/>
          <w:color w:val="auto"/>
        </w:rPr>
      </w:pPr>
    </w:p>
    <w:p>
      <w:pPr>
        <w:ind w:left="1600" w:hanging="633"/>
        <w:spacing w:after="0"/>
        <w:tabs>
          <w:tab w:leader="none" w:pos="16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acknowledges that he or she has been designated as (or assumed the position of) a Covered Officer (as defined in the Policy);</w:t>
      </w:r>
    </w:p>
    <w:p>
      <w:pPr>
        <w:spacing w:after="0" w:line="215" w:lineRule="exact"/>
        <w:rPr>
          <w:rFonts w:ascii="Times New Roman" w:cs="Times New Roman" w:eastAsia="Times New Roman" w:hAnsi="Times New Roman"/>
          <w:sz w:val="20"/>
          <w:szCs w:val="20"/>
          <w:color w:val="auto"/>
        </w:rPr>
      </w:pPr>
    </w:p>
    <w:p>
      <w:pPr>
        <w:ind w:left="1600" w:hanging="633"/>
        <w:spacing w:after="0"/>
        <w:tabs>
          <w:tab w:leader="none" w:pos="16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acknowledges and consents to the Policy;</w:t>
      </w:r>
    </w:p>
    <w:p>
      <w:pPr>
        <w:spacing w:after="0" w:line="229" w:lineRule="exact"/>
        <w:rPr>
          <w:rFonts w:ascii="Times New Roman" w:cs="Times New Roman" w:eastAsia="Times New Roman" w:hAnsi="Times New Roman"/>
          <w:sz w:val="20"/>
          <w:szCs w:val="20"/>
          <w:color w:val="auto"/>
        </w:rPr>
      </w:pPr>
    </w:p>
    <w:p>
      <w:pPr>
        <w:ind w:left="1600" w:hanging="633"/>
        <w:spacing w:after="0"/>
        <w:tabs>
          <w:tab w:leader="none" w:pos="160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acknowledges and consents to be bound by the terms of the Policy;</w:t>
      </w:r>
    </w:p>
    <w:p>
      <w:pPr>
        <w:spacing w:after="0" w:line="202" w:lineRule="exact"/>
        <w:rPr>
          <w:rFonts w:ascii="Times New Roman" w:cs="Times New Roman" w:eastAsia="Times New Roman" w:hAnsi="Times New Roman"/>
          <w:sz w:val="20"/>
          <w:szCs w:val="20"/>
          <w:color w:val="auto"/>
        </w:rPr>
      </w:pPr>
    </w:p>
    <w:p>
      <w:pPr>
        <w:jc w:val="both"/>
        <w:ind w:left="1620" w:right="60" w:hanging="653"/>
        <w:spacing w:after="0" w:line="223" w:lineRule="auto"/>
        <w:tabs>
          <w:tab w:leader="none" w:pos="160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spacing w:after="0" w:line="211" w:lineRule="exact"/>
        <w:rPr>
          <w:rFonts w:ascii="Times New Roman" w:cs="Times New Roman" w:eastAsia="Times New Roman" w:hAnsi="Times New Roman"/>
          <w:sz w:val="20"/>
          <w:szCs w:val="20"/>
          <w:color w:val="auto"/>
        </w:rPr>
      </w:pPr>
    </w:p>
    <w:p>
      <w:pPr>
        <w:ind w:left="1620" w:right="60" w:hanging="653"/>
        <w:spacing w:after="0" w:line="232" w:lineRule="auto"/>
        <w:tabs>
          <w:tab w:leader="none" w:pos="160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agrees that the Company may enforce its rights under the Policy through any and all reasonable means permitted under applicable law as the Company deems necessary or desirable under the Policy.</w:t>
      </w:r>
    </w:p>
    <w:p>
      <w:pPr>
        <w:spacing w:after="0" w:line="2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506095</wp:posOffset>
            </wp:positionV>
            <wp:extent cx="2425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Date:</w:t>
      </w:r>
    </w:p>
    <w:p>
      <w:pPr>
        <w:sectPr>
          <w:pgSz w:w="11900" w:h="16838" w:orient="portrait"/>
          <w:cols w:equalWidth="0" w:num="1">
            <w:col w:w="11000"/>
          </w:cols>
          <w:pgMar w:left="440" w:top="140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[NerdWallet, Inc. Compensation Recovery Policy Acknowledgement and Consent]</w:t>
      </w:r>
    </w:p>
    <w:sectPr>
      <w:pgSz w:w="11900" w:h="16838" w:orient="portrait"/>
      <w:cols w:equalWidth="0" w:num="1">
        <w:col w:w="11000"/>
      </w:cols>
      <w:pgMar w:left="440" w:top="140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
      <w:numFmt w:val="bullet"/>
      <w:start w:val="1"/>
    </w:lvl>
  </w:abstractNum>
  <w:abstractNum w:abstractNumId="6">
    <w:nsid w:val="24E99DD7"/>
    <w:multiLevelType w:val="hybridMultilevel"/>
    <w:lvl w:ilvl="0">
      <w:lvlJc w:val="left"/>
      <w:lvlText w:val="•"/>
      <w:numFmt w:val="bullet"/>
      <w:start w:val="1"/>
    </w:lvl>
  </w:abstractNum>
  <w:abstractNum w:abstractNumId="7">
    <w:nsid w:val="2A31B62D"/>
    <w:multiLevelType w:val="hybridMultilevel"/>
    <w:lvl w:ilvl="0">
      <w:lvlJc w:val="left"/>
      <w:lvlText w:val="•"/>
      <w:numFmt w:val="bullet"/>
      <w:start w:val="1"/>
    </w:lvl>
  </w:abstractNum>
  <w:abstractNum w:abstractNumId="8">
    <w:nsid w:val="1849C29B"/>
    <w:multiLevelType w:val="hybridMultilevel"/>
    <w:lvl w:ilvl="0">
      <w:lvlJc w:val="left"/>
      <w:lvlText w:val="•"/>
      <w:numFmt w:val="bullet"/>
      <w:start w:val="1"/>
    </w:lvl>
  </w:abstractNum>
  <w:abstractNum w:abstractNumId="9">
    <w:nsid w:val="7DFF9D09"/>
    <w:multiLevelType w:val="hybridMultilevel"/>
    <w:lvl w:ilvl="0">
      <w:lvlJc w:val="left"/>
      <w:lvlText w:val="•"/>
      <w:numFmt w:val="bullet"/>
      <w:start w:val="1"/>
    </w:lvl>
  </w:abstractNum>
  <w:abstractNum w:abstractNumId="10">
    <w:nsid w:val="754342"/>
    <w:multiLevelType w:val="hybridMultilevel"/>
    <w:lvl w:ilvl="0">
      <w:lvlJc w:val="left"/>
      <w:lvlText w:val="•"/>
      <w:numFmt w:val="bullet"/>
      <w:start w:val="1"/>
    </w:lvl>
  </w:abstractNum>
  <w:abstractNum w:abstractNumId="11">
    <w:nsid w:val="69E7F3E5"/>
    <w:multiLevelType w:val="hybridMultilevel"/>
    <w:lvl w:ilvl="0">
      <w:lvlJc w:val="left"/>
      <w:lvlText w:val="•"/>
      <w:numFmt w:val="bullet"/>
      <w:start w:val="1"/>
    </w:lvl>
    <w:lvl w:ilvl="1">
      <w:lvlJc w:val="left"/>
      <w:lvlText w:val="◦"/>
      <w:numFmt w:val="bullet"/>
      <w:start w:val="1"/>
    </w:lvl>
  </w:abstractNum>
  <w:abstractNum w:abstractNumId="12">
    <w:nsid w:val="2A6DE806"/>
    <w:multiLevelType w:val="hybridMultilevel"/>
    <w:lvl w:ilvl="0">
      <w:lvlJc w:val="left"/>
      <w:lvlText w:val="•"/>
      <w:numFmt w:val="bullet"/>
      <w:start w:val="1"/>
    </w:lvl>
  </w:abstractNum>
  <w:abstractNum w:abstractNumId="13">
    <w:nsid w:val="1816F8C4"/>
    <w:multiLevelType w:val="hybridMultilevel"/>
    <w:lvl w:ilvl="0">
      <w:lvlJc w:val="left"/>
      <w:lvlText w:val="•"/>
      <w:numFmt w:val="bullet"/>
      <w:start w:val="1"/>
    </w:lvl>
  </w:abstractNum>
  <w:abstractNum w:abstractNumId="14">
    <w:nsid w:val="37DF2233"/>
    <w:multiLevelType w:val="hybridMultilevel"/>
    <w:lvl w:ilvl="0">
      <w:lvlJc w:val="left"/>
      <w:lvlText w:val="•"/>
      <w:numFmt w:val="bullet"/>
      <w:start w:val="1"/>
    </w:lvl>
  </w:abstractNum>
  <w:abstractNum w:abstractNumId="15">
    <w:nsid w:val="7AB49DAF"/>
    <w:multiLevelType w:val="hybridMultilevel"/>
    <w:lvl w:ilvl="0">
      <w:lvlJc w:val="left"/>
      <w:lvlText w:val="•"/>
      <w:numFmt w:val="bullet"/>
      <w:start w:val="1"/>
    </w:lvl>
  </w:abstractNum>
  <w:abstractNum w:abstractNumId="16">
    <w:nsid w:val="759F82CD"/>
    <w:multiLevelType w:val="hybridMultilevel"/>
    <w:lvl w:ilvl="0">
      <w:lvlJc w:val="left"/>
      <w:lvlText w:val="•"/>
      <w:numFmt w:val="bullet"/>
      <w:start w:val="1"/>
    </w:lvl>
  </w:abstractNum>
  <w:abstractNum w:abstractNumId="17">
    <w:nsid w:val="61E74EA3"/>
    <w:multiLevelType w:val="hybridMultilevel"/>
    <w:lvl w:ilvl="0">
      <w:lvlJc w:val="left"/>
      <w:lvlText w:val="•"/>
      <w:numFmt w:val="bullet"/>
      <w:start w:val="1"/>
    </w:lvl>
  </w:abstractNum>
  <w:abstractNum w:abstractNumId="18">
    <w:nsid w:val="597B4D84"/>
    <w:multiLevelType w:val="hybridMultilevel"/>
    <w:lvl w:ilvl="0">
      <w:lvlJc w:val="left"/>
      <w:lvlText w:val="•"/>
      <w:numFmt w:val="bullet"/>
      <w:start w:val="1"/>
    </w:lvl>
  </w:abstractNum>
  <w:abstractNum w:abstractNumId="19">
    <w:nsid w:val="F819E7F"/>
    <w:multiLevelType w:val="hybridMultilevel"/>
    <w:lvl w:ilvl="0">
      <w:lvlJc w:val="left"/>
      <w:lvlText w:val="•"/>
      <w:numFmt w:val="bullet"/>
      <w:start w:val="1"/>
    </w:lvl>
  </w:abstractNum>
  <w:abstractNum w:abstractNumId="20">
    <w:nsid w:val="57C7D42D"/>
    <w:multiLevelType w:val="hybridMultilevel"/>
    <w:lvl w:ilvl="0">
      <w:lvlJc w:val="left"/>
      <w:lvlText w:val="•"/>
      <w:numFmt w:val="bullet"/>
      <w:start w:val="1"/>
    </w:lvl>
  </w:abstractNum>
  <w:abstractNum w:abstractNumId="21">
    <w:nsid w:val="312167AD"/>
    <w:multiLevelType w:val="hybridMultilevel"/>
    <w:lvl w:ilvl="0">
      <w:lvlJc w:val="left"/>
      <w:lvlText w:val="•"/>
      <w:numFmt w:val="bullet"/>
      <w:start w:val="1"/>
    </w:lvl>
  </w:abstractNum>
  <w:abstractNum w:abstractNumId="22">
    <w:nsid w:val="631B64D4"/>
    <w:multiLevelType w:val="hybridMultilevel"/>
    <w:lvl w:ilvl="0">
      <w:lvlJc w:val="left"/>
      <w:lvlText w:val="•"/>
      <w:numFmt w:val="bullet"/>
      <w:start w:val="1"/>
    </w:lvl>
  </w:abstractNum>
  <w:abstractNum w:abstractNumId="23">
    <w:nsid w:val="78B5E776"/>
    <w:multiLevelType w:val="hybridMultilevel"/>
    <w:lvl w:ilvl="0">
      <w:lvlJc w:val="left"/>
      <w:lvlText w:val="•"/>
      <w:numFmt w:val="bullet"/>
      <w:start w:val="1"/>
    </w:lvl>
  </w:abstractNum>
  <w:abstractNum w:abstractNumId="24">
    <w:nsid w:val="75486E47"/>
    <w:multiLevelType w:val="hybridMultilevel"/>
    <w:lvl w:ilvl="0">
      <w:lvlJc w:val="left"/>
      <w:lvlText w:val="•"/>
      <w:numFmt w:val="bullet"/>
      <w:start w:val="1"/>
    </w:lvl>
  </w:abstractNum>
  <w:abstractNum w:abstractNumId="25">
    <w:nsid w:val="6E534CDE"/>
    <w:multiLevelType w:val="hybridMultilevel"/>
    <w:lvl w:ilvl="0">
      <w:lvlJc w:val="left"/>
      <w:lvlText w:val="•"/>
      <w:numFmt w:val="bullet"/>
      <w:start w:val="1"/>
    </w:lvl>
  </w:abstractNum>
  <w:abstractNum w:abstractNumId="26">
    <w:nsid w:val="1A0DDE32"/>
    <w:multiLevelType w:val="hybridMultilevel"/>
    <w:lvl w:ilvl="0">
      <w:lvlJc w:val="left"/>
      <w:lvlText w:val="•"/>
      <w:numFmt w:val="bullet"/>
      <w:start w:val="1"/>
    </w:lvl>
  </w:abstractNum>
  <w:abstractNum w:abstractNumId="27">
    <w:nsid w:val="65968C1C"/>
    <w:multiLevelType w:val="hybridMultilevel"/>
    <w:lvl w:ilvl="0">
      <w:lvlJc w:val="left"/>
      <w:lvlText w:val="•"/>
      <w:numFmt w:val="bullet"/>
      <w:start w:val="1"/>
    </w:lvl>
  </w:abstractNum>
  <w:abstractNum w:abstractNumId="28">
    <w:nsid w:val="46263DEC"/>
    <w:multiLevelType w:val="hybridMultilevel"/>
    <w:lvl w:ilvl="0">
      <w:lvlJc w:val="left"/>
      <w:lvlText w:val="•"/>
      <w:numFmt w:val="bullet"/>
      <w:start w:val="1"/>
    </w:lvl>
  </w:abstractNum>
  <w:abstractNum w:abstractNumId="29">
    <w:nsid w:val="260D8C4A"/>
    <w:multiLevelType w:val="hybridMultilevel"/>
    <w:lvl w:ilvl="0">
      <w:lvlJc w:val="left"/>
      <w:lvlText w:val="(%1)"/>
      <w:numFmt w:val="decimal"/>
      <w:start w:val="1"/>
    </w:lvl>
  </w:abstractNum>
  <w:abstractNum w:abstractNumId="30">
    <w:nsid w:val="73D4D3C4"/>
    <w:multiLevelType w:val="hybridMultilevel"/>
    <w:lvl w:ilvl="0">
      <w:lvlJc w:val="left"/>
      <w:lvlText w:val="•"/>
      <w:numFmt w:val="bullet"/>
      <w:start w:val="1"/>
    </w:lvl>
  </w:abstractNum>
  <w:abstractNum w:abstractNumId="31">
    <w:nsid w:val="746F2E30"/>
    <w:multiLevelType w:val="hybridMultilevel"/>
    <w:lvl w:ilvl="0">
      <w:lvlJc w:val="left"/>
      <w:lvlText w:val="•"/>
      <w:numFmt w:val="bullet"/>
      <w:start w:val="1"/>
    </w:lvl>
  </w:abstractNum>
  <w:abstractNum w:abstractNumId="32">
    <w:nsid w:val="6FDE8AF6"/>
    <w:multiLevelType w:val="hybridMultilevel"/>
    <w:lvl w:ilvl="0">
      <w:lvlJc w:val="left"/>
      <w:lvlText w:val="•"/>
      <w:numFmt w:val="bullet"/>
      <w:start w:val="1"/>
    </w:lvl>
  </w:abstractNum>
  <w:abstractNum w:abstractNumId="33">
    <w:nsid w:val="3FC32E20"/>
    <w:multiLevelType w:val="hybridMultilevel"/>
    <w:lvl w:ilvl="0">
      <w:lvlJc w:val="left"/>
      <w:lvlText w:val="(%1)"/>
      <w:numFmt w:val="decimal"/>
      <w:start w:val="1"/>
    </w:lvl>
  </w:abstractNum>
  <w:abstractNum w:abstractNumId="34">
    <w:nsid w:val="49C0E823"/>
    <w:multiLevelType w:val="hybridMultilevel"/>
    <w:lvl w:ilvl="0">
      <w:lvlJc w:val="left"/>
      <w:lvlText w:val="•"/>
      <w:numFmt w:val="bullet"/>
      <w:start w:val="1"/>
    </w:lvl>
  </w:abstractNum>
  <w:abstractNum w:abstractNumId="35">
    <w:nsid w:val="14D53685"/>
    <w:multiLevelType w:val="hybridMultilevel"/>
    <w:lvl w:ilvl="0">
      <w:lvlJc w:val="left"/>
      <w:lvlText w:val="(%1)"/>
      <w:numFmt w:val="lowerRoman"/>
      <w:start w:val="1"/>
    </w:lvl>
  </w:abstractNum>
  <w:abstractNum w:abstractNumId="36">
    <w:nsid w:val="230F856C"/>
    <w:multiLevelType w:val="hybridMultilevel"/>
    <w:lvl w:ilvl="0">
      <w:lvlJc w:val="left"/>
      <w:lvlText w:val="(%1)"/>
      <w:numFmt w:val="decimal"/>
      <w:start w:val="3"/>
    </w:lvl>
  </w:abstractNum>
  <w:abstractNum w:abstractNumId="37">
    <w:nsid w:val="6EAA85FB"/>
    <w:multiLevelType w:val="hybridMultilevel"/>
    <w:lvl w:ilvl="0">
      <w:lvlJc w:val="left"/>
      <w:lvlText w:val="(%1)"/>
      <w:numFmt w:val="decimal"/>
      <w:start w:val="41"/>
    </w:lvl>
  </w:abstractNum>
  <w:abstractNum w:abstractNumId="38">
    <w:nsid w:val="3F06ECB2"/>
    <w:multiLevelType w:val="hybridMultilevel"/>
    <w:lvl w:ilvl="0">
      <w:lvlJc w:val="left"/>
      <w:lvlText w:val="(%1)"/>
      <w:numFmt w:val="decimal"/>
      <w:start w:val="883"/>
    </w:lvl>
  </w:abstractNum>
  <w:abstractNum w:abstractNumId="39">
    <w:nsid w:val="3B594807"/>
    <w:multiLevelType w:val="hybridMultilevel"/>
    <w:lvl w:ilvl="0">
      <w:lvlJc w:val="left"/>
      <w:lvlText w:val="%1."/>
      <w:numFmt w:val="decimal"/>
      <w:start w:val="1"/>
    </w:lvl>
  </w:abstractNum>
  <w:abstractNum w:abstractNumId="40">
    <w:nsid w:val="6CAA2304"/>
    <w:multiLevelType w:val="hybridMultilevel"/>
    <w:lvl w:ilvl="0">
      <w:lvlJc w:val="left"/>
      <w:lvlText w:val="%1."/>
      <w:numFmt w:val="decimal"/>
      <w:start w:val="2"/>
    </w:lvl>
  </w:abstractNum>
  <w:abstractNum w:abstractNumId="41">
    <w:nsid w:val="3F7C2FF4"/>
    <w:multiLevelType w:val="hybridMultilevel"/>
    <w:lvl w:ilvl="0">
      <w:lvlJc w:val="left"/>
      <w:lvlText w:val="%1."/>
      <w:numFmt w:val="decimal"/>
      <w:start w:val="3"/>
    </w:lvl>
  </w:abstractNum>
  <w:abstractNum w:abstractNumId="42">
    <w:nsid w:val="25413BEC"/>
    <w:multiLevelType w:val="hybridMultilevel"/>
    <w:lvl w:ilvl="0">
      <w:lvlJc w:val="left"/>
      <w:lvlText w:val="%1."/>
      <w:numFmt w:val="decimal"/>
      <w:start w:val="4"/>
    </w:lvl>
  </w:abstractNum>
  <w:abstractNum w:abstractNumId="43">
    <w:nsid w:val="17180B0B"/>
    <w:multiLevelType w:val="hybridMultilevel"/>
    <w:lvl w:ilvl="0">
      <w:lvlJc w:val="left"/>
      <w:lvlText w:val="%1."/>
      <w:numFmt w:val="decimal"/>
      <w:start w:val="5"/>
    </w:lvl>
  </w:abstractNum>
  <w:abstractNum w:abstractNumId="44">
    <w:nsid w:val="579328B9"/>
    <w:multiLevelType w:val="hybridMultilevel"/>
    <w:lvl w:ilvl="0">
      <w:lvlJc w:val="left"/>
      <w:lvlText w:val="$"/>
      <w:numFmt w:val="bullet"/>
      <w:start w:val="1"/>
    </w:lvl>
  </w:abstractNum>
  <w:abstractNum w:abstractNumId="45">
    <w:nsid w:val="5D205E20"/>
    <w:multiLevelType w:val="hybridMultilevel"/>
    <w:lvl w:ilvl="0">
      <w:lvlJc w:val="left"/>
      <w:lvlText w:val="$"/>
      <w:numFmt w:val="bullet"/>
      <w:start w:val="1"/>
    </w:lvl>
  </w:abstractNum>
  <w:abstractNum w:abstractNumId="46">
    <w:nsid w:val="11CCA8BA"/>
    <w:multiLevelType w:val="hybridMultilevel"/>
    <w:lvl w:ilvl="0">
      <w:lvlJc w:val="left"/>
      <w:lvlText w:val="(%1)"/>
      <w:numFmt w:val="decimal"/>
      <w:start w:val="1"/>
    </w:lvl>
  </w:abstractNum>
  <w:abstractNum w:abstractNumId="47">
    <w:nsid w:val="4D32AB86"/>
    <w:multiLevelType w:val="hybridMultilevel"/>
    <w:lvl w:ilvl="0">
      <w:lvlJc w:val="left"/>
      <w:lvlText w:val="%1."/>
      <w:numFmt w:val="decimal"/>
      <w:start w:val="7"/>
    </w:lvl>
  </w:abstractNum>
  <w:abstractNum w:abstractNumId="48">
    <w:nsid w:val="3F07ACC3"/>
    <w:multiLevelType w:val="hybridMultilevel"/>
    <w:lvl w:ilvl="0">
      <w:lvlJc w:val="left"/>
      <w:lvlText w:val="%1."/>
      <w:numFmt w:val="decimal"/>
      <w:start w:val="8"/>
    </w:lvl>
  </w:abstractNum>
  <w:abstractNum w:abstractNumId="49">
    <w:nsid w:val="6B47F63E"/>
    <w:multiLevelType w:val="hybridMultilevel"/>
    <w:lvl w:ilvl="0">
      <w:lvlJc w:val="left"/>
      <w:lvlText w:val="%1."/>
      <w:numFmt w:val="decimal"/>
      <w:start w:val="9"/>
    </w:lvl>
  </w:abstractNum>
  <w:abstractNum w:abstractNumId="50">
    <w:nsid w:val="5CB44A05"/>
    <w:multiLevelType w:val="hybridMultilevel"/>
    <w:lvl w:ilvl="0">
      <w:lvlJc w:val="left"/>
      <w:lvlText w:val="(%1)"/>
      <w:numFmt w:val="decimal"/>
      <w:start w:val="102"/>
    </w:lvl>
  </w:abstractNum>
  <w:abstractNum w:abstractNumId="51">
    <w:nsid w:val="16CF80F1"/>
    <w:multiLevelType w:val="hybridMultilevel"/>
    <w:lvl w:ilvl="0">
      <w:lvlJc w:val="left"/>
      <w:lvlText w:val="(%1)"/>
      <w:numFmt w:val="decimal"/>
      <w:start w:val="58"/>
    </w:lvl>
  </w:abstractNum>
  <w:abstractNum w:abstractNumId="52">
    <w:nsid w:val="1C695DEC"/>
    <w:multiLevelType w:val="hybridMultilevel"/>
    <w:lvl w:ilvl="0">
      <w:lvlJc w:val="left"/>
      <w:lvlText w:val="(%1)"/>
      <w:numFmt w:val="lowerRoman"/>
      <w:start w:val="1"/>
    </w:lvl>
  </w:abstractNum>
  <w:abstractNum w:abstractNumId="53">
    <w:nsid w:val="3FCFAED9"/>
    <w:multiLevelType w:val="hybridMultilevel"/>
    <w:lvl w:ilvl="0">
      <w:lvlJc w:val="left"/>
      <w:lvlText w:val="(%1)"/>
      <w:numFmt w:val="decimal"/>
      <w:start w:val="1"/>
    </w:lvl>
  </w:abstractNum>
  <w:abstractNum w:abstractNumId="54">
    <w:nsid w:val="F856867"/>
    <w:multiLevelType w:val="hybridMultilevel"/>
    <w:lvl w:ilvl="0">
      <w:lvlJc w:val="left"/>
      <w:lvlText w:val="%1."/>
      <w:numFmt w:val="decimal"/>
      <w:start w:val="12"/>
    </w:lvl>
  </w:abstractNum>
  <w:abstractNum w:abstractNumId="55">
    <w:nsid w:val="11B1CC33"/>
    <w:multiLevelType w:val="hybridMultilevel"/>
    <w:lvl w:ilvl="0">
      <w:lvlJc w:val="left"/>
      <w:lvlText w:val="+"/>
      <w:numFmt w:val="bullet"/>
      <w:start w:val="1"/>
    </w:lvl>
  </w:abstractNum>
  <w:abstractNum w:abstractNumId="56">
    <w:nsid w:val="2E22FBB7"/>
    <w:multiLevelType w:val="hybridMultilevel"/>
    <w:lvl w:ilvl="0">
      <w:lvlJc w:val="left"/>
      <w:lvlText w:val="*"/>
      <w:numFmt w:val="bullet"/>
      <w:start w:val="1"/>
    </w:lvl>
  </w:abstractNum>
  <w:abstractNum w:abstractNumId="57">
    <w:nsid w:val="29934699"/>
    <w:multiLevelType w:val="hybridMultilevel"/>
    <w:lvl w:ilvl="0">
      <w:lvlJc w:val="left"/>
      <w:lvlText w:val="**"/>
      <w:numFmt w:val="bullet"/>
      <w:start w:val="1"/>
    </w:lvl>
  </w:abstractNum>
  <w:abstractNum w:abstractNumId="58">
    <w:nsid w:val="77485850"/>
    <w:multiLevelType w:val="hybridMultilevel"/>
    <w:lvl w:ilvl="0">
      <w:lvlJc w:val="left"/>
      <w:lvlText w:val="%1."/>
      <w:numFmt w:val="decimal"/>
      <w:start w:val="1"/>
    </w:lvl>
    <w:lvl w:ilvl="1">
      <w:lvlJc w:val="left"/>
      <w:lvlText w:val="%2"/>
      <w:numFmt w:val="lowerLetter"/>
      <w:start w:val="1"/>
    </w:lvl>
  </w:abstractNum>
  <w:abstractNum w:abstractNumId="59">
    <w:nsid w:val="744939A3"/>
    <w:multiLevelType w:val="hybridMultilevel"/>
    <w:lvl w:ilvl="0">
      <w:lvlJc w:val="left"/>
      <w:lvlText w:val="%1"/>
      <w:numFmt w:val="decimal"/>
      <w:start w:val="1"/>
    </w:lvl>
    <w:lvl w:ilvl="1">
      <w:lvlJc w:val="left"/>
      <w:lvlText w:val="%2."/>
      <w:numFmt w:val="lowerLetter"/>
      <w:start w:val="2"/>
    </w:lvl>
  </w:abstractNum>
  <w:abstractNum w:abstractNumId="60">
    <w:nsid w:val="4FA0D2E3"/>
    <w:multiLevelType w:val="hybridMultilevel"/>
    <w:lvl w:ilvl="0">
      <w:lvlJc w:val="left"/>
      <w:lvlText w:val="%1."/>
      <w:numFmt w:val="decimal"/>
      <w:start w:val="4"/>
    </w:lvl>
    <w:lvl w:ilvl="1">
      <w:lvlJc w:val="left"/>
      <w:lvlText w:val="%2"/>
      <w:numFmt w:val="lowerLetter"/>
      <w:start w:val="1"/>
    </w:lvl>
  </w:abstractNum>
  <w:abstractNum w:abstractNumId="61">
    <w:nsid w:val="6B1D2C14"/>
    <w:multiLevelType w:val="hybridMultilevel"/>
    <w:lvl w:ilvl="0">
      <w:lvlJc w:val="left"/>
      <w:lvlText w:val="%1."/>
      <w:numFmt w:val="decimal"/>
      <w:start w:val="7"/>
    </w:lvl>
  </w:abstractNum>
  <w:abstractNum w:abstractNumId="62">
    <w:nsid w:val="68B867D3"/>
    <w:multiLevelType w:val="hybridMultilevel"/>
    <w:lvl w:ilvl="0">
      <w:lvlJc w:val="left"/>
      <w:lvlText w:val="1"/>
      <w:numFmt w:val="bullet"/>
      <w:start w:val="1"/>
    </w:lvl>
  </w:abstractNum>
  <w:abstractNum w:abstractNumId="63">
    <w:nsid w:val="3F7F5DD9"/>
    <w:multiLevelType w:val="hybridMultilevel"/>
    <w:lvl w:ilvl="0">
      <w:lvlJc w:val="left"/>
      <w:lvlText w:val="(%1)"/>
      <w:numFmt w:val="lowerRoman"/>
      <w:start w:val="3"/>
    </w:lvl>
  </w:abstractNum>
  <w:abstractNum w:abstractNumId="64">
    <w:nsid w:val="2AE05A34"/>
    <w:multiLevelType w:val="hybridMultilevel"/>
    <w:lvl w:ilvl="0">
      <w:lvlJc w:val="left"/>
      <w:lvlText w:val="(%1)"/>
      <w:numFmt w:val="lowerLetter"/>
      <w:start w:val="2"/>
    </w:lvl>
  </w:abstractNum>
  <w:abstractNum w:abstractNumId="65">
    <w:nsid w:val="32794FF7"/>
    <w:multiLevelType w:val="hybridMultilevel"/>
    <w:lvl w:ilvl="0">
      <w:lvlJc w:val="left"/>
      <w:lvlText w:val="(%1)"/>
      <w:numFmt w:val="lowerLetter"/>
      <w:start w:val="1"/>
    </w:lvl>
  </w:abstractNum>
  <w:abstractNum w:abstractNumId="66">
    <w:nsid w:val="5454945E"/>
    <w:multiLevelType w:val="hybridMultilevel"/>
    <w:lvl w:ilvl="0">
      <w:lvlJc w:val="left"/>
      <w:lvlText w:val="(%1)"/>
      <w:numFmt w:val="lowerLetter"/>
      <w:start w:val="3"/>
    </w:lvl>
  </w:abstractNum>
  <w:abstractNum w:abstractNumId="67">
    <w:nsid w:val="4DEFDFA0"/>
    <w:multiLevelType w:val="hybridMultilevel"/>
    <w:lvl w:ilvl="0">
      <w:lvlJc w:val="left"/>
      <w:lvlText w:val="(%1)"/>
      <w:numFmt w:val="lowerLetter"/>
      <w:start w:val="4"/>
    </w:lvl>
  </w:abstractNum>
  <w:abstractNum w:abstractNumId="68">
    <w:nsid w:val="2123D5F2"/>
    <w:multiLevelType w:val="hybridMultilevel"/>
    <w:lvl w:ilvl="0">
      <w:lvlJc w:val="left"/>
      <w:lvlText w:val="(%1)"/>
      <w:numFmt w:val="lowerLetter"/>
      <w:start w:val="5"/>
    </w:lvl>
  </w:abstractNum>
  <w:abstractNum w:abstractNumId="69">
    <w:nsid w:val="135B8110"/>
    <w:multiLevelType w:val="hybridMultilevel"/>
    <w:lvl w:ilvl="0">
      <w:lvlJc w:val="left"/>
      <w:lvlText w:val="(%1)"/>
      <w:numFmt w:val="lowerLetter"/>
      <w:start w:val="1"/>
    </w:lvl>
  </w:abstractNum>
  <w:abstractNum w:abstractNumId="70">
    <w:nsid w:val="94927A8"/>
    <w:multiLevelType w:val="hybridMultilevel"/>
    <w:lvl w:ilvl="0">
      <w:lvlJc w:val="left"/>
      <w:lvlText w:val="(%1)"/>
      <w:numFmt w:val="lowerLetter"/>
      <w:start w:val="4"/>
    </w:lvl>
  </w:abstractNum>
  <w:abstractNum w:abstractNumId="71">
    <w:nsid w:val="DCDF8F6"/>
    <w:multiLevelType w:val="hybridMultilevel"/>
    <w:lvl w:ilvl="0">
      <w:lvlJc w:val="left"/>
      <w:lvlText w:val="(%1)"/>
      <w:numFmt w:val="lowerLetter"/>
      <w:start w:val="1"/>
    </w:lvl>
  </w:abstractNum>
  <w:abstractNum w:abstractNumId="72">
    <w:nsid w:val="52D7B105"/>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73">
    <w:nsid w:val="2E8A6394"/>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
    </w:lvl>
  </w:abstractNum>
  <w:abstractNum w:abstractNumId="74">
    <w:nsid w:val="24E60401"/>
    <w:multiLevelType w:val="hybridMultilevel"/>
    <w:lvl w:ilvl="0">
      <w:lvlJc w:val="left"/>
      <w:lvlText w:val="(%1)"/>
      <w:numFmt w:val="lowerRoman"/>
      <w:start w:val="2"/>
    </w:lvl>
    <w:lvl w:ilvl="1">
      <w:lvlJc w:val="left"/>
      <w:lvlText w:val="(%2)"/>
      <w:numFmt w:val="upperLetter"/>
      <w:start w:val="1"/>
    </w:lvl>
  </w:abstractNum>
  <w:abstractNum w:abstractNumId="75">
    <w:nsid w:val="2A6AD9BE"/>
    <w:multiLevelType w:val="hybridMultilevel"/>
    <w:lvl w:ilvl="0">
      <w:lvlJc w:val="left"/>
      <w:lvlText w:val="%1"/>
      <w:numFmt w:val="lowerLetter"/>
      <w:start w:val="1"/>
    </w:lvl>
    <w:lvl w:ilvl="1">
      <w:lvlJc w:val="left"/>
      <w:lvlText w:val="(%2)"/>
      <w:numFmt w:val="lowerRoman"/>
      <w:start w:val="3"/>
    </w:lvl>
  </w:abstractNum>
  <w:abstractNum w:abstractNumId="76">
    <w:nsid w:val="BAAC1B4"/>
    <w:multiLevelType w:val="hybridMultilevel"/>
    <w:lvl w:ilvl="0">
      <w:lvlJc w:val="left"/>
      <w:lvlText w:val="(%1)"/>
      <w:numFmt w:val="lowerLetter"/>
      <w:start w:val="3"/>
    </w:lvl>
    <w:lvl w:ilvl="1">
      <w:lvlJc w:val="left"/>
      <w:lvlText w:val="%2"/>
      <w:numFmt w:val="lowerRoman"/>
      <w:start w:val="1"/>
    </w:lvl>
  </w:abstractNum>
  <w:abstractNum w:abstractNumId="77">
    <w:nsid w:val="36B2ACBC"/>
    <w:multiLevelType w:val="hybridMultilevel"/>
    <w:lvl w:ilvl="0">
      <w:lvlJc w:val="left"/>
      <w:lvlText w:val="(%1)"/>
      <w:numFmt w:val="lowerLetter"/>
      <w:start w:val="4"/>
    </w:lvl>
  </w:abstractNum>
  <w:abstractNum w:abstractNumId="78">
    <w:nsid w:val="779D8544"/>
    <w:multiLevelType w:val="hybridMultilevel"/>
    <w:lvl w:ilvl="0">
      <w:lvlJc w:val="left"/>
      <w:lvlText w:val="(%1)"/>
      <w:numFmt w:val="lowerLetter"/>
      <w:start w:val="1"/>
    </w:lvl>
  </w:abstractNum>
  <w:abstractNum w:abstractNumId="79">
    <w:nsid w:val="4AB26E78"/>
    <w:multiLevelType w:val="hybridMultilevel"/>
    <w:lvl w:ilvl="0">
      <w:lvlJc w:val="left"/>
      <w:lvlText w:val="(%1)"/>
      <w:numFmt w:val="lowerLetter"/>
      <w:start w:val="1"/>
    </w:lvl>
  </w:abstractNum>
  <w:abstractNum w:abstractNumId="80">
    <w:nsid w:val="21FAA2FA"/>
    <w:multiLevelType w:val="hybridMultilevel"/>
    <w:lvl w:ilvl="0">
      <w:lvlJc w:val="left"/>
      <w:lvlText w:val="(%1)"/>
      <w:numFmt w:val="lowerLetter"/>
      <w:start w:val="4"/>
    </w:lvl>
  </w:abstractNum>
  <w:abstractNum w:abstractNumId="81">
    <w:nsid w:val="5451CF49"/>
    <w:multiLevelType w:val="hybridMultilevel"/>
    <w:lvl w:ilvl="0">
      <w:lvlJc w:val="left"/>
      <w:lvlText w:val="(%1)"/>
      <w:numFmt w:val="lowerLetter"/>
      <w:start w:val="2"/>
    </w:lvl>
  </w:abstractNum>
  <w:abstractNum w:abstractNumId="82">
    <w:nsid w:val="6181EF69"/>
    <w:multiLevelType w:val="hybridMultilevel"/>
    <w:lvl w:ilvl="0">
      <w:lvlJc w:val="left"/>
      <w:lvlText w:val="(%1)"/>
      <w:numFmt w:val="lowerLetter"/>
      <w:start w:val="1"/>
    </w:lvl>
    <w:lvl w:ilvl="1">
      <w:lvlJc w:val="left"/>
      <w:lvlText w:val="(%2)"/>
      <w:numFmt w:val="lowerRoman"/>
      <w:start w:val="1"/>
    </w:lvl>
  </w:abstractNum>
  <w:abstractNum w:abstractNumId="83">
    <w:nsid w:val="3E6400E6"/>
    <w:multiLevelType w:val="hybridMultilevel"/>
    <w:lvl w:ilvl="0">
      <w:lvlJc w:val="left"/>
      <w:lvlText w:val="%1"/>
      <w:numFmt w:val="lowerRoman"/>
      <w:start w:val="1"/>
    </w:lvl>
    <w:lvl w:ilvl="1">
      <w:lvlJc w:val="left"/>
      <w:lvlText w:val="(%2)"/>
      <w:numFmt w:val="lowerLetter"/>
      <w:start w:val="1"/>
    </w:lvl>
  </w:abstractNum>
  <w:abstractNum w:abstractNumId="84">
    <w:nsid w:val="14217E23"/>
    <w:multiLevelType w:val="hybridMultilevel"/>
    <w:lvl w:ilvl="0">
      <w:lvlJc w:val="left"/>
      <w:lvlText w:val="(%1)"/>
      <w:numFmt w:val="lowerRoman"/>
      <w:start w:val="4"/>
    </w:lvl>
    <w:lvl w:ilvl="1">
      <w:lvlJc w:val="left"/>
      <w:lvlText w:val="%2"/>
      <w:numFmt w:val="lowerLetter"/>
      <w:start w:val="1"/>
    </w:lvl>
  </w:abstractNum>
  <w:abstractNum w:abstractNumId="85">
    <w:nsid w:val="710757D0"/>
    <w:multiLevelType w:val="hybridMultilevel"/>
    <w:lvl w:ilvl="0">
      <w:lvlJc w:val="left"/>
      <w:lvlText w:val="(%1)"/>
      <w:numFmt w:val="lowerLetter"/>
      <w:start w:val="1"/>
    </w:lvl>
  </w:abstractNum>
  <w:abstractNum w:abstractNumId="86">
    <w:nsid w:val="5015CD1A"/>
    <w:multiLevelType w:val="hybridMultilevel"/>
    <w:lvl w:ilvl="0">
      <w:lvlJc w:val="left"/>
      <w:lvlText w:val="(%1)"/>
      <w:numFmt w:val="lowerLetter"/>
      <w:start w:val="3"/>
    </w:lvl>
  </w:abstractNum>
  <w:abstractNum w:abstractNumId="87">
    <w:nsid w:val="424479DA"/>
    <w:multiLevelType w:val="hybridMultilevel"/>
    <w:lvl w:ilvl="0">
      <w:lvlJc w:val="left"/>
      <w:lvlText w:val="(%1)"/>
      <w:numFmt w:val="lowerLetter"/>
      <w:start w:val="1"/>
    </w:lvl>
  </w:abstractNum>
  <w:abstractNum w:abstractNumId="88">
    <w:nsid w:val="1A9A9E69"/>
    <w:multiLevelType w:val="hybridMultilevel"/>
    <w:lvl w:ilvl="0">
      <w:lvlJc w:val="left"/>
      <w:lvlText w:val="(%1)"/>
      <w:numFmt w:val="lowerLetter"/>
      <w:start w:val="2"/>
    </w:lvl>
  </w:abstractNum>
  <w:abstractNum w:abstractNumId="89">
    <w:nsid w:val="475E256A"/>
    <w:multiLevelType w:val="hybridMultilevel"/>
    <w:lvl w:ilvl="0">
      <w:lvlJc w:val="left"/>
      <w:lvlText w:val="(%1)"/>
      <w:numFmt w:val="decimal"/>
      <w:start w:val="1"/>
    </w:lvl>
  </w:abstractNum>
  <w:abstractNum w:abstractNumId="90">
    <w:nsid w:val="368DB37E"/>
    <w:multiLevelType w:val="hybridMultilevel"/>
    <w:lvl w:ilvl="0">
      <w:lvlJc w:val="left"/>
      <w:lvlText w:val="(%1)"/>
      <w:numFmt w:val="decimal"/>
      <w:start w:val="1"/>
    </w:lvl>
  </w:abstractNum>
  <w:abstractNum w:abstractNumId="91">
    <w:nsid w:val="6A3B714C"/>
    <w:multiLevelType w:val="hybridMultilevel"/>
    <w:lvl w:ilvl="0">
      <w:lvlJc w:val="left"/>
      <w:lvlText w:val="(%1)"/>
      <w:numFmt w:val="decimal"/>
      <w:start w:val="2"/>
    </w:lvl>
  </w:abstractNum>
  <w:abstractNum w:abstractNumId="92">
    <w:nsid w:val="327B517E"/>
    <w:multiLevelType w:val="hybridMultilevel"/>
    <w:lvl w:ilvl="0">
      <w:lvlJc w:val="left"/>
      <w:lvlText w:val="(%1)"/>
      <w:numFmt w:val="decimal"/>
      <w:start w:val="1"/>
    </w:lvl>
  </w:abstractNum>
  <w:abstractNum w:abstractNumId="93">
    <w:nsid w:val="1F461B51"/>
    <w:multiLevelType w:val="hybridMultilevel"/>
    <w:lvl w:ilvl="0">
      <w:lvlJc w:val="left"/>
      <w:lvlText w:val="(%1)"/>
      <w:numFmt w:val="lowerLetter"/>
      <w:start w:val="2"/>
    </w:lvl>
  </w:abstractNum>
  <w:abstractNum w:abstractNumId="94">
    <w:nsid w:val="29BACF25"/>
    <w:multiLevelType w:val="hybridMultilevel"/>
    <w:lvl w:ilvl="0">
      <w:lvlJc w:val="left"/>
      <w:lvlText w:val="(%1)"/>
      <w:numFmt w:val="lowerLetter"/>
      <w:start w:val="1"/>
    </w:lvl>
    <w:lvl w:ilvl="1">
      <w:lvlJc w:val="left"/>
      <w:lvlText w:val="(%2)"/>
      <w:numFmt w:val="lowerRoman"/>
      <w:start w:val="1"/>
    </w:lvl>
  </w:abstractNum>
  <w:abstractNum w:abstractNumId="95">
    <w:nsid w:val="5D5BABB3"/>
    <w:multiLevelType w:val="hybridMultilevel"/>
    <w:lvl w:ilvl="0">
      <w:lvlJc w:val="left"/>
      <w:lvlText w:val="%1"/>
      <w:numFmt w:val="lowerLetter"/>
      <w:start w:val="1"/>
    </w:lvl>
    <w:lvl w:ilvl="1">
      <w:lvlJc w:val="left"/>
      <w:lvlText w:val="(%2)"/>
      <w:numFmt w:val="lowerRoman"/>
      <w:start w:val="12"/>
    </w:lvl>
  </w:abstractNum>
  <w:abstractNum w:abstractNumId="96">
    <w:nsid w:val="51BF6B48"/>
    <w:multiLevelType w:val="hybridMultilevel"/>
    <w:lvl w:ilvl="0">
      <w:lvlJc w:val="left"/>
      <w:lvlText w:val="(%1)"/>
      <w:numFmt w:val="lowerLetter"/>
      <w:start w:val="3"/>
    </w:lvl>
    <w:lvl w:ilvl="1">
      <w:lvlJc w:val="left"/>
      <w:lvlText w:val="(%2)"/>
      <w:numFmt w:val="lowerRoman"/>
      <w:start w:val="1"/>
    </w:lvl>
  </w:abstractNum>
  <w:abstractNum w:abstractNumId="97">
    <w:nsid w:val="7E0F6384"/>
    <w:multiLevelType w:val="hybridMultilevel"/>
    <w:lvl w:ilvl="0">
      <w:lvlJc w:val="left"/>
      <w:lvlText w:val="(%1)"/>
      <w:numFmt w:val="lowerRoman"/>
      <w:start w:val="3"/>
    </w:lvl>
  </w:abstractNum>
  <w:abstractNum w:abstractNumId="98">
    <w:nsid w:val="2B4B8B53"/>
    <w:multiLevelType w:val="hybridMultilevel"/>
    <w:lvl w:ilvl="0">
      <w:lvlJc w:val="left"/>
      <w:lvlText w:val="(%1)"/>
      <w:numFmt w:val="lowerRoman"/>
      <w:start w:val="1"/>
    </w:lvl>
  </w:abstractNum>
  <w:abstractNum w:abstractNumId="99">
    <w:nsid w:val="72E3413A"/>
    <w:multiLevelType w:val="hybridMultilevel"/>
    <w:lvl w:ilvl="0">
      <w:lvlJc w:val="left"/>
      <w:lvlText w:val="(%1)"/>
      <w:numFmt w:val="lowerRoman"/>
      <w:start w:val="3"/>
    </w:lvl>
  </w:abstractNum>
  <w:abstractNum w:abstractNumId="100">
    <w:nsid w:val="116AE494"/>
    <w:multiLevelType w:val="hybridMultilevel"/>
    <w:lvl w:ilvl="0">
      <w:lvlJc w:val="left"/>
      <w:lvlText w:val="(%1)"/>
      <w:numFmt w:val="lowerRoman"/>
      <w:start w:val="1"/>
    </w:lvl>
  </w:abstractNum>
  <w:abstractNum w:abstractNumId="101">
    <w:nsid w:val="3494B2FB"/>
    <w:multiLevelType w:val="hybridMultilevel"/>
    <w:lvl w:ilvl="0">
      <w:lvlJc w:val="left"/>
      <w:lvlText w:val="(%1)"/>
      <w:numFmt w:val="lowerRoman"/>
      <w:start w:val="2"/>
    </w:lvl>
  </w:abstractNum>
  <w:abstractNum w:abstractNumId="102">
    <w:nsid w:val="B13A31"/>
    <w:multiLevelType w:val="hybridMultilevel"/>
    <w:lvl w:ilvl="0">
      <w:lvlJc w:val="left"/>
      <w:lvlText w:val="(%1)"/>
      <w:numFmt w:val="lowerRoman"/>
      <w:start w:val="4"/>
    </w:lvl>
  </w:abstractNum>
  <w:abstractNum w:abstractNumId="103">
    <w:nsid w:val="64429599"/>
    <w:multiLevelType w:val="hybridMultilevel"/>
    <w:lvl w:ilvl="0">
      <w:lvlJc w:val="left"/>
      <w:lvlText w:val="(%1)"/>
      <w:numFmt w:val="lowerLetter"/>
      <w:start w:val="2"/>
    </w:lvl>
  </w:abstractNum>
  <w:abstractNum w:abstractNumId="104">
    <w:nsid w:val="631F1690"/>
    <w:multiLevelType w:val="hybridMultilevel"/>
    <w:lvl w:ilvl="0">
      <w:lvlJc w:val="left"/>
      <w:lvlText w:val="(%1)"/>
      <w:numFmt w:val="lowerRoman"/>
      <w:start w:val="6"/>
    </w:lvl>
  </w:abstractNum>
  <w:abstractNum w:abstractNumId="105">
    <w:nsid w:val="25973E32"/>
    <w:multiLevelType w:val="hybridMultilevel"/>
    <w:lvl w:ilvl="0">
      <w:lvlJc w:val="left"/>
      <w:lvlText w:val="%1"/>
      <w:numFmt w:val="lowerLetter"/>
      <w:start w:val="1"/>
    </w:lvl>
    <w:lvl w:ilvl="1">
      <w:lvlJc w:val="left"/>
      <w:lvlText w:val="(%2)"/>
      <w:numFmt w:val="lowerLetter"/>
      <w:start w:val="1"/>
    </w:lvl>
  </w:abstractNum>
  <w:abstractNum w:abstractNumId="106">
    <w:nsid w:val="EAD6F57"/>
    <w:multiLevelType w:val="hybridMultilevel"/>
    <w:lvl w:ilvl="0">
      <w:lvlJc w:val="left"/>
      <w:lvlText w:val="(%1)"/>
      <w:numFmt w:val="lowerLetter"/>
      <w:start w:val="61"/>
    </w:lvl>
    <w:lvl w:ilvl="1">
      <w:lvlJc w:val="left"/>
      <w:lvlText w:val="%2"/>
      <w:numFmt w:val="lowerLetter"/>
      <w:start w:val="1"/>
    </w:lvl>
  </w:abstractNum>
  <w:abstractNum w:abstractNumId="107">
    <w:nsid w:val="6EC9D844"/>
    <w:multiLevelType w:val="hybridMultilevel"/>
    <w:lvl w:ilvl="0">
      <w:lvlJc w:val="left"/>
      <w:lvlText w:val="(%1)"/>
      <w:numFmt w:val="lowerLetter"/>
      <w:start w:val="5"/>
    </w:lvl>
  </w:abstractNum>
  <w:abstractNum w:abstractNumId="108">
    <w:nsid w:val="5C49EAEE"/>
    <w:multiLevelType w:val="hybridMultilevel"/>
    <w:lvl w:ilvl="0">
      <w:lvlJc w:val="left"/>
      <w:lvlText w:val="(%1)"/>
      <w:numFmt w:val="lowerLetter"/>
      <w:start w:val="1"/>
    </w:lvl>
  </w:abstractNum>
  <w:abstractNum w:abstractNumId="109">
    <w:nsid w:val="64AF49B"/>
    <w:multiLevelType w:val="hybridMultilevel"/>
    <w:lvl w:ilvl="0">
      <w:lvlJc w:val="left"/>
      <w:lvlText w:val="(%1)"/>
      <w:numFmt w:val="lowerLetter"/>
      <w:start w:val="4"/>
    </w:lvl>
  </w:abstractNum>
  <w:abstractNum w:abstractNumId="110">
    <w:nsid w:val="397C46BC"/>
    <w:multiLevelType w:val="hybridMultilevel"/>
    <w:lvl w:ilvl="0">
      <w:lvlJc w:val="left"/>
      <w:lvlText w:val="(%1)"/>
      <w:numFmt w:val="lowerLetter"/>
      <w:start w:val="1"/>
    </w:lvl>
  </w:abstractNum>
  <w:abstractNum w:abstractNumId="111">
    <w:nsid w:val="7E448DE9"/>
    <w:multiLevelType w:val="hybridMultilevel"/>
    <w:lvl w:ilvl="0">
      <w:lvlJc w:val="left"/>
      <w:lvlText w:val="(%1)"/>
      <w:numFmt w:val="lowerLetter"/>
      <w:start w:val="7"/>
    </w:lvl>
  </w:abstractNum>
  <w:abstractNum w:abstractNumId="112">
    <w:nsid w:val="5A9CC3E5"/>
    <w:multiLevelType w:val="hybridMultilevel"/>
    <w:lvl w:ilvl="0">
      <w:lvlJc w:val="left"/>
      <w:lvlText w:val="(%1)"/>
      <w:numFmt w:val="lowerLetter"/>
      <w:start w:val="1"/>
    </w:lvl>
  </w:abstractNum>
  <w:abstractNum w:abstractNumId="113">
    <w:nsid w:val="1AFE3625"/>
    <w:multiLevelType w:val="hybridMultilevel"/>
    <w:lvl w:ilvl="0">
      <w:lvlJc w:val="left"/>
      <w:lvlText w:val="(%1)"/>
      <w:numFmt w:val="lowerLetter"/>
      <w:start w:val="1"/>
    </w:lvl>
  </w:abstractNum>
  <w:abstractNum w:abstractNumId="114">
    <w:nsid w:val="3CA88ECF"/>
    <w:multiLevelType w:val="hybridMultilevel"/>
    <w:lvl w:ilvl="0">
      <w:lvlJc w:val="left"/>
      <w:lvlText w:val="(%1)"/>
      <w:numFmt w:val="lowerLetter"/>
      <w:start w:val="2"/>
    </w:lvl>
    <w:lvl w:ilvl="1">
      <w:lvlJc w:val="left"/>
      <w:lvlText w:val="(%2)"/>
      <w:numFmt w:val="lowerRoman"/>
      <w:start w:val="1"/>
    </w:lvl>
  </w:abstractNum>
  <w:abstractNum w:abstractNumId="115">
    <w:nsid w:val="6EBE4208"/>
    <w:multiLevelType w:val="hybridMultilevel"/>
    <w:lvl w:ilvl="0">
      <w:lvlJc w:val="left"/>
      <w:lvlText w:val="(%1)"/>
      <w:numFmt w:val="lowerLetter"/>
      <w:start w:val="1"/>
    </w:lvl>
  </w:abstractNum>
  <w:abstractNum w:abstractNumId="116">
    <w:nsid w:val="C058DF5"/>
    <w:multiLevelType w:val="hybridMultilevel"/>
    <w:lvl w:ilvl="0">
      <w:lvlJc w:val="left"/>
      <w:lvlText w:val="(%1)"/>
      <w:numFmt w:val="lowerRoman"/>
      <w:start w:val="1"/>
    </w:lvl>
  </w:abstractNum>
  <w:abstractNum w:abstractNumId="117">
    <w:nsid w:val="CBE5BE9"/>
    <w:multiLevelType w:val="hybridMultilevel"/>
    <w:lvl w:ilvl="0">
      <w:lvlJc w:val="left"/>
      <w:lvlText w:val="(%1)"/>
      <w:numFmt w:val="lowerLetter"/>
      <w:start w:val="1"/>
    </w:lvl>
  </w:abstractNum>
  <w:abstractNum w:abstractNumId="118">
    <w:nsid w:val="3102BBE2"/>
    <w:multiLevelType w:val="hybridMultilevel"/>
    <w:lvl w:ilvl="0">
      <w:lvlJc w:val="left"/>
      <w:lvlText w:val="(%1)"/>
      <w:numFmt w:val="lowerLetter"/>
      <w:start w:val="2"/>
    </w:lvl>
  </w:abstractNum>
  <w:abstractNum w:abstractNumId="119">
    <w:nsid w:val="26A02C5E"/>
    <w:multiLevelType w:val="hybridMultilevel"/>
    <w:lvl w:ilvl="0">
      <w:lvlJc w:val="left"/>
      <w:lvlText w:val="(%1)"/>
      <w:numFmt w:val="lowerLetter"/>
      <w:start w:val="1"/>
    </w:lvl>
  </w:abstractNum>
  <w:abstractNum w:abstractNumId="120">
    <w:nsid w:val="541C8153"/>
    <w:multiLevelType w:val="hybridMultilevel"/>
    <w:lvl w:ilvl="0">
      <w:lvlJc w:val="left"/>
      <w:lvlText w:val="(%1)"/>
      <w:numFmt w:val="lowerRoman"/>
      <w:start w:val="2"/>
    </w:lvl>
  </w:abstractNum>
  <w:abstractNum w:abstractNumId="121">
    <w:nsid w:val="67906F60"/>
    <w:multiLevelType w:val="hybridMultilevel"/>
    <w:lvl w:ilvl="0">
      <w:lvlJc w:val="left"/>
      <w:lvlText w:val="(%1)"/>
      <w:numFmt w:val="lowerRoman"/>
      <w:start w:val="1"/>
    </w:lvl>
  </w:abstractNum>
  <w:abstractNum w:abstractNumId="122">
    <w:nsid w:val="10DB9DAA"/>
    <w:multiLevelType w:val="hybridMultilevel"/>
    <w:lvl w:ilvl="0">
      <w:lvlJc w:val="left"/>
      <w:lvlText w:val="(%1)"/>
      <w:numFmt w:val="lowerLetter"/>
      <w:start w:val="3"/>
    </w:lvl>
  </w:abstractNum>
  <w:abstractNum w:abstractNumId="123">
    <w:nsid w:val="697D2D2"/>
    <w:multiLevelType w:val="hybridMultilevel"/>
    <w:lvl w:ilvl="0">
      <w:lvlJc w:val="left"/>
      <w:lvlText w:val="(%1)"/>
      <w:numFmt w:val="lowerLetter"/>
      <w:start w:val="6"/>
    </w:lvl>
  </w:abstractNum>
  <w:abstractNum w:abstractNumId="124">
    <w:nsid w:val="6D68AB2"/>
    <w:multiLevelType w:val="hybridMultilevel"/>
    <w:lvl w:ilvl="0">
      <w:lvlJc w:val="left"/>
      <w:lvlText w:val="(%1)"/>
      <w:numFmt w:val="lowerRoman"/>
      <w:start w:val="1"/>
    </w:lvl>
    <w:lvl w:ilvl="1">
      <w:lvlJc w:val="left"/>
      <w:lvlText w:val="(%2)"/>
      <w:numFmt w:val="lowerRoman"/>
      <w:start w:val="1"/>
    </w:lvl>
  </w:abstractNum>
  <w:abstractNum w:abstractNumId="125">
    <w:nsid w:val="3A966CD0"/>
    <w:multiLevelType w:val="hybridMultilevel"/>
    <w:lvl w:ilvl="0">
      <w:lvlJc w:val="left"/>
      <w:lvlText w:val="(%1)"/>
      <w:numFmt w:val="lowerLetter"/>
      <w:start w:val="10"/>
    </w:lvl>
  </w:abstractNum>
  <w:abstractNum w:abstractNumId="126">
    <w:nsid w:val="63F37E85"/>
    <w:multiLevelType w:val="hybridMultilevel"/>
    <w:lvl w:ilvl="0">
      <w:lvlJc w:val="left"/>
      <w:lvlText w:val="(%1)"/>
      <w:numFmt w:val="lowerLetter"/>
      <w:start w:val="12"/>
    </w:lvl>
  </w:abstractNum>
  <w:abstractNum w:abstractNumId="127">
    <w:nsid w:val="5895F5FA"/>
    <w:multiLevelType w:val="hybridMultilevel"/>
    <w:lvl w:ilvl="0">
      <w:lvlJc w:val="left"/>
      <w:lvlText w:val="(%1)"/>
      <w:numFmt w:val="lowerLetter"/>
      <w:start w:val="1"/>
    </w:lvl>
  </w:abstractNum>
  <w:abstractNum w:abstractNumId="128">
    <w:nsid w:val="38A5D054"/>
    <w:multiLevelType w:val="hybridMultilevel"/>
    <w:lvl w:ilvl="0">
      <w:lvlJc w:val="left"/>
      <w:lvlText w:val="(%1)"/>
      <w:numFmt w:val="lowerLetter"/>
      <w:start w:val="1"/>
    </w:lvl>
    <w:lvl w:ilvl="1">
      <w:lvlJc w:val="left"/>
      <w:lvlText w:val="(%2)"/>
      <w:numFmt w:val="lowerRoman"/>
      <w:start w:val="1"/>
    </w:lvl>
  </w:abstractNum>
  <w:abstractNum w:abstractNumId="129">
    <w:nsid w:val="F3F09D8"/>
    <w:multiLevelType w:val="hybridMultilevel"/>
    <w:lvl w:ilvl="0">
      <w:lvlJc w:val="left"/>
      <w:lvlText w:val="(%1)"/>
      <w:numFmt w:val="lowerLetter"/>
      <w:start w:val="4"/>
    </w:lvl>
  </w:abstractNum>
  <w:abstractNum w:abstractNumId="130">
    <w:nsid w:val="4B793735"/>
    <w:multiLevelType w:val="hybridMultilevel"/>
    <w:lvl w:ilvl="0">
      <w:lvlJc w:val="left"/>
      <w:lvlText w:val="(%1)"/>
      <w:numFmt w:val="lowerLetter"/>
      <w:start w:val="1"/>
    </w:lvl>
  </w:abstractNum>
  <w:abstractNum w:abstractNumId="131">
    <w:nsid w:val="4A10B4E8"/>
    <w:multiLevelType w:val="hybridMultilevel"/>
    <w:lvl w:ilvl="0">
      <w:lvlJc w:val="left"/>
      <w:lvlText w:val="(%1)"/>
      <w:numFmt w:val="lowerLetter"/>
      <w:start w:val="7"/>
    </w:lvl>
  </w:abstractNum>
  <w:abstractNum w:abstractNumId="132">
    <w:nsid w:val="43D3BCD4"/>
    <w:multiLevelType w:val="hybridMultilevel"/>
    <w:lvl w:ilvl="0">
      <w:lvlJc w:val="left"/>
      <w:lvlText w:val="(%1)"/>
      <w:numFmt w:val="lowerLetter"/>
      <w:start w:val="1"/>
    </w:lvl>
  </w:abstractNum>
  <w:abstractNum w:abstractNumId="133">
    <w:nsid w:val="4C2A7166"/>
    <w:multiLevelType w:val="hybridMultilevel"/>
    <w:lvl w:ilvl="0">
      <w:lvlJc w:val="left"/>
      <w:lvlText w:val="(%1)"/>
      <w:numFmt w:val="lowerLetter"/>
      <w:start w:val="3"/>
    </w:lvl>
  </w:abstractNum>
  <w:abstractNum w:abstractNumId="134">
    <w:nsid w:val="2E534A82"/>
    <w:multiLevelType w:val="hybridMultilevel"/>
    <w:lvl w:ilvl="0">
      <w:lvlJc w:val="left"/>
      <w:lvlText w:val="(%1)"/>
      <w:numFmt w:val="lowerLetter"/>
      <w:start w:val="1"/>
    </w:lvl>
  </w:abstractNum>
  <w:abstractNum w:abstractNumId="135">
    <w:nsid w:val="26F2D364"/>
    <w:multiLevelType w:val="hybridMultilevel"/>
    <w:lvl w:ilvl="0">
      <w:lvlJc w:val="left"/>
      <w:lvlText w:val="(%1)"/>
      <w:numFmt w:val="lowerLetter"/>
      <w:start w:val="1"/>
    </w:lvl>
  </w:abstractNum>
  <w:abstractNum w:abstractNumId="136">
    <w:nsid w:val="71C1AF98"/>
    <w:multiLevelType w:val="hybridMultilevel"/>
    <w:lvl w:ilvl="0">
      <w:lvlJc w:val="left"/>
      <w:lvlText w:val="(%1)"/>
      <w:numFmt w:val="lowerLetter"/>
      <w:start w:val="1"/>
    </w:lvl>
  </w:abstractNum>
  <w:abstractNum w:abstractNumId="137">
    <w:nsid w:val="3D00B9D9"/>
    <w:multiLevelType w:val="hybridMultilevel"/>
    <w:lvl w:ilvl="0">
      <w:lvlJc w:val="left"/>
      <w:lvlText w:val="(%1)"/>
      <w:numFmt w:val="lowerLetter"/>
      <w:start w:val="1"/>
    </w:lvl>
    <w:lvl w:ilvl="1">
      <w:lvlJc w:val="left"/>
      <w:lvlText w:val="(%2)"/>
      <w:numFmt w:val="lowerLetter"/>
      <w:start w:val="9"/>
    </w:lvl>
  </w:abstractNum>
  <w:abstractNum w:abstractNumId="138">
    <w:nsid w:val="15BCABA8"/>
    <w:multiLevelType w:val="hybridMultilevel"/>
    <w:lvl w:ilvl="0">
      <w:lvlJc w:val="left"/>
      <w:lvlText w:val="(%1)"/>
      <w:numFmt w:val="lowerRoman"/>
      <w:start w:val="2"/>
    </w:lvl>
  </w:abstractNum>
  <w:abstractNum w:abstractNumId="139">
    <w:nsid w:val="4E0B9A87"/>
    <w:multiLevelType w:val="hybridMultilevel"/>
    <w:lvl w:ilvl="0">
      <w:lvlJc w:val="left"/>
      <w:lvlText w:val="(%1)"/>
      <w:numFmt w:val="lowerLetter"/>
      <w:start w:val="2"/>
    </w:lvl>
  </w:abstractNum>
  <w:abstractNum w:abstractNumId="140">
    <w:nsid w:val="434BAE75"/>
    <w:multiLevelType w:val="hybridMultilevel"/>
    <w:lvl w:ilvl="0">
      <w:lvlJc w:val="left"/>
      <w:lvlText w:val="%1"/>
      <w:numFmt w:val="lowerRoman"/>
      <w:start w:val="1"/>
    </w:lvl>
    <w:lvl w:ilvl="1">
      <w:lvlJc w:val="left"/>
      <w:lvlText w:val="(%2)"/>
      <w:numFmt w:val="lowerLetter"/>
      <w:start w:val="4"/>
    </w:lvl>
  </w:abstractNum>
  <w:abstractNum w:abstractNumId="141">
    <w:nsid w:val="4F38F265"/>
    <w:multiLevelType w:val="hybridMultilevel"/>
    <w:lvl w:ilvl="0">
      <w:lvlJc w:val="left"/>
      <w:lvlText w:val="(%1)"/>
      <w:numFmt w:val="lowerRoman"/>
      <w:start w:val="4"/>
    </w:lvl>
    <w:lvl w:ilvl="1">
      <w:lvlJc w:val="left"/>
      <w:lvlText w:val="%2"/>
      <w:numFmt w:val="lowerLetter"/>
      <w:start w:val="1"/>
    </w:lvl>
  </w:abstractNum>
  <w:abstractNum w:abstractNumId="142">
    <w:nsid w:val="4C502870"/>
    <w:multiLevelType w:val="hybridMultilevel"/>
    <w:lvl w:ilvl="0">
      <w:lvlJc w:val="left"/>
      <w:lvlText w:val="%1"/>
      <w:numFmt w:val="upperLetter"/>
      <w:start w:val="1"/>
    </w:lvl>
    <w:lvl w:ilvl="1">
      <w:lvlJc w:val="left"/>
      <w:lvlText w:val="(%2)"/>
      <w:numFmt w:val="lowerLetter"/>
      <w:start w:val="5"/>
    </w:lvl>
  </w:abstractNum>
  <w:abstractNum w:abstractNumId="143">
    <w:nsid w:val="1DE8725A"/>
    <w:multiLevelType w:val="hybridMultilevel"/>
    <w:lvl w:ilvl="0">
      <w:lvlJc w:val="left"/>
      <w:lvlText w:val="(%1)"/>
      <w:numFmt w:val="upperLetter"/>
      <w:start w:val="1"/>
    </w:lvl>
    <w:lvl w:ilvl="1">
      <w:lvlJc w:val="left"/>
      <w:lvlText w:val="(%2)"/>
      <w:numFmt w:val="lowerLetter"/>
      <w:start w:val="6"/>
    </w:lvl>
  </w:abstractNum>
  <w:abstractNum w:abstractNumId="144">
    <w:nsid w:val="6A37288A"/>
    <w:multiLevelType w:val="hybridMultilevel"/>
    <w:lvl w:ilvl="0">
      <w:lvlJc w:val="left"/>
      <w:lvlText w:val="(%1)"/>
      <w:numFmt w:val="lowerLetter"/>
      <w:start w:val="1"/>
    </w:lvl>
    <w:lvl w:ilvl="1">
      <w:lvlJc w:val="left"/>
      <w:lvlText w:val="(%2)"/>
      <w:numFmt w:val="lowerLetter"/>
      <w:start w:val="9"/>
    </w:lvl>
  </w:abstractNum>
  <w:abstractNum w:abstractNumId="145">
    <w:nsid w:val="8F8B73F"/>
    <w:multiLevelType w:val="hybridMultilevel"/>
    <w:lvl w:ilvl="0">
      <w:lvlJc w:val="left"/>
      <w:lvlText w:val="(%1)"/>
      <w:numFmt w:val="lowerRoman"/>
      <w:start w:val="2"/>
    </w:lvl>
  </w:abstractNum>
  <w:abstractNum w:abstractNumId="146">
    <w:nsid w:val="CA6B462"/>
    <w:multiLevelType w:val="hybridMultilevel"/>
    <w:lvl w:ilvl="0">
      <w:lvlJc w:val="left"/>
      <w:lvlText w:val="(%1)"/>
      <w:numFmt w:val="lowerLetter"/>
      <w:start w:val="2"/>
    </w:lvl>
  </w:abstractNum>
  <w:abstractNum w:abstractNumId="147">
    <w:nsid w:val="763CB680"/>
    <w:multiLevelType w:val="hybridMultilevel"/>
    <w:lvl w:ilvl="0">
      <w:lvlJc w:val="left"/>
      <w:lvlText w:val="(%1)"/>
      <w:numFmt w:val="lowerLetter"/>
      <w:start w:val="1"/>
    </w:lvl>
  </w:abstractNum>
  <w:abstractNum w:abstractNumId="148">
    <w:nsid w:val="15B71329"/>
    <w:multiLevelType w:val="hybridMultilevel"/>
    <w:lvl w:ilvl="0">
      <w:lvlJc w:val="left"/>
      <w:lvlText w:val="(%1)"/>
      <w:numFmt w:val="lowerLetter"/>
      <w:start w:val="2"/>
    </w:lvl>
  </w:abstractNum>
  <w:abstractNum w:abstractNumId="149">
    <w:nsid w:val="3DA97044"/>
    <w:multiLevelType w:val="hybridMultilevel"/>
    <w:lvl w:ilvl="0">
      <w:lvlJc w:val="left"/>
      <w:lvlText w:val="(%1)"/>
      <w:numFmt w:val="lowerLetter"/>
      <w:start w:val="1"/>
    </w:lvl>
  </w:abstractNum>
  <w:abstractNum w:abstractNumId="150">
    <w:nsid w:val="1CDCE2DE"/>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51">
    <w:nsid w:val="69D3947C"/>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152">
    <w:nsid w:val="2539DFA5"/>
    <w:multiLevelType w:val="hybridMultilevel"/>
    <w:lvl w:ilvl="0">
      <w:lvlJc w:val="left"/>
      <w:lvlText w:val="(%1)"/>
      <w:numFmt w:val="upperLetter"/>
      <w:start w:val="1"/>
    </w:lvl>
    <w:lvl w:ilvl="1">
      <w:lvlJc w:val="left"/>
      <w:lvlText w:val="(%2)"/>
      <w:numFmt w:val="decimal"/>
      <w:start w:val="1"/>
    </w:lvl>
  </w:abstractNum>
  <w:abstractNum w:abstractNumId="153">
    <w:nsid w:val="2DB88089"/>
    <w:multiLevelType w:val="hybridMultilevel"/>
    <w:lvl w:ilvl="0">
      <w:lvlJc w:val="left"/>
      <w:lvlText w:val="%1"/>
      <w:numFmt w:val="upperLetter"/>
      <w:start w:val="1"/>
    </w:lvl>
    <w:lvl w:ilvl="1">
      <w:lvlJc w:val="left"/>
      <w:lvlText w:val="(%2)"/>
      <w:numFmt w:val="decimal"/>
      <w:start w:val="2"/>
    </w:lvl>
  </w:abstractNum>
  <w:abstractNum w:abstractNumId="154">
    <w:nsid w:val="706B674E"/>
    <w:multiLevelType w:val="hybridMultilevel"/>
    <w:lvl w:ilvl="0">
      <w:lvlJc w:val="left"/>
      <w:lvlText w:val="(%1)"/>
      <w:numFmt w:val="upperLetter"/>
      <w:start w:val="3"/>
    </w:lvl>
    <w:lvl w:ilvl="1">
      <w:lvlJc w:val="left"/>
      <w:lvlText w:val="%2"/>
      <w:numFmt w:val="decimal"/>
      <w:start w:val="1"/>
    </w:lvl>
  </w:abstractNum>
  <w:abstractNum w:abstractNumId="155">
    <w:nsid w:val="2C106A57"/>
    <w:multiLevelType w:val="hybridMultilevel"/>
    <w:lvl w:ilvl="0">
      <w:lvlJc w:val="left"/>
      <w:lvlText w:val="(%1)"/>
      <w:numFmt w:val="lowerLetter"/>
      <w:start w:val="7"/>
    </w:lvl>
  </w:abstractNum>
  <w:abstractNum w:abstractNumId="156">
    <w:nsid w:val="684EED59"/>
    <w:multiLevelType w:val="hybridMultilevel"/>
    <w:lvl w:ilvl="0">
      <w:lvlJc w:val="left"/>
      <w:lvlText w:val="(%1)"/>
      <w:numFmt w:val="lowerLetter"/>
      <w:start w:val="8"/>
    </w:lvl>
  </w:abstractNum>
  <w:abstractNum w:abstractNumId="157">
    <w:nsid w:val="545EE5D3"/>
    <w:multiLevelType w:val="hybridMultilevel"/>
    <w:lvl w:ilvl="0">
      <w:lvlJc w:val="left"/>
      <w:lvlText w:val="(%1)"/>
      <w:numFmt w:val="lowerLetter"/>
      <w:start w:val="1"/>
    </w:lvl>
  </w:abstractNum>
  <w:abstractNum w:abstractNumId="158">
    <w:nsid w:val="4A66051"/>
    <w:multiLevelType w:val="hybridMultilevel"/>
    <w:lvl w:ilvl="0">
      <w:lvlJc w:val="left"/>
      <w:lvlText w:val="(%1)"/>
      <w:numFmt w:val="upperLetter"/>
      <w:start w:val="2"/>
    </w:lvl>
  </w:abstractNum>
  <w:abstractNum w:abstractNumId="159">
    <w:nsid w:val="20F4BDAD"/>
    <w:multiLevelType w:val="hybridMultilevel"/>
    <w:lvl w:ilvl="0">
      <w:lvlJc w:val="left"/>
      <w:lvlText w:val="(%1)"/>
      <w:numFmt w:val="lowerLetter"/>
      <w:start w:val="3"/>
    </w:lvl>
  </w:abstractNum>
  <w:abstractNum w:abstractNumId="160">
    <w:nsid w:val="639DEFAC"/>
    <w:multiLevelType w:val="hybridMultilevel"/>
    <w:lvl w:ilvl="0">
      <w:lvlJc w:val="left"/>
      <w:lvlText w:val="(%1)"/>
      <w:numFmt w:val="lowerLetter"/>
      <w:start w:val="6"/>
    </w:lvl>
  </w:abstractNum>
  <w:abstractNum w:abstractNumId="161">
    <w:nsid w:val="501F9786"/>
    <w:multiLevelType w:val="hybridMultilevel"/>
    <w:lvl w:ilvl="0">
      <w:lvlJc w:val="left"/>
      <w:lvlText w:val="(%1)"/>
      <w:numFmt w:val="lowerLetter"/>
      <w:start w:val="1"/>
    </w:lvl>
  </w:abstractNum>
  <w:abstractNum w:abstractNumId="162">
    <w:nsid w:val="6B057295"/>
    <w:multiLevelType w:val="hybridMultilevel"/>
    <w:lvl w:ilvl="0">
      <w:lvlJc w:val="left"/>
      <w:lvlText w:val="(%1)"/>
      <w:numFmt w:val="lowerLetter"/>
      <w:start w:val="1"/>
    </w:lvl>
  </w:abstractNum>
  <w:abstractNum w:abstractNumId="163">
    <w:nsid w:val="2771AC80"/>
    <w:multiLevelType w:val="hybridMultilevel"/>
    <w:lvl w:ilvl="0">
      <w:lvlJc w:val="left"/>
      <w:lvlText w:val="(%1)"/>
      <w:numFmt w:val="lowerLetter"/>
      <w:start w:val="2"/>
    </w:lvl>
  </w:abstractNum>
  <w:abstractNum w:abstractNumId="164">
    <w:nsid w:val="1C4A08EC"/>
    <w:multiLevelType w:val="hybridMultilevel"/>
    <w:lvl w:ilvl="0">
      <w:lvlJc w:val="left"/>
      <w:lvlText w:val="(%1)"/>
      <w:numFmt w:val="lowerLetter"/>
      <w:start w:val="3"/>
    </w:lvl>
    <w:lvl w:ilvl="1">
      <w:lvlJc w:val="left"/>
      <w:lvlText w:val="(%2)"/>
      <w:numFmt w:val="lowerRoman"/>
      <w:start w:val="1"/>
    </w:lvl>
  </w:abstractNum>
  <w:abstractNum w:abstractNumId="165">
    <w:nsid w:val="1958BD17"/>
    <w:multiLevelType w:val="hybridMultilevel"/>
    <w:lvl w:ilvl="0">
      <w:lvlJc w:val="left"/>
      <w:lvlText w:val="(%1)"/>
      <w:numFmt w:val="lowerLetter"/>
      <w:start w:val="1"/>
    </w:lvl>
  </w:abstractNum>
  <w:abstractNum w:abstractNumId="166">
    <w:nsid w:val="4E647FE4"/>
    <w:multiLevelType w:val="hybridMultilevel"/>
    <w:lvl w:ilvl="0">
      <w:lvlJc w:val="left"/>
      <w:lvlText w:val="(%1)"/>
      <w:numFmt w:val="lowerLetter"/>
      <w:start w:val="1"/>
    </w:lvl>
  </w:abstractNum>
  <w:abstractNum w:abstractNumId="167">
    <w:nsid w:val="E0BB885"/>
    <w:multiLevelType w:val="hybridMultilevel"/>
    <w:lvl w:ilvl="0">
      <w:lvlJc w:val="left"/>
      <w:lvlText w:val="(%1)"/>
      <w:numFmt w:val="lowerLetter"/>
      <w:start w:val="2"/>
    </w:lvl>
  </w:abstractNum>
  <w:abstractNum w:abstractNumId="168">
    <w:nsid w:val="565976F1"/>
    <w:multiLevelType w:val="hybridMultilevel"/>
    <w:lvl w:ilvl="0">
      <w:lvlJc w:val="left"/>
      <w:lvlText w:val="(%1)"/>
      <w:numFmt w:val="lowerLetter"/>
      <w:start w:val="1"/>
    </w:lvl>
  </w:abstractNum>
  <w:abstractNum w:abstractNumId="169">
    <w:nsid w:val="64212B8C"/>
    <w:multiLevelType w:val="hybridMultilevel"/>
    <w:lvl w:ilvl="0">
      <w:lvlJc w:val="left"/>
      <w:lvlText w:val="(%1)"/>
      <w:numFmt w:val="lowerLetter"/>
      <w:start w:val="1"/>
    </w:lvl>
  </w:abstractNum>
  <w:abstractNum w:abstractNumId="170">
    <w:nsid w:val="5C17530C"/>
    <w:multiLevelType w:val="hybridMultilevel"/>
    <w:lvl w:ilvl="0">
      <w:lvlJc w:val="left"/>
      <w:lvlText w:val="(%1)"/>
      <w:numFmt w:val="lowerLetter"/>
      <w:start w:val="1"/>
    </w:lvl>
  </w:abstractNum>
  <w:abstractNum w:abstractNumId="171">
    <w:nsid w:val="19A52566"/>
    <w:multiLevelType w:val="hybridMultilevel"/>
    <w:lvl w:ilvl="0">
      <w:lvlJc w:val="left"/>
      <w:lvlText w:val="(%1)"/>
      <w:numFmt w:val="lowerLetter"/>
      <w:start w:val="4"/>
    </w:lvl>
  </w:abstractNum>
  <w:abstractNum w:abstractNumId="172">
    <w:nsid w:val="335A1DF1"/>
    <w:multiLevelType w:val="hybridMultilevel"/>
    <w:lvl w:ilvl="0">
      <w:lvlJc w:val="left"/>
      <w:lvlText w:val="(%1)"/>
      <w:numFmt w:val="lowerLetter"/>
      <w:start w:val="1"/>
    </w:lvl>
  </w:abstractNum>
  <w:abstractNum w:abstractNumId="173">
    <w:nsid w:val="28677B7C"/>
    <w:multiLevelType w:val="hybridMultilevel"/>
    <w:lvl w:ilvl="0">
      <w:lvlJc w:val="left"/>
      <w:lvlText w:val="(%1)"/>
      <w:numFmt w:val="lowerLetter"/>
      <w:start w:val="1"/>
    </w:lvl>
  </w:abstractNum>
  <w:abstractNum w:abstractNumId="174">
    <w:nsid w:val="378D97C0"/>
    <w:multiLevelType w:val="hybridMultilevel"/>
    <w:lvl w:ilvl="0">
      <w:lvlJc w:val="left"/>
      <w:lvlText w:val="(%1)"/>
      <w:numFmt w:val="lowerLetter"/>
      <w:start w:val="7"/>
    </w:lvl>
  </w:abstractNum>
  <w:abstractNum w:abstractNumId="175">
    <w:nsid w:val="1D91467C"/>
    <w:multiLevelType w:val="hybridMultilevel"/>
    <w:lvl w:ilvl="0">
      <w:lvlJc w:val="left"/>
      <w:lvlText w:val="(%1)"/>
      <w:numFmt w:val="lowerLetter"/>
      <w:start w:val="15"/>
    </w:lvl>
  </w:abstractNum>
  <w:abstractNum w:abstractNumId="176">
    <w:nsid w:val="316032BB"/>
    <w:multiLevelType w:val="hybridMultilevel"/>
    <w:lvl w:ilvl="0">
      <w:lvlJc w:val="left"/>
      <w:lvlText w:val="(%1)"/>
      <w:numFmt w:val="lowerLetter"/>
      <w:start w:val="1"/>
    </w:lvl>
  </w:abstractNum>
  <w:abstractNum w:abstractNumId="177">
    <w:nsid w:val="44344C22"/>
    <w:multiLevelType w:val="hybridMultilevel"/>
    <w:lvl w:ilvl="0">
      <w:lvlJc w:val="left"/>
      <w:lvlText w:val="(%1)"/>
      <w:numFmt w:val="lowerLetter"/>
      <w:start w:val="1"/>
    </w:lvl>
  </w:abstractNum>
  <w:abstractNum w:abstractNumId="178">
    <w:nsid w:val="13CDFCFC"/>
    <w:multiLevelType w:val="hybridMultilevel"/>
    <w:lvl w:ilvl="0">
      <w:lvlJc w:val="left"/>
      <w:lvlText w:val="(%1)"/>
      <w:numFmt w:val="lowerLetter"/>
      <w:start w:val="61"/>
    </w:lvl>
    <w:lvl w:ilvl="1">
      <w:lvlJc w:val="left"/>
      <w:lvlText w:val="(%2)"/>
      <w:numFmt w:val="lowerLetter"/>
      <w:start w:val="4"/>
    </w:lvl>
  </w:abstractNum>
  <w:abstractNum w:abstractNumId="179">
    <w:nsid w:val="471745E4"/>
    <w:multiLevelType w:val="hybridMultilevel"/>
    <w:lvl w:ilvl="0">
      <w:lvlJc w:val="left"/>
      <w:lvlText w:val="(%1)"/>
      <w:numFmt w:val="lowerLetter"/>
      <w:start w:val="6"/>
    </w:lvl>
  </w:abstractNum>
  <w:abstractNum w:abstractNumId="180">
    <w:nsid w:val="1DDBC66"/>
    <w:multiLevelType w:val="hybridMultilevel"/>
    <w:lvl w:ilvl="0">
      <w:lvlJc w:val="left"/>
      <w:lvlText w:val="(%1)"/>
      <w:numFmt w:val="lowerLetter"/>
      <w:start w:val="1"/>
    </w:lvl>
  </w:abstractNum>
  <w:abstractNum w:abstractNumId="181">
    <w:nsid w:val="30AADFDA"/>
    <w:multiLevelType w:val="hybridMultilevel"/>
    <w:lvl w:ilvl="0">
      <w:lvlJc w:val="left"/>
      <w:lvlText w:val="(%1)"/>
      <w:numFmt w:val="lowerLetter"/>
      <w:start w:val="4"/>
    </w:lvl>
  </w:abstractNum>
  <w:abstractNum w:abstractNumId="182">
    <w:nsid w:val="30EADA61"/>
    <w:multiLevelType w:val="hybridMultilevel"/>
    <w:lvl w:ilvl="0">
      <w:lvlJc w:val="left"/>
      <w:lvlText w:val="(%1)"/>
      <w:numFmt w:val="lowerLetter"/>
      <w:start w:val="1"/>
    </w:lvl>
  </w:abstractNum>
  <w:abstractNum w:abstractNumId="183">
    <w:nsid w:val="27179C0B"/>
    <w:multiLevelType w:val="hybridMultilevel"/>
    <w:lvl w:ilvl="0">
      <w:lvlJc w:val="left"/>
      <w:lvlText w:val="(%1)"/>
      <w:numFmt w:val="lowerLetter"/>
      <w:start w:val="1"/>
    </w:lvl>
  </w:abstractNum>
  <w:abstractNum w:abstractNumId="184">
    <w:nsid w:val="5E636063"/>
    <w:multiLevelType w:val="hybridMultilevel"/>
    <w:lvl w:ilvl="0">
      <w:lvlJc w:val="left"/>
      <w:lvlText w:val="(%1)"/>
      <w:numFmt w:val="lowerLetter"/>
      <w:start w:val="3"/>
    </w:lvl>
  </w:abstractNum>
  <w:abstractNum w:abstractNumId="185">
    <w:nsid w:val="215641AF"/>
    <w:multiLevelType w:val="hybridMultilevel"/>
    <w:lvl w:ilvl="0">
      <w:lvlJc w:val="left"/>
      <w:lvlText w:val="(%1)"/>
      <w:numFmt w:val="lowerLetter"/>
      <w:start w:val="1"/>
    </w:lvl>
  </w:abstractNum>
  <w:abstractNum w:abstractNumId="186">
    <w:nsid w:val="53280662"/>
    <w:multiLevelType w:val="hybridMultilevel"/>
    <w:lvl w:ilvl="0">
      <w:lvlJc w:val="left"/>
      <w:lvlText w:val="(%1)"/>
      <w:numFmt w:val="lowerLetter"/>
      <w:start w:val="5"/>
    </w:lvl>
  </w:abstractNum>
  <w:abstractNum w:abstractNumId="187">
    <w:nsid w:val="46B24DBC"/>
    <w:multiLevelType w:val="hybridMultilevel"/>
    <w:lvl w:ilvl="0">
      <w:lvlJc w:val="left"/>
      <w:lvlText w:val="(%1)"/>
      <w:numFmt w:val="lowerLetter"/>
      <w:start w:val="1"/>
    </w:lvl>
  </w:abstractNum>
  <w:abstractNum w:abstractNumId="188">
    <w:nsid w:val="75B52783"/>
    <w:multiLevelType w:val="hybridMultilevel"/>
    <w:lvl w:ilvl="0">
      <w:lvlJc w:val="left"/>
      <w:lvlText w:val="(%1)"/>
      <w:numFmt w:val="lowerLetter"/>
      <w:start w:val="6"/>
    </w:lvl>
  </w:abstractNum>
  <w:abstractNum w:abstractNumId="189">
    <w:nsid w:val="57CE66B4"/>
    <w:multiLevelType w:val="hybridMultilevel"/>
    <w:lvl w:ilvl="0">
      <w:lvlJc w:val="left"/>
      <w:lvlText w:val="(%1)"/>
      <w:numFmt w:val="lowerLetter"/>
      <w:start w:val="1"/>
    </w:lvl>
  </w:abstractNum>
  <w:abstractNum w:abstractNumId="190">
    <w:nsid w:val="67A70B69"/>
    <w:multiLevelType w:val="hybridMultilevel"/>
    <w:lvl w:ilvl="0">
      <w:lvlJc w:val="left"/>
      <w:lvlText w:val="%1"/>
      <w:numFmt w:val="lowerLetter"/>
      <w:start w:val="1"/>
    </w:lvl>
    <w:lvl w:ilvl="1">
      <w:lvlJc w:val="left"/>
      <w:lvlText w:val="(%2)"/>
      <w:numFmt w:val="lowerLetter"/>
      <w:start w:val="10"/>
    </w:lvl>
  </w:abstractNum>
  <w:abstractNum w:abstractNumId="191">
    <w:nsid w:val="5953172F"/>
    <w:multiLevelType w:val="hybridMultilevel"/>
    <w:lvl w:ilvl="0">
      <w:lvlJc w:val="left"/>
      <w:lvlText w:val="(%1)"/>
      <w:numFmt w:val="lowerLetter"/>
      <w:start w:val="35"/>
    </w:lvl>
    <w:lvl w:ilvl="1">
      <w:lvlJc w:val="left"/>
      <w:lvlText w:val="(%2)"/>
      <w:numFmt w:val="lowerLetter"/>
      <w:start w:val="11"/>
    </w:lvl>
  </w:abstractNum>
  <w:abstractNum w:abstractNumId="192">
    <w:nsid w:val="27EDFE3A"/>
    <w:multiLevelType w:val="hybridMultilevel"/>
    <w:lvl w:ilvl="0">
      <w:lvlJc w:val="left"/>
      <w:lvlText w:val="(%1)"/>
      <w:numFmt w:val="lowerLetter"/>
      <w:start w:val="1"/>
    </w:lvl>
  </w:abstractNum>
  <w:abstractNum w:abstractNumId="193">
    <w:nsid w:val="52AC7DFF"/>
    <w:multiLevelType w:val="hybridMultilevel"/>
    <w:lvl w:ilvl="0">
      <w:lvlJc w:val="left"/>
      <w:lvlText w:val="(%1)"/>
      <w:numFmt w:val="lowerLetter"/>
      <w:start w:val="4"/>
    </w:lvl>
  </w:abstractNum>
  <w:abstractNum w:abstractNumId="194">
    <w:nsid w:val="C4C3AF"/>
    <w:multiLevelType w:val="hybridMultilevel"/>
    <w:lvl w:ilvl="0">
      <w:lvlJc w:val="left"/>
      <w:lvlText w:val="(%1)"/>
      <w:numFmt w:val="lowerLetter"/>
      <w:start w:val="1"/>
    </w:lvl>
  </w:abstractNum>
  <w:abstractNum w:abstractNumId="195">
    <w:nsid w:val="44380727"/>
    <w:multiLevelType w:val="hybridMultilevel"/>
    <w:lvl w:ilvl="0">
      <w:lvlJc w:val="left"/>
      <w:lvlText w:val="(%1)"/>
      <w:numFmt w:val="lowerLetter"/>
      <w:start w:val="6"/>
    </w:lvl>
  </w:abstractNum>
  <w:abstractNum w:abstractNumId="196">
    <w:nsid w:val="6C053B16"/>
    <w:multiLevelType w:val="hybridMultilevel"/>
    <w:lvl w:ilvl="0">
      <w:lvlJc w:val="left"/>
      <w:lvlText w:val="(%1)"/>
      <w:numFmt w:val="lowerLetter"/>
      <w:start w:val="21"/>
    </w:lvl>
  </w:abstractNum>
  <w:abstractNum w:abstractNumId="197">
    <w:nsid w:val="4F294393"/>
    <w:multiLevelType w:val="hybridMultilevel"/>
    <w:lvl w:ilvl="0">
      <w:lvlJc w:val="left"/>
      <w:lvlText w:val="(%1)"/>
      <w:numFmt w:val="lowerLetter"/>
      <w:start w:val="1"/>
    </w:lvl>
  </w:abstractNum>
  <w:abstractNum w:abstractNumId="198">
    <w:nsid w:val="5243BFAC"/>
    <w:multiLevelType w:val="hybridMultilevel"/>
    <w:lvl w:ilvl="0">
      <w:lvlJc w:val="left"/>
      <w:lvlText w:val="(%1)"/>
      <w:numFmt w:val="lowerLetter"/>
      <w:start w:val="14"/>
    </w:lvl>
  </w:abstractNum>
  <w:abstractNum w:abstractNumId="199">
    <w:nsid w:val="425EB207"/>
    <w:multiLevelType w:val="hybridMultilevel"/>
    <w:lvl w:ilvl="0">
      <w:lvlJc w:val="left"/>
      <w:lvlText w:val="(%1)"/>
      <w:numFmt w:val="lowerLetter"/>
      <w:start w:val="1"/>
    </w:lvl>
    <w:lvl w:ilvl="1">
      <w:lvlJc w:val="left"/>
      <w:lvlText w:val="(%2)"/>
      <w:numFmt w:val="lowerRoman"/>
      <w:start w:val="1"/>
    </w:lvl>
  </w:abstractNum>
  <w:abstractNum w:abstractNumId="200">
    <w:nsid w:val="334A6F1F"/>
    <w:multiLevelType w:val="hybridMultilevel"/>
    <w:lvl w:ilvl="0">
      <w:lvlJc w:val="left"/>
      <w:lvlText w:val="%1"/>
      <w:numFmt w:val="lowerLetter"/>
      <w:start w:val="1"/>
    </w:lvl>
    <w:lvl w:ilvl="1">
      <w:lvlJc w:val="left"/>
      <w:lvlText w:val="(%2)"/>
      <w:numFmt w:val="lowerRoman"/>
      <w:start w:val="6"/>
    </w:lvl>
  </w:abstractNum>
  <w:abstractNum w:abstractNumId="201">
    <w:nsid w:val="2E5B12B8"/>
    <w:multiLevelType w:val="hybridMultilevel"/>
    <w:lvl w:ilvl="0">
      <w:lvlJc w:val="left"/>
      <w:lvlText w:val="(%1)"/>
      <w:numFmt w:val="lowerLetter"/>
      <w:start w:val="2"/>
    </w:lvl>
    <w:lvl w:ilvl="1">
      <w:lvlJc w:val="left"/>
      <w:lvlText w:val="(%2)"/>
      <w:numFmt w:val="lowerRoman"/>
      <w:start w:val="1"/>
    </w:lvl>
  </w:abstractNum>
  <w:abstractNum w:abstractNumId="202">
    <w:nsid w:val="5C03D76D"/>
    <w:multiLevelType w:val="hybridMultilevel"/>
    <w:lvl w:ilvl="0">
      <w:lvlJc w:val="left"/>
      <w:lvlText w:val="(%1)"/>
      <w:numFmt w:val="lowerLetter"/>
      <w:start w:val="8"/>
    </w:lvl>
  </w:abstractNum>
  <w:abstractNum w:abstractNumId="203">
    <w:nsid w:val="66A48D11"/>
    <w:multiLevelType w:val="hybridMultilevel"/>
    <w:lvl w:ilvl="0">
      <w:lvlJc w:val="left"/>
      <w:lvlText w:val="(%1)"/>
      <w:numFmt w:val="lowerLetter"/>
      <w:start w:val="1"/>
    </w:lvl>
  </w:abstractNum>
  <w:abstractNum w:abstractNumId="204">
    <w:nsid w:val="56C28E34"/>
    <w:multiLevelType w:val="hybridMultilevel"/>
    <w:lvl w:ilvl="0">
      <w:lvlJc w:val="left"/>
      <w:lvlText w:val="(%1)"/>
      <w:numFmt w:val="lowerLetter"/>
      <w:start w:val="2"/>
    </w:lvl>
  </w:abstractNum>
  <w:abstractNum w:abstractNumId="205">
    <w:nsid w:val="13916F2D"/>
    <w:multiLevelType w:val="hybridMultilevel"/>
    <w:lvl w:ilvl="0">
      <w:lvlJc w:val="left"/>
      <w:lvlText w:val="(%1)"/>
      <w:numFmt w:val="lowerLetter"/>
      <w:start w:val="1"/>
    </w:lvl>
  </w:abstractNum>
  <w:abstractNum w:abstractNumId="206">
    <w:nsid w:val="435D38D"/>
    <w:multiLevelType w:val="hybridMultilevel"/>
    <w:lvl w:ilvl="0">
      <w:lvlJc w:val="left"/>
      <w:lvlText w:val="(%1)"/>
      <w:numFmt w:val="decimal"/>
      <w:start w:val="15"/>
    </w:lvl>
    <w:lvl w:ilvl="1">
      <w:lvlJc w:val="left"/>
      <w:lvlText w:val="(%2)"/>
      <w:numFmt w:val="lowerLetter"/>
      <w:start w:val="6"/>
    </w:lvl>
  </w:abstractNum>
  <w:abstractNum w:abstractNumId="207">
    <w:nsid w:val="822C0EF"/>
    <w:multiLevelType w:val="hybridMultilevel"/>
    <w:lvl w:ilvl="0">
      <w:lvlJc w:val="left"/>
      <w:lvlText w:val="%1"/>
      <w:numFmt w:val="lowerLetter"/>
      <w:start w:val="1"/>
    </w:lvl>
    <w:lvl w:ilvl="1">
      <w:lvlJc w:val="left"/>
      <w:lvlText w:val="(%2)"/>
      <w:numFmt w:val="lowerLetter"/>
      <w:start w:val="8"/>
    </w:lvl>
  </w:abstractNum>
  <w:abstractNum w:abstractNumId="208">
    <w:nsid w:val="57C5BB4F"/>
    <w:multiLevelType w:val="hybridMultilevel"/>
    <w:lvl w:ilvl="0">
      <w:lvlJc w:val="left"/>
      <w:lvlText w:val="(%1)"/>
      <w:numFmt w:val="lowerLetter"/>
      <w:start w:val="35"/>
    </w:lvl>
    <w:lvl w:ilvl="1">
      <w:lvlJc w:val="left"/>
      <w:lvlText w:val="(%2)"/>
      <w:numFmt w:val="lowerLetter"/>
      <w:start w:val="10"/>
    </w:lvl>
  </w:abstractNum>
  <w:abstractNum w:abstractNumId="209">
    <w:nsid w:val="1803D089"/>
    <w:multiLevelType w:val="hybridMultilevel"/>
    <w:lvl w:ilvl="0">
      <w:lvlJc w:val="left"/>
      <w:lvlText w:val="(%1)"/>
      <w:numFmt w:val="lowerLetter"/>
      <w:start w:val="18"/>
    </w:lvl>
  </w:abstractNum>
  <w:abstractNum w:abstractNumId="210">
    <w:nsid w:val="4F3A06D4"/>
    <w:multiLevelType w:val="hybridMultilevel"/>
    <w:lvl w:ilvl="0">
      <w:lvlJc w:val="left"/>
      <w:lvlText w:val="(%1)"/>
      <w:numFmt w:val="lowerLetter"/>
      <w:start w:val="1"/>
    </w:lvl>
  </w:abstractNum>
  <w:abstractNum w:abstractNumId="211">
    <w:nsid w:val="59A377B6"/>
    <w:multiLevelType w:val="hybridMultilevel"/>
    <w:lvl w:ilvl="0">
      <w:lvlJc w:val="left"/>
      <w:lvlText w:val="(%1)"/>
      <w:numFmt w:val="lowerLetter"/>
      <w:start w:val="3"/>
    </w:lvl>
    <w:lvl w:ilvl="1">
      <w:lvlJc w:val="left"/>
      <w:lvlText w:val="(%2)"/>
      <w:numFmt w:val="lowerRoman"/>
      <w:start w:val="1"/>
    </w:lvl>
  </w:abstractNum>
  <w:abstractNum w:abstractNumId="212">
    <w:nsid w:val="48AEB063"/>
    <w:multiLevelType w:val="hybridMultilevel"/>
    <w:lvl w:ilvl="0">
      <w:lvlJc w:val="left"/>
      <w:lvlText w:val="(%1)"/>
      <w:numFmt w:val="lowerLetter"/>
      <w:start w:val="7"/>
    </w:lvl>
  </w:abstractNum>
  <w:abstractNum w:abstractNumId="213">
    <w:nsid w:val="24E135"/>
    <w:multiLevelType w:val="hybridMultilevel"/>
    <w:lvl w:ilvl="0">
      <w:lvlJc w:val="left"/>
      <w:lvlText w:val="%1"/>
      <w:numFmt w:val="lowerLetter"/>
      <w:start w:val="1"/>
    </w:lvl>
    <w:lvl w:ilvl="1">
      <w:lvlJc w:val="left"/>
      <w:lvlText w:val="(%2)"/>
      <w:numFmt w:val="lowerLetter"/>
      <w:start w:val="1"/>
    </w:lvl>
  </w:abstractNum>
  <w:abstractNum w:abstractNumId="214">
    <w:nsid w:val="BB13C1"/>
    <w:multiLevelType w:val="hybridMultilevel"/>
    <w:lvl w:ilvl="0">
      <w:lvlJc w:val="left"/>
      <w:lvlText w:val="(%1)"/>
      <w:numFmt w:val="lowerLetter"/>
      <w:start w:val="24"/>
    </w:lvl>
    <w:lvl w:ilvl="1">
      <w:lvlJc w:val="left"/>
      <w:lvlText w:val="(%2)"/>
      <w:numFmt w:val="lowerLetter"/>
      <w:start w:val="2"/>
    </w:lvl>
  </w:abstractNum>
  <w:abstractNum w:abstractNumId="215">
    <w:nsid w:val="271210C7"/>
    <w:multiLevelType w:val="hybridMultilevel"/>
    <w:lvl w:ilvl="0">
      <w:lvlJc w:val="left"/>
      <w:lvlText w:val="%1"/>
      <w:numFmt w:val="lowerLetter"/>
      <w:start w:val="1"/>
    </w:lvl>
    <w:lvl w:ilvl="1">
      <w:lvlJc w:val="left"/>
      <w:lvlText w:val="(%2)"/>
      <w:numFmt w:val="lowerLetter"/>
      <w:start w:val="3"/>
    </w:lvl>
  </w:abstractNum>
  <w:abstractNum w:abstractNumId="216">
    <w:nsid w:val="217B22E4"/>
    <w:multiLevelType w:val="hybridMultilevel"/>
    <w:lvl w:ilvl="0">
      <w:lvlJc w:val="left"/>
      <w:lvlText w:val="(%1)"/>
      <w:numFmt w:val="lowerLetter"/>
      <w:start w:val="61"/>
    </w:lvl>
    <w:lvl w:ilvl="1">
      <w:lvlJc w:val="left"/>
      <w:lvlText w:val="%2"/>
      <w:numFmt w:val="lowerLetter"/>
      <w:start w:val="1"/>
    </w:lvl>
  </w:abstractNum>
  <w:abstractNum w:abstractNumId="217">
    <w:nsid w:val="53E31A24"/>
    <w:multiLevelType w:val="hybridMultilevel"/>
    <w:lvl w:ilvl="0">
      <w:lvlJc w:val="left"/>
      <w:lvlText w:val="(%1)"/>
      <w:numFmt w:val="lowerLetter"/>
      <w:start w:val="1"/>
    </w:lvl>
  </w:abstractNum>
  <w:abstractNum w:abstractNumId="218">
    <w:nsid w:val="6DC45E83"/>
    <w:multiLevelType w:val="hybridMultilevel"/>
    <w:lvl w:ilvl="0">
      <w:lvlJc w:val="left"/>
      <w:lvlText w:val="(%1)"/>
      <w:numFmt w:val="lowerLetter"/>
      <w:start w:val="4"/>
    </w:lvl>
  </w:abstractNum>
  <w:abstractNum w:abstractNumId="219">
    <w:nsid w:val="17304A67"/>
    <w:multiLevelType w:val="hybridMultilevel"/>
    <w:lvl w:ilvl="0">
      <w:lvlJc w:val="left"/>
      <w:lvlText w:val="(%1)"/>
      <w:numFmt w:val="lowerLetter"/>
      <w:start w:val="1"/>
    </w:lvl>
  </w:abstractNum>
  <w:abstractNum w:abstractNumId="220">
    <w:nsid w:val="2BB180D8"/>
    <w:multiLevelType w:val="hybridMultilevel"/>
    <w:lvl w:ilvl="0">
      <w:lvlJc w:val="left"/>
      <w:lvlText w:val="%1"/>
      <w:numFmt w:val="upperLetter"/>
      <w:start w:val="1"/>
    </w:lvl>
    <w:lvl w:ilvl="1">
      <w:lvlJc w:val="left"/>
      <w:lvlText w:val="(%2)"/>
      <w:numFmt w:val="lowerLetter"/>
      <w:start w:val="2"/>
    </w:lvl>
  </w:abstractNum>
  <w:abstractNum w:abstractNumId="221">
    <w:nsid w:val="556B69ED"/>
    <w:multiLevelType w:val="hybridMultilevel"/>
    <w:lvl w:ilvl="0">
      <w:lvlJc w:val="left"/>
      <w:lvlText w:val="(%1)"/>
      <w:numFmt w:val="upperLetter"/>
      <w:start w:val="2"/>
    </w:lvl>
    <w:lvl w:ilvl="1">
      <w:lvlJc w:val="left"/>
      <w:lvlText w:val="%2"/>
      <w:numFmt w:val="lowerLetter"/>
      <w:start w:val="1"/>
    </w:lvl>
  </w:abstractNum>
  <w:abstractNum w:abstractNumId="222">
    <w:nsid w:val="70836196"/>
    <w:multiLevelType w:val="hybridMultilevel"/>
    <w:lvl w:ilvl="0">
      <w:lvlJc w:val="left"/>
      <w:lvlText w:val="(%1)"/>
      <w:numFmt w:val="lowerLetter"/>
      <w:start w:val="1"/>
    </w:lvl>
  </w:abstractNum>
  <w:abstractNum w:abstractNumId="223">
    <w:nsid w:val="539F7F12"/>
    <w:multiLevelType w:val="hybridMultilevel"/>
    <w:lvl w:ilvl="0">
      <w:lvlJc w:val="left"/>
      <w:lvlText w:val="(%1)"/>
      <w:numFmt w:val="lowerLetter"/>
      <w:start w:val="2"/>
    </w:lvl>
  </w:abstractNum>
  <w:abstractNum w:abstractNumId="224">
    <w:nsid w:val="2817E7EC"/>
    <w:multiLevelType w:val="hybridMultilevel"/>
    <w:lvl w:ilvl="0">
      <w:lvlJc w:val="left"/>
      <w:lvlText w:val="%1"/>
      <w:numFmt w:val="lowerRoman"/>
      <w:start w:val="1"/>
    </w:lvl>
    <w:lvl w:ilvl="1">
      <w:lvlJc w:val="left"/>
      <w:lvlText w:val="(%2)"/>
      <w:numFmt w:val="lowerRoman"/>
      <w:start w:val="2"/>
    </w:lvl>
  </w:abstractNum>
  <w:abstractNum w:abstractNumId="225">
    <w:nsid w:val="71482545"/>
    <w:multiLevelType w:val="hybridMultilevel"/>
    <w:lvl w:ilvl="0">
      <w:lvlJc w:val="left"/>
      <w:lvlText w:val="(%1)"/>
      <w:numFmt w:val="lowerRoman"/>
      <w:start w:val="10"/>
    </w:lvl>
    <w:lvl w:ilvl="1">
      <w:lvlJc w:val="left"/>
      <w:lvlText w:val="%2"/>
      <w:numFmt w:val="lowerRoman"/>
      <w:start w:val="1"/>
    </w:lvl>
  </w:abstractNum>
  <w:abstractNum w:abstractNumId="226">
    <w:nsid w:val="17D7863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3"/>
    </w:lvl>
  </w:abstractNum>
  <w:abstractNum w:abstractNumId="227">
    <w:nsid w:val="141D2302"/>
    <w:multiLevelType w:val="hybridMultilevel"/>
    <w:lvl w:ilvl="0">
      <w:lvlJc w:val="left"/>
      <w:lvlText w:val="(%1)"/>
      <w:numFmt w:val="lowerLetter"/>
      <w:start w:val="1"/>
    </w:lvl>
  </w:abstractNum>
  <w:abstractNum w:abstractNumId="228">
    <w:nsid w:val="407168D8"/>
    <w:multiLevelType w:val="hybridMultilevel"/>
    <w:lvl w:ilvl="0">
      <w:lvlJc w:val="left"/>
      <w:lvlText w:val="(%1)"/>
      <w:numFmt w:val="lowerRoman"/>
      <w:start w:val="3"/>
    </w:lvl>
  </w:abstractNum>
  <w:abstractNum w:abstractNumId="229">
    <w:nsid w:val="6A1B45E5"/>
    <w:multiLevelType w:val="hybridMultilevel"/>
    <w:lvl w:ilvl="0">
      <w:lvlJc w:val="left"/>
      <w:lvlText w:val="(%1)"/>
      <w:numFmt w:val="lowerLetter"/>
      <w:start w:val="1"/>
    </w:lvl>
    <w:lvl w:ilvl="1">
      <w:lvlJc w:val="left"/>
      <w:lvlText w:val="(%2)"/>
      <w:numFmt w:val="lowerRoman"/>
      <w:start w:val="1"/>
    </w:lvl>
  </w:abstractNum>
  <w:abstractNum w:abstractNumId="230">
    <w:nsid w:val="567BD50A"/>
    <w:multiLevelType w:val="hybridMultilevel"/>
    <w:lvl w:ilvl="0">
      <w:lvlJc w:val="left"/>
      <w:lvlText w:val="%1"/>
      <w:numFmt w:val="lowerLetter"/>
      <w:start w:val="1"/>
    </w:lvl>
    <w:lvl w:ilvl="1">
      <w:lvlJc w:val="left"/>
      <w:lvlText w:val="(%2)"/>
      <w:numFmt w:val="lowerRoman"/>
      <w:start w:val="3"/>
    </w:lvl>
  </w:abstractNum>
  <w:abstractNum w:abstractNumId="231">
    <w:nsid w:val="73BBD7F8"/>
    <w:multiLevelType w:val="hybridMultilevel"/>
    <w:lvl w:ilvl="0">
      <w:lvlJc w:val="left"/>
      <w:lvlText w:val="(%1)"/>
      <w:numFmt w:val="lowerLetter"/>
      <w:start w:val="2"/>
    </w:lvl>
    <w:lvl w:ilvl="1">
      <w:lvlJc w:val="left"/>
      <w:lvlText w:val="%2"/>
      <w:numFmt w:val="lowerRoman"/>
      <w:start w:val="1"/>
    </w:lvl>
  </w:abstractNum>
  <w:abstractNum w:abstractNumId="232">
    <w:nsid w:val="1876589D"/>
    <w:multiLevelType w:val="hybridMultilevel"/>
    <w:lvl w:ilvl="0">
      <w:lvlJc w:val="left"/>
      <w:lvlText w:val="(%1)"/>
      <w:numFmt w:val="lowerRoman"/>
      <w:start w:val="2"/>
    </w:lvl>
  </w:abstractNum>
  <w:abstractNum w:abstractNumId="233">
    <w:nsid w:val="327FAC77"/>
    <w:multiLevelType w:val="hybridMultilevel"/>
    <w:lvl w:ilvl="0">
      <w:lvlJc w:val="left"/>
      <w:lvlText w:val="(%1)"/>
      <w:numFmt w:val="lowerLetter"/>
      <w:start w:val="1"/>
    </w:lvl>
  </w:abstractNum>
  <w:abstractNum w:abstractNumId="234">
    <w:nsid w:val="5A606509"/>
    <w:multiLevelType w:val="hybridMultilevel"/>
    <w:lvl w:ilvl="0">
      <w:lvlJc w:val="left"/>
      <w:lvlText w:val="(%1)"/>
      <w:numFmt w:val="lowerRoman"/>
      <w:start w:val="1"/>
    </w:lvl>
  </w:abstractNum>
  <w:abstractNum w:abstractNumId="235">
    <w:nsid w:val="6F38E6D1"/>
    <w:multiLevelType w:val="hybridMultilevel"/>
    <w:lvl w:ilvl="0">
      <w:lvlJc w:val="left"/>
      <w:lvlText w:val="(%1)"/>
      <w:numFmt w:val="lowerRoman"/>
      <w:start w:val="2"/>
    </w:lvl>
  </w:abstractNum>
  <w:abstractNum w:abstractNumId="236">
    <w:nsid w:val="46111BA5"/>
    <w:multiLevelType w:val="hybridMultilevel"/>
    <w:lvl w:ilvl="0">
      <w:lvlJc w:val="left"/>
      <w:lvlText w:val="(%1)"/>
      <w:numFmt w:val="lowerRoman"/>
      <w:start w:val="3"/>
    </w:lvl>
  </w:abstractNum>
  <w:abstractNum w:abstractNumId="237">
    <w:nsid w:val="5E963896"/>
    <w:multiLevelType w:val="hybridMultilevel"/>
    <w:lvl w:ilvl="0">
      <w:lvlJc w:val="left"/>
      <w:lvlText w:val="(%1)"/>
      <w:numFmt w:val="lowerLetter"/>
      <w:start w:val="2"/>
    </w:lvl>
  </w:abstractNum>
  <w:abstractNum w:abstractNumId="238">
    <w:nsid w:val="775BA7C1"/>
    <w:multiLevelType w:val="hybridMultilevel"/>
    <w:lvl w:ilvl="0">
      <w:lvlJc w:val="left"/>
      <w:lvlText w:val="(%1)"/>
      <w:numFmt w:val="lowerLetter"/>
      <w:start w:val="1"/>
    </w:lvl>
  </w:abstractNum>
  <w:abstractNum w:abstractNumId="239">
    <w:nsid w:val="1DD6D6F4"/>
    <w:multiLevelType w:val="hybridMultilevel"/>
    <w:lvl w:ilvl="0">
      <w:lvlJc w:val="left"/>
      <w:lvlText w:val="(%1)"/>
      <w:numFmt w:val="lowerLetter"/>
      <w:start w:val="2"/>
    </w:lvl>
  </w:abstractNum>
  <w:abstractNum w:abstractNumId="240">
    <w:nsid w:val="769A091F"/>
    <w:multiLevelType w:val="hybridMultilevel"/>
    <w:lvl w:ilvl="0">
      <w:lvlJc w:val="left"/>
      <w:lvlText w:val="(%1)"/>
      <w:numFmt w:val="lowerLetter"/>
      <w:start w:val="4"/>
    </w:lvl>
  </w:abstractNum>
  <w:abstractNum w:abstractNumId="241">
    <w:nsid w:val="4695AE95"/>
    <w:multiLevelType w:val="hybridMultilevel"/>
    <w:lvl w:ilvl="0">
      <w:lvlJc w:val="left"/>
      <w:lvlText w:val="(%1)"/>
      <w:numFmt w:val="lowerLetter"/>
      <w:start w:val="5"/>
    </w:lvl>
  </w:abstractNum>
  <w:abstractNum w:abstractNumId="242">
    <w:nsid w:val="777A4EAA"/>
    <w:multiLevelType w:val="hybridMultilevel"/>
    <w:lvl w:ilvl="0">
      <w:lvlJc w:val="left"/>
      <w:lvlText w:val="(%1)"/>
      <w:numFmt w:val="lowerLetter"/>
      <w:start w:val="1"/>
    </w:lvl>
  </w:abstractNum>
  <w:abstractNum w:abstractNumId="243">
    <w:nsid w:val="3F48B982"/>
    <w:multiLevelType w:val="hybridMultilevel"/>
    <w:lvl w:ilvl="0">
      <w:lvlJc w:val="left"/>
      <w:lvlText w:val="(%1)"/>
      <w:numFmt w:val="lowerLetter"/>
      <w:start w:val="4"/>
    </w:lvl>
  </w:abstractNum>
  <w:abstractNum w:abstractNumId="244">
    <w:nsid w:val="46BA8FCA"/>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1"/>
    </w:lvl>
  </w:abstractNum>
  <w:abstractNum w:abstractNumId="245">
    <w:nsid w:val="7835626C"/>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3"/>
    </w:lvl>
  </w:abstractNum>
  <w:abstractNum w:abstractNumId="246">
    <w:nsid w:val="665ACA49"/>
    <w:multiLevelType w:val="hybridMultilevel"/>
    <w:lvl w:ilvl="0">
      <w:lvlJc w:val="left"/>
      <w:lvlText w:val="(%1)"/>
      <w:numFmt w:val="lowerRoman"/>
      <w:start w:val="2"/>
    </w:lvl>
    <w:lvl w:ilvl="1">
      <w:lvlJc w:val="left"/>
      <w:lvlText w:val="(%2)"/>
      <w:numFmt w:val="upperLetter"/>
      <w:start w:val="1"/>
    </w:lvl>
  </w:abstractNum>
  <w:abstractNum w:abstractNumId="247">
    <w:nsid w:val="6835B2AE"/>
    <w:multiLevelType w:val="hybridMultilevel"/>
    <w:lvl w:ilvl="0">
      <w:lvlJc w:val="left"/>
      <w:lvlText w:val="(%1)"/>
      <w:numFmt w:val="upperLetter"/>
      <w:start w:val="3"/>
    </w:lvl>
  </w:abstractNum>
  <w:abstractNum w:abstractNumId="248">
    <w:nsid w:val="4C187C90"/>
    <w:multiLevelType w:val="hybridMultilevel"/>
    <w:lvl w:ilvl="0">
      <w:lvlJc w:val="left"/>
      <w:lvlText w:val="(%1)"/>
      <w:numFmt w:val="lowerRoman"/>
      <w:start w:val="3"/>
    </w:lvl>
  </w:abstractNum>
  <w:abstractNum w:abstractNumId="249">
    <w:nsid w:val="541F28CD"/>
    <w:multiLevelType w:val="hybridMultilevel"/>
    <w:lvl w:ilvl="0">
      <w:lvlJc w:val="left"/>
      <w:lvlText w:val="(%1)"/>
      <w:numFmt w:val="lowerLetter"/>
      <w:start w:val="3"/>
    </w:lvl>
  </w:abstractNum>
  <w:abstractNum w:abstractNumId="250">
    <w:nsid w:val="7F65FD16"/>
    <w:multiLevelType w:val="hybridMultilevel"/>
    <w:lvl w:ilvl="0">
      <w:lvlJc w:val="left"/>
      <w:lvlText w:val="(%1)"/>
      <w:numFmt w:val="lowerLetter"/>
      <w:start w:val="4"/>
    </w:lvl>
  </w:abstractNum>
  <w:abstractNum w:abstractNumId="251">
    <w:nsid w:val="77C9FD68"/>
    <w:multiLevelType w:val="hybridMultilevel"/>
    <w:lvl w:ilvl="0">
      <w:lvlJc w:val="left"/>
      <w:lvlText w:val="(%1)"/>
      <w:numFmt w:val="lowerLetter"/>
      <w:start w:val="1"/>
    </w:lvl>
  </w:abstractNum>
  <w:abstractNum w:abstractNumId="252">
    <w:nsid w:val="298A92BA"/>
    <w:multiLevelType w:val="hybridMultilevel"/>
    <w:lvl w:ilvl="0">
      <w:lvlJc w:val="left"/>
      <w:lvlText w:val="(%1)"/>
      <w:numFmt w:val="lowerLetter"/>
      <w:start w:val="1"/>
    </w:lvl>
  </w:abstractNum>
  <w:abstractNum w:abstractNumId="253">
    <w:nsid w:val="6FE95EAC"/>
    <w:multiLevelType w:val="hybridMultilevel"/>
    <w:lvl w:ilvl="0">
      <w:lvlJc w:val="left"/>
      <w:lvlText w:val="(%1)"/>
      <w:numFmt w:val="lowerLetter"/>
      <w:start w:val="3"/>
    </w:lvl>
  </w:abstractNum>
  <w:abstractNum w:abstractNumId="254">
    <w:nsid w:val="4B697C7A"/>
    <w:multiLevelType w:val="hybridMultilevel"/>
    <w:lvl w:ilvl="0">
      <w:lvlJc w:val="left"/>
      <w:lvlText w:val="(%1)"/>
      <w:numFmt w:val="lowerLetter"/>
      <w:start w:val="25"/>
    </w:lvl>
  </w:abstractNum>
  <w:abstractNum w:abstractNumId="255">
    <w:nsid w:val="51A27AA6"/>
    <w:multiLevelType w:val="hybridMultilevel"/>
    <w:lvl w:ilvl="0">
      <w:lvlJc w:val="left"/>
      <w:lvlText w:val="(%1)"/>
      <w:numFmt w:val="lowerLetter"/>
      <w:start w:val="2"/>
    </w:lvl>
  </w:abstractNum>
  <w:abstractNum w:abstractNumId="256">
    <w:nsid w:val="613183F2"/>
    <w:multiLevelType w:val="hybridMultilevel"/>
    <w:lvl w:ilvl="0">
      <w:lvlJc w:val="left"/>
      <w:lvlText w:val="(%1)"/>
      <w:numFmt w:val="lowerLetter"/>
      <w:start w:val="3"/>
    </w:lvl>
  </w:abstractNum>
  <w:abstractNum w:abstractNumId="257">
    <w:nsid w:val="634102B4"/>
    <w:multiLevelType w:val="hybridMultilevel"/>
    <w:lvl w:ilvl="0">
      <w:lvlJc w:val="left"/>
      <w:lvlText w:val="(%1)"/>
      <w:numFmt w:val="lowerLetter"/>
      <w:start w:val="1"/>
    </w:lvl>
    <w:lvl w:ilvl="1">
      <w:lvlJc w:val="left"/>
      <w:lvlText w:val="(%2)"/>
      <w:numFmt w:val="lowerRoman"/>
      <w:start w:val="1"/>
    </w:lvl>
  </w:abstractNum>
  <w:abstractNum w:abstractNumId="258">
    <w:nsid w:val="65BF9DA8"/>
    <w:multiLevelType w:val="hybridMultilevel"/>
    <w:lvl w:ilvl="0">
      <w:lvlJc w:val="left"/>
      <w:lvlText w:val="(%1)"/>
      <w:numFmt w:val="lowerLetter"/>
      <w:start w:val="1"/>
    </w:lvl>
  </w:abstractNum>
  <w:abstractNum w:abstractNumId="259">
    <w:nsid w:val="21A2ECCA"/>
    <w:multiLevelType w:val="hybridMultilevel"/>
    <w:lvl w:ilvl="0">
      <w:lvlJc w:val="left"/>
      <w:lvlText w:val="%1"/>
      <w:numFmt w:val="lowerRoman"/>
      <w:start w:val="1"/>
    </w:lvl>
    <w:lvl w:ilvl="1">
      <w:lvlJc w:val="left"/>
      <w:lvlText w:val="(%2)"/>
      <w:numFmt w:val="lowerLetter"/>
      <w:start w:val="2"/>
    </w:lvl>
  </w:abstractNum>
  <w:abstractNum w:abstractNumId="260">
    <w:nsid w:val="4D5C4899"/>
    <w:multiLevelType w:val="hybridMultilevel"/>
    <w:lvl w:ilvl="0">
      <w:lvlJc w:val="left"/>
      <w:lvlText w:val="(%1)"/>
      <w:numFmt w:val="lowerRoman"/>
      <w:start w:val="4"/>
    </w:lvl>
    <w:lvl w:ilvl="1">
      <w:lvlJc w:val="left"/>
      <w:lvlText w:val="%2"/>
      <w:numFmt w:val="lowerLetter"/>
      <w:start w:val="1"/>
    </w:lvl>
  </w:abstractNum>
  <w:abstractNum w:abstractNumId="261">
    <w:nsid w:val="3C3B72B2"/>
    <w:multiLevelType w:val="hybridMultilevel"/>
    <w:lvl w:ilvl="0">
      <w:lvlJc w:val="left"/>
      <w:lvlText w:val="(%1)"/>
      <w:numFmt w:val="lowerLetter"/>
      <w:start w:val="1"/>
    </w:lvl>
  </w:abstractNum>
  <w:abstractNum w:abstractNumId="262">
    <w:nsid w:val="155EC4C2"/>
    <w:multiLevelType w:val="hybridMultilevel"/>
    <w:lvl w:ilvl="0">
      <w:lvlJc w:val="left"/>
      <w:lvlText w:val="(%1)"/>
      <w:numFmt w:val="lowerLetter"/>
      <w:start w:val="1"/>
    </w:lvl>
  </w:abstractNum>
  <w:abstractNum w:abstractNumId="263">
    <w:nsid w:val="65D2A137"/>
    <w:multiLevelType w:val="hybridMultilevel"/>
    <w:lvl w:ilvl="0">
      <w:lvlJc w:val="left"/>
      <w:lvlText w:val="%1."/>
      <w:numFmt w:val="decimal"/>
      <w:start w:val="1"/>
    </w:lvl>
    <w:lvl w:ilvl="1">
      <w:lvlJc w:val="left"/>
      <w:lvlText w:val="%2."/>
      <w:numFmt w:val="lowerLetter"/>
      <w:start w:val="1"/>
    </w:lvl>
  </w:abstractNum>
  <w:abstractNum w:abstractNumId="264">
    <w:nsid w:val="6EBB1F2A"/>
    <w:multiLevelType w:val="hybridMultilevel"/>
    <w:lvl w:ilvl="0">
      <w:lvlJc w:val="left"/>
      <w:lvlText w:val="%1."/>
      <w:numFmt w:val="decimal"/>
      <w:start w:val="1"/>
    </w:lvl>
    <w:lvl w:ilvl="1">
      <w:lvlJc w:val="left"/>
      <w:lvlText w:val="%2."/>
      <w:numFmt w:val="lowerLetter"/>
      <w:start w:val="1"/>
    </w:lvl>
  </w:abstractNum>
  <w:abstractNum w:abstractNumId="265">
    <w:nsid w:val="6FBF29CB"/>
    <w:multiLevelType w:val="hybridMultilevel"/>
    <w:lvl w:ilvl="0">
      <w:lvlJc w:val="left"/>
      <w:lvlText w:val="%1."/>
      <w:numFmt w:val="decimal"/>
      <w:start w:val="1"/>
    </w:lvl>
  </w:abstractNum>
  <w:abstractNum w:abstractNumId="266">
    <w:nsid w:val="550B8808"/>
    <w:multiLevelType w:val="hybridMultilevel"/>
    <w:lvl w:ilvl="0">
      <w:lvlJc w:val="left"/>
      <w:lvlText w:val="%1."/>
      <w:numFmt w:val="decimal"/>
      <w:start w:val="1"/>
    </w:lvl>
  </w:abstractNum>
  <w:abstractNum w:abstractNumId="267">
    <w:nsid w:val="34CC3ACF"/>
    <w:multiLevelType w:val="hybridMultilevel"/>
    <w:lvl w:ilvl="0">
      <w:lvlJc w:val="left"/>
      <w:lvlText w:val="•"/>
      <w:numFmt w:val="bullet"/>
      <w:start w:val="1"/>
    </w:lvl>
  </w:abstractNum>
  <w:abstractNum w:abstractNumId="268">
    <w:nsid w:val="4E556261"/>
    <w:multiLevelType w:val="hybridMultilevel"/>
    <w:lvl w:ilvl="0">
      <w:lvlJc w:val="left"/>
      <w:lvlText w:val="•"/>
      <w:numFmt w:val="bullet"/>
      <w:start w:val="1"/>
    </w:lvl>
  </w:abstractNum>
  <w:abstractNum w:abstractNumId="269">
    <w:nsid w:val="4C672FC9"/>
    <w:multiLevelType w:val="hybridMultilevel"/>
    <w:lvl w:ilvl="0">
      <w:lvlJc w:val="left"/>
      <w:lvlText w:val="•"/>
      <w:numFmt w:val="bullet"/>
      <w:start w:val="1"/>
    </w:lvl>
  </w:abstractNum>
  <w:abstractNum w:abstractNumId="270">
    <w:nsid w:val="52A311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jpe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195" Type="http://schemas.openxmlformats.org/officeDocument/2006/relationships/hyperlink" Target="https://www.sec.gov/Archives/edgar/data/1625278/000162527822000089/exhibit21-mergeragreement.htm" TargetMode="External"/><Relationship Id="rId196" Type="http://schemas.openxmlformats.org/officeDocument/2006/relationships/hyperlink" Target="https://www.sec.gov/Archives/edgar/data/0001625278/000162828021022618/exhibit31-closing8xk.htm" TargetMode="External"/><Relationship Id="rId197" Type="http://schemas.openxmlformats.org/officeDocument/2006/relationships/hyperlink" Target="https://www.sec.gov/Archives/edgar/data/0001625278/000162828021022618/exhibit32-closing8xk.htm" TargetMode="External"/><Relationship Id="rId198" Type="http://schemas.openxmlformats.org/officeDocument/2006/relationships/hyperlink" Target="https://www.sec.gov/Archives/edgar/data/1625278/000162527822000029/exhibit41-10xkfy21.htm" TargetMode="External"/><Relationship Id="rId199" Type="http://schemas.openxmlformats.org/officeDocument/2006/relationships/hyperlink" Target="https://www.sec.gov/Archives/edgar/data/1625278/000162828021019876/exhibit101-sx1.htm" TargetMode="External"/><Relationship Id="rId200" Type="http://schemas.openxmlformats.org/officeDocument/2006/relationships/hyperlink" Target="https://www.sec.gov/Archives/edgar/data/1625278/000162828021019876/exhibit102-sx1.htm" TargetMode="External"/><Relationship Id="rId201" Type="http://schemas.openxmlformats.org/officeDocument/2006/relationships/hyperlink" Target="https://www.sec.gov/Archives/edgar/data/1625278/000162828021019876/exhibit103-sx1.htm" TargetMode="External"/><Relationship Id="rId202" Type="http://schemas.openxmlformats.org/officeDocument/2006/relationships/hyperlink" Target="https://www.sec.gov/Archives/edgar/data/1625278/000162828021019876/exhibit104-sx1.htm" TargetMode="External"/><Relationship Id="rId203" Type="http://schemas.openxmlformats.org/officeDocument/2006/relationships/hyperlink" Target="https://www.sec.gov/Archives/edgar/data/1625278/000162828021019876/exhibit105-sx1.htm" TargetMode="External"/><Relationship Id="rId204" Type="http://schemas.openxmlformats.org/officeDocument/2006/relationships/hyperlink" Target="https://www.sec.gov/Archives/edgar/data/1625278/000162828021019876/exhibit1020-sx1.htm" TargetMode="External"/><Relationship Id="rId205" Type="http://schemas.openxmlformats.org/officeDocument/2006/relationships/hyperlink" Target="https://www.sec.gov/Archives/edgar/data/0001625278/000162828021020521/exhibit1022-sx1a2.htm" TargetMode="External"/><Relationship Id="rId206" Type="http://schemas.openxmlformats.org/officeDocument/2006/relationships/hyperlink" Target="https://www.sec.gov/Archives/edgar/data/1625278/000162828021020344/exhibit1017-sx1a.htm" TargetMode="External"/><Relationship Id="rId207" Type="http://schemas.openxmlformats.org/officeDocument/2006/relationships/hyperlink" Target="https://www.sec.gov/Archives/edgar/data/1625278/000162828021019876/exhibit106-sx1.htm" TargetMode="External"/><Relationship Id="rId210" Type="http://schemas.openxmlformats.org/officeDocument/2006/relationships/hyperlink" Target="https://www.sec.gov/Archives/edgar/data/1625278/000162828021019876/exhibit107-sx1.htm" TargetMode="External"/><Relationship Id="rId211" Type="http://schemas.openxmlformats.org/officeDocument/2006/relationships/hyperlink" Target="https://www.sec.gov/Archives/edgar/data/1625278/000162828021019876/exhibit108-sx1.htm" TargetMode="External"/><Relationship Id="rId212" Type="http://schemas.openxmlformats.org/officeDocument/2006/relationships/hyperlink" Target="https://www.sec.gov/Archives/edgar/data/1625278/000162527822000065/exhibit991-sx852522.htm" TargetMode="External"/><Relationship Id="rId213" Type="http://schemas.openxmlformats.org/officeDocument/2006/relationships/hyperlink" Target="https://www.sec.gov/Archives/edgar/data/0001625278/000162828021020521/exhibit1010-s1a2.htm" TargetMode="External"/><Relationship Id="rId214" Type="http://schemas.openxmlformats.org/officeDocument/2006/relationships/hyperlink" Target="https://www.sec.gov/Archives/edgar/data/0001625278/000162828021020521/exhibit1011-sx1a2.htm" TargetMode="External"/><Relationship Id="rId215" Type="http://schemas.openxmlformats.org/officeDocument/2006/relationships/hyperlink" Target="https://www.sec.gov/Archives/edgar/data/1625278/000162527823000034/exhibit101-psugrantwcoc.htm" TargetMode="External"/><Relationship Id="rId216" Type="http://schemas.openxmlformats.org/officeDocument/2006/relationships/hyperlink" Target="https://www.sec.gov/Archives/edgar/data/1625278/000162527822000107/exhibit991-nerdwalletinc20.htm" TargetMode="External"/><Relationship Id="rId217" Type="http://schemas.openxmlformats.org/officeDocument/2006/relationships/hyperlink" Target="https://www.sec.gov/Archives/edgar/data/1625278/000162527822000107/exhibit992-nerdwalletincfo.htm" TargetMode="External"/><Relationship Id="rId218" Type="http://schemas.openxmlformats.org/officeDocument/2006/relationships/hyperlink" Target="https://www.sec.gov/Archives/edgar/data/1625278/000162527822000107/exhibit993-nerdwalletincfo.htm" TargetMode="External"/><Relationship Id="rId219" Type="http://schemas.openxmlformats.org/officeDocument/2006/relationships/hyperlink" Target="https://www.sec.gov/Archives/edgar/data/0001625278/000162828021020521/exhibit1012-sx1a2.htm" TargetMode="External"/><Relationship Id="rId220" Type="http://schemas.openxmlformats.org/officeDocument/2006/relationships/hyperlink" Target="https://www.sec.gov/Archives/edgar/data/1625278/000162828021019876/exhibit1013-sx1.htm" TargetMode="External"/><Relationship Id="rId221" Type="http://schemas.openxmlformats.org/officeDocument/2006/relationships/hyperlink" Target="https://www.sec.gov/Archives/edgar/data/1625278/000162527823000034/exhibit102-changeofcontrol.htm" TargetMode="External"/><Relationship Id="rId222" Type="http://schemas.openxmlformats.org/officeDocument/2006/relationships/hyperlink" Target="https://www.sec.gov/Archives/edgar/data/1625278/000162828021019876/exhibit1021-sx1.htm" TargetMode="External"/><Relationship Id="rId223" Type="http://schemas.openxmlformats.org/officeDocument/2006/relationships/hyperlink" Target="https://www.sec.gov/Archives/edgar/data/1625278/000162828021019876/exhibit1017-sx1.htm" TargetMode="External"/><Relationship Id="rId224" Type="http://schemas.openxmlformats.org/officeDocument/2006/relationships/hyperlink" Target="https://www.sec.gov/Archives/edgar/data/1625278/000162527822000029/exhibit211-10xkfy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2024-02-20T15:41:37Z</dcterms:created>
  <dcterms:modified xsi:type="dcterms:W3CDTF">2024-02-20T15:41:37Z</dcterms:modified>
</cp:coreProperties>
</file>