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5"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128" w:lineRule="exact"/>
        <w:rPr>
          <w:rFonts w:ascii="MS PGothic" w:cs="MS PGothic" w:eastAsia="MS PGothic" w:hAnsi="MS PGothic"/>
          <w:sz w:val="17"/>
          <w:szCs w:val="17"/>
          <w:color w:val="auto"/>
          <w:highlight w:val="black"/>
        </w:rPr>
      </w:pPr>
    </w:p>
    <w:p>
      <w:pPr>
        <w:ind w:left="388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quarterly period ended June 30, 2023</w:t>
      </w:r>
    </w:p>
    <w:p>
      <w:pPr>
        <w:sectPr>
          <w:pgSz w:w="11900" w:h="16838" w:orient="portrait"/>
          <w:cols w:equalWidth="0" w:num="1">
            <w:col w:w="11240"/>
          </w:cols>
          <w:pgMar w:left="320" w:top="1210" w:right="33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4"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Commission file number 001-40994</w:t>
      </w:r>
    </w:p>
    <w:p>
      <w:pPr>
        <w:spacing w:after="0" w:line="112" w:lineRule="exact"/>
        <w:rPr>
          <w:sz w:val="24"/>
          <w:szCs w:val="24"/>
          <w:color w:val="auto"/>
        </w:rPr>
      </w:pPr>
    </w:p>
    <w:p>
      <w:pPr>
        <w:jc w:val="center"/>
        <w:ind w:right="580"/>
        <w:spacing w:after="0"/>
        <w:rPr>
          <w:sz w:val="20"/>
          <w:szCs w:val="20"/>
          <w:color w:val="auto"/>
        </w:rPr>
      </w:pPr>
      <w:r>
        <w:rPr>
          <w:rFonts w:ascii="Arial" w:cs="Arial" w:eastAsia="Arial" w:hAnsi="Arial"/>
          <w:sz w:val="25"/>
          <w:szCs w:val="25"/>
          <w:b w:val="1"/>
          <w:bCs w:val="1"/>
          <w:color w:val="auto"/>
        </w:rPr>
        <w:t>NerdWallet, Inc.</w:t>
      </w:r>
    </w:p>
    <w:p>
      <w:pPr>
        <w:spacing w:after="0" w:line="29"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136" w:lineRule="exact"/>
        <w:rPr>
          <w:sz w:val="24"/>
          <w:szCs w:val="24"/>
          <w:color w:val="auto"/>
        </w:rPr>
      </w:pPr>
    </w:p>
    <w:p>
      <w:pPr>
        <w:ind w:left="1880"/>
        <w:spacing w:after="0"/>
        <w:rPr>
          <w:sz w:val="20"/>
          <w:szCs w:val="20"/>
          <w:color w:val="auto"/>
        </w:rPr>
      </w:pPr>
      <w:r>
        <w:rPr>
          <w:rFonts w:ascii="Arial" w:cs="Arial" w:eastAsia="Arial" w:hAnsi="Arial"/>
          <w:sz w:val="17"/>
          <w:szCs w:val="17"/>
          <w:b w:val="1"/>
          <w:bCs w:val="1"/>
          <w:color w:val="auto"/>
        </w:rPr>
        <w:t>Delaware</w:t>
      </w:r>
    </w:p>
    <w:p>
      <w:pPr>
        <w:ind w:left="7440"/>
        <w:spacing w:after="0"/>
        <w:rPr>
          <w:sz w:val="20"/>
          <w:szCs w:val="20"/>
          <w:color w:val="auto"/>
        </w:rPr>
      </w:pPr>
      <w:r>
        <w:rPr>
          <w:rFonts w:ascii="Arial" w:cs="Arial" w:eastAsia="Arial" w:hAnsi="Arial"/>
          <w:sz w:val="17"/>
          <w:szCs w:val="17"/>
          <w:b w:val="1"/>
          <w:bCs w:val="1"/>
          <w:color w:val="auto"/>
        </w:rPr>
        <w:t>45-4180440</w:t>
      </w:r>
    </w:p>
    <w:p>
      <w:pPr>
        <w:spacing w:after="0" w:line="61" w:lineRule="exact"/>
        <w:rPr>
          <w:sz w:val="24"/>
          <w:szCs w:val="24"/>
          <w:color w:val="auto"/>
        </w:rPr>
      </w:pPr>
    </w:p>
    <w:p>
      <w:pPr>
        <w:ind w:left="160"/>
        <w:spacing w:after="0"/>
        <w:tabs>
          <w:tab w:leader="none" w:pos="6600" w:val="left"/>
        </w:tabs>
        <w:rPr>
          <w:sz w:val="20"/>
          <w:szCs w:val="20"/>
          <w:color w:val="auto"/>
        </w:rPr>
      </w:pPr>
      <w:r>
        <w:rPr>
          <w:rFonts w:ascii="Arial" w:cs="Arial" w:eastAsia="Arial" w:hAnsi="Arial"/>
          <w:sz w:val="17"/>
          <w:szCs w:val="17"/>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381" w:lineRule="exact"/>
        <w:rPr>
          <w:sz w:val="24"/>
          <w:szCs w:val="24"/>
          <w:color w:val="auto"/>
        </w:rPr>
      </w:pPr>
    </w:p>
    <w:p>
      <w:pPr>
        <w:jc w:val="center"/>
        <w:ind w:right="580"/>
        <w:spacing w:after="0"/>
        <w:rPr>
          <w:sz w:val="20"/>
          <w:szCs w:val="20"/>
          <w:color w:val="auto"/>
        </w:rPr>
      </w:pPr>
      <w:r>
        <w:rPr>
          <w:rFonts w:ascii="Arial" w:cs="Arial" w:eastAsia="Arial" w:hAnsi="Arial"/>
          <w:sz w:val="17"/>
          <w:szCs w:val="17"/>
          <w:b w:val="1"/>
          <w:bCs w:val="1"/>
          <w:color w:val="auto"/>
        </w:rPr>
        <w:t>55 Hawthorne Street, 11th Floor, San Francisco, California 94105</w:t>
      </w:r>
    </w:p>
    <w:p>
      <w:pPr>
        <w:spacing w:after="0" w:line="25"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(Address of principal executive offices) (Zip code)</w:t>
      </w:r>
    </w:p>
    <w:p>
      <w:pPr>
        <w:spacing w:after="0" w:line="111" w:lineRule="exact"/>
        <w:rPr>
          <w:sz w:val="24"/>
          <w:szCs w:val="24"/>
          <w:color w:val="auto"/>
        </w:rPr>
      </w:pPr>
    </w:p>
    <w:p>
      <w:pPr>
        <w:jc w:val="center"/>
        <w:ind w:right="580"/>
        <w:spacing w:after="0"/>
        <w:rPr>
          <w:sz w:val="20"/>
          <w:szCs w:val="20"/>
          <w:color w:val="auto"/>
        </w:rPr>
      </w:pPr>
      <w:r>
        <w:rPr>
          <w:rFonts w:ascii="Arial" w:cs="Arial" w:eastAsia="Arial" w:hAnsi="Arial"/>
          <w:sz w:val="17"/>
          <w:szCs w:val="17"/>
          <w:b w:val="1"/>
          <w:bCs w:val="1"/>
          <w:color w:val="auto"/>
        </w:rPr>
        <w:t>(415) 549-8913</w:t>
      </w:r>
    </w:p>
    <w:p>
      <w:pPr>
        <w:spacing w:after="0" w:line="25" w:lineRule="exact"/>
        <w:rPr>
          <w:sz w:val="24"/>
          <w:szCs w:val="24"/>
          <w:color w:val="auto"/>
        </w:rPr>
      </w:pPr>
    </w:p>
    <w:p>
      <w:pPr>
        <w:jc w:val="center"/>
        <w:ind w:right="58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20"/>
            <w:col w:w="10640"/>
          </w:cols>
          <w:pgMar w:left="320" w:top="1210" w:right="339" w:bottom="1440" w:gutter="0" w:footer="0" w:header="0"/>
          <w:type w:val="continuous"/>
        </w:sectPr>
      </w:pP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79" w:lineRule="exact"/>
        <w:rPr>
          <w:sz w:val="24"/>
          <w:szCs w:val="24"/>
          <w:color w:val="auto"/>
        </w:rPr>
      </w:pPr>
    </w:p>
    <w:p>
      <w:pPr>
        <w:ind w:left="540"/>
        <w:spacing w:after="0"/>
        <w:tabs>
          <w:tab w:leader="none" w:pos="4940" w:val="left"/>
          <w:tab w:leader="none" w:pos="7860" w:val="left"/>
        </w:tabs>
        <w:rPr>
          <w:sz w:val="20"/>
          <w:szCs w:val="20"/>
          <w:color w:val="auto"/>
        </w:rPr>
      </w:pPr>
      <w:r>
        <w:rPr>
          <w:rFonts w:ascii="Arial" w:cs="Arial" w:eastAsia="Arial" w:hAnsi="Arial"/>
          <w:sz w:val="17"/>
          <w:szCs w:val="17"/>
          <w:color w:val="auto"/>
        </w:rPr>
        <w:t>Class A common stock, $0.0001 par value</w:t>
      </w:r>
      <w:r>
        <w:rPr>
          <w:sz w:val="20"/>
          <w:szCs w:val="20"/>
          <w:color w:val="auto"/>
        </w:rPr>
        <w:tab/>
      </w:r>
      <w:r>
        <w:rPr>
          <w:rFonts w:ascii="Arial" w:cs="Arial" w:eastAsia="Arial" w:hAnsi="Arial"/>
          <w:sz w:val="17"/>
          <w:szCs w:val="17"/>
          <w:color w:val="auto"/>
        </w:rPr>
        <w:t>NRDS</w:t>
      </w:r>
      <w:r>
        <w:rPr>
          <w:sz w:val="20"/>
          <w:szCs w:val="20"/>
          <w:color w:val="auto"/>
        </w:rPr>
        <w:tab/>
      </w:r>
      <w:r>
        <w:rPr>
          <w:rFonts w:ascii="Arial" w:cs="Arial" w:eastAsia="Arial" w:hAnsi="Arial"/>
          <w:sz w:val="15"/>
          <w:szCs w:val="15"/>
          <w:color w:val="auto"/>
        </w:rPr>
        <w:t>The Nasdaq Global Market</w:t>
      </w:r>
    </w:p>
    <w:p>
      <w:pPr>
        <w:spacing w:after="0" w:line="223" w:lineRule="exact"/>
        <w:rPr>
          <w:sz w:val="24"/>
          <w:szCs w:val="24"/>
          <w:color w:val="auto"/>
        </w:rPr>
      </w:pPr>
    </w:p>
    <w:p>
      <w:pPr>
        <w:jc w:val="both"/>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96"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5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620"/>
              <w:spacing w:after="0"/>
              <w:rPr>
                <w:sz w:val="20"/>
                <w:szCs w:val="20"/>
                <w:color w:val="auto"/>
              </w:rPr>
            </w:pPr>
            <w:r>
              <w:rPr>
                <w:rFonts w:ascii="Arial" w:cs="Arial" w:eastAsia="Arial" w:hAnsi="Arial"/>
                <w:sz w:val="17"/>
                <w:szCs w:val="17"/>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15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620"/>
              <w:spacing w:after="0"/>
              <w:rPr>
                <w:sz w:val="20"/>
                <w:szCs w:val="20"/>
                <w:color w:val="auto"/>
              </w:rPr>
            </w:pPr>
            <w:r>
              <w:rPr>
                <w:rFonts w:ascii="Arial" w:cs="Arial" w:eastAsia="Arial" w:hAnsi="Arial"/>
                <w:sz w:val="17"/>
                <w:szCs w:val="17"/>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40" w:type="dxa"/>
            <w:vAlign w:val="bottom"/>
          </w:tcPr>
          <w:p>
            <w:pPr>
              <w:ind w:left="620"/>
              <w:spacing w:after="0"/>
              <w:rPr>
                <w:sz w:val="20"/>
                <w:szCs w:val="20"/>
                <w:color w:val="auto"/>
              </w:rPr>
            </w:pPr>
            <w:r>
              <w:rPr>
                <w:rFonts w:ascii="Arial" w:cs="Arial" w:eastAsia="Arial" w:hAnsi="Arial"/>
                <w:sz w:val="17"/>
                <w:szCs w:val="17"/>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6" w:lineRule="exact"/>
        <w:rPr>
          <w:sz w:val="24"/>
          <w:szCs w:val="24"/>
          <w:color w:val="auto"/>
        </w:rPr>
      </w:pPr>
    </w:p>
    <w:p>
      <w:pPr>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outstanding 45,851,772 shares of Class A common stock and 31,685,652 shares of Class B common stock as of July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Page</w:t>
            </w:r>
          </w:p>
        </w:tc>
      </w:tr>
      <w:tr>
        <w:trPr>
          <w:trHeight w:val="189"/>
        </w:trPr>
        <w:tc>
          <w:tcPr>
            <w:tcW w:w="320" w:type="dxa"/>
            <w:vAlign w:val="bottom"/>
          </w:tcPr>
          <w:p>
            <w:pPr>
              <w:spacing w:after="0"/>
              <w:rPr>
                <w:sz w:val="16"/>
                <w:szCs w:val="16"/>
                <w:color w:val="auto"/>
              </w:rPr>
            </w:pPr>
          </w:p>
        </w:tc>
        <w:tc>
          <w:tcPr>
            <w:tcW w:w="1280" w:type="dxa"/>
            <w:vAlign w:val="bottom"/>
            <w:gridSpan w:val="7"/>
          </w:tcPr>
          <w:p>
            <w:pPr>
              <w:spacing w:after="0" w:line="189" w:lineRule="exact"/>
              <w:rPr>
                <w:sz w:val="20"/>
                <w:szCs w:val="20"/>
                <w:color w:val="auto"/>
              </w:rPr>
            </w:pPr>
            <w:r>
              <w:rPr>
                <w:rFonts w:ascii="Arial" w:cs="Arial" w:eastAsia="Arial" w:hAnsi="Arial"/>
                <w:sz w:val="18"/>
                <w:szCs w:val="18"/>
                <w:b w:val="1"/>
                <w:bCs w:val="1"/>
                <w:color w:val="0000FF"/>
              </w:rPr>
              <w:t>PART I</w:t>
            </w:r>
          </w:p>
        </w:tc>
        <w:tc>
          <w:tcPr>
            <w:tcW w:w="8420" w:type="dxa"/>
            <w:vAlign w:val="bottom"/>
            <w:gridSpan w:val="18"/>
          </w:tcPr>
          <w:p>
            <w:pPr>
              <w:spacing w:after="0" w:line="189" w:lineRule="exact"/>
              <w:rPr>
                <w:sz w:val="20"/>
                <w:szCs w:val="20"/>
                <w:color w:val="auto"/>
              </w:rPr>
            </w:pPr>
            <w:r>
              <w:rPr>
                <w:rFonts w:ascii="Arial" w:cs="Arial" w:eastAsia="Arial" w:hAnsi="Arial"/>
                <w:sz w:val="18"/>
                <w:szCs w:val="18"/>
                <w:b w:val="1"/>
                <w:bCs w:val="1"/>
                <w:color w:val="0000FF"/>
              </w:rPr>
              <w:t>Financial Information</w:t>
            </w:r>
          </w:p>
        </w:tc>
        <w:tc>
          <w:tcPr>
            <w:tcW w:w="9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0000FF"/>
                <w:w w:val="90"/>
              </w:rPr>
              <w:t>Item 1.</w:t>
            </w:r>
          </w:p>
        </w:tc>
        <w:tc>
          <w:tcPr>
            <w:tcW w:w="420" w:type="dxa"/>
            <w:vAlign w:val="bottom"/>
            <w:gridSpan w:val="2"/>
          </w:tcPr>
          <w:p>
            <w:pPr>
              <w:spacing w:after="0"/>
              <w:rPr>
                <w:sz w:val="20"/>
                <w:szCs w:val="20"/>
                <w:color w:val="auto"/>
              </w:rPr>
            </w:pPr>
          </w:p>
        </w:tc>
        <w:tc>
          <w:tcPr>
            <w:tcW w:w="842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5480" w:type="dxa"/>
            <w:vAlign w:val="bottom"/>
            <w:gridSpan w:val="9"/>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4760" w:type="dxa"/>
            <w:vAlign w:val="bottom"/>
            <w:gridSpan w:val="8"/>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Statements of Stockholders’ Equity</w:t>
            </w:r>
          </w:p>
        </w:tc>
        <w:tc>
          <w:tcPr>
            <w:tcW w:w="700" w:type="dxa"/>
            <w:vAlign w:val="bottom"/>
            <w:tcBorders>
              <w:top w:val="single" w:sz="8" w:color="0000FF"/>
            </w:tcBorders>
          </w:tcPr>
          <w:p>
            <w:pPr>
              <w:spacing w:after="0"/>
              <w:rPr>
                <w:sz w:val="20"/>
                <w:szCs w:val="20"/>
                <w:color w:val="auto"/>
              </w:rPr>
            </w:pPr>
          </w:p>
        </w:tc>
        <w:tc>
          <w:tcPr>
            <w:tcW w:w="3340" w:type="dxa"/>
            <w:vAlign w:val="bottom"/>
            <w:gridSpan w:val="2"/>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00" w:type="dxa"/>
            <w:vAlign w:val="bottom"/>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4700" w:type="dxa"/>
            <w:vAlign w:val="bottom"/>
            <w:gridSpan w:val="7"/>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300" w:type="dxa"/>
            <w:vAlign w:val="bottom"/>
          </w:tcPr>
          <w:p>
            <w:pPr>
              <w:spacing w:after="0"/>
              <w:rPr>
                <w:sz w:val="19"/>
                <w:szCs w:val="19"/>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420" w:type="dxa"/>
            <w:vAlign w:val="bottom"/>
            <w:gridSpan w:val="6"/>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0000FF"/>
                <w:w w:val="90"/>
              </w:rPr>
              <w:t>Item 2.</w:t>
            </w:r>
          </w:p>
        </w:tc>
        <w:tc>
          <w:tcPr>
            <w:tcW w:w="420" w:type="dxa"/>
            <w:vAlign w:val="bottom"/>
            <w:gridSpan w:val="2"/>
          </w:tcPr>
          <w:p>
            <w:pPr>
              <w:spacing w:after="0"/>
              <w:rPr>
                <w:sz w:val="20"/>
                <w:szCs w:val="20"/>
                <w:color w:val="auto"/>
              </w:rPr>
            </w:pPr>
          </w:p>
        </w:tc>
        <w:tc>
          <w:tcPr>
            <w:tcW w:w="842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2"/>
          </w:tcPr>
          <w:p>
            <w:pPr>
              <w:spacing w:after="0"/>
              <w:rPr>
                <w:sz w:val="20"/>
                <w:szCs w:val="20"/>
                <w:color w:val="auto"/>
              </w:rPr>
            </w:pPr>
          </w:p>
        </w:tc>
        <w:tc>
          <w:tcPr>
            <w:tcW w:w="43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0000FF"/>
                <w:w w:val="90"/>
              </w:rPr>
              <w:t>Item 4.</w:t>
            </w:r>
          </w:p>
        </w:tc>
        <w:tc>
          <w:tcPr>
            <w:tcW w:w="420" w:type="dxa"/>
            <w:vAlign w:val="bottom"/>
            <w:gridSpan w:val="2"/>
          </w:tcPr>
          <w:p>
            <w:pPr>
              <w:spacing w:after="0"/>
              <w:rPr>
                <w:sz w:val="20"/>
                <w:szCs w:val="20"/>
                <w:color w:val="auto"/>
              </w:rPr>
            </w:pPr>
          </w:p>
        </w:tc>
        <w:tc>
          <w:tcPr>
            <w:tcW w:w="842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20"/>
                <w:szCs w:val="20"/>
                <w:color w:val="auto"/>
              </w:rPr>
            </w:pPr>
          </w:p>
        </w:tc>
      </w:tr>
      <w:tr>
        <w:trPr>
          <w:trHeight w:val="20"/>
        </w:trPr>
        <w:tc>
          <w:tcPr>
            <w:tcW w:w="66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b w:val="1"/>
                <w:bCs w:val="1"/>
                <w:color w:val="0000FF"/>
                <w:w w:val="99"/>
              </w:rPr>
              <w:t>PART II</w:t>
            </w:r>
          </w:p>
        </w:tc>
        <w:tc>
          <w:tcPr>
            <w:tcW w:w="620" w:type="dxa"/>
            <w:vAlign w:val="bottom"/>
            <w:gridSpan w:val="4"/>
          </w:tcPr>
          <w:p>
            <w:pPr>
              <w:spacing w:after="0"/>
              <w:rPr>
                <w:sz w:val="24"/>
                <w:szCs w:val="24"/>
                <w:color w:val="auto"/>
              </w:rPr>
            </w:pPr>
          </w:p>
        </w:tc>
        <w:tc>
          <w:tcPr>
            <w:tcW w:w="8420" w:type="dxa"/>
            <w:vAlign w:val="bottom"/>
            <w:gridSpan w:val="18"/>
          </w:tcPr>
          <w:p>
            <w:pPr>
              <w:spacing w:after="0"/>
              <w:rPr>
                <w:sz w:val="20"/>
                <w:szCs w:val="20"/>
                <w:color w:val="auto"/>
              </w:rPr>
            </w:pPr>
            <w:r>
              <w:rPr>
                <w:rFonts w:ascii="Arial" w:cs="Arial" w:eastAsia="Arial" w:hAnsi="Arial"/>
                <w:sz w:val="18"/>
                <w:szCs w:val="18"/>
                <w:b w:val="1"/>
                <w:bCs w:val="1"/>
                <w:color w:val="0000FF"/>
              </w:rPr>
              <w:t>Other Information</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Item 1.</w:t>
            </w:r>
          </w:p>
        </w:tc>
        <w:tc>
          <w:tcPr>
            <w:tcW w:w="300" w:type="dxa"/>
            <w:vAlign w:val="bottom"/>
          </w:tcPr>
          <w:p>
            <w:pPr>
              <w:spacing w:after="0"/>
              <w:rPr>
                <w:sz w:val="20"/>
                <w:szCs w:val="20"/>
                <w:color w:val="auto"/>
              </w:rPr>
            </w:pP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7080" w:type="dxa"/>
            <w:vAlign w:val="bottom"/>
            <w:gridSpan w:val="14"/>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6"/>
          </w:tcPr>
          <w:p>
            <w:pPr>
              <w:spacing w:after="0"/>
              <w:rPr>
                <w:sz w:val="20"/>
                <w:szCs w:val="20"/>
                <w:color w:val="auto"/>
              </w:rPr>
            </w:pPr>
            <w:r>
              <w:rPr>
                <w:rFonts w:ascii="Arial" w:cs="Arial" w:eastAsia="Arial" w:hAnsi="Arial"/>
                <w:sz w:val="18"/>
                <w:szCs w:val="18"/>
                <w:color w:val="0000FF"/>
              </w:rPr>
              <w:t>Item 1A.</w:t>
            </w:r>
          </w:p>
        </w:tc>
        <w:tc>
          <w:tcPr>
            <w:tcW w:w="842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2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2"/>
          </w:tcPr>
          <w:p>
            <w:pPr>
              <w:spacing w:after="0"/>
              <w:rPr>
                <w:sz w:val="20"/>
                <w:szCs w:val="20"/>
                <w:color w:val="auto"/>
              </w:rPr>
            </w:pP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080" w:type="dxa"/>
            <w:vAlign w:val="bottom"/>
            <w:gridSpan w:val="5"/>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0"/>
              </w:rPr>
              <w:t>Item 4.</w:t>
            </w:r>
          </w:p>
        </w:tc>
        <w:tc>
          <w:tcPr>
            <w:tcW w:w="420" w:type="dxa"/>
            <w:vAlign w:val="bottom"/>
            <w:tcBorders>
              <w:top w:val="single" w:sz="8" w:color="0000FF"/>
            </w:tcBorders>
            <w:gridSpan w:val="2"/>
          </w:tcPr>
          <w:p>
            <w:pPr>
              <w:spacing w:after="0"/>
              <w:rPr>
                <w:sz w:val="20"/>
                <w:szCs w:val="20"/>
                <w:color w:val="auto"/>
              </w:rPr>
            </w:pP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6100" w:type="dxa"/>
            <w:vAlign w:val="bottom"/>
            <w:gridSpan w:val="10"/>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0"/>
              </w:rPr>
              <w:t>Item 5.</w:t>
            </w:r>
          </w:p>
        </w:tc>
        <w:tc>
          <w:tcPr>
            <w:tcW w:w="420" w:type="dxa"/>
            <w:vAlign w:val="bottom"/>
            <w:gridSpan w:val="2"/>
          </w:tcPr>
          <w:p>
            <w:pPr>
              <w:spacing w:after="0"/>
              <w:rPr>
                <w:sz w:val="20"/>
                <w:szCs w:val="20"/>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4"/>
          </w:tcPr>
          <w:p>
            <w:pPr>
              <w:spacing w:after="0"/>
              <w:rPr>
                <w:sz w:val="20"/>
                <w:szCs w:val="20"/>
                <w:color w:val="auto"/>
              </w:rPr>
            </w:pPr>
          </w:p>
        </w:tc>
        <w:tc>
          <w:tcPr>
            <w:tcW w:w="6660" w:type="dxa"/>
            <w:vAlign w:val="bottom"/>
            <w:gridSpan w:val="11"/>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Item 6.</w:t>
            </w:r>
          </w:p>
        </w:tc>
        <w:tc>
          <w:tcPr>
            <w:tcW w:w="420" w:type="dxa"/>
            <w:vAlign w:val="bottom"/>
            <w:gridSpan w:val="2"/>
          </w:tcPr>
          <w:p>
            <w:pPr>
              <w:spacing w:after="0"/>
              <w:rPr>
                <w:sz w:val="20"/>
                <w:szCs w:val="20"/>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820" w:type="dxa"/>
            <w:vAlign w:val="bottom"/>
            <w:gridSpan w:val="17"/>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300" w:type="dxa"/>
            <w:vAlign w:val="bottom"/>
          </w:tcPr>
          <w:p>
            <w:pPr>
              <w:spacing w:after="0"/>
              <w:rPr>
                <w:sz w:val="20"/>
                <w:szCs w:val="20"/>
                <w:color w:val="auto"/>
              </w:rPr>
            </w:pPr>
          </w:p>
        </w:tc>
      </w:tr>
      <w:tr>
        <w:trPr>
          <w:trHeight w:val="493"/>
        </w:trPr>
        <w:tc>
          <w:tcPr>
            <w:tcW w:w="1600" w:type="dxa"/>
            <w:vAlign w:val="bottom"/>
            <w:gridSpan w:val="8"/>
          </w:tcPr>
          <w:p>
            <w:pPr>
              <w:ind w:left="320"/>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61"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macroeconomic developments, including but not limited to, inflation, rising interest rates, tightening credit markets and general macroeconomic uncertainty on our business results of operations, financial condition and stock price;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and operating performance, including total revenue, cost of revenue, Adjusted EBITDA and Monthly Unique Users;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returns on marketing investments and brand campaigns;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about consumer demand for the products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expected synergies, accretive value and other benefits from completed acquisitions;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share repurchase plan, including expectations regarding the amount, timing and manner of repurchases made under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risks, uncertainties and other factors described elsewhere in this Quarterly Report on Form 10-Q, in Part I, Item 1A. Risk Factors in our Annual Report on Form 10-K for the year ended December 31, 2022,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p>
      <w:pPr>
        <w:jc w:val="right"/>
        <w:ind w:right="22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25" w:lineRule="exact"/>
        <w:rPr>
          <w:sz w:val="20"/>
          <w:szCs w:val="20"/>
          <w:color w:val="auto"/>
        </w:rPr>
      </w:pPr>
    </w:p>
    <w:p>
      <w:pPr>
        <w:ind w:left="20"/>
        <w:spacing w:after="0"/>
        <w:tabs>
          <w:tab w:leader="none" w:pos="8980" w:val="left"/>
          <w:tab w:leader="none" w:pos="10400" w:val="left"/>
        </w:tabs>
        <w:rPr>
          <w:sz w:val="20"/>
          <w:szCs w:val="20"/>
          <w:color w:val="auto"/>
        </w:rPr>
      </w:pPr>
      <w:r>
        <w:rPr>
          <w:rFonts w:ascii="Arial" w:cs="Arial" w:eastAsia="Arial" w:hAnsi="Arial"/>
          <w:sz w:val="14"/>
          <w:szCs w:val="14"/>
          <w:i w:val="1"/>
          <w:iCs w:val="1"/>
          <w:color w:val="auto"/>
        </w:rPr>
        <w:t>(in millions, except share amounts which are in thousands and per share amounts)</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ectPr>
          <w:pgSz w:w="11900" w:h="16838" w:orient="portrait"/>
          <w:cols w:equalWidth="0" w:num="1">
            <w:col w:w="11200"/>
          </w:cols>
          <w:pgMar w:left="320" w:top="125" w:right="37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Prepaid expenses and other current assets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900" w:val="left"/>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67.1</w:t>
      </w:r>
      <w:r>
        <w:rPr>
          <w:sz w:val="20"/>
          <w:szCs w:val="20"/>
          <w:color w:val="auto"/>
        </w:rPr>
        <w:tab/>
      </w:r>
      <w:r>
        <w:rPr>
          <w:rFonts w:ascii="Arial" w:cs="Arial" w:eastAsia="Arial" w:hAnsi="Arial"/>
          <w:sz w:val="13"/>
          <w:szCs w:val="13"/>
          <w:color w:val="auto"/>
        </w:rPr>
        <w:t>$</w:t>
      </w:r>
    </w:p>
    <w:p>
      <w:pPr>
        <w:spacing w:after="0" w:line="90"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92.4</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3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57"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181.2</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52.5</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111.5</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54.9</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jc w:val="right"/>
        <w:ind w:right="320"/>
        <w:spacing w:after="0"/>
        <w:rPr>
          <w:sz w:val="20"/>
          <w:szCs w:val="20"/>
          <w:color w:val="auto"/>
        </w:rPr>
      </w:pPr>
      <w:r>
        <w:rPr>
          <w:rFonts w:ascii="Arial" w:cs="Arial" w:eastAsia="Arial" w:hAnsi="Arial"/>
          <w:sz w:val="18"/>
          <w:szCs w:val="18"/>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312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6" w:lineRule="exact"/>
        <w:rPr>
          <w:sz w:val="20"/>
          <w:szCs w:val="20"/>
          <w:color w:val="auto"/>
        </w:rPr>
      </w:pPr>
    </w:p>
    <w:p>
      <w:pPr>
        <w:spacing w:after="0"/>
        <w:tabs>
          <w:tab w:leader="none" w:pos="800" w:val="left"/>
          <w:tab w:leader="none" w:pos="14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410.6</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831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83.9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87.0</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31750</wp:posOffset>
            </wp:positionV>
            <wp:extent cx="8572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5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189.2</w:t>
      </w:r>
    </w:p>
    <w:p>
      <w:pPr>
        <w:spacing w:after="0" w:line="9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49.1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111.2</w:t>
      </w:r>
    </w:p>
    <w:p>
      <w:pPr>
        <w:spacing w:after="0" w:line="9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11.3</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31750</wp:posOffset>
            </wp:positionV>
            <wp:extent cx="857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3" w:lineRule="exact"/>
        <w:rPr>
          <w:sz w:val="20"/>
          <w:szCs w:val="20"/>
          <w:color w:val="auto"/>
        </w:rPr>
      </w:pPr>
    </w:p>
    <w:p>
      <w:pPr>
        <w:jc w:val="right"/>
        <w:ind w:right="40"/>
        <w:spacing w:after="0"/>
        <w:rPr>
          <w:sz w:val="20"/>
          <w:szCs w:val="20"/>
          <w:color w:val="auto"/>
        </w:rPr>
      </w:pPr>
      <w:r>
        <w:rPr>
          <w:rFonts w:ascii="Arial" w:cs="Arial" w:eastAsia="Arial" w:hAnsi="Arial"/>
          <w:sz w:val="15"/>
          <w:szCs w:val="15"/>
          <w:b w:val="1"/>
          <w:bCs w:val="1"/>
          <w:color w:val="auto"/>
        </w:rPr>
        <w:t>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56515</wp:posOffset>
            </wp:positionV>
            <wp:extent cx="8572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3">
            <w:col w:w="7780" w:space="720"/>
            <w:col w:w="1540" w:space="720"/>
            <w:col w:w="440"/>
          </w:cols>
          <w:pgMar w:left="320" w:top="125" w:right="37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220"/>
              <w:spacing w:after="0"/>
              <w:rPr>
                <w:sz w:val="20"/>
                <w:szCs w:val="20"/>
                <w:color w:val="auto"/>
              </w:rPr>
            </w:pPr>
            <w:r>
              <w:rPr>
                <w:rFonts w:ascii="Arial" w:cs="Arial" w:eastAsia="Arial" w:hAnsi="Arial"/>
                <w:sz w:val="18"/>
                <w:szCs w:val="18"/>
                <w:color w:val="auto"/>
              </w:rPr>
              <w:t>Contingent consideration—current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18"/>
                <w:szCs w:val="18"/>
                <w:color w:val="auto"/>
              </w:rPr>
              <w:t>Other liabilities—noncurrent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8460" w:type="dxa"/>
            <w:vAlign w:val="bottom"/>
          </w:tcPr>
          <w:p>
            <w:pPr>
              <w:ind w:left="220"/>
              <w:spacing w:after="0"/>
              <w:rPr>
                <w:sz w:val="20"/>
                <w:szCs w:val="20"/>
                <w:color w:val="auto"/>
              </w:rPr>
            </w:pPr>
            <w:r>
              <w:rPr>
                <w:rFonts w:ascii="Arial" w:cs="Arial" w:eastAsia="Arial" w:hAnsi="Arial"/>
                <w:sz w:val="18"/>
                <w:szCs w:val="18"/>
                <w:color w:val="auto"/>
                <w:w w:val="94"/>
              </w:rPr>
              <w:t>Preferred stock—$0.0001 par value per share—5,000 shares authorized; zero shares issued and outstanding</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220"/>
              <w:spacing w:after="0" w:line="176" w:lineRule="exact"/>
              <w:rPr>
                <w:sz w:val="20"/>
                <w:szCs w:val="20"/>
                <w:color w:val="auto"/>
              </w:rPr>
            </w:pPr>
            <w:r>
              <w:rPr>
                <w:rFonts w:ascii="Arial" w:cs="Arial" w:eastAsia="Arial" w:hAnsi="Arial"/>
                <w:sz w:val="18"/>
                <w:szCs w:val="18"/>
                <w:color w:val="auto"/>
                <w:w w:val="90"/>
              </w:rPr>
              <w:t>Common stock—$0.0001 par value per share—296,686 shares authorized; 77,525 and 75,120 shares issued and</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outstanding as of June 30, 2023 and December 31, 2022</w:t>
            </w: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-2734310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-2391410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-1688465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3.6</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37.9</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31750</wp:posOffset>
            </wp:positionV>
            <wp:extent cx="8572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72.4</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39370</wp:posOffset>
            </wp:positionV>
            <wp:extent cx="8572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84.0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427.3</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46355</wp:posOffset>
            </wp:positionV>
            <wp:extent cx="8572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341.7</w:t>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5"/>
          <w:szCs w:val="15"/>
          <w:b w:val="1"/>
          <w:bCs w:val="1"/>
          <w:color w:val="auto"/>
        </w:rPr>
        <w:t>425.7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81915</wp:posOffset>
            </wp:positionV>
            <wp:extent cx="8572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10040" w:space="720"/>
            <w:col w:w="440"/>
          </w:cols>
          <w:pgMar w:left="320" w:top="125" w:right="37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254.3</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3"/>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56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Used in Computing Net Loss Per Share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Attributable to Common 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39"/>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5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6"/>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8"/>
                <w:szCs w:val="18"/>
                <w:color w:val="auto"/>
                <w:w w:val="91"/>
              </w:rPr>
              <w:t>(9.0)</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foreign currency translation</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499"/>
              <w:spacing w:after="0"/>
              <w:rPr>
                <w:sz w:val="20"/>
                <w:szCs w:val="20"/>
                <w:color w:val="auto"/>
              </w:rPr>
            </w:pPr>
            <w:r>
              <w:rPr>
                <w:rFonts w:ascii="Arial" w:cs="Arial" w:eastAsia="Arial" w:hAnsi="Arial"/>
                <w:sz w:val="18"/>
                <w:szCs w:val="18"/>
                <w:color w:val="auto"/>
                <w:w w:val="91"/>
              </w:rPr>
              <w:t>(8.5)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16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6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vMerge w:val="restart"/>
          </w:tcPr>
          <w:p>
            <w:pPr>
              <w:jc w:val="center"/>
              <w:ind w:left="8"/>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56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8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92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December 31, 2022</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3" w:lineRule="exact"/>
        <w:rPr>
          <w:sz w:val="20"/>
          <w:szCs w:val="20"/>
          <w:color w:val="auto"/>
        </w:rPr>
      </w:pPr>
    </w:p>
    <w:p>
      <w:pPr>
        <w:ind w:left="180" w:hanging="161"/>
        <w:spacing w:after="0" w:line="242"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1" w:lineRule="exact"/>
        <w:rPr>
          <w:sz w:val="20"/>
          <w:szCs w:val="20"/>
          <w:color w:val="auto"/>
        </w:rPr>
      </w:pPr>
    </w:p>
    <w:p>
      <w:pPr>
        <w:ind w:left="180" w:right="60" w:hanging="161"/>
        <w:spacing w:after="0" w:line="234" w:lineRule="auto"/>
        <w:rPr>
          <w:sz w:val="20"/>
          <w:szCs w:val="20"/>
          <w:color w:val="auto"/>
        </w:rPr>
      </w:pPr>
      <w:r>
        <w:rPr>
          <w:rFonts w:ascii="Arial" w:cs="Arial" w:eastAsia="Arial" w:hAnsi="Arial"/>
          <w:sz w:val="18"/>
          <w:szCs w:val="18"/>
          <w:color w:val="auto"/>
        </w:rPr>
        <w:t>Class A common stock withheld related to net share settlement of restricted stock units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March 31, 2023</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36" w:lineRule="exact"/>
        <w:rPr>
          <w:sz w:val="20"/>
          <w:szCs w:val="20"/>
          <w:color w:val="auto"/>
        </w:rPr>
      </w:pPr>
    </w:p>
    <w:p>
      <w:pPr>
        <w:ind w:left="180" w:hanging="161"/>
        <w:spacing w:after="0" w:line="235"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ind w:left="180" w:right="60" w:hanging="161"/>
        <w:spacing w:after="0" w:line="234" w:lineRule="auto"/>
        <w:rPr>
          <w:sz w:val="20"/>
          <w:szCs w:val="20"/>
          <w:color w:val="auto"/>
        </w:rPr>
      </w:pPr>
      <w:r>
        <w:rPr>
          <w:rFonts w:ascii="Arial" w:cs="Arial" w:eastAsia="Arial" w:hAnsi="Arial"/>
          <w:sz w:val="18"/>
          <w:szCs w:val="18"/>
          <w:color w:val="auto"/>
        </w:rPr>
        <w:t>Class A common stock withheld related to net share settlement of restricted stock units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Class A common stock under Employee Stock Purchase Plan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Class A common stock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75,120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427.3</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341.7</w:t>
            </w: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76,711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445.5</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(83.0)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361.8</w:t>
            </w: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405"/>
        </w:trPr>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87"/>
              </w:rPr>
              <w:t>0.2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77,525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460.5</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center"/>
              <w:ind w:left="150"/>
              <w:spacing w:after="0"/>
              <w:rPr>
                <w:sz w:val="20"/>
                <w:szCs w:val="20"/>
                <w:color w:val="auto"/>
              </w:rPr>
            </w:pPr>
            <w:r>
              <w:rPr>
                <w:rFonts w:ascii="Arial" w:cs="Arial" w:eastAsia="Arial" w:hAnsi="Arial"/>
                <w:sz w:val="18"/>
                <w:szCs w:val="18"/>
                <w:b w:val="1"/>
                <w:bCs w:val="1"/>
                <w:color w:val="auto"/>
                <w:w w:val="97"/>
              </w:rPr>
              <w:t>(0.5)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365.0</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-2991485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-2459990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-2117090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-1765300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-1336675</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-899795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-556895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-213995</wp:posOffset>
            </wp:positionV>
            <wp:extent cx="7132320"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00"/>
            <w:col w:w="55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spacing w:after="0"/>
              <w:rPr>
                <w:sz w:val="15"/>
                <w:szCs w:val="15"/>
                <w:color w:val="auto"/>
              </w:rPr>
            </w:pPr>
          </w:p>
        </w:tc>
        <w:tc>
          <w:tcPr>
            <w:tcW w:w="16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6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4"/>
              </w:rPr>
              <w:t>Paid-in</w:t>
            </w:r>
          </w:p>
        </w:tc>
        <w:tc>
          <w:tcPr>
            <w:tcW w:w="112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3"/>
              </w:rPr>
              <w:t>Accumulated</w:t>
            </w:r>
          </w:p>
        </w:tc>
        <w:tc>
          <w:tcPr>
            <w:tcW w:w="920" w:type="dxa"/>
            <w:vAlign w:val="bottom"/>
            <w:vMerge w:val="restart"/>
          </w:tcPr>
          <w:p>
            <w:pPr>
              <w:jc w:val="center"/>
              <w:ind w:left="8"/>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56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68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920" w:type="dxa"/>
            <w:vAlign w:val="bottom"/>
          </w:tcPr>
          <w:p>
            <w:pPr>
              <w:jc w:val="center"/>
              <w:ind w:lef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61" w:lineRule="exact"/>
        <w:rPr>
          <w:sz w:val="20"/>
          <w:szCs w:val="20"/>
          <w:color w:val="auto"/>
        </w:rPr>
      </w:pPr>
    </w:p>
    <w:p>
      <w:pPr>
        <w:ind w:left="20"/>
        <w:spacing w:after="0"/>
        <w:tabs>
          <w:tab w:leader="none" w:pos="5940" w:val="left"/>
          <w:tab w:leader="none" w:pos="6600" w:val="left"/>
          <w:tab w:leader="none" w:pos="7060" w:val="left"/>
          <w:tab w:leader="none" w:pos="7420" w:val="left"/>
          <w:tab w:leader="none" w:pos="7680" w:val="left"/>
          <w:tab w:leader="none" w:pos="8260" w:val="left"/>
        </w:tabs>
        <w:rPr>
          <w:sz w:val="20"/>
          <w:szCs w:val="20"/>
          <w:color w:val="auto"/>
        </w:rPr>
      </w:pPr>
      <w:r>
        <w:rPr>
          <w:rFonts w:ascii="Arial" w:cs="Arial" w:eastAsia="Arial" w:hAnsi="Arial"/>
          <w:sz w:val="18"/>
          <w:szCs w:val="18"/>
          <w:b w:val="1"/>
          <w:bCs w:val="1"/>
          <w:color w:val="auto"/>
        </w:rPr>
        <w:t>Balance as of December 31, 2021</w:t>
      </w:r>
      <w:r>
        <w:rPr>
          <w:sz w:val="20"/>
          <w:szCs w:val="20"/>
          <w:color w:val="auto"/>
        </w:rPr>
        <w:tab/>
      </w:r>
      <w:r>
        <w:rPr>
          <w:rFonts w:ascii="Arial" w:cs="Arial" w:eastAsia="Arial" w:hAnsi="Arial"/>
          <w:sz w:val="18"/>
          <w:szCs w:val="18"/>
          <w:b w:val="1"/>
          <w:bCs w:val="1"/>
          <w:color w:val="auto"/>
        </w:rPr>
        <w:t>66,722</w:t>
        <w:tab/>
        <w:t>$</w:t>
      </w:r>
      <w:r>
        <w:rPr>
          <w:sz w:val="20"/>
          <w:szCs w:val="20"/>
          <w:color w:val="auto"/>
        </w:rPr>
        <w:tab/>
      </w:r>
      <w:r>
        <w:rPr>
          <w:rFonts w:ascii="Arial" w:cs="Arial" w:eastAsia="Arial" w:hAnsi="Arial"/>
          <w:sz w:val="18"/>
          <w:szCs w:val="18"/>
          <w:b w:val="1"/>
          <w:bCs w:val="1"/>
          <w:color w:val="auto"/>
        </w:rPr>
        <w:t>—</w:t>
        <w:tab/>
        <w:t>$</w:t>
        <w:tab/>
        <w:t>331.6</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0.5</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(74.5)</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257.6</w:t>
            </w:r>
          </w:p>
        </w:tc>
      </w:tr>
    </w:tbl>
    <w:p>
      <w:pPr>
        <w:spacing w:after="0" w:line="13" w:lineRule="exact"/>
        <w:rPr>
          <w:sz w:val="20"/>
          <w:szCs w:val="20"/>
          <w:color w:val="auto"/>
        </w:rPr>
      </w:pPr>
    </w:p>
    <w:p>
      <w:pPr>
        <w:sectPr>
          <w:pgSz w:w="11900" w:h="16838" w:orient="portrait"/>
          <w:cols w:equalWidth="0" w:num="2">
            <w:col w:w="8360" w:space="620"/>
            <w:col w:w="2260"/>
          </w:cols>
          <w:pgMar w:left="320" w:top="337"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180" w:hanging="161"/>
        <w:spacing w:after="0" w:line="245"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880" w:val="left"/>
          <w:tab w:leader="none" w:pos="16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0.7</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w:t>
      </w:r>
    </w:p>
    <w:p>
      <w:pPr>
        <w:spacing w:after="0" w:line="9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419"/>
        </w:trPr>
        <w:tc>
          <w:tcPr>
            <w:tcW w:w="16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6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97"/>
        </w:trPr>
        <w:tc>
          <w:tcPr>
            <w:tcW w:w="1600" w:type="dxa"/>
            <w:vAlign w:val="bottom"/>
          </w:tcPr>
          <w:p>
            <w:pPr>
              <w:jc w:val="right"/>
              <w:ind w:right="1150"/>
              <w:spacing w:after="0"/>
              <w:rPr>
                <w:sz w:val="20"/>
                <w:szCs w:val="20"/>
                <w:color w:val="auto"/>
              </w:rPr>
            </w:pPr>
            <w:r>
              <w:rPr>
                <w:rFonts w:ascii="Arial" w:cs="Arial" w:eastAsia="Arial" w:hAnsi="Arial"/>
                <w:sz w:val="18"/>
                <w:szCs w:val="18"/>
                <w:color w:val="auto"/>
                <w:w w:val="91"/>
              </w:rPr>
              <w:t>(0.3)</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1600" w:type="dxa"/>
            <w:vAlign w:val="bottom"/>
          </w:tcPr>
          <w:p>
            <w:pPr>
              <w:jc w:val="right"/>
              <w:ind w:right="190"/>
              <w:spacing w:after="0"/>
              <w:rPr>
                <w:sz w:val="20"/>
                <w:szCs w:val="20"/>
                <w:color w:val="auto"/>
              </w:rPr>
            </w:pPr>
            <w:r>
              <w:rPr>
                <w:rFonts w:ascii="Arial" w:cs="Arial" w:eastAsia="Arial" w:hAnsi="Arial"/>
                <w:sz w:val="18"/>
                <w:szCs w:val="18"/>
                <w:color w:val="auto"/>
              </w:rPr>
              <w:t>(10.5)</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26" w:lineRule="exact"/>
        <w:rPr>
          <w:sz w:val="20"/>
          <w:szCs w:val="20"/>
          <w:color w:val="auto"/>
        </w:rPr>
      </w:pPr>
    </w:p>
    <w:p>
      <w:pPr>
        <w:sectPr>
          <w:pgSz w:w="11900" w:h="16838" w:orient="portrait"/>
          <w:cols w:equalWidth="0" w:num="3">
            <w:col w:w="5500" w:space="680"/>
            <w:col w:w="2000" w:space="720"/>
            <w:col w:w="2340"/>
          </w:cols>
          <w:pgMar w:left="320" w:top="337" w:right="339" w:bottom="1440" w:gutter="0" w:footer="0" w:header="0"/>
          <w:type w:val="continuous"/>
        </w:sectPr>
      </w:pPr>
    </w:p>
    <w:p>
      <w:pPr>
        <w:spacing w:after="0" w:line="9" w:lineRule="exact"/>
        <w:rPr>
          <w:sz w:val="20"/>
          <w:szCs w:val="20"/>
          <w:color w:val="auto"/>
        </w:rPr>
      </w:pPr>
    </w:p>
    <w:p>
      <w:pPr>
        <w:ind w:left="20"/>
        <w:spacing w:after="0"/>
        <w:tabs>
          <w:tab w:leader="none" w:pos="5940" w:val="left"/>
          <w:tab w:leader="none" w:pos="6600" w:val="left"/>
          <w:tab w:leader="none" w:pos="7060" w:val="left"/>
          <w:tab w:leader="none" w:pos="7420" w:val="left"/>
          <w:tab w:leader="none" w:pos="7680" w:val="left"/>
          <w:tab w:leader="none" w:pos="8260" w:val="left"/>
        </w:tabs>
        <w:rPr>
          <w:sz w:val="20"/>
          <w:szCs w:val="20"/>
          <w:color w:val="auto"/>
        </w:rPr>
      </w:pPr>
      <w:r>
        <w:rPr>
          <w:rFonts w:ascii="Arial" w:cs="Arial" w:eastAsia="Arial" w:hAnsi="Arial"/>
          <w:sz w:val="18"/>
          <w:szCs w:val="18"/>
          <w:b w:val="1"/>
          <w:bCs w:val="1"/>
          <w:color w:val="auto"/>
        </w:rPr>
        <w:t>Balance as of March 31, 2022</w:t>
      </w:r>
      <w:r>
        <w:rPr>
          <w:sz w:val="20"/>
          <w:szCs w:val="20"/>
          <w:color w:val="auto"/>
        </w:rPr>
        <w:tab/>
      </w:r>
      <w:r>
        <w:rPr>
          <w:rFonts w:ascii="Arial" w:cs="Arial" w:eastAsia="Arial" w:hAnsi="Arial"/>
          <w:sz w:val="18"/>
          <w:szCs w:val="18"/>
          <w:b w:val="1"/>
          <w:bCs w:val="1"/>
          <w:color w:val="auto"/>
        </w:rPr>
        <w:t>67,138</w:t>
        <w:tab/>
        <w:t>$</w:t>
      </w:r>
      <w:r>
        <w:rPr>
          <w:sz w:val="20"/>
          <w:szCs w:val="20"/>
          <w:color w:val="auto"/>
        </w:rPr>
        <w:tab/>
      </w:r>
      <w:r>
        <w:rPr>
          <w:rFonts w:ascii="Arial" w:cs="Arial" w:eastAsia="Arial" w:hAnsi="Arial"/>
          <w:sz w:val="18"/>
          <w:szCs w:val="18"/>
          <w:b w:val="1"/>
          <w:bCs w:val="1"/>
          <w:color w:val="auto"/>
        </w:rPr>
        <w:t>—</w:t>
        <w:tab/>
        <w:t>$</w:t>
        <w:tab/>
        <w:t>340.2</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0.2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255.4</w:t>
            </w:r>
          </w:p>
        </w:tc>
      </w:tr>
    </w:tbl>
    <w:p>
      <w:pPr>
        <w:spacing w:after="0" w:line="1" w:lineRule="exact"/>
        <w:rPr>
          <w:sz w:val="20"/>
          <w:szCs w:val="20"/>
          <w:color w:val="auto"/>
        </w:rPr>
      </w:pPr>
    </w:p>
    <w:p>
      <w:pPr>
        <w:sectPr>
          <w:pgSz w:w="11900" w:h="16838" w:orient="portrait"/>
          <w:cols w:equalWidth="0" w:num="2">
            <w:col w:w="8360" w:space="620"/>
            <w:col w:w="2260"/>
          </w:cols>
          <w:pgMar w:left="320" w:top="337" w:right="339" w:bottom="1440" w:gutter="0" w:footer="0" w:header="0"/>
          <w:type w:val="continuous"/>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180" w:hanging="161"/>
        <w:spacing w:after="0" w:line="245" w:lineRule="auto"/>
        <w:rPr>
          <w:sz w:val="20"/>
          <w:szCs w:val="20"/>
          <w:color w:val="auto"/>
        </w:rPr>
      </w:pPr>
      <w:r>
        <w:rPr>
          <w:rFonts w:ascii="Arial" w:cs="Arial" w:eastAsia="Arial" w:hAnsi="Arial"/>
          <w:sz w:val="18"/>
          <w:szCs w:val="18"/>
          <w:color w:val="auto"/>
        </w:rPr>
        <w:t>Issuance of Class A common stock pursuant to settlement of restricted stock units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tabs>
          <w:tab w:leader="none" w:pos="880" w:val="left"/>
          <w:tab w:leader="none" w:pos="16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spacing w:after="0"/>
        <w:tabs>
          <w:tab w:leader="none" w:pos="880" w:val="left"/>
          <w:tab w:leader="none" w:pos="1680" w:val="left"/>
        </w:tabs>
        <w:rPr>
          <w:sz w:val="20"/>
          <w:szCs w:val="20"/>
          <w:color w:val="auto"/>
        </w:rPr>
      </w:pPr>
      <w:r>
        <w:rPr>
          <w:rFonts w:ascii="Arial" w:cs="Arial" w:eastAsia="Arial" w:hAnsi="Arial"/>
          <w:sz w:val="18"/>
          <w:szCs w:val="18"/>
          <w:color w:val="auto"/>
        </w:rPr>
        <w:t>470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3.2</w:t>
      </w:r>
    </w:p>
    <w:p>
      <w:pPr>
        <w:spacing w:after="0" w:line="9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357505</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1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6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6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97"/>
        </w:trPr>
        <w:tc>
          <w:tcPr>
            <w:tcW w:w="1640" w:type="dxa"/>
            <w:vAlign w:val="bottom"/>
          </w:tcPr>
          <w:p>
            <w:pPr>
              <w:jc w:val="right"/>
              <w:ind w:right="1190"/>
              <w:spacing w:after="0"/>
              <w:rPr>
                <w:sz w:val="20"/>
                <w:szCs w:val="20"/>
                <w:color w:val="auto"/>
              </w:rPr>
            </w:pPr>
            <w:r>
              <w:rPr>
                <w:rFonts w:ascii="Arial" w:cs="Arial" w:eastAsia="Arial" w:hAnsi="Arial"/>
                <w:sz w:val="18"/>
                <w:szCs w:val="18"/>
                <w:color w:val="auto"/>
                <w:w w:val="91"/>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64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17145</wp:posOffset>
            </wp:positionV>
            <wp:extent cx="6515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3">
            <w:col w:w="5500" w:space="680"/>
            <w:col w:w="2000" w:space="720"/>
            <w:col w:w="2340"/>
          </w:cols>
          <w:pgMar w:left="320" w:top="337" w:right="339" w:bottom="1440" w:gutter="0" w:footer="0" w:header="0"/>
          <w:type w:val="continuous"/>
        </w:sectPr>
      </w:pPr>
    </w:p>
    <w:p>
      <w:pPr>
        <w:spacing w:after="0" w:line="9" w:lineRule="exact"/>
        <w:rPr>
          <w:sz w:val="20"/>
          <w:szCs w:val="20"/>
          <w:color w:val="auto"/>
        </w:rPr>
      </w:pPr>
    </w:p>
    <w:p>
      <w:pPr>
        <w:ind w:left="20"/>
        <w:spacing w:after="0"/>
        <w:tabs>
          <w:tab w:leader="none" w:pos="5940" w:val="left"/>
          <w:tab w:leader="none" w:pos="6600" w:val="left"/>
          <w:tab w:leader="none" w:pos="7060" w:val="left"/>
          <w:tab w:leader="none" w:pos="7420" w:val="left"/>
          <w:tab w:leader="none" w:pos="7680" w:val="left"/>
          <w:tab w:leader="none" w:pos="8260" w:val="left"/>
        </w:tabs>
        <w:rPr>
          <w:sz w:val="20"/>
          <w:szCs w:val="20"/>
          <w:color w:val="auto"/>
        </w:rPr>
      </w:pPr>
      <w:r>
        <w:rPr>
          <w:rFonts w:ascii="Arial" w:cs="Arial" w:eastAsia="Arial" w:hAnsi="Arial"/>
          <w:sz w:val="18"/>
          <w:szCs w:val="18"/>
          <w:b w:val="1"/>
          <w:bCs w:val="1"/>
          <w:color w:val="auto"/>
        </w:rPr>
        <w:t>Balance as of June 30, 2022</w:t>
      </w:r>
      <w:r>
        <w:rPr>
          <w:sz w:val="20"/>
          <w:szCs w:val="20"/>
          <w:color w:val="auto"/>
        </w:rPr>
        <w:tab/>
      </w:r>
      <w:r>
        <w:rPr>
          <w:rFonts w:ascii="Arial" w:cs="Arial" w:eastAsia="Arial" w:hAnsi="Arial"/>
          <w:sz w:val="18"/>
          <w:szCs w:val="18"/>
          <w:b w:val="1"/>
          <w:bCs w:val="1"/>
          <w:color w:val="auto"/>
        </w:rPr>
        <w:t>68,637</w:t>
        <w:tab/>
        <w:t>$</w:t>
      </w:r>
      <w:r>
        <w:rPr>
          <w:sz w:val="20"/>
          <w:szCs w:val="20"/>
          <w:color w:val="auto"/>
        </w:rPr>
        <w:tab/>
      </w:r>
      <w:r>
        <w:rPr>
          <w:rFonts w:ascii="Arial" w:cs="Arial" w:eastAsia="Arial" w:hAnsi="Arial"/>
          <w:sz w:val="18"/>
          <w:szCs w:val="18"/>
          <w:b w:val="1"/>
          <w:bCs w:val="1"/>
          <w:color w:val="auto"/>
        </w:rPr>
        <w:t>—</w:t>
        <w:tab/>
        <w:t>$</w:t>
        <w:tab/>
        <w:t>358.6</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15684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845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(0.8)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263.5</w:t>
            </w:r>
          </w:p>
        </w:tc>
      </w:tr>
      <w:tr>
        <w:trPr>
          <w:trHeight w:val="21"/>
        </w:trPr>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-33655</wp:posOffset>
            </wp:positionV>
            <wp:extent cx="651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-7620</wp:posOffset>
            </wp:positionV>
            <wp:extent cx="651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540"/>
            <w:col w:w="2340"/>
          </w:cols>
          <w:pgMar w:left="320" w:top="337"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r>
      <w:tr>
        <w:trPr>
          <w:trHeight w:val="39"/>
        </w:trPr>
        <w:tc>
          <w:tcPr>
            <w:tcW w:w="8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8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8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Non-cash lease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8500" w:type="dxa"/>
            <w:vAlign w:val="bottom"/>
            <w:gridSpan w:val="2"/>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Payments on line of credit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Issuance of Class A common stock under Employee Stock Purchase Plan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Class A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Tax payments related to net-share settlements on restricted stock units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6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70"/>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29"/>
        </w:trPr>
        <w:tc>
          <w:tcPr>
            <w:tcW w:w="8500" w:type="dxa"/>
            <w:vAlign w:val="bottom"/>
            <w:gridSpan w:val="2"/>
          </w:tcPr>
          <w:p>
            <w:pPr>
              <w:ind w:left="20"/>
              <w:spacing w:after="0"/>
              <w:rPr>
                <w:sz w:val="20"/>
                <w:szCs w:val="20"/>
                <w:color w:val="auto"/>
              </w:rPr>
            </w:pPr>
            <w:r>
              <w:rPr>
                <w:rFonts w:ascii="Arial" w:cs="Arial" w:eastAsia="Arial" w:hAnsi="Arial"/>
                <w:sz w:val="18"/>
                <w:szCs w:val="18"/>
                <w:color w:val="auto"/>
                <w:w w:val="95"/>
              </w:rPr>
              <w:t>Capitalized software development costs recorded in accounts payable and accrued expenses and other current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5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Purchase of property and equipment recorded in accounts payable and 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payments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Disclosure Related to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38"/>
        </w:trPr>
        <w:tc>
          <w:tcPr>
            <w:tcW w:w="8500" w:type="dxa"/>
            <w:vAlign w:val="bottom"/>
            <w:gridSpan w:val="2"/>
          </w:tcPr>
          <w:p>
            <w:pPr>
              <w:ind w:left="3540"/>
              <w:spacing w:after="0"/>
              <w:rPr>
                <w:sz w:val="20"/>
                <w:szCs w:val="20"/>
                <w:color w:val="auto"/>
              </w:rPr>
            </w:pPr>
            <w:r>
              <w:rPr>
                <w:rFonts w:ascii="Arial" w:cs="Arial" w:eastAsia="Arial" w:hAnsi="Arial"/>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458"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458"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NerdWallet, Inc., a Delaware corporation, was formed on December 29, 2011. NerdWallet, Inc. and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Company) provide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interim condensed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2022.</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The results of operations for the three and six months ended June 30, 2023 are not necessarily indicative of the results to be expected for the full year or any other future period.</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$51.6 million and $75.4 million as of June 30, 2023 and December 31, 2022, respectively. Based on these facts, collectability of bank balances appears to be adequately assured.</w:t>
      </w:r>
    </w:p>
    <w:p>
      <w:pPr>
        <w:spacing w:after="0" w:line="11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Significant Accounting Policies</w:t>
      </w:r>
      <w:r>
        <w:rPr>
          <w:rFonts w:ascii="Arial" w:cs="Arial" w:eastAsia="Arial" w:hAnsi="Arial"/>
          <w:sz w:val="18"/>
          <w:szCs w:val="18"/>
          <w:color w:val="auto"/>
        </w:rPr>
        <w:t>—During the six months ended June 30, 2023, there have been no material changes to the Company’s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policies as disclosed in Note 1–The Company and its Significant Accounting Policies in the notes to the consolidated financial statements in the Company’s Annual Report on Form 10-K for the year ended December 31, 2022.</w:t>
      </w:r>
    </w:p>
    <w:p>
      <w:pPr>
        <w:spacing w:after="0" w:line="12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disaggregation of the Company’s revenue based on product category: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5"/>
        </w:trPr>
        <w:tc>
          <w:tcPr>
            <w:tcW w:w="6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expenses and other current assets on the condensed consolidated balance sheet related to estimated variable consideration was $5.0 million and $5.8 million as of June 30, 2023 and December 31, 2022,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7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40" w:type="dxa"/>
            <w:vAlign w:val="bottom"/>
          </w:tcPr>
          <w:p>
            <w:pPr>
              <w:jc w:val="center"/>
              <w:ind w:left="2168"/>
              <w:spacing w:after="0"/>
              <w:rPr>
                <w:sz w:val="20"/>
                <w:szCs w:val="20"/>
                <w:color w:val="auto"/>
              </w:rPr>
            </w:pPr>
            <w:r>
              <w:rPr>
                <w:rFonts w:ascii="Arial" w:cs="Arial" w:eastAsia="Arial" w:hAnsi="Arial"/>
                <w:sz w:val="14"/>
                <w:szCs w:val="14"/>
                <w:b w:val="1"/>
                <w:bCs w:val="1"/>
                <w:color w:val="auto"/>
                <w:w w:val="92"/>
              </w:rPr>
              <w:t>Quoted Prices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86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3640" w:type="dxa"/>
            <w:vAlign w:val="bottom"/>
          </w:tcPr>
          <w:p>
            <w:pPr>
              <w:jc w:val="center"/>
              <w:ind w:left="2188"/>
              <w:spacing w:after="0"/>
              <w:rPr>
                <w:sz w:val="20"/>
                <w:szCs w:val="20"/>
                <w:color w:val="auto"/>
              </w:rPr>
            </w:pPr>
            <w:r>
              <w:rPr>
                <w:rFonts w:ascii="Arial" w:cs="Arial" w:eastAsia="Arial" w:hAnsi="Arial"/>
                <w:sz w:val="14"/>
                <w:szCs w:val="14"/>
                <w:b w:val="1"/>
                <w:bCs w:val="1"/>
                <w:color w:val="auto"/>
                <w:w w:val="92"/>
              </w:rPr>
              <w:t>in Active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720" w:type="dxa"/>
            <w:vAlign w:val="bottom"/>
          </w:tcPr>
          <w:p>
            <w:pPr>
              <w:spacing w:after="0"/>
              <w:rPr>
                <w:sz w:val="14"/>
                <w:szCs w:val="14"/>
                <w:color w:val="auto"/>
              </w:rPr>
            </w:pPr>
          </w:p>
        </w:tc>
        <w:tc>
          <w:tcPr>
            <w:tcW w:w="3640" w:type="dxa"/>
            <w:vAlign w:val="bottom"/>
          </w:tcPr>
          <w:p>
            <w:pPr>
              <w:jc w:val="center"/>
              <w:ind w:left="2168"/>
              <w:spacing w:after="0"/>
              <w:rPr>
                <w:sz w:val="20"/>
                <w:szCs w:val="20"/>
                <w:color w:val="auto"/>
              </w:rPr>
            </w:pPr>
            <w:r>
              <w:rPr>
                <w:rFonts w:ascii="Arial" w:cs="Arial" w:eastAsia="Arial" w:hAnsi="Arial"/>
                <w:sz w:val="14"/>
                <w:szCs w:val="14"/>
                <w:b w:val="1"/>
                <w:bCs w:val="1"/>
                <w:color w:val="auto"/>
                <w:w w:val="98"/>
              </w:rPr>
              <w:t>Markets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3720" w:type="dxa"/>
            <w:vAlign w:val="bottom"/>
          </w:tcPr>
          <w:p>
            <w:pPr>
              <w:spacing w:after="0"/>
              <w:rPr>
                <w:sz w:val="20"/>
                <w:szCs w:val="20"/>
                <w:color w:val="auto"/>
              </w:rPr>
            </w:pPr>
            <w:r>
              <w:rPr>
                <w:rFonts w:ascii="Arial" w:cs="Arial" w:eastAsia="Arial" w:hAnsi="Arial"/>
                <w:sz w:val="14"/>
                <w:szCs w:val="14"/>
                <w:b w:val="1"/>
                <w:bCs w:val="1"/>
                <w:color w:val="auto"/>
              </w:rPr>
              <w:t>As of June 30, 2023</w:t>
            </w:r>
          </w:p>
        </w:tc>
        <w:tc>
          <w:tcPr>
            <w:tcW w:w="3640" w:type="dxa"/>
            <w:vAlign w:val="bottom"/>
          </w:tcPr>
          <w:p>
            <w:pPr>
              <w:jc w:val="center"/>
              <w:ind w:left="2188"/>
              <w:spacing w:after="0"/>
              <w:rPr>
                <w:sz w:val="20"/>
                <w:szCs w:val="20"/>
                <w:color w:val="auto"/>
              </w:rPr>
            </w:pPr>
            <w:r>
              <w:rPr>
                <w:rFonts w:ascii="Arial" w:cs="Arial" w:eastAsia="Arial" w:hAnsi="Arial"/>
                <w:sz w:val="14"/>
                <w:szCs w:val="14"/>
                <w:b w:val="1"/>
                <w:bCs w:val="1"/>
                <w:color w:val="auto"/>
                <w:w w:val="94"/>
              </w:rPr>
              <w:t>(Level 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860" w:type="dxa"/>
            <w:vAlign w:val="bottom"/>
          </w:tcPr>
          <w:p>
            <w:pPr>
              <w:jc w:val="center"/>
              <w:ind w:left="228"/>
              <w:spacing w:after="0"/>
              <w:rPr>
                <w:sz w:val="20"/>
                <w:szCs w:val="20"/>
                <w:color w:val="auto"/>
              </w:rPr>
            </w:pPr>
            <w:r>
              <w:rPr>
                <w:rFonts w:ascii="Arial" w:cs="Arial" w:eastAsia="Arial" w:hAnsi="Arial"/>
                <w:sz w:val="14"/>
                <w:szCs w:val="14"/>
                <w:b w:val="1"/>
                <w:bCs w:val="1"/>
                <w:color w:val="auto"/>
                <w:w w:val="96"/>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53.6</w:t>
            </w:r>
          </w:p>
        </w:tc>
      </w:tr>
      <w:tr>
        <w:trPr>
          <w:trHeight w:val="27"/>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7"/>
        </w:trPr>
        <w:tc>
          <w:tcPr>
            <w:tcW w:w="6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5"/>
              </w:rPr>
              <w:t>Total</w:t>
            </w:r>
          </w:p>
        </w:tc>
      </w:tr>
      <w:tr>
        <w:trPr>
          <w:trHeight w:val="176"/>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Value</w:t>
            </w:r>
          </w:p>
        </w:tc>
      </w:tr>
      <w:tr>
        <w:trPr>
          <w:trHeight w:val="39"/>
        </w:trPr>
        <w:tc>
          <w:tcPr>
            <w:tcW w:w="6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equivalents—money market funds</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75.4</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77.4</w:t>
            </w:r>
          </w:p>
        </w:tc>
      </w:tr>
      <w:tr>
        <w:trPr>
          <w:trHeight w:val="27"/>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w:t>
            </w: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liabilities previously consisted entirely of contingent consideration, and the changes in fair value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39"/>
        </w:trPr>
        <w:tc>
          <w:tcPr>
            <w:tcW w:w="6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4"/>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Payment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Balance as of end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December 31, 2022, Fundera Inc.’s revenue and profitability milestones for 2022 were achieved and the contingent consideration liability was recorded at the full payout amount, with the contingent consideration liability paid in full during the three months ended June 30, 2023.</w:t>
      </w:r>
    </w:p>
    <w:p>
      <w:pPr>
        <w:spacing w:after="0" w:line="8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Property, equipment and software, net includes capitalized software development costs, net of accumulated amortization, of $48.1 million and $43.9 million as of June 30, 2023 and December 31, 2022, respectively. The Company capitalized $9.2 million and $17.8 million of software development costs during the three and six months ended June 30, 2023, respectively, and $8.9 million and $16.9 million during the three and six months ended June 30, 2022, respectively. The Company recorded amortization expense related to capitalized software development costs of $7.0 million and $13.6 million during the three and six months ended June 30, 2023, respectively, and $5.4 million and $10.3 million during the three and six months ended June 30, 2022, respectively.</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expenses and other current liabilities include operating lease liabilities of $3.3 million and $3.1 million, as of June 30, 2023 and December 31, 2022,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liabilities—noncurrent includes operating lease liabilities of $7.9 million and $9.6 million as of June 30, 2023 and December 31, 2022,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Business Combination</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On the Barrelhead, Inc.</w:t>
      </w:r>
      <w:r>
        <w:rPr>
          <w:rFonts w:ascii="Arial" w:cs="Arial" w:eastAsia="Arial" w:hAnsi="Arial"/>
          <w:sz w:val="16"/>
          <w:szCs w:val="16"/>
          <w:color w:val="auto"/>
        </w:rPr>
        <w:t>—On July 11, 2022, the Company completed the acquisition of On the Barrelhead, Inc. (OTB), a data-driven platform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consumers and SMBs with credit-driven product recommendations. See Note 5–Business Combinations in the notes to the consolidated financial statements in the Company’s Annual Report on Form 10-K for the year ended December 31, 2022 for further discussion on the acquisition of OTB.</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unaudited pro forma financial information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period.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financial information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Three Months</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6"/>
        </w:trPr>
        <w:tc>
          <w:tcPr>
            <w:tcW w:w="8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Six Months Ended</w:t>
            </w:r>
          </w:p>
        </w:tc>
      </w:tr>
      <w:tr>
        <w:trPr>
          <w:trHeight w:val="39"/>
        </w:trPr>
        <w:tc>
          <w:tcPr>
            <w:tcW w:w="8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4"/>
        </w:trPr>
        <w:tc>
          <w:tcPr>
            <w:tcW w:w="8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720" w:type="dxa"/>
            <w:vAlign w:val="bottom"/>
            <w:gridSpan w:val="2"/>
          </w:tcPr>
          <w:p>
            <w:pPr>
              <w:ind w:left="700"/>
              <w:spacing w:after="0"/>
              <w:rPr>
                <w:sz w:val="20"/>
                <w:szCs w:val="20"/>
                <w:color w:val="auto"/>
              </w:rPr>
            </w:pPr>
            <w:r>
              <w:rPr>
                <w:rFonts w:ascii="Arial" w:cs="Arial" w:eastAsia="Arial" w:hAnsi="Arial"/>
                <w:sz w:val="14"/>
                <w:szCs w:val="14"/>
                <w:b w:val="1"/>
                <w:bCs w:val="1"/>
                <w:color w:val="auto"/>
              </w:rPr>
              <w:t>June 30, 2022</w:t>
            </w:r>
          </w:p>
        </w:tc>
        <w:tc>
          <w:tcPr>
            <w:tcW w:w="660" w:type="dxa"/>
            <w:vAlign w:val="bottom"/>
          </w:tcPr>
          <w:p>
            <w:pPr>
              <w:spacing w:after="0"/>
              <w:rPr>
                <w:sz w:val="16"/>
                <w:szCs w:val="16"/>
                <w:color w:val="auto"/>
              </w:rPr>
            </w:pPr>
          </w:p>
        </w:tc>
      </w:tr>
      <w:tr>
        <w:trPr>
          <w:trHeight w:val="26"/>
        </w:trPr>
        <w:tc>
          <w:tcPr>
            <w:tcW w:w="8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149.4</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297.1</w:t>
            </w: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(9.9)</w:t>
            </w:r>
          </w:p>
        </w:tc>
        <w:tc>
          <w:tcPr>
            <w:tcW w:w="600" w:type="dxa"/>
            <w:vAlign w:val="bottom"/>
          </w:tcPr>
          <w:p>
            <w:pPr>
              <w:spacing w:after="0"/>
              <w:rPr>
                <w:sz w:val="21"/>
                <w:szCs w:val="21"/>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3"/>
              </w:rPr>
              <w:t>(22.8)</w:t>
            </w:r>
          </w:p>
        </w:tc>
      </w:tr>
    </w:tbl>
    <w:p>
      <w:pPr>
        <w:spacing w:after="0" w:line="2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information is not intended to present, or be indicative of, what the results of operations would have been for the combined company for the period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pacing w:after="0" w:line="1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Commitments and Other Financial Arrangements</w:t>
      </w:r>
      <w:r>
        <w:rPr>
          <w:rFonts w:ascii="Arial" w:cs="Arial" w:eastAsia="Arial" w:hAnsi="Arial"/>
          <w:sz w:val="18"/>
          <w:szCs w:val="18"/>
          <w:color w:val="auto"/>
        </w:rPr>
        <w:t>—The Company has certain financial commitments and other arrangements including unused</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and commitments under leases. As of June 30, 2023, there were no material changes to the Company’s commitments and other financial arrangements as disclosed in Note 8–Commitments and Contingencies in the notes to the consolidated financial statements in the Company’s Annual Report on Form 10-K for the year ended December 31, 2022.</w:t>
      </w:r>
    </w:p>
    <w:p>
      <w:pPr>
        <w:spacing w:after="0" w:line="12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Litigation and Other Legal Matters</w:t>
      </w:r>
      <w:r>
        <w:rPr>
          <w:rFonts w:ascii="Arial" w:cs="Arial" w:eastAsia="Arial" w:hAnsi="Arial"/>
          <w:sz w:val="16"/>
          <w:szCs w:val="16"/>
          <w:color w:val="auto"/>
        </w:rPr>
        <w:t>—The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June 30, 2023 or December 31, 2022.</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Share Repurchase Plan</w:t>
      </w:r>
      <w:r>
        <w:rPr>
          <w:rFonts w:ascii="Arial" w:cs="Arial" w:eastAsia="Arial" w:hAnsi="Arial"/>
          <w:sz w:val="18"/>
          <w:szCs w:val="18"/>
          <w:color w:val="auto"/>
        </w:rPr>
        <w:t>—On May 2, 2023, the Company announced that its Board of Directors authorized a plan (the Repurchase Plan) under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repurchase up to $20 million of the Company’s Class A common stock. Under the Repurchase Plan, shares of Class A common stock may be repurchased in the open market through privately negotiated transactions or otherwise, in accordance with applicable securities laws and other restrictions. The Repurchase Plan does not have a fixed expiration date and does not obligate the Company to acquire any specific number of shares. The timing and terms of any repurchases under the Repurchase Plan are at management’s discretion and depend on a variety of factors, including business, economic and market conditions, regulatory requirements, prevailing stock prices and other considerations. Additionally, the Company may, from time to time, enter into Rule 10b5-1 trading plans to facilitate repurchases. Shares repurchased under the Repurchase Plan are retired. During the three and six months ended June 30, 2023, the Company repurchased 0.1 million shares of Class A common stock for $1.3 million, including costs associated with the repurchases.</w:t>
      </w:r>
    </w:p>
    <w:p>
      <w:pPr>
        <w:spacing w:after="0" w:line="13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Equity Incentive Plans</w:t>
      </w:r>
      <w:r>
        <w:rPr>
          <w:rFonts w:ascii="Arial" w:cs="Arial" w:eastAsia="Arial" w:hAnsi="Arial"/>
          <w:sz w:val="18"/>
          <w:szCs w:val="18"/>
          <w:color w:val="auto"/>
        </w:rPr>
        <w:t>—The 2021 Equity Incentive Plan and the predecessor 2012 Equity Incentive Plan, both as amended, along with the 2022</w:t>
      </w:r>
      <w:r>
        <w:rPr>
          <w:rFonts w:ascii="Arial" w:cs="Arial" w:eastAsia="Arial" w:hAnsi="Arial"/>
          <w:sz w:val="18"/>
          <w:szCs w:val="18"/>
          <w:b w:val="1"/>
          <w:bCs w:val="1"/>
          <w:color w:val="auto"/>
        </w:rPr>
        <w:t xml:space="preserve"> </w:t>
      </w:r>
      <w:r>
        <w:rPr>
          <w:rFonts w:ascii="Arial" w:cs="Arial" w:eastAsia="Arial" w:hAnsi="Arial"/>
          <w:sz w:val="18"/>
          <w:szCs w:val="18"/>
          <w:color w:val="auto"/>
        </w:rPr>
        <w:t>Inducement Equity Incentive Plan (collectively, the Plans) comprise the equity incentive plans of the Company.</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—A summary of the Company’s stock option activity for its Plans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Intrinsic Value</w:t>
            </w:r>
          </w:p>
        </w:tc>
      </w:tr>
      <w:tr>
        <w:trPr>
          <w:trHeight w:val="186"/>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Arial" w:cs="Arial" w:eastAsia="Arial" w:hAnsi="Arial"/>
                <w:sz w:val="14"/>
                <w:szCs w:val="14"/>
                <w:b w:val="1"/>
                <w:bCs w:val="1"/>
                <w:color w:val="auto"/>
                <w:w w:val="91"/>
              </w:rPr>
              <w:t>Exercise Price</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i w:val="1"/>
                <w:iCs w:val="1"/>
                <w:color w:val="auto"/>
                <w:w w:val="92"/>
              </w:rPr>
              <w:t>(in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i w:val="1"/>
                <w:iCs w:val="1"/>
                <w:color w:val="auto"/>
                <w:w w:val="98"/>
              </w:rPr>
              <w:t>(in millions)</w:t>
            </w:r>
          </w:p>
        </w:tc>
      </w:tr>
      <w:tr>
        <w:trPr>
          <w:trHeight w:val="25"/>
        </w:trPr>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30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6,112</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Cancelled/forfeited</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63"/>
        </w:trPr>
        <w:tc>
          <w:tcPr>
            <w:tcW w:w="60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300" w:type="dxa"/>
            <w:vAlign w:val="bottom"/>
            <w:gridSpan w:val="2"/>
          </w:tcPr>
          <w:p>
            <w:pPr>
              <w:jc w:val="right"/>
              <w:ind w:right="4"/>
              <w:spacing w:after="0"/>
              <w:rPr>
                <w:sz w:val="20"/>
                <w:szCs w:val="20"/>
                <w:color w:val="auto"/>
              </w:rPr>
            </w:pPr>
            <w:r>
              <w:rPr>
                <w:rFonts w:ascii="Arial" w:cs="Arial" w:eastAsia="Arial" w:hAnsi="Arial"/>
                <w:sz w:val="18"/>
                <w:szCs w:val="18"/>
                <w:color w:val="auto"/>
              </w:rPr>
              <w:t>4,589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6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June 30, 2023</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2,991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options exercised was $12.7 million for the six months ended June 30, 2023.</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options granted for the six months ended June 30, 2023. For the six months ended June 30, 2022, the per-share fair value of each stock option was determined on the date of grant using the following weighted-average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36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88"/>
              <w:spacing w:after="0"/>
              <w:rPr>
                <w:sz w:val="20"/>
                <w:szCs w:val="20"/>
                <w:color w:val="auto"/>
              </w:rPr>
            </w:pPr>
            <w:r>
              <w:rPr>
                <w:rFonts w:ascii="Arial" w:cs="Arial" w:eastAsia="Arial" w:hAnsi="Arial"/>
                <w:sz w:val="14"/>
                <w:szCs w:val="14"/>
                <w:b w:val="1"/>
                <w:bCs w:val="1"/>
                <w:color w:val="auto"/>
              </w:rPr>
              <w:t>June 30, 2022</w:t>
            </w:r>
          </w:p>
        </w:tc>
      </w:tr>
      <w:tr>
        <w:trPr>
          <w:trHeight w:val="39"/>
        </w:trPr>
        <w:tc>
          <w:tcPr>
            <w:tcW w:w="3660" w:type="dxa"/>
            <w:vAlign w:val="bottom"/>
            <w:tcBorders>
              <w:bottom w:val="single" w:sz="8" w:color="auto"/>
            </w:tcBorders>
          </w:tcPr>
          <w:p>
            <w:pPr>
              <w:spacing w:after="0"/>
              <w:rPr>
                <w:sz w:val="3"/>
                <w:szCs w:val="3"/>
                <w:color w:val="auto"/>
              </w:rPr>
            </w:pPr>
          </w:p>
        </w:tc>
        <w:tc>
          <w:tcPr>
            <w:tcW w:w="6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7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51.9 %</w:t>
            </w:r>
          </w:p>
        </w:tc>
      </w:tr>
      <w:tr>
        <w:trPr>
          <w:trHeight w:val="263"/>
        </w:trPr>
        <w:tc>
          <w:tcPr>
            <w:tcW w:w="3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7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2.4 %</w:t>
            </w:r>
          </w:p>
        </w:tc>
      </w:tr>
      <w:tr>
        <w:trPr>
          <w:trHeight w:val="877"/>
        </w:trPr>
        <w:tc>
          <w:tcPr>
            <w:tcW w:w="3660" w:type="dxa"/>
            <w:vAlign w:val="bottom"/>
          </w:tcPr>
          <w:p>
            <w:pPr>
              <w:spacing w:after="0"/>
              <w:rPr>
                <w:sz w:val="24"/>
                <w:szCs w:val="24"/>
                <w:color w:val="auto"/>
              </w:rPr>
            </w:pPr>
          </w:p>
        </w:tc>
        <w:tc>
          <w:tcPr>
            <w:tcW w:w="6140" w:type="dxa"/>
            <w:vAlign w:val="bottom"/>
          </w:tcPr>
          <w:p>
            <w:pPr>
              <w:jc w:val="right"/>
              <w:ind w:right="39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7"/>
        </w:trPr>
        <w:tc>
          <w:tcPr>
            <w:tcW w:w="36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Restricted Stock Units</w:t>
      </w:r>
      <w:r>
        <w:rPr>
          <w:rFonts w:ascii="Arial" w:cs="Arial" w:eastAsia="Arial" w:hAnsi="Arial"/>
          <w:sz w:val="16"/>
          <w:szCs w:val="16"/>
          <w:color w:val="auto"/>
        </w:rPr>
        <w:t>—A summary of the Company’s outstanding nonvested restricted stock units (RSUs) for its Plans is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Vested</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as of June 30, 2023</w:t>
      </w:r>
      <w:r>
        <w:rPr>
          <w:rFonts w:ascii="Arial" w:cs="Arial" w:eastAsia="Arial" w:hAnsi="Arial"/>
          <w:sz w:val="23"/>
          <w:szCs w:val="23"/>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0.2 million of target award RSUs with both service-based and performance-based conditions.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shares that vested under RSUs was $14.3 million during the six months ended June 30, 2023.</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r>
      <w:tr>
        <w:trPr>
          <w:trHeight w:val="175"/>
        </w:trPr>
        <w:tc>
          <w:tcPr>
            <w:tcW w:w="122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 Units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Grant-Date</w:t>
            </w:r>
          </w:p>
        </w:tc>
      </w:tr>
      <w:tr>
        <w:trPr>
          <w:trHeight w:val="186"/>
        </w:trPr>
        <w:tc>
          <w:tcPr>
            <w:tcW w:w="1220" w:type="dxa"/>
            <w:vAlign w:val="bottom"/>
          </w:tcPr>
          <w:p>
            <w:pPr>
              <w:jc w:val="right"/>
              <w:ind w:right="115"/>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w w:val="98"/>
              </w:rPr>
              <w:t>Fair Value</w:t>
            </w:r>
          </w:p>
        </w:tc>
      </w:tr>
      <w:tr>
        <w:trPr>
          <w:trHeight w:val="26"/>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jc w:val="right"/>
              <w:spacing w:after="0"/>
              <w:rPr>
                <w:sz w:val="20"/>
                <w:szCs w:val="20"/>
                <w:color w:val="auto"/>
              </w:rPr>
            </w:pPr>
            <w:r>
              <w:rPr>
                <w:rFonts w:ascii="Arial" w:cs="Arial" w:eastAsia="Arial" w:hAnsi="Arial"/>
                <w:sz w:val="18"/>
                <w:szCs w:val="18"/>
                <w:color w:val="auto"/>
              </w:rPr>
              <w:t>7,405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97"/>
        </w:trPr>
        <w:tc>
          <w:tcPr>
            <w:tcW w:w="1220" w:type="dxa"/>
            <w:vAlign w:val="bottom"/>
          </w:tcPr>
          <w:p>
            <w:pPr>
              <w:jc w:val="right"/>
              <w:spacing w:after="0"/>
              <w:rPr>
                <w:sz w:val="20"/>
                <w:szCs w:val="20"/>
                <w:color w:val="auto"/>
              </w:rPr>
            </w:pPr>
            <w:r>
              <w:rPr>
                <w:rFonts w:ascii="Arial" w:cs="Arial" w:eastAsia="Arial" w:hAnsi="Arial"/>
                <w:sz w:val="18"/>
                <w:szCs w:val="18"/>
                <w:color w:val="auto"/>
              </w:rPr>
              <w:t>2,525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70"/>
        </w:trPr>
        <w:tc>
          <w:tcPr>
            <w:tcW w:w="1220" w:type="dxa"/>
            <w:vAlign w:val="bottom"/>
          </w:tcPr>
          <w:p>
            <w:pPr>
              <w:jc w:val="right"/>
              <w:spacing w:after="0"/>
              <w:rPr>
                <w:sz w:val="20"/>
                <w:szCs w:val="20"/>
                <w:color w:val="auto"/>
              </w:rPr>
            </w:pPr>
            <w:r>
              <w:rPr>
                <w:rFonts w:ascii="Arial" w:cs="Arial" w:eastAsia="Arial" w:hAnsi="Arial"/>
                <w:sz w:val="18"/>
                <w:szCs w:val="18"/>
                <w:color w:val="auto"/>
              </w:rPr>
              <w:t>(1,054)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7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64"/>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71" w:lineRule="exact"/>
        <w:rPr>
          <w:sz w:val="20"/>
          <w:szCs w:val="20"/>
          <w:color w:val="auto"/>
        </w:rPr>
      </w:pPr>
    </w:p>
    <w:p>
      <w:pPr>
        <w:sectPr>
          <w:pgSz w:w="11900" w:h="16838" w:orient="portrait"/>
          <w:cols w:equalWidth="0" w:num="2">
            <w:col w:w="8660" w:space="60"/>
            <w:col w:w="2520"/>
          </w:cols>
          <w:pgMar w:left="320" w:top="337" w:right="339" w:bottom="1440" w:gutter="0" w:footer="0" w:header="0"/>
          <w:type w:val="continuous"/>
        </w:sectPr>
      </w:pPr>
    </w:p>
    <w:p>
      <w:pPr>
        <w:jc w:val="both"/>
        <w:ind w:firstLine="324"/>
        <w:spacing w:after="0" w:line="254" w:lineRule="auto"/>
        <w:rPr>
          <w:sz w:val="20"/>
          <w:szCs w:val="20"/>
          <w:color w:val="auto"/>
        </w:rPr>
      </w:pPr>
      <w:r>
        <w:rPr>
          <w:rFonts w:ascii="Arial" w:cs="Arial" w:eastAsia="Arial" w:hAnsi="Arial"/>
          <w:sz w:val="18"/>
          <w:szCs w:val="18"/>
          <w:color w:val="auto"/>
        </w:rPr>
        <w:t>During the six months ended June 30, 2023, the Company granted 0.2 million of target award RSUs with both service-based and performance-based conditions to certain employees of the Company. Recipients of these performance-based RSUs are eligible to earn between 0% and 200% of their target awards based upon the achievement of (i) an EBITDA-related metric and (ii) a revenue-related metric, both in fiscal year 2023, subject to certification of the attainment of the performance level. These performance-based RSUs are also subject to service-based vesting over a period of three years. Stock-based compensation for performance-based RSUs is recognized over the requisite service period using the accelerated attribution method based on an assessment of the probability of achieving the requisite performance metrics. The Company recognizes forfeitures as they occur for grantees who do not fulfill the service-based conditions.</w:t>
      </w:r>
    </w:p>
    <w:p>
      <w:pPr>
        <w:spacing w:after="0" w:line="13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Employee Stock Purchase Plan</w:t>
      </w:r>
      <w:r>
        <w:rPr>
          <w:rFonts w:ascii="Arial" w:cs="Arial" w:eastAsia="Arial" w:hAnsi="Arial"/>
          <w:sz w:val="18"/>
          <w:szCs w:val="18"/>
          <w:color w:val="auto"/>
        </w:rPr>
        <w:t>—The terms of the Employee Stock Purchase Plan (ESPP) provide for automatic increases in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2023. Prior to capitalizing amounts related to software development costs, the Company recognized stock-based compensation related to the ESPP of $1.0 million and $2.6 million during the three months ended June 30, 2023 and 2022, respectively, and $2.0 million and $3.9 million during the six months ended June 30, 2023 and 2022,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recognized stock-based compensation under the Plans and ESPP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39"/>
        </w:trPr>
        <w:tc>
          <w:tcPr>
            <w:tcW w:w="6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Total stock-based compensation</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9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stock-based compensation capitalized related to software development costs was $1.6 million and $1.9 million during the three months ended June 30, 2023 and 2022, respectively, and $3.1 million and $3.3 million during the six months ended June 30, 2023 and 2022, respectively.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NERDWALLET,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three months ended June 30, 2023, the Company’s tax provision for interim periods was determined using a discrete effective tax rate method, as allowed by ASC Topic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The Company’s tax provision for interim periods was previously determined using an estimated annual effective tax rate which was adjusted for discrete items occurring during the periods presented. The Company determined that since small changes in estimated “ordinary” income would result in significant changes in the estimated annual effective tax rate, the historical method would not provide a reliable estimate for the three months ended June 30, 2023.</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primary difference between the Company’s effective tax rate and the statutory federal income tax rate is the full valuation allowance established on the Company’s federal, state and foreign deferred tax attributes. As of June 30, 2023 and December 31, 2022,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pacing w:after="0" w:line="11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Basic and Diluted Share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basic and diluted per share computations for net loss attributable to common stockholders: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6"/>
        </w:trPr>
        <w:tc>
          <w:tcPr>
            <w:tcW w:w="6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58"/>
              <w:spacing w:after="0"/>
              <w:rPr>
                <w:sz w:val="20"/>
                <w:szCs w:val="20"/>
                <w:color w:val="auto"/>
              </w:rPr>
            </w:pPr>
            <w:r>
              <w:rPr>
                <w:rFonts w:ascii="Arial" w:cs="Arial" w:eastAsia="Arial" w:hAnsi="Arial"/>
                <w:sz w:val="18"/>
                <w:szCs w:val="18"/>
                <w:color w:val="auto"/>
                <w:w w:val="93"/>
              </w:rPr>
              <w:t>(10.7)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(19.8)</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Weighted-average shares of common stock—basic and diluted</w:t>
            </w:r>
          </w:p>
        </w:tc>
        <w:tc>
          <w:tcPr>
            <w:tcW w:w="280" w:type="dxa"/>
            <w:vAlign w:val="bottom"/>
          </w:tcPr>
          <w:p>
            <w:pPr>
              <w:spacing w:after="0"/>
              <w:rPr>
                <w:sz w:val="21"/>
                <w:szCs w:val="21"/>
                <w:color w:val="auto"/>
              </w:rPr>
            </w:pPr>
          </w:p>
        </w:tc>
        <w:tc>
          <w:tcPr>
            <w:tcW w:w="920" w:type="dxa"/>
            <w:vAlign w:val="bottom"/>
          </w:tcPr>
          <w:p>
            <w:pPr>
              <w:jc w:val="center"/>
              <w:ind w:left="378"/>
              <w:spacing w:after="0"/>
              <w:rPr>
                <w:sz w:val="20"/>
                <w:szCs w:val="20"/>
                <w:color w:val="auto"/>
              </w:rPr>
            </w:pPr>
            <w:r>
              <w:rPr>
                <w:rFonts w:ascii="Arial" w:cs="Arial" w:eastAsia="Arial" w:hAnsi="Arial"/>
                <w:sz w:val="18"/>
                <w:szCs w:val="18"/>
                <w:color w:val="auto"/>
                <w:w w:val="85"/>
              </w:rPr>
              <w:t>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center"/>
              <w:ind w:left="314"/>
              <w:spacing w:after="0"/>
              <w:rPr>
                <w:sz w:val="20"/>
                <w:szCs w:val="20"/>
                <w:color w:val="auto"/>
              </w:rPr>
            </w:pPr>
            <w:r>
              <w:rPr>
                <w:rFonts w:ascii="Arial" w:cs="Arial" w:eastAsia="Arial" w:hAnsi="Arial"/>
                <w:sz w:val="18"/>
                <w:szCs w:val="18"/>
                <w:color w:val="auto"/>
                <w:w w:val="85"/>
              </w:rPr>
              <w:t>67.2</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358"/>
              <w:spacing w:after="0"/>
              <w:rPr>
                <w:sz w:val="20"/>
                <w:szCs w:val="20"/>
                <w:color w:val="auto"/>
              </w:rPr>
            </w:pPr>
            <w:r>
              <w:rPr>
                <w:rFonts w:ascii="Arial" w:cs="Arial" w:eastAsia="Arial" w:hAnsi="Arial"/>
                <w:sz w:val="18"/>
                <w:szCs w:val="18"/>
                <w:color w:val="auto"/>
                <w:w w:val="93"/>
              </w:rPr>
              <w:t>(0.14)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3"/>
              </w:rPr>
              <w:t>(0.29)</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358"/>
              <w:spacing w:after="0"/>
              <w:rPr>
                <w:sz w:val="20"/>
                <w:szCs w:val="20"/>
                <w:color w:val="auto"/>
              </w:rPr>
            </w:pPr>
            <w:r>
              <w:rPr>
                <w:rFonts w:ascii="Arial" w:cs="Arial" w:eastAsia="Arial" w:hAnsi="Arial"/>
                <w:sz w:val="18"/>
                <w:szCs w:val="18"/>
                <w:color w:val="auto"/>
                <w:w w:val="93"/>
              </w:rPr>
              <w:t>(0.14)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3"/>
              </w:rPr>
              <w:t>(0.29)</w:t>
            </w: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because including them would have been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2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center"/>
              <w:ind w:left="781"/>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1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2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5"/>
        </w:trPr>
        <w:tc>
          <w:tcPr>
            <w:tcW w:w="6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ESPP</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On the Barrelhead, Inc.</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11, 2022, we completed the acquisition of On the Barrelhead, Inc. (OTB), a data-driven platform that provides consumers and small and mid-sized businesses (SMBs) with credit-driven product recommendations. See Note 5</w:t>
      </w:r>
      <w:r>
        <w:rPr>
          <w:rFonts w:ascii="Arial" w:cs="Arial" w:eastAsia="Arial" w:hAnsi="Arial"/>
          <w:sz w:val="18"/>
          <w:szCs w:val="18"/>
          <w:b w:val="1"/>
          <w:bCs w:val="1"/>
          <w:color w:val="auto"/>
        </w:rPr>
        <w:t>—</w:t>
      </w:r>
      <w:r>
        <w:rPr>
          <w:rFonts w:ascii="Arial" w:cs="Arial" w:eastAsia="Arial" w:hAnsi="Arial"/>
          <w:sz w:val="18"/>
          <w:szCs w:val="18"/>
          <w:color w:val="auto"/>
        </w:rPr>
        <w:t>Business Combination in the notes to our condensed consolidated financial statements, and Note 5</w:t>
      </w:r>
      <w:r>
        <w:rPr>
          <w:rFonts w:ascii="Arial" w:cs="Arial" w:eastAsia="Arial" w:hAnsi="Arial"/>
          <w:sz w:val="18"/>
          <w:szCs w:val="18"/>
          <w:b w:val="1"/>
          <w:bCs w:val="1"/>
          <w:color w:val="auto"/>
        </w:rPr>
        <w:t>—</w:t>
      </w:r>
      <w:r>
        <w:rPr>
          <w:rFonts w:ascii="Arial" w:cs="Arial" w:eastAsia="Arial" w:hAnsi="Arial"/>
          <w:sz w:val="18"/>
          <w:szCs w:val="18"/>
          <w:color w:val="auto"/>
        </w:rPr>
        <w:t>Business Combinations in the notes to our consolidated financial statements in our Annual Report on Form 10-K for the year ended December 31, 2022, for further discussion.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22 million and 23 million average MUUs for the three and six months ended June 30, 2023, which was up 9% and 8% compared to the three and six months ended June 30, 2022, respectively. We saw strong engagement in areas such as banking, insurance and travel products, and are also incorporating our acquisition of OTB in July 2022. Partially offsetting growth were declines from a continued challenging macroeconomic environment in mortgages. While we expect MUUs to grow over time, the metric may fluctuate from period to period based on economic conditions, trends in consumer behavior, and our strategic marketing decisions.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define Adjusted EBITDA as net income (loss) from continuing operations adjusted to exclude depreciation and amortization, interest income (expense), net, provision (benefit) for income taxes, and further exclude (1) losses (gains) on disposals of assets, (2) change in fair value of contingent consideration related to earnouts, (3) deferred compensation related to earnouts, (4) stock-based compensation, and (5) acquisition-related costs.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41"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certain recurring, non-cash charges, such as amortization of software, depreciation of property and equipment, amortization of intangible assets, and (losses) gains on disposals of assets.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6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“Management’s Discussion and Analysis of Financial Condition and Results of Operations—Results of Operations—Non-GAAP Financial Measure” for a reconciliation of Adjusted EBITDA to net income (loss), the most directly comparable financial measure calculated in accordance with GAAP.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left="513"/>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r>
      <w:tr>
        <w:trPr>
          <w:trHeight w:val="39"/>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6"/>
        </w:trPr>
        <w:tc>
          <w:tcPr>
            <w:tcW w:w="6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70"/>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63"/>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1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60" w:type="dxa"/>
            <w:vAlign w:val="bottom"/>
            <w:gridSpan w:val="2"/>
          </w:tcPr>
          <w:p>
            <w:pPr>
              <w:ind w:left="46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Income tax provision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Includes stock-based compensation as follows:</w:t>
      </w:r>
    </w:p>
    <w:p>
      <w:pPr>
        <w:spacing w:after="0" w:line="200" w:lineRule="exact"/>
        <w:rPr>
          <w:rFonts w:ascii="Arial" w:cs="Arial" w:eastAsia="Arial" w:hAnsi="Arial"/>
          <w:sz w:val="12"/>
          <w:szCs w:val="12"/>
          <w:color w:val="auto"/>
        </w:rPr>
      </w:pPr>
    </w:p>
    <w:p>
      <w:pPr>
        <w:spacing w:after="0" w:line="230"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i w:val="1"/>
          <w:iCs w:val="1"/>
          <w:color w:val="auto"/>
        </w:rPr>
        <w:t>(in millions)</w:t>
      </w:r>
    </w:p>
    <w:p>
      <w:pPr>
        <w:spacing w:after="0" w:line="82" w:lineRule="exact"/>
        <w:rPr>
          <w:rFonts w:ascii="Arial" w:cs="Arial" w:eastAsia="Arial" w:hAnsi="Arial"/>
          <w:sz w:val="12"/>
          <w:szCs w:val="12"/>
          <w:color w:val="auto"/>
        </w:rPr>
      </w:pPr>
    </w:p>
    <w:p>
      <w:pPr>
        <w:ind w:left="360" w:right="3320"/>
        <w:spacing w:after="0" w:line="391" w:lineRule="auto"/>
        <w:rPr>
          <w:rFonts w:ascii="Arial" w:cs="Arial" w:eastAsia="Arial" w:hAnsi="Arial"/>
          <w:sz w:val="12"/>
          <w:szCs w:val="12"/>
          <w:color w:val="auto"/>
        </w:rPr>
      </w:pPr>
      <w:r>
        <w:rPr>
          <w:rFonts w:ascii="Arial" w:cs="Arial" w:eastAsia="Arial" w:hAnsi="Arial"/>
          <w:sz w:val="12"/>
          <w:szCs w:val="12"/>
          <w:color w:val="auto"/>
        </w:rPr>
        <w:t>Research and development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-298450</wp:posOffset>
            </wp:positionV>
            <wp:extent cx="3497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7.1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5"/>
              </w:rPr>
              <w:t>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7"/>
        </w:trPr>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00" w:type="dxa"/>
            <w:vAlign w:val="bottom"/>
            <w:gridSpan w:val="2"/>
          </w:tcPr>
          <w:p>
            <w:pPr>
              <w:jc w:val="right"/>
              <w:ind w:right="417"/>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40" w:type="dxa"/>
            <w:vAlign w:val="bottom"/>
          </w:tcPr>
          <w:p>
            <w:pPr>
              <w:jc w:val="right"/>
              <w:ind w:right="364"/>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1"/>
              </w:rPr>
              <w:t>(9.0)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7"/>
        </w:trPr>
        <w:tc>
          <w:tcPr>
            <w:tcW w:w="22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664"/>
        </w:trPr>
        <w:tc>
          <w:tcPr>
            <w:tcW w:w="220" w:type="dxa"/>
            <w:vAlign w:val="bottom"/>
          </w:tcPr>
          <w:p>
            <w:pPr>
              <w:spacing w:after="0"/>
              <w:rPr>
                <w:sz w:val="24"/>
                <w:szCs w:val="24"/>
                <w:color w:val="auto"/>
              </w:rPr>
            </w:pPr>
          </w:p>
        </w:tc>
        <w:tc>
          <w:tcPr>
            <w:tcW w:w="1840" w:type="dxa"/>
            <w:vAlign w:val="bottom"/>
            <w:gridSpan w:val="7"/>
          </w:tcPr>
          <w:p>
            <w:pPr>
              <w:jc w:val="center"/>
              <w:ind w:left="57"/>
              <w:spacing w:after="0"/>
              <w:rPr>
                <w:sz w:val="20"/>
                <w:szCs w:val="20"/>
                <w:color w:val="auto"/>
              </w:rPr>
            </w:pPr>
            <w:r>
              <w:rPr>
                <w:rFonts w:ascii="Arial" w:cs="Arial" w:eastAsia="Arial" w:hAnsi="Arial"/>
                <w:sz w:val="13"/>
                <w:szCs w:val="13"/>
                <w:b w:val="1"/>
                <w:bCs w:val="1"/>
                <w:color w:val="auto"/>
                <w:w w:val="90"/>
              </w:rPr>
              <w:t>Three Months Ended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6"/>
          </w:tcPr>
          <w:p>
            <w:pPr>
              <w:jc w:val="right"/>
              <w:spacing w:after="0"/>
              <w:rPr>
                <w:sz w:val="20"/>
                <w:szCs w:val="20"/>
                <w:color w:val="auto"/>
              </w:rPr>
            </w:pPr>
            <w:r>
              <w:rPr>
                <w:rFonts w:ascii="Arial" w:cs="Arial" w:eastAsia="Arial" w:hAnsi="Arial"/>
                <w:sz w:val="13"/>
                <w:szCs w:val="13"/>
                <w:b w:val="1"/>
                <w:bCs w:val="1"/>
                <w:color w:val="auto"/>
                <w:w w:val="86"/>
              </w:rPr>
              <w:t>Six Months Ended</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4"/>
        </w:trPr>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5"/>
          </w:tcPr>
          <w:p>
            <w:pPr>
              <w:jc w:val="center"/>
              <w:ind w:left="6"/>
              <w:spacing w:after="0"/>
              <w:rPr>
                <w:sz w:val="20"/>
                <w:szCs w:val="20"/>
                <w:color w:val="auto"/>
              </w:rPr>
            </w:pPr>
            <w:r>
              <w:rPr>
                <w:rFonts w:ascii="Arial" w:cs="Arial" w:eastAsia="Arial" w:hAnsi="Arial"/>
                <w:sz w:val="13"/>
                <w:szCs w:val="13"/>
                <w:b w:val="1"/>
                <w:bCs w:val="1"/>
                <w:color w:val="auto"/>
                <w:w w:val="84"/>
              </w:rPr>
              <w:t>June 30,</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4"/>
          </w:tcPr>
          <w:p>
            <w:pPr>
              <w:ind w:left="280"/>
              <w:spacing w:after="0"/>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0"/>
        </w:trPr>
        <w:tc>
          <w:tcPr>
            <w:tcW w:w="8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80"/>
        </w:trPr>
        <w:tc>
          <w:tcPr>
            <w:tcW w:w="8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4"/>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83"/>
              <w:spacing w:after="0"/>
              <w:rPr>
                <w:sz w:val="20"/>
                <w:szCs w:val="20"/>
                <w:color w:val="auto"/>
              </w:rPr>
            </w:pPr>
            <w:r>
              <w:rPr>
                <w:rFonts w:ascii="Arial" w:cs="Arial" w:eastAsia="Arial" w:hAnsi="Arial"/>
                <w:sz w:val="13"/>
                <w:szCs w:val="13"/>
                <w:b w:val="1"/>
                <w:bCs w:val="1"/>
                <w:color w:val="auto"/>
                <w:w w:val="82"/>
              </w:rPr>
              <w:t>2022</w:t>
            </w:r>
          </w:p>
        </w:tc>
        <w:tc>
          <w:tcPr>
            <w:tcW w:w="380" w:type="dxa"/>
            <w:vAlign w:val="bottom"/>
          </w:tcPr>
          <w:p>
            <w:pPr>
              <w:spacing w:after="0"/>
              <w:rPr>
                <w:sz w:val="15"/>
                <w:szCs w:val="15"/>
                <w:color w:val="auto"/>
              </w:rPr>
            </w:pPr>
          </w:p>
        </w:tc>
      </w:tr>
      <w:tr>
        <w:trPr>
          <w:trHeight w:val="30"/>
        </w:trPr>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184"/>
        </w:trPr>
        <w:tc>
          <w:tcPr>
            <w:tcW w:w="220" w:type="dxa"/>
            <w:vAlign w:val="bottom"/>
          </w:tcPr>
          <w:p>
            <w:pPr>
              <w:jc w:val="right"/>
              <w:ind w:right="65"/>
              <w:spacing w:after="0"/>
              <w:rPr>
                <w:sz w:val="20"/>
                <w:szCs w:val="20"/>
                <w:color w:val="auto"/>
              </w:rPr>
            </w:pPr>
            <w:r>
              <w:rPr>
                <w:rFonts w:ascii="Arial" w:cs="Arial" w:eastAsia="Arial" w:hAnsi="Arial"/>
                <w:sz w:val="14"/>
                <w:szCs w:val="14"/>
                <w:color w:val="auto"/>
                <w:w w:val="76"/>
              </w:rPr>
              <w:t>$</w:t>
            </w:r>
          </w:p>
        </w:tc>
        <w:tc>
          <w:tcPr>
            <w:tcW w:w="5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jc w:val="right"/>
              <w:ind w:right="2"/>
              <w:spacing w:after="0"/>
              <w:rPr>
                <w:sz w:val="20"/>
                <w:szCs w:val="20"/>
                <w:color w:val="auto"/>
              </w:rPr>
            </w:pPr>
            <w:r>
              <w:rPr>
                <w:rFonts w:ascii="Arial" w:cs="Arial" w:eastAsia="Arial" w:hAnsi="Arial"/>
                <w:sz w:val="14"/>
                <w:szCs w:val="14"/>
                <w:color w:val="auto"/>
              </w:rPr>
              <w:t>3.6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5.5</w:t>
            </w:r>
          </w:p>
        </w:tc>
        <w:tc>
          <w:tcPr>
            <w:tcW w:w="380" w:type="dxa"/>
            <w:vAlign w:val="bottom"/>
            <w:gridSpan w:val="3"/>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w:t>
            </w:r>
          </w:p>
        </w:tc>
        <w:tc>
          <w:tcPr>
            <w:tcW w:w="380" w:type="dxa"/>
            <w:vAlign w:val="bottom"/>
          </w:tcPr>
          <w:p>
            <w:pPr>
              <w:spacing w:after="0"/>
              <w:rPr>
                <w:sz w:val="16"/>
                <w:szCs w:val="16"/>
                <w:color w:val="auto"/>
              </w:rPr>
            </w:pPr>
          </w:p>
        </w:tc>
      </w:tr>
      <w:tr>
        <w:trPr>
          <w:trHeight w:val="230"/>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-1183640</wp:posOffset>
            </wp:positionV>
            <wp:extent cx="713232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-266065</wp:posOffset>
            </wp:positionV>
            <wp:extent cx="668655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86550" cy="14541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5220" w:space="720"/>
            <w:col w:w="5300"/>
          </w:cols>
          <w:pgMar w:left="320" w:top="125" w:right="339" w:bottom="1440" w:gutter="0" w:footer="0" w:header="0"/>
          <w:type w:val="continuous"/>
        </w:sectPr>
      </w:pPr>
    </w:p>
    <w:tbl>
      <w:tblPr>
        <w:tblLayout w:type="fixed"/>
        <w:tblInd w:w="340" w:type="dxa"/>
        <w:tblCellMar>
          <w:top w:w="0" w:type="dxa"/>
          <w:left w:w="0" w:type="dxa"/>
          <w:bottom w:w="0" w:type="dxa"/>
          <w:right w:w="0" w:type="dxa"/>
        </w:tblCellMar>
      </w:tblP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23"/>
        </w:trPr>
        <w:tc>
          <w:tcPr>
            <w:tcW w:w="5600" w:type="dxa"/>
            <w:vAlign w:val="bottom"/>
          </w:tcPr>
          <w:p>
            <w:pPr>
              <w:ind w:left="20"/>
              <w:spacing w:after="0"/>
              <w:rPr>
                <w:sz w:val="20"/>
                <w:szCs w:val="20"/>
                <w:color w:val="auto"/>
              </w:rPr>
            </w:pPr>
            <w:r>
              <w:rPr>
                <w:rFonts w:ascii="Arial" w:cs="Arial" w:eastAsia="Arial" w:hAnsi="Arial"/>
                <w:sz w:val="14"/>
                <w:szCs w:val="14"/>
                <w:color w:val="auto"/>
              </w:rPr>
              <w:t>Total stock-based compensation</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19.9</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7"/>
        </w:trPr>
        <w:tc>
          <w:tcPr>
            <w:tcW w:w="56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condensed consolidated statements of operations as a percentage of 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5"/>
                <w:szCs w:val="15"/>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Pr>
          <w:p>
            <w:pPr>
              <w:spacing w:after="0"/>
              <w:rPr>
                <w:sz w:val="16"/>
                <w:szCs w:val="16"/>
                <w:color w:val="auto"/>
              </w:rPr>
            </w:pPr>
          </w:p>
        </w:tc>
      </w:tr>
      <w:tr>
        <w:trPr>
          <w:trHeight w:val="39"/>
        </w:trPr>
        <w:tc>
          <w:tcPr>
            <w:tcW w:w="5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2"/>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5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6</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19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71</w:t>
            </w:r>
          </w:p>
        </w:tc>
        <w:tc>
          <w:tcPr>
            <w:tcW w:w="1420" w:type="dxa"/>
            <w:vAlign w:val="bottom"/>
            <w:tcBorders>
              <w:bottom w:val="single" w:sz="8" w:color="CCEEFF"/>
            </w:tcBorders>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73</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1420" w:type="dxa"/>
            <w:vAlign w:val="bottom"/>
            <w:gridSpan w:val="2"/>
          </w:tcPr>
          <w:p>
            <w:pPr>
              <w:jc w:val="right"/>
              <w:ind w:right="19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11</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13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w:t>
            </w:r>
          </w:p>
        </w:tc>
      </w:tr>
      <w:tr>
        <w:trPr>
          <w:trHeight w:val="263"/>
        </w:trPr>
        <w:tc>
          <w:tcPr>
            <w:tcW w:w="5700" w:type="dxa"/>
            <w:vAlign w:val="bottom"/>
            <w:gridSpan w:val="2"/>
          </w:tcPr>
          <w:p>
            <w:pPr>
              <w:ind w:left="460"/>
              <w:spacing w:after="0"/>
              <w:rPr>
                <w:sz w:val="20"/>
                <w:szCs w:val="20"/>
                <w:color w:val="auto"/>
              </w:rPr>
            </w:pPr>
            <w:r>
              <w:rPr>
                <w:rFonts w:ascii="Arial" w:cs="Arial" w:eastAsia="Arial" w:hAnsi="Arial"/>
                <w:sz w:val="18"/>
                <w:szCs w:val="18"/>
                <w:color w:val="auto"/>
              </w:rPr>
              <w:t>Total costs and expenses</w:t>
            </w: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107</w:t>
            </w:r>
          </w:p>
        </w:tc>
      </w:tr>
      <w:tr>
        <w:trPr>
          <w:trHeight w:val="264"/>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3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r>
      <w:tr>
        <w:trPr>
          <w:trHeight w:val="243"/>
        </w:trPr>
        <w:tc>
          <w:tcPr>
            <w:tcW w:w="57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32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losses, net</w:t>
            </w:r>
          </w:p>
        </w:tc>
        <w:tc>
          <w:tcPr>
            <w:tcW w:w="17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gridSpan w:val="2"/>
          </w:tcPr>
          <w:p>
            <w:pPr>
              <w:ind w:left="460"/>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1320" w:type="dxa"/>
            <w:vAlign w:val="bottom"/>
          </w:tcPr>
          <w:p>
            <w:pPr>
              <w:jc w:val="right"/>
              <w:ind w:right="19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9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loss increased $1.4 million, or 16%, for the three months ended June 30, 2023, and decreased $10.8 million, or 55%, for the six months ended June 30, 2023, as compared to the three and six months ended June 30, 2022, respectively. The changes include increases of $18.1 million and $58.6 million in revenue, partially offset by increases of $13.3 million and $45.5 million in expenses. The increases in expenses were primarily driven by increases of $10.0 million and $35.6 million in sales and marketing expense, and $4.9 million and $11.0 million in cost of revenue, partially offset by decreases of $1.8 million and $5.7 million for changes in fair value of contingent consideration related to earnouts. Additionally, we had increases of $6.9 million and $3.9 million in income tax provisions for the three and six months ended June 30, 2023,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6"/>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6"/>
                <w:szCs w:val="16"/>
                <w:color w:val="auto"/>
              </w:rPr>
            </w:pPr>
          </w:p>
        </w:tc>
      </w:tr>
      <w:tr>
        <w:trPr>
          <w:trHeight w:val="39"/>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39"/>
        </w:trPr>
        <w:tc>
          <w:tcPr>
            <w:tcW w:w="2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1"/>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36"/>
              <w:spacing w:after="0"/>
              <w:rPr>
                <w:sz w:val="20"/>
                <w:szCs w:val="20"/>
                <w:color w:val="auto"/>
              </w:rPr>
            </w:pPr>
            <w:r>
              <w:rPr>
                <w:rFonts w:ascii="Arial" w:cs="Arial" w:eastAsia="Arial" w:hAnsi="Arial"/>
                <w:sz w:val="18"/>
                <w:szCs w:val="18"/>
                <w:color w:val="auto"/>
                <w:w w:val="93"/>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8"/>
                <w:szCs w:val="18"/>
                <w:color w:val="auto"/>
                <w:w w:val="91"/>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63"/>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center"/>
              <w:ind w:left="76"/>
              <w:spacing w:after="0"/>
              <w:rPr>
                <w:sz w:val="20"/>
                <w:szCs w:val="20"/>
                <w:color w:val="auto"/>
              </w:rPr>
            </w:pPr>
            <w:r>
              <w:rPr>
                <w:rFonts w:ascii="Arial" w:cs="Arial" w:eastAsia="Arial" w:hAnsi="Arial"/>
                <w:sz w:val="18"/>
                <w:szCs w:val="18"/>
                <w:color w:val="auto"/>
                <w:w w:val="91"/>
              </w:rPr>
              <w:t>58.6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$18.1 million, or 14% and $58.6 million, or 23%, for the three and six months ended June 30, 2023 compared to the three and six months ended June 30, 2022, respectively, primarily driven by strong growth in other verticals revenues.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cards revenue decreased $3.4 million, or 6% for the three months ended June 30, 2023, primarily due to reduced marketing spending by our financial services partners amidst an increasingly cautious underwriting environment. Credit cards revenue increased $12.7 million, or 13%, for the six months ended June 30, 2023, reflecting our ability to capitalize on higher consumer intent through improved user experiences combined with our deep alignment with our financial services partners to deliver quality matches.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Loans revenue decreased $0.9 million, or 4% and $13.2 million, or 23%, for the three and six months ended June 30, 2023, respectively, primarily due to decreases of 33% and 48%, respectively, in mortgages revenue and 37% and 43%, respectively, in student loans driven by higher interest rates and continuing macroeconomic headwinds, partially offset by increases of 32% and 21%, respectively, in personal loans revenue incorporating our acquisition of OTB in July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verticals revenue increased $22.4 million, or 48% and $59.1 million, or 62%, for the three and six months ended June 30, 2023, respectively, driven by increases of 139% and 177%, respectively, in banking revenue primarily due to the higher interest rate environment, 41% and 93%, respectively, in insurance revenue primarily driven by auto insurance, and 13% and 16%, respectively, in SMB products revenue.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r>
      <w:tr>
        <w:trPr>
          <w:trHeight w:val="39"/>
        </w:trPr>
        <w:tc>
          <w:tcPr>
            <w:tcW w:w="3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4"/>
        </w:trPr>
        <w:tc>
          <w:tcPr>
            <w:tcW w:w="3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r>
      <w:tr>
        <w:trPr>
          <w:trHeight w:val="26"/>
        </w:trPr>
        <w:tc>
          <w:tcPr>
            <w:tcW w:w="3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consideration related to earnouts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6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1"/>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$4.9 million, or 61% and $11.0 million, or 69%, for the three and six months ended June 30, 2023 compared to the three and six months ended June 30, 2022, respectively, attributable to increases of $4.1 million and $8.2 million, respectively, in amortization expense related to intangible assets from our acquisition of OTB in July 2022 and capitalized software development costs, and $0.5 million and $1.7 million, respectively, primarily related to third-party service charges.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Research and development expenses decreased $0.1 million for the three months ended June 30, 2023. and increased $2.0 million, or 5%, for the six months ended June 30, 2023, as compared to the three and six months ended June 30, 2022, respectively. The decrease for the three months ended June 30, 2023 was primarily attributable to a $0.8 million decrease in personnel-related costs for our engineering, data, and product management personnel and contractors, partially offset by a $0.6 million increase in software and technology costs related to our platform. The increase for the six months ended June 30, 2023 was primarily attributable to increases of $0.4 million in personnel-related costs and $1.2 million in software and technology costs related to our platform.</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three and six months ended June 30, 2023, our total sales and marketing expense was comprised of approximately 21% and 27% for brand marketing, respectively, and 50% and 48% for performance marketing, respectively, with the remainder for organic and other marketing expenses. For the three and six months ended June 30, 2022, our total sales and marketing expense was comprised of approximately 30% and 36% for brand marketing, respectively, and 42% and 39% for performance marketing, respectively, with the remainder for organic and other marketing expenses. We are able to adjust our marketing spend to reflect changes in external factors and consumer behavior.</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Sales and marketing expenses increased $10.0 million, or 11%, and $35.6 million, or 19%, for the three and six months ended June 30, 2023 compared to the three and six months ended June 30, 2022, respectively. The increases were attributable to increases of $11.9 million and $34.0 million in performance marketing expenses, and $4.7 million and $9.7 million in organic and other marketing expenses primarily due to higher personnel-related costs due to our efforts to grow and increase our user base, partially offset by decreases of $6.6 million and $8.1 million in brand marketing expenses.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increased $0.3 million, or 1%, and $2.6 million, or 10%, for the three and six months ended June 30, 2023 compared to the three and six months ended June 30, 2022, respectively, primarily attributable to increases of $2.5 million and $4.3 million, respectively, in personnel-related costs mainly due to higher stock-based compensation and increased headcount, partially offset by $2.2 million of acquisition-related costs in the three and six months ended June 30, 2022 related to our acquisition of OTB in July 2022.</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change in fair value of contingent consideration relates to our acquisitions of Fundera, Inc. (Fundera) and Know Your Money (KYM) in 2020. The fair value of the estimated contingent considerations was subject to remeasurement at each reporting date until the payments were made. See Note 3–Fair Value Measurements in the notes to our condensed consolidated financial statements for further discussion on these contingent considerations.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6"/>
                <w:szCs w:val="16"/>
                <w:color w:val="auto"/>
              </w:rPr>
            </w:pPr>
          </w:p>
        </w:tc>
      </w:tr>
      <w:tr>
        <w:trPr>
          <w:trHeight w:val="39"/>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4"/>
        </w:trPr>
        <w:tc>
          <w:tcPr>
            <w:tcW w:w="3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6"/>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center"/>
              <w:ind w:left="298"/>
              <w:spacing w:after="0"/>
              <w:rPr>
                <w:sz w:val="20"/>
                <w:szCs w:val="20"/>
                <w:color w:val="auto"/>
              </w:rPr>
            </w:pPr>
            <w:r>
              <w:rPr>
                <w:rFonts w:ascii="Arial" w:cs="Arial" w:eastAsia="Arial" w:hAnsi="Arial"/>
                <w:sz w:val="18"/>
                <w:szCs w:val="18"/>
                <w:color w:val="auto"/>
                <w:w w:val="87"/>
              </w:rPr>
              <w:t>1.8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center"/>
              <w:ind w:left="258"/>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losses, net</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center"/>
              <w:ind w:left="258"/>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r>
      <w:tr>
        <w:trPr>
          <w:trHeight w:val="27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298"/>
              <w:spacing w:after="0"/>
              <w:rPr>
                <w:sz w:val="20"/>
                <w:szCs w:val="20"/>
                <w:color w:val="auto"/>
              </w:rPr>
            </w:pPr>
            <w:r>
              <w:rPr>
                <w:rFonts w:ascii="Arial" w:cs="Arial" w:eastAsia="Arial" w:hAnsi="Arial"/>
                <w:sz w:val="18"/>
                <w:szCs w:val="18"/>
                <w:color w:val="auto"/>
                <w:w w:val="87"/>
              </w:rPr>
              <w:t>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other income (expense), net for the three and six months ended June 30, 2023 as compared to the three and six months ended June 30, 2022 was primarily attributable to higher interest income.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During the three months ended June 30, 2023, our tax provision for interim periods was determined using a discrete effective tax rate method, as allowed by ASC Topic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Our tax provision for interim periods was previously determined using an estimated annual effective tax rate which was adjusted for discrete items occurring during the periods presented. We determined that since small changes in estimated “ordinary” income would result in significant changes in the estimated annual effective tax rate, the historical method would not provide a reliable estimate for the three months ended June 30, 2023.</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had income tax provisions of $7.1 million and $5.3 million for the three and six months ended June 30, 2023, respectively, and $0.2 million and $1.4 million for the three and six months ended June 30, 2022, respectively. Our effective tax rate was (200.4%) and (144.0%) for the three and six months ended June 30, 2023, and (1.8%) and (7.7%) three and six months ended June 30, 2022, respectively. Our effective tax rate differs from the U.S. federal statutory income tax rate of 21% primarily due to capitalization of research and development expenses under tax regulations effective in 2022, a full valuation allowance recorded against our net U.S. deferred tax assets, and excess tax benefits related to stock based compensation.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compensate for these limitations by reconciling Adjusted EBITDA to net loss, the most comparable GAAP financial measure,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39"/>
        </w:trPr>
        <w:tc>
          <w:tcPr>
            <w:tcW w:w="5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56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431"/>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5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(10.7)</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(9.0)</w:t>
            </w: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(19.8)</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14.8</w:t>
            </w: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16.2</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Acquisition-related retention</w:t>
            </w:r>
          </w:p>
        </w:tc>
        <w:tc>
          <w:tcPr>
            <w:tcW w:w="320" w:type="dxa"/>
            <w:vAlign w:val="bottom"/>
          </w:tcPr>
          <w:p>
            <w:pPr>
              <w:spacing w:after="0"/>
              <w:rPr>
                <w:sz w:val="21"/>
                <w:szCs w:val="21"/>
                <w:color w:val="auto"/>
              </w:rPr>
            </w:pP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0.8</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Pr>
          <w:p>
            <w:pPr>
              <w:spacing w:after="0"/>
              <w:rPr>
                <w:sz w:val="21"/>
                <w:szCs w:val="21"/>
                <w:color w:val="auto"/>
              </w:rPr>
            </w:pPr>
          </w:p>
        </w:tc>
        <w:tc>
          <w:tcPr>
            <w:tcW w:w="10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5.7</w:t>
            </w: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2.2</w:t>
            </w:r>
          </w:p>
        </w:tc>
      </w:tr>
      <w:tr>
        <w:trPr>
          <w:trHeight w:val="243"/>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21"/>
                <w:szCs w:val="21"/>
                <w:color w:val="auto"/>
              </w:rPr>
            </w:pP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91"/>
              <w:spacing w:after="0"/>
              <w:rPr>
                <w:sz w:val="20"/>
                <w:szCs w:val="20"/>
                <w:color w:val="auto"/>
              </w:rPr>
            </w:pPr>
            <w:r>
              <w:rPr>
                <w:rFonts w:ascii="Arial" w:cs="Arial" w:eastAsia="Arial" w:hAnsi="Arial"/>
                <w:sz w:val="18"/>
                <w:szCs w:val="18"/>
                <w:color w:val="auto"/>
              </w:rPr>
              <w:t>0.3</w:t>
            </w:r>
          </w:p>
        </w:tc>
      </w:tr>
      <w:tr>
        <w:trPr>
          <w:trHeight w:val="27"/>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64"/>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1.4</w:t>
            </w:r>
          </w:p>
        </w:tc>
      </w:tr>
      <w:tr>
        <w:trPr>
          <w:trHeight w:val="29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41.6</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21.6</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312"/>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8 %</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Adjusted EBITDA as a percentage of revenue.</w:t>
      </w:r>
    </w:p>
    <w:p>
      <w:pPr>
        <w:spacing w:after="0" w:line="1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Operations—Results of Operations” for a discussion of the decrease in net loss for the three and six months ended June 30, 2023 compared to the three and six months ended June 30, 2022.</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Adjusted EBITDA increased $8.0 million and $20.0 million for the three and six months ended June 30, 2023 compared to the three and six months ended June 30, 2022, respectively. The increases were primarily attributable to increases in adjustments to reconcile Adjusted EBITDA to net loss, including $4.6 million and $9.1 million for depreciation and amortization, $1.6 million and $3.7 million for stock-based compensation, $1.4 million and $2.8 million for acquisition-related retention, and $6.9 million and $3.9 million for income taxes. These increases were partially offset by decreases of $1.8 million and $5.7 million for the change in fair value of contingent consideration related to earnouts for the three and six months ended June 30, 2023, respectively, and $2.2 million for acquisition-related expenses for both the three and six months ended June 30, 2022. Additionally, the increase in Adjusted EBITDA for the six months ended June 30, 2023 includes a $10.8 million decrease in net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principal sources of liquidity to meet our business requirements and plans, both in the short-term (i.e., the next twelve months from June 30, 2023) and long-term (i.e., beyond the next twelve months), have historically been cash generated from operations and, more recently, sales of our common stock, and borrowings under our credit facilities. Our primary liquidity needs are related to the funding of general corporate requirements, including working capital, research and development, and capital expenditures, as well as other liquidity requirements including, but not limited to, business combinations.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and December 31, 2022, we had cash and cash equivalents of $67.1 million and $83.9 million,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Known Contractual and Other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description of contractual commitments as of June 30, 2023 is included in Note 6–Commitments and Contingencies in the notes to our condensed consolidated financial statements.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six months ended June 30, 2023, there have been no material changes in our purchase obligations as disclosed in “Management’s Discussion and Analysis of Financial Condition and Results of Operations–Liquidity and Capital Resources” in our Annual Report on Form 10-K for the year ended December 31, 2022.</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as part of the acquisitions of KYM and Fundera, both in 2020, we committed to pay additional amounts of up to $11 million and $66 million, respectively, related to contingent earnout consideration over the succeeding years based, in part, on the achievement of certain financial metrics related to 2021 and 2022. As of December 31, 2022, Fundera’s revenue and profitability milestones for 2022 were achieved and the contingent consideration liability was recorded at the full payout amount of $30.9 million (see Note 3–Fair Value Measurements in the notes to our condensed consolidated financial statements). During the six months ended June 30, 2023, we paid $32.6 million for the 2022 performance period, consisting of $30.9 million of contingent consideration and the remainder for deferred compensation related to earnouts.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Uncertainties and Anticipated Sources of Funds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grow our business, we expect to increase our personnel and related expenses and to make significant investments in our business.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2, 2023, we announced that our Board of Directors authorized a plan (the Repurchase Plan) under which we may repurchase up to $20 million of our Class A common stock. Subject to market conditions and other factors, the Repurchase Plan is intended to make opportunistic repurchases of our Class A common stock to reduce our outstanding share count. Under the Repurchase Plan, shares of Class A common stock may be repurchased in the open market through privately negotiated transactions or otherwise, in accordance with applicable securities laws and other restrictions. The Repurchase Plan does not have a fixed expiration date and does not obligate us to acquire any specific number of shares. The timing and terms of any repurchases under the Repurchase Plan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Plan are retired. We expect to fund repurchases with existing cash and cash equivalents. During the six months ended June 30, 2023, we repurchased 0.1 million shares of Class A common stock for $1.3 million, including costs associated with the repurchases.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our current cash and cash equivalents and future cash flow from operations, as well as access to our credit facility with First Citizens Bank</w:t>
      </w:r>
    </w:p>
    <w:p>
      <w:pPr>
        <w:spacing w:after="0" w:line="46" w:lineRule="exact"/>
        <w:rPr>
          <w:sz w:val="20"/>
          <w:szCs w:val="20"/>
          <w:color w:val="auto"/>
        </w:rPr>
      </w:pPr>
    </w:p>
    <w:p>
      <w:pPr>
        <w:ind w:firstLine="8"/>
        <w:spacing w:after="0" w:line="290" w:lineRule="auto"/>
        <w:tabs>
          <w:tab w:leader="none" w:pos="18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Trust Company (through its Silicon Valley Bank division) and certain other lenders, subject to customary borrowing conditions, will be sufficient to meet our ongoing working capital, capital expenditure and other liquidity requirements for at least twelve months from the date of this filing.</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terms of our credit facility, we may borrow up to $100.0 million, subject to borrowing conditions, which terminates on December 2, 2023. We had no outstanding balance on our credit facility at June 30, 2023 or December 31, 2022. The available amount to borrow under our credit facility was $98.5 million and $98.3 million at June 30, 2023 and December 31, 2022, respectively, which is equal to the available amount under the credit agreement of $100.0 million, net of letters of credit of $1.5 million and $1.7 million, respectively. Our credit facility contains certain customary financial and non-financial covenants. We were in compliance with all covenants as of June 30, 2023 and December 31, 2022.</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decrease in cash and cash equivalents</w:t>
      </w:r>
    </w:p>
    <w:p>
      <w:pPr>
        <w:spacing w:after="0" w:line="3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15944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6"/>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20" w:lineRule="exact"/>
        <w:rPr>
          <w:sz w:val="20"/>
          <w:szCs w:val="20"/>
          <w:color w:val="auto"/>
        </w:rPr>
      </w:pPr>
    </w:p>
    <w:p>
      <w:pPr>
        <w:sectPr>
          <w:pgSz w:w="11900" w:h="16838" w:orient="portrait"/>
          <w:cols w:equalWidth="0" w:num="2">
            <w:col w:w="8000" w:space="720"/>
            <w:col w:w="2520"/>
          </w:cols>
          <w:pgMar w:left="320" w:top="125" w:right="339" w:bottom="1440" w:gutter="0" w:footer="0" w:header="0"/>
        </w:sectPr>
      </w:pPr>
    </w:p>
    <w:p>
      <w:pPr>
        <w:jc w:val="both"/>
        <w:ind w:firstLine="324"/>
        <w:spacing w:after="0" w:line="271" w:lineRule="auto"/>
        <w:rPr>
          <w:sz w:val="20"/>
          <w:szCs w:val="20"/>
          <w:color w:val="auto"/>
        </w:rPr>
      </w:pPr>
      <w:r>
        <w:rPr>
          <w:rFonts w:ascii="Arial" w:cs="Arial" w:eastAsia="Arial" w:hAnsi="Arial"/>
          <w:sz w:val="17"/>
          <w:szCs w:val="17"/>
          <w:color w:val="auto"/>
        </w:rPr>
        <w:t>Net cash provided by operating activities increased $20.8 million in the six months ended June 30, 2023 compared to the six months ended June 30, 2022, due to a $10.8 million decrease in net loss, and an $8.9 million increase in non-cash charges, partially offset by a $1.1 million decrease in net cash outflow from changes in operating assets and liabilities. The increase in non-cash charges was primarily due to increases of $9.1 million in depreciation and amortization, $3.7 million in stock-based compensation, and $1.0 million in deferred taxes, partially offset by a $5.7 million change in fair value of contingent consideration related to earnouts for the six months ended June 30, 2022. The decrease in net cash outflow from changes in operating assets and liabilities was primarily due to decreases of $12.9 million in accounts receivable and $2.3 million in other liabilities, substantially offset by increases of $7.0 million in accrued expenses and other current liabilities, $3.9 million in accounts payable, $2.5 million for payments for contingent consideration in excess of the amounts recorded at the acquisition date, and $0.6 million in operating lease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decreased $0.6 million in the six months ended June 30, 2023 compared to the six months ended June 30, 2022, as a $2.5 million decrease in purchases of property and equipment was partially offset by a $1.9 million increase in capitalized software development costs.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decreased $3.5 million in the six months ended June 30, 2023 compared to the six months ended June 30, 2022, primarily due to increases of $4.5 million from exercises of stock options and $2.1 million for payment for contingent consideration recorded at the acquisition date, partially offset by decreases of $1.3 million from the issuance of Class A common stock under our Employee Stock Purchase Plan and $1.3 million for repurchases of Class A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2023, there have been no material changes in our critical accounting policies as disclosed in “Management’s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Operations–Critical Accounting Policies and Estimates” in our Annual Report on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2023, there were no material changes from the market risk disclosures in our Annual Report on Form 10-K for the year ended December 31,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June 30, 2023. Based on that evaluation, the Chief Executive Officer and the Chief Financial Officer concluded that these disclosure controls and procedures were effective as of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Rules 13a-15(d) and 15d-15(d) of the Exchange Act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6–Commitments and Contingencies in the notes to condensed consolidated financial statements in Item 1 of Part I of this Quarterly Report on Form 10-Q.</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2022 and in our subsequent periodic filings with the Securities and Exchange Commission.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share repurchase activity for the three months ended June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Approximate Dollar</w:t>
            </w:r>
          </w:p>
        </w:tc>
      </w:tr>
      <w:tr>
        <w:trPr>
          <w:trHeight w:val="175"/>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Value of Shares That</w:t>
            </w:r>
          </w:p>
        </w:tc>
      </w:tr>
      <w:tr>
        <w:trPr>
          <w:trHeight w:val="175"/>
        </w:trPr>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May Yet Be Purchased</w:t>
            </w:r>
          </w:p>
        </w:tc>
      </w:tr>
      <w:tr>
        <w:trPr>
          <w:trHeight w:val="17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Under the Plans or</w:t>
            </w:r>
          </w:p>
        </w:tc>
      </w:tr>
      <w:tr>
        <w:trPr>
          <w:trHeight w:val="165"/>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5" w:lineRule="exact"/>
              <w:rPr>
                <w:sz w:val="20"/>
                <w:szCs w:val="20"/>
                <w:color w:val="auto"/>
              </w:rPr>
            </w:pPr>
            <w:r>
              <w:rPr>
                <w:rFonts w:ascii="Arial" w:cs="Arial" w:eastAsia="Arial" w:hAnsi="Arial"/>
                <w:sz w:val="14"/>
                <w:szCs w:val="14"/>
                <w:b w:val="1"/>
                <w:bCs w:val="1"/>
                <w:color w:val="auto"/>
                <w:w w:val="88"/>
              </w:rPr>
              <w:t>Shares Purchased</w:t>
            </w:r>
            <w:r>
              <w:rPr>
                <w:rFonts w:ascii="Arial" w:cs="Arial" w:eastAsia="Arial" w:hAnsi="Arial"/>
                <w:sz w:val="18"/>
                <w:szCs w:val="18"/>
                <w:b w:val="1"/>
                <w:bCs w:val="1"/>
                <w:color w:val="auto"/>
                <w:w w:val="88"/>
                <w:vertAlign w:val="superscript"/>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Arial" w:cs="Arial" w:eastAsia="Arial" w:hAnsi="Arial"/>
                <w:sz w:val="14"/>
                <w:szCs w:val="14"/>
                <w:b w:val="1"/>
                <w:bCs w:val="1"/>
                <w:color w:val="auto"/>
                <w:w w:val="91"/>
              </w:rPr>
              <w:t>Average Price Paid</w:t>
            </w:r>
          </w:p>
        </w:tc>
        <w:tc>
          <w:tcPr>
            <w:tcW w:w="100" w:type="dxa"/>
            <w:vAlign w:val="bottom"/>
          </w:tcPr>
          <w:p>
            <w:pPr>
              <w:spacing w:after="0"/>
              <w:rPr>
                <w:sz w:val="14"/>
                <w:szCs w:val="14"/>
                <w:color w:val="auto"/>
              </w:rPr>
            </w:pPr>
          </w:p>
        </w:tc>
        <w:tc>
          <w:tcPr>
            <w:tcW w:w="1420" w:type="dxa"/>
            <w:vAlign w:val="bottom"/>
          </w:tcPr>
          <w:p>
            <w:pPr>
              <w:jc w:val="center"/>
              <w:spacing w:after="0" w:line="165" w:lineRule="exact"/>
              <w:rPr>
                <w:sz w:val="20"/>
                <w:szCs w:val="20"/>
                <w:color w:val="auto"/>
              </w:rPr>
            </w:pPr>
            <w:r>
              <w:rPr>
                <w:rFonts w:ascii="Arial" w:cs="Arial" w:eastAsia="Arial" w:hAnsi="Arial"/>
                <w:sz w:val="14"/>
                <w:szCs w:val="14"/>
                <w:b w:val="1"/>
                <w:bCs w:val="1"/>
                <w:color w:val="auto"/>
                <w:w w:val="88"/>
              </w:rPr>
              <w:t>Programs</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0"/>
              <w:spacing w:after="0" w:line="165" w:lineRule="exact"/>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8"/>
                <w:szCs w:val="18"/>
                <w:b w:val="1"/>
                <w:bCs w:val="1"/>
                <w:color w:val="auto"/>
                <w:w w:val="91"/>
                <w:vertAlign w:val="superscript"/>
              </w:rPr>
              <w:t>1</w:t>
            </w:r>
          </w:p>
        </w:tc>
      </w:tr>
      <w:tr>
        <w:trPr>
          <w:trHeight w:val="18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i w:val="1"/>
                <w:iCs w:val="1"/>
                <w:color w:val="auto"/>
              </w:rPr>
              <w:t>2</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0"/>
              <w:spacing w:after="0"/>
              <w:rPr>
                <w:sz w:val="20"/>
                <w:szCs w:val="20"/>
                <w:color w:val="auto"/>
              </w:rPr>
            </w:pPr>
            <w:r>
              <w:rPr>
                <w:rFonts w:ascii="Arial" w:cs="Arial" w:eastAsia="Arial" w:hAnsi="Arial"/>
                <w:sz w:val="14"/>
                <w:szCs w:val="14"/>
                <w:i w:val="1"/>
                <w:iCs w:val="1"/>
                <w:color w:val="auto"/>
                <w:w w:val="98"/>
              </w:rPr>
              <w:t>(in millions)</w:t>
            </w:r>
          </w:p>
        </w:tc>
      </w:tr>
      <w:tr>
        <w:trPr>
          <w:trHeight w:val="39"/>
        </w:trPr>
        <w:tc>
          <w:tcPr>
            <w:tcW w:w="5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6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20"/>
              <w:spacing w:after="0"/>
              <w:rPr>
                <w:sz w:val="20"/>
                <w:szCs w:val="20"/>
                <w:color w:val="auto"/>
              </w:rPr>
            </w:pPr>
            <w:r>
              <w:rPr>
                <w:rFonts w:ascii="Arial" w:cs="Arial" w:eastAsia="Arial" w:hAnsi="Arial"/>
                <w:sz w:val="18"/>
                <w:szCs w:val="18"/>
                <w:color w:val="auto"/>
              </w:rPr>
              <w:t>May</w:t>
            </w:r>
          </w:p>
        </w:tc>
        <w:tc>
          <w:tcPr>
            <w:tcW w:w="1520" w:type="dxa"/>
            <w:vAlign w:val="bottom"/>
            <w:gridSpan w:val="2"/>
          </w:tcPr>
          <w:p>
            <w:pPr>
              <w:jc w:val="right"/>
              <w:ind w:right="1"/>
              <w:spacing w:after="0"/>
              <w:rPr>
                <w:sz w:val="20"/>
                <w:szCs w:val="20"/>
                <w:color w:val="auto"/>
              </w:rPr>
            </w:pPr>
            <w:r>
              <w:rPr>
                <w:rFonts w:ascii="Arial" w:cs="Arial" w:eastAsia="Arial" w:hAnsi="Arial"/>
                <w:sz w:val="18"/>
                <w:szCs w:val="18"/>
                <w:color w:val="auto"/>
              </w:rPr>
              <w:t>141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1"/>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1" w:lineRule="exact"/>
        <w:rPr>
          <w:sz w:val="20"/>
          <w:szCs w:val="20"/>
          <w:color w:val="auto"/>
        </w:rPr>
      </w:pPr>
    </w:p>
    <w:p>
      <w:pPr>
        <w:jc w:val="both"/>
        <w:ind w:left="340" w:hanging="332"/>
        <w:spacing w:after="0" w:line="286" w:lineRule="auto"/>
        <w:tabs>
          <w:tab w:leader="none" w:pos="333"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May 2, 2023, we announced that our Board of Directors authorized a plan (the Repurchase Plan) under which we may repurchase up to $20 million of our Class A common stock. Under the Repurchase Plan, shares of Class A common stock may be repurchased in the open market through privately negotiated transactions or otherwise, in accordance with applicable securities laws and other restrictions. The Repurchase Plan does not have a fixed expiration date and does not obligate us to acquire any specific number of shares. The timing and terms of any repurchases under the Repurchase Plan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20" w:lineRule="exact"/>
        <w:rPr>
          <w:rFonts w:ascii="Arial" w:cs="Arial" w:eastAsia="Arial" w:hAnsi="Arial"/>
          <w:sz w:val="13"/>
          <w:szCs w:val="13"/>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Average price paid per share includes costs associated with the repurchases.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Plans of Directors or Executive Officers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directors or executive officers adopted, modified or terminated a Rule 10b5-1 trading arrangement or a non-Rule 10b5-1 trading arrangement, as such terms are defined under Item 408 of Regulation S-K, during the three months ended June 30, 2023.</w:t>
      </w:r>
    </w:p>
    <w:p>
      <w:pPr>
        <w:spacing w:after="0" w:line="112" w:lineRule="exact"/>
        <w:rPr>
          <w:sz w:val="20"/>
          <w:szCs w:val="20"/>
          <w:color w:val="auto"/>
        </w:rPr>
      </w:pPr>
    </w:p>
    <w:p>
      <w:pPr>
        <w:jc w:val="right"/>
        <w:ind w:right="9960"/>
        <w:spacing w:after="0"/>
        <w:rPr>
          <w:sz w:val="20"/>
          <w:szCs w:val="20"/>
          <w:color w:val="auto"/>
        </w:rPr>
      </w:pPr>
      <w:r>
        <w:rPr>
          <w:rFonts w:ascii="Arial" w:cs="Arial" w:eastAsia="Arial" w:hAnsi="Arial"/>
          <w:sz w:val="16"/>
          <w:szCs w:val="16"/>
          <w:b w:val="1"/>
          <w:bCs w:val="1"/>
          <w:color w:val="auto"/>
        </w:rPr>
        <w:t>Item 6. Exhibits.</w:t>
      </w:r>
    </w:p>
    <w:p>
      <w:pPr>
        <w:spacing w:after="0" w:line="144" w:lineRule="exact"/>
        <w:rPr>
          <w:sz w:val="20"/>
          <w:szCs w:val="20"/>
          <w:color w:val="auto"/>
        </w:rPr>
      </w:pPr>
    </w:p>
    <w:p>
      <w:pPr>
        <w:jc w:val="right"/>
        <w:ind w:right="1002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186"/>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100" w:type="dxa"/>
            <w:vAlign w:val="bottom"/>
            <w:gridSpan w:val="7"/>
          </w:tcPr>
          <w:p>
            <w:pPr>
              <w:ind w:left="14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tcPr>
          <w:p>
            <w:pPr>
              <w:spacing w:after="0"/>
              <w:rPr>
                <w:sz w:val="16"/>
                <w:szCs w:val="16"/>
                <w:color w:val="auto"/>
              </w:rPr>
            </w:pPr>
          </w:p>
        </w:tc>
        <w:tc>
          <w:tcPr>
            <w:tcW w:w="4060" w:type="dxa"/>
            <w:vAlign w:val="bottom"/>
          </w:tcPr>
          <w:p>
            <w:pPr>
              <w:ind w:left="1760"/>
              <w:spacing w:after="0"/>
              <w:rPr>
                <w:sz w:val="20"/>
                <w:szCs w:val="20"/>
                <w:color w:val="auto"/>
              </w:rPr>
            </w:pPr>
            <w:r>
              <w:rPr>
                <w:rFonts w:ascii="Arial" w:cs="Arial" w:eastAsia="Arial" w:hAnsi="Arial"/>
                <w:sz w:val="14"/>
                <w:szCs w:val="14"/>
                <w:b w:val="1"/>
                <w:bCs w:val="1"/>
                <w:color w:val="auto"/>
              </w:rPr>
              <w:t>Location</w:t>
            </w:r>
          </w:p>
        </w:tc>
      </w:tr>
      <w:tr>
        <w:trPr>
          <w:trHeight w:val="39"/>
        </w:trPr>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196"/>
        </w:trPr>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8"/>
          </w:tcPr>
          <w:p>
            <w:pPr>
              <w:spacing w:after="0" w:line="196" w:lineRule="exact"/>
              <w:rPr>
                <w:sz w:val="20"/>
                <w:szCs w:val="20"/>
                <w:color w:val="auto"/>
              </w:rPr>
            </w:pPr>
            <w:r>
              <w:rPr>
                <w:rFonts w:ascii="Arial" w:cs="Arial" w:eastAsia="Arial" w:hAnsi="Arial"/>
                <w:sz w:val="18"/>
                <w:szCs w:val="18"/>
                <w:color w:val="0000FF"/>
                <w:w w:val="94"/>
              </w:rPr>
              <w:t>Certification of Principal Executive Officer pursuant to Exchange Act Rules 13a-</w:t>
            </w:r>
          </w:p>
        </w:tc>
        <w:tc>
          <w:tcPr>
            <w:tcW w:w="100" w:type="dxa"/>
            <w:vAlign w:val="bottom"/>
          </w:tcPr>
          <w:p>
            <w:pPr>
              <w:spacing w:after="0"/>
              <w:rPr>
                <w:sz w:val="17"/>
                <w:szCs w:val="17"/>
                <w:color w:val="auto"/>
              </w:rPr>
            </w:pPr>
          </w:p>
        </w:tc>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8"/>
              </w:rPr>
              <w:t>14(a) and 15d-14(a), as adopted pursuant to Section 302 of the Sarbanes-Oxley</w:t>
            </w:r>
          </w:p>
        </w:tc>
        <w:tc>
          <w:tcPr>
            <w:tcW w:w="140" w:type="dxa"/>
            <w:vAlign w:val="bottom"/>
            <w:tcBorders>
              <w:top w:val="single" w:sz="8" w:color="0000FF"/>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8"/>
          </w:tcPr>
          <w:p>
            <w:pPr>
              <w:spacing w:after="0" w:line="196" w:lineRule="exact"/>
              <w:rPr>
                <w:sz w:val="20"/>
                <w:szCs w:val="20"/>
                <w:color w:val="auto"/>
              </w:rPr>
            </w:pPr>
            <w:r>
              <w:rPr>
                <w:rFonts w:ascii="Arial" w:cs="Arial" w:eastAsia="Arial" w:hAnsi="Arial"/>
                <w:sz w:val="18"/>
                <w:szCs w:val="18"/>
                <w:color w:val="0000FF"/>
              </w:rPr>
              <w:t>Act of 2002.</w:t>
            </w: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50"/>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0000FF"/>
                <w:w w:val="95"/>
              </w:rPr>
              <w:t>Certification of Principal Financial Officer pursuant to Exchange Act Rules 13a-</w:t>
            </w:r>
          </w:p>
        </w:tc>
        <w:tc>
          <w:tcPr>
            <w:tcW w:w="10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0"/>
              </w:rPr>
              <w:t>14(a) and 15d-14(a), as adopted pursuant to Section 302 of the Sarbanes-Oxley</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Act of 2002.</w:t>
            </w:r>
          </w:p>
        </w:tc>
        <w:tc>
          <w:tcPr>
            <w:tcW w:w="2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50"/>
        </w:trPr>
        <w:tc>
          <w:tcPr>
            <w:tcW w:w="96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 1350, as</w:t>
            </w:r>
          </w:p>
        </w:tc>
        <w:tc>
          <w:tcPr>
            <w:tcW w:w="10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adopted pursuant to Section 906 of the Sarbanes-Oxley Act of 2002.</w:t>
            </w:r>
          </w:p>
        </w:tc>
        <w:tc>
          <w:tcPr>
            <w:tcW w:w="1040" w:type="dxa"/>
            <w:vAlign w:val="bottom"/>
            <w:tcBorders>
              <w:top w:val="single" w:sz="8" w:color="0000FF"/>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 1350, as</w:t>
            </w:r>
          </w:p>
        </w:tc>
        <w:tc>
          <w:tcPr>
            <w:tcW w:w="10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9"/>
              </w:rPr>
              <w:t>adopted pursuant to Section 906 of the Sarbanes-Oxley Act of 2002.</w:t>
            </w:r>
          </w:p>
        </w:tc>
        <w:tc>
          <w:tcPr>
            <w:tcW w:w="980" w:type="dxa"/>
            <w:vAlign w:val="bottom"/>
            <w:tcBorders>
              <w:top w:val="single" w:sz="8" w:color="0000FF"/>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49"/>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w w:val="94"/>
              </w:rPr>
              <w:t>Inline XBRL Instance Document.(the instance document does not appear in the</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w w:val="92"/>
              </w:rPr>
              <w:t>Interactive Data File because its XBRL tags are embedded within the Inline XBRL</w:t>
            </w: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57"/>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42"/>
        </w:trPr>
        <w:tc>
          <w:tcPr>
            <w:tcW w:w="9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w w:val="98"/>
              </w:rPr>
              <w:t>Cover Page Interactive Data File (formatted as Inline XBRL and contained in</w:t>
            </w:r>
          </w:p>
        </w:tc>
        <w:tc>
          <w:tcPr>
            <w:tcW w:w="416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30"/>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8"/>
          </w:tcPr>
          <w:p>
            <w:pPr>
              <w:spacing w:after="0"/>
              <w:rPr>
                <w:sz w:val="20"/>
                <w:szCs w:val="20"/>
                <w:color w:val="auto"/>
              </w:rPr>
            </w:pPr>
            <w:r>
              <w:rPr>
                <w:rFonts w:ascii="Arial" w:cs="Arial" w:eastAsia="Arial" w:hAnsi="Arial"/>
                <w:sz w:val="18"/>
                <w:szCs w:val="18"/>
                <w:color w:val="auto"/>
              </w:rPr>
              <w:t>Exhibits 101).</w:t>
            </w: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57" w:lineRule="exact"/>
        <w:rPr>
          <w:sz w:val="20"/>
          <w:szCs w:val="20"/>
          <w:color w:val="auto"/>
        </w:rPr>
      </w:pPr>
    </w:p>
    <w:p>
      <w:pPr>
        <w:ind w:left="340" w:hanging="332"/>
        <w:spacing w:after="0" w:line="293" w:lineRule="auto"/>
        <w:tabs>
          <w:tab w:leader="none" w:pos="239"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The Company agrees to furnish supplementally to the Securities and Exchange Commission a copy of any omitted schedule or exhibit upon request.</w:t>
      </w:r>
    </w:p>
    <w:p>
      <w:pPr>
        <w:spacing w:after="0" w:line="12" w:lineRule="exact"/>
        <w:rPr>
          <w:sz w:val="20"/>
          <w:szCs w:val="20"/>
          <w:color w:val="auto"/>
        </w:rPr>
      </w:pPr>
    </w:p>
    <w:p>
      <w:pPr>
        <w:jc w:val="both"/>
        <w:ind w:left="340" w:hanging="332"/>
        <w:spacing w:after="0" w:line="267" w:lineRule="auto"/>
        <w:tabs>
          <w:tab w:leader="none" w:pos="3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9" w:lineRule="exact"/>
        <w:rPr>
          <w:rFonts w:ascii="Arial" w:cs="Arial" w:eastAsia="Arial" w:hAnsi="Arial"/>
          <w:sz w:val="14"/>
          <w:szCs w:val="14"/>
          <w:color w:val="auto"/>
        </w:rPr>
      </w:pPr>
    </w:p>
    <w:p>
      <w:pPr>
        <w:jc w:val="both"/>
        <w:ind w:left="340" w:hanging="332"/>
        <w:spacing w:after="0" w:line="277" w:lineRule="auto"/>
        <w:tabs>
          <w:tab w:leader="none" w:pos="417"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604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NERDWALLET, INC.</w:t>
            </w:r>
          </w:p>
        </w:tc>
      </w:tr>
      <w:tr>
        <w:trPr>
          <w:trHeight w:val="526"/>
        </w:trPr>
        <w:tc>
          <w:tcPr>
            <w:tcW w:w="3180" w:type="dxa"/>
            <w:vAlign w:val="bottom"/>
          </w:tcPr>
          <w:p>
            <w:pPr>
              <w:spacing w:after="0"/>
              <w:rPr>
                <w:sz w:val="20"/>
                <w:szCs w:val="20"/>
                <w:color w:val="auto"/>
              </w:rPr>
            </w:pPr>
            <w:r>
              <w:rPr>
                <w:rFonts w:ascii="Arial" w:cs="Arial" w:eastAsia="Arial" w:hAnsi="Arial"/>
                <w:sz w:val="18"/>
                <w:szCs w:val="18"/>
                <w:color w:val="auto"/>
              </w:rPr>
              <w:t>Date:   August 2, 2023</w:t>
            </w:r>
          </w:p>
        </w:tc>
        <w:tc>
          <w:tcPr>
            <w:tcW w:w="6040" w:type="dxa"/>
            <w:vAlign w:val="bottom"/>
            <w:gridSpan w:val="2"/>
          </w:tcPr>
          <w:p>
            <w:pPr>
              <w:ind w:left="1460"/>
              <w:spacing w:after="0"/>
              <w:rPr>
                <w:sz w:val="20"/>
                <w:szCs w:val="20"/>
                <w:color w:val="auto"/>
              </w:rPr>
            </w:pPr>
            <w:r>
              <w:rPr>
                <w:rFonts w:ascii="Arial" w:cs="Arial" w:eastAsia="Arial" w:hAnsi="Arial"/>
                <w:sz w:val="18"/>
                <w:szCs w:val="18"/>
                <w:color w:val="auto"/>
              </w:rPr>
              <w:t>By:   /s/ Lauren StClair</w:t>
            </w:r>
          </w:p>
        </w:tc>
      </w:tr>
      <w:tr>
        <w:trPr>
          <w:trHeight w:val="27"/>
        </w:trPr>
        <w:tc>
          <w:tcPr>
            <w:tcW w:w="3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Lauren StClair</w:t>
            </w:r>
          </w:p>
        </w:tc>
      </w:tr>
      <w:tr>
        <w:trPr>
          <w:trHeight w:val="270"/>
        </w:trPr>
        <w:tc>
          <w:tcPr>
            <w:tcW w:w="31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2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36436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4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Tim Chen</w:t>
      </w:r>
    </w:p>
    <w:p>
      <w:pPr>
        <w:spacing w:after="0" w:line="5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 and</w:t>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25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20" w:val="left"/>
          <w:tab w:leader="none" w:pos="7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36436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4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Lauren StClair</w:t>
      </w:r>
    </w:p>
    <w:p>
      <w:pPr>
        <w:spacing w:after="0" w:line="50"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76"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2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36436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4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Tim Chen</w:t>
      </w:r>
    </w:p>
    <w:p>
      <w:pPr>
        <w:spacing w:after="0" w:line="5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 and</w:t>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25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2023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20" w:val="left"/>
          <w:tab w:leader="none" w:pos="7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36436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43630" cy="8255"/>
                    </a:xfrm>
                    <a:prstGeom prst="rect">
                      <a:avLst/>
                    </a:prstGeom>
                    <a:noFill/>
                  </pic:spPr>
                </pic:pic>
              </a:graphicData>
            </a:graphic>
          </wp:anchor>
        </w:drawing>
      </w:r>
    </w:p>
    <w:p>
      <w:pPr>
        <w:spacing w:after="0" w:line="43"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Lauren StClair</w:t>
      </w:r>
    </w:p>
    <w:p>
      <w:pPr>
        <w:spacing w:after="0" w:line="50" w:lineRule="exact"/>
        <w:rPr>
          <w:sz w:val="20"/>
          <w:szCs w:val="20"/>
          <w:color w:val="auto"/>
        </w:rPr>
      </w:pPr>
    </w:p>
    <w:p>
      <w:pPr>
        <w:jc w:val="center"/>
        <w:ind w:left="54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amp;"/>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2023-08-02T16:00:19Z</dcterms:created>
  <dcterms:modified xsi:type="dcterms:W3CDTF">2023-08-02T16:00:19Z</dcterms:modified>
</cp:coreProperties>
</file>