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12.jpeg" ContentType="image/jpeg"/>
  <Override PartName="/word/media/image88.jpeg" ContentType="image/jpeg"/>
  <Override PartName="/word/media/image29.jpeg" ContentType="image/jpeg"/>
  <Override PartName="/word/media/image108.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28.jpeg" ContentType="image/jpeg"/>
  <Override PartName="/word/media/image107.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134.jpeg" ContentType="image/jpeg"/>
  <Override PartName="/word/media/image55.jpeg" ContentType="image/jpeg"/>
  <Override PartName="/word/media/image128.jpeg" ContentType="image/jpeg"/>
  <Override PartName="/word/media/image44.jpeg" ContentType="image/jpeg"/>
  <Override PartName="/word/media/image135.jpeg" ContentType="image/jpeg"/>
  <Override PartName="/word/media/image56.jpeg" ContentType="image/jpeg"/>
  <Override PartName="/word/media/image38.jpeg" ContentType="image/jpeg"/>
  <Override PartName="/word/media/image97.jpeg" ContentType="image/jpeg"/>
  <Override PartName="/word/media/image129.jpeg" ContentType="image/jpeg"/>
  <Override PartName="/word/media/image140.jpeg" ContentType="image/jpeg"/>
  <Override PartName="/word/media/image45.jpeg" ContentType="image/jpeg"/>
  <Override PartName="/word/media/image136.jpeg" ContentType="image/jpeg"/>
  <Override PartName="/word/media/image57.jpeg" ContentType="image/jpeg"/>
  <Override PartName="/word/media/image141.jpeg" ContentType="image/jpeg"/>
  <Override PartName="/word/media/image46.jpeg" ContentType="image/jpeg"/>
  <Override PartName="/word/media/image137.jpeg" ContentType="image/jpeg"/>
  <Override PartName="/word/media/image58.jpeg" ContentType="image/jpeg"/>
  <Override PartName="/word/media/image142.jpeg" ContentType="image/jpeg"/>
  <Override PartName="/word/media/image47.jpeg" ContentType="image/jpeg"/>
  <Override PartName="/word/media/image138.jpeg" ContentType="image/jpeg"/>
  <Override PartName="/word/media/image59.jpeg" ContentType="image/jpeg"/>
  <Override PartName="/word/media/image42.jpeg" ContentType="image/jpeg"/>
  <Override PartName="/word/media/image52.jpeg" ContentType="image/jpeg"/>
  <Override PartName="/word/media/image131.jpeg" ContentType="image/jpeg"/>
  <Override PartName="/word/media/image143.jpeg" ContentType="image/jpeg"/>
  <Override PartName="/word/media/image54.jpeg" ContentType="image/jpeg"/>
  <Override PartName="/word/media/image133.jpeg" ContentType="image/jpeg"/>
  <Override PartName="/word/media/image145.jpeg" ContentType="image/jpeg"/>
  <Override PartName="/word/media/image146.jpeg" ContentType="image/jpeg"/>
  <Override PartName="/word/media/image139.jpeg" ContentType="image/jpeg"/>
  <Override PartName="/word/media/image50.jpeg" ContentType="image/jpeg"/>
  <Override PartName="/word/media/image147.jpeg" ContentType="image/jpeg"/>
  <Override PartName="/word/media/image130.jpeg" ContentType="image/jpeg"/>
  <Override PartName="/word/media/image51.jpeg" ContentType="image/jpeg"/>
  <Override PartName="/word/media/image144.jpeg" ContentType="image/jpeg"/>
  <Override PartName="/word/media/image53.jpeg" ContentType="image/jpeg"/>
  <Override PartName="/word/media/image132.jpeg" ContentType="image/jpeg"/>
  <Override PartName="/word/media/image49.jpeg" ContentType="image/jpeg"/>
  <Override PartName="/word/media/image48.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91.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001-40994</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NerdWallet, Inc.</w:t>
      </w:r>
    </w:p>
    <w:p>
      <w:pPr>
        <w:pStyle w:val="TextBody"/>
        <w:bidi w:val="0"/>
        <w:spacing w:lineRule="auto" w:line="288" w:before="0" w:after="120"/>
        <w:jc w:val="center"/>
        <w:rPr>
          <w:rFonts w:ascii="Times New Roman;serif" w:hAnsi="Times New Roman;serif"/>
          <w:b w:val="false"/>
          <w:i/>
          <w:color w:val="000000"/>
          <w:sz w:val="19"/>
        </w:rPr>
      </w:pPr>
      <w:r>
        <w:rPr>
          <w:rFonts w:ascii="Times New Roman;serif" w:hAnsi="Times New Roman;serif"/>
          <w:b w:val="false"/>
          <w:i/>
          <w:color w:val="000000"/>
          <w:sz w:val="19"/>
        </w:rPr>
        <w:t>(Exact name of registrant as specified in its charter)</w:t>
      </w:r>
    </w:p>
    <w:tbl>
      <w:tblPr>
        <w:tblW w:w="8128" w:type="dxa"/>
        <w:jc w:val="left"/>
        <w:tblInd w:w="0" w:type="dxa"/>
        <w:tblLayout w:type="fixed"/>
        <w:tblCellMar>
          <w:top w:w="28" w:type="dxa"/>
          <w:left w:w="28" w:type="dxa"/>
          <w:bottom w:w="28" w:type="dxa"/>
          <w:right w:w="28" w:type="dxa"/>
        </w:tblCellMar>
      </w:tblPr>
      <w:tblGrid>
        <w:gridCol w:w="1848"/>
        <w:gridCol w:w="1623"/>
        <w:gridCol w:w="1643"/>
        <w:gridCol w:w="881"/>
        <w:gridCol w:w="881"/>
        <w:gridCol w:w="1252"/>
      </w:tblGrid>
      <w:tr>
        <w:trP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Delaware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45-4180440</w:t>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i/>
                <w:color w:val="000000"/>
                <w:sz w:val="19"/>
              </w:rPr>
            </w:pPr>
            <w:r>
              <w:rPr>
                <w:rFonts w:ascii="Times New Roman;serif" w:hAnsi="Times New Roman;serif"/>
                <w:b w:val="false"/>
                <w:i/>
                <w:color w:val="000000"/>
                <w:sz w:val="19"/>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i/>
                <w:color w:val="000000"/>
                <w:sz w:val="19"/>
              </w:rPr>
            </w:pPr>
            <w:r>
              <w:rPr>
                <w:rFonts w:ascii="Times New Roman;serif" w:hAnsi="Times New Roman;serif"/>
                <w:b w:val="false"/>
                <w:i/>
                <w:color w:val="000000"/>
                <w:sz w:val="19"/>
              </w:rPr>
              <w:t>(I.R.S. Employer Identification No.)</w:t>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19 S. B Street, Suite 9, San Mateo, California 94401</w:t>
      </w:r>
    </w:p>
    <w:p>
      <w:pPr>
        <w:pStyle w:val="TextBody"/>
        <w:bidi w:val="0"/>
        <w:spacing w:lineRule="auto" w:line="288" w:before="0" w:after="120"/>
        <w:jc w:val="center"/>
        <w:rPr>
          <w:rFonts w:ascii="Times New Roman;serif" w:hAnsi="Times New Roman;serif"/>
          <w:b w:val="false"/>
          <w:i/>
          <w:color w:val="000000"/>
          <w:sz w:val="19"/>
        </w:rPr>
      </w:pPr>
      <w:r>
        <w:rPr>
          <w:rFonts w:ascii="Times New Roman;serif" w:hAnsi="Times New Roman;serif"/>
          <w:b w:val="false"/>
          <w:i/>
          <w:color w:val="000000"/>
          <w:sz w:val="19"/>
        </w:rPr>
        <w:t>(Address of principal executive offices) (Zip code)</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(415) 549-8913</w:t>
      </w:r>
    </w:p>
    <w:p>
      <w:pPr>
        <w:pStyle w:val="TextBody"/>
        <w:bidi w:val="0"/>
        <w:spacing w:lineRule="auto" w:line="288" w:before="0" w:after="240"/>
        <w:jc w:val="center"/>
        <w:rPr>
          <w:rFonts w:ascii="Times New Roman;serif" w:hAnsi="Times New Roman;serif"/>
          <w:b w:val="false"/>
          <w:i/>
          <w:color w:val="000000"/>
          <w:sz w:val="19"/>
        </w:rPr>
      </w:pPr>
      <w:r>
        <w:rPr>
          <w:rFonts w:ascii="Times New Roman;serif" w:hAnsi="Times New Roman;serif"/>
          <w:b w:val="false"/>
          <w:i/>
          <w:color w:val="000000"/>
          <w:sz w:val="19"/>
        </w:rPr>
        <w:t>(Registrant's telephone number, including area code)</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55 Hawthorne Street, 10th Floor, San Francisco, California 94105</w:t>
      </w:r>
    </w:p>
    <w:p>
      <w:pPr>
        <w:pStyle w:val="TextBody"/>
        <w:bidi w:val="0"/>
        <w:spacing w:lineRule="auto" w:line="288" w:before="0" w:after="240"/>
        <w:jc w:val="center"/>
        <w:rPr>
          <w:rFonts w:ascii="Times New Roman;serif" w:hAnsi="Times New Roman;serif"/>
          <w:b w:val="false"/>
          <w:i/>
          <w:color w:val="000000"/>
          <w:sz w:val="19"/>
        </w:rPr>
      </w:pPr>
      <w:r>
        <w:rPr>
          <w:rFonts w:ascii="Times New Roman;serif" w:hAnsi="Times New Roman;serif"/>
          <w:b w:val="false"/>
          <w:i/>
          <w:color w:val="000000"/>
          <w:sz w:val="19"/>
        </w:rPr>
        <w:t>(Former name, former address and former fiscal year, if changed since last report)</w:t>
      </w:r>
    </w:p>
    <w:p>
      <w:pPr>
        <w:pStyle w:val="TextBody"/>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 xml:space="preserve">Securities registered pursuant to Section 12(b) of the Act: </w:t>
      </w:r>
    </w:p>
    <w:tbl>
      <w:tblPr>
        <w:tblW w:w="9014" w:type="dxa"/>
        <w:jc w:val="left"/>
        <w:tblInd w:w="0" w:type="dxa"/>
        <w:tblLayout w:type="fixed"/>
        <w:tblCellMar>
          <w:top w:w="28" w:type="dxa"/>
          <w:left w:w="28" w:type="dxa"/>
          <w:bottom w:w="28" w:type="dxa"/>
          <w:right w:w="28" w:type="dxa"/>
        </w:tblCellMar>
      </w:tblPr>
      <w:tblGrid>
        <w:gridCol w:w="1274"/>
        <w:gridCol w:w="1119"/>
        <w:gridCol w:w="1132"/>
        <w:gridCol w:w="554"/>
        <w:gridCol w:w="554"/>
        <w:gridCol w:w="556"/>
        <w:gridCol w:w="1118"/>
        <w:gridCol w:w="1118"/>
        <w:gridCol w:w="1589"/>
      </w:tblGrid>
      <w:tr>
        <w:trPr/>
        <w:tc>
          <w:tcPr>
            <w:tcW w:w="127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Name of each exchange on which registered</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Class A common stock, $0.0001 par value</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NRDS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The Nasdaq Global Market</w:t>
            </w:r>
          </w:p>
        </w:tc>
      </w:tr>
    </w:tbl>
    <w:p>
      <w:pPr>
        <w:pStyle w:val="TextBody"/>
        <w:bidi w:val="0"/>
        <w:spacing w:lineRule="auto" w:line="288" w:before="0" w:after="120"/>
        <w:jc w:val="both"/>
        <w:rPr/>
      </w:pPr>
      <w:r>
        <w:rPr>
          <w:rFonts w:ascii="Times New Roman;serif" w:hAnsi="Times New Roman;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0" w:after="120"/>
        <w:jc w:val="both"/>
        <w:rPr/>
      </w:pPr>
      <w:r>
        <w:rPr>
          <w:rFonts w:ascii="Times New Roman;serif" w:hAnsi="Times New Roman;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bl>
    <w:p>
      <w:pPr>
        <w:pStyle w:val="TextBody"/>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pPr>
      <w:r>
        <w:rPr>
          <w:rFonts w:ascii="Times New Roman;serif" w:hAnsi="Times New Roman;serif"/>
          <w:b w:val="false"/>
          <w:color w:val="000000"/>
          <w:sz w:val="19"/>
        </w:rPr>
        <w:t xml:space="preserve">Indicate by check mark whether the registrant is a shell company (as defined in Rule 12b-2 of the Act). Yes ☐ No </w:t>
      </w:r>
      <w:r>
        <w:rPr>
          <w:color w:val="000000"/>
        </w:rPr>
        <w:t>☒</w:t>
      </w:r>
    </w:p>
    <w:p>
      <w:pPr>
        <w:pStyle w:val="TextBody"/>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The registrant had outstanding 44,314,455 shares of Class A common stock and 31,685,652 shares of Class B common stock as of July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Index to Form 10-Q</w:t>
      </w:r>
    </w:p>
    <w:p>
      <w:pPr>
        <w:pStyle w:val="TextBody"/>
        <w:bidi w:val="0"/>
        <w:spacing w:before="0" w:after="180"/>
        <w:jc w:val="center"/>
        <w:rPr/>
      </w:pPr>
      <w:r>
        <w:rPr/>
      </w:r>
    </w:p>
    <w:tbl>
      <w:tblPr>
        <w:tblW w:w="9058" w:type="dxa"/>
        <w:jc w:val="center"/>
        <w:tblInd w:w="0" w:type="dxa"/>
        <w:tblLayout w:type="fixed"/>
        <w:tblCellMar>
          <w:top w:w="28" w:type="dxa"/>
          <w:left w:w="28" w:type="dxa"/>
          <w:bottom w:w="28" w:type="dxa"/>
          <w:right w:w="28" w:type="dxa"/>
        </w:tblCellMar>
      </w:tblPr>
      <w:tblGrid>
        <w:gridCol w:w="141"/>
        <w:gridCol w:w="124"/>
        <w:gridCol w:w="124"/>
        <w:gridCol w:w="264"/>
        <w:gridCol w:w="264"/>
        <w:gridCol w:w="266"/>
        <w:gridCol w:w="2453"/>
        <w:gridCol w:w="2453"/>
        <w:gridCol w:w="2458"/>
        <w:gridCol w:w="149"/>
        <w:gridCol w:w="149"/>
        <w:gridCol w:w="213"/>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1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1183" w:type="dxa"/>
            <w:gridSpan w:val="6"/>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13">
              <w:r>
                <w:rPr>
                  <w:rStyle w:val="InternetLink"/>
                  <w:rFonts w:ascii="Times New Roman;serif" w:hAnsi="Times New Roman;serif"/>
                  <w:b/>
                  <w:color w:val="0000FF"/>
                  <w:sz w:val="20"/>
                  <w:u w:val="singl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13">
              <w:r>
                <w:rPr>
                  <w:rStyle w:val="InternetLink"/>
                  <w:rFonts w:ascii="Times New Roman;serif" w:hAnsi="Times New Roman;serif"/>
                  <w:b/>
                  <w:color w:val="0000FF"/>
                  <w:sz w:val="20"/>
                  <w:u w:val="single"/>
                </w:rPr>
                <w:t>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16">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16">
              <w:r>
                <w:rPr>
                  <w:rStyle w:val="InternetLink"/>
                  <w:rFonts w:ascii="Times New Roman;serif" w:hAnsi="Times New Roman;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16">
              <w:r>
                <w:rPr>
                  <w:rStyle w:val="InternetLink"/>
                  <w:rFonts w:ascii="Times New Roman;serif" w:hAnsi="Times New Roman;serif"/>
                  <w:b w:val="false"/>
                  <w:strike w:val="false"/>
                  <w:dstrike w:val="false"/>
                  <w:color w:val="000000"/>
                  <w:sz w:val="20"/>
                  <w:u w:val="none"/>
                  <w:effect w:val="none"/>
                </w:rPr>
                <w:t>3</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19">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19">
              <w:r>
                <w:rPr>
                  <w:rStyle w:val="InternetLink"/>
                  <w:rFonts w:ascii="Times New Roman;serif" w:hAnsi="Times New Roman;serif"/>
                  <w:b w:val="false"/>
                  <w:strike w:val="false"/>
                  <w:dstrike w:val="false"/>
                  <w:color w:val="000000"/>
                  <w:sz w:val="20"/>
                  <w:u w:val="none"/>
                  <w:effect w:val="none"/>
                </w:rPr>
                <w:t>3</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22">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22">
              <w:r>
                <w:rPr>
                  <w:rStyle w:val="InternetLink"/>
                  <w:rFonts w:ascii="Times New Roman;serif" w:hAnsi="Times New Roman;serif"/>
                  <w:b w:val="false"/>
                  <w:strike w:val="false"/>
                  <w:dstrike w:val="false"/>
                  <w:color w:val="000000"/>
                  <w:sz w:val="20"/>
                  <w:u w:val="none"/>
                  <w:effect w:val="none"/>
                </w:rPr>
                <w:t>4</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25">
              <w:r>
                <w:rPr>
                  <w:rStyle w:val="InternetLink"/>
                  <w:rFonts w:ascii="Times New Roman;serif" w:hAnsi="Times New Roman;serif"/>
                  <w:b w:val="false"/>
                  <w:color w:val="0000FF"/>
                  <w:sz w:val="20"/>
                  <w:u w:val="single"/>
                </w:rPr>
                <w:t>Condensed Consolidated Statements of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25">
              <w:r>
                <w:rPr>
                  <w:rStyle w:val="InternetLink"/>
                  <w:rFonts w:ascii="Times New Roman;serif" w:hAnsi="Times New Roman;serif"/>
                  <w:b w:val="false"/>
                  <w:strike w:val="false"/>
                  <w:dstrike w:val="false"/>
                  <w:color w:val="000000"/>
                  <w:sz w:val="20"/>
                  <w:u w:val="none"/>
                  <w:effect w:val="none"/>
                </w:rPr>
                <w:t>5</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ind w:left="0" w:right="0" w:hanging="270"/>
              <w:jc w:val="left"/>
              <w:rPr/>
            </w:pPr>
            <w:hyperlink w:anchor="i3ec7d4a72cad401c808f9cd00a65ba56_28">
              <w:r>
                <w:rPr>
                  <w:rStyle w:val="InternetLink"/>
                  <w:rFonts w:ascii="Times New Roman;serif" w:hAnsi="Times New Roman;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28">
              <w:r>
                <w:rPr>
                  <w:rStyle w:val="InternetLink"/>
                  <w:rFonts w:ascii="Times New Roman;serif" w:hAnsi="Times New Roman;serif"/>
                  <w:b w:val="false"/>
                  <w:strike w:val="false"/>
                  <w:dstrike w:val="false"/>
                  <w:color w:val="000000"/>
                  <w:sz w:val="20"/>
                  <w:u w:val="none"/>
                  <w:effect w:val="none"/>
                </w:rPr>
                <w:t>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31">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31">
              <w:r>
                <w:rPr>
                  <w:rStyle w:val="InternetLink"/>
                  <w:rFonts w:ascii="Times New Roman;serif" w:hAnsi="Times New Roman;serif"/>
                  <w:b w:val="false"/>
                  <w:strike w:val="false"/>
                  <w:dstrike w:val="false"/>
                  <w:color w:val="000000"/>
                  <w:sz w:val="20"/>
                  <w:u w:val="none"/>
                  <w:effect w:val="none"/>
                </w:rPr>
                <w:t>8</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34">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34">
              <w:r>
                <w:rPr>
                  <w:rStyle w:val="InternetLink"/>
                  <w:rFonts w:ascii="Times New Roman;serif" w:hAnsi="Times New Roman;serif"/>
                  <w:b w:val="false"/>
                  <w:strike w:val="false"/>
                  <w:dstrike w:val="false"/>
                  <w:color w:val="000000"/>
                  <w:sz w:val="20"/>
                  <w:u w:val="none"/>
                  <w:effect w:val="none"/>
                </w:rPr>
                <w:t>9</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61">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6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61">
              <w:r>
                <w:rPr>
                  <w:rStyle w:val="InternetLink"/>
                  <w:rFonts w:ascii="Times New Roman;serif" w:hAnsi="Times New Roman;serif"/>
                  <w:b w:val="false"/>
                  <w:strike w:val="false"/>
                  <w:dstrike w:val="false"/>
                  <w:color w:val="000000"/>
                  <w:sz w:val="20"/>
                  <w:u w:val="none"/>
                  <w:effect w:val="none"/>
                </w:rPr>
                <w:t>16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94">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94">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94">
              <w:r>
                <w:rPr>
                  <w:rStyle w:val="InternetLink"/>
                  <w:rFonts w:ascii="Times New Roman;serif" w:hAnsi="Times New Roman;serif"/>
                  <w:b w:val="false"/>
                  <w:strike w:val="false"/>
                  <w:dstrike w:val="false"/>
                  <w:color w:val="000000"/>
                  <w:sz w:val="20"/>
                  <w:u w:val="none"/>
                  <w:effect w:val="none"/>
                </w:rPr>
                <w:t>25</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97">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97">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97">
              <w:r>
                <w:rPr>
                  <w:rStyle w:val="InternetLink"/>
                  <w:rFonts w:ascii="Times New Roman;serif" w:hAnsi="Times New Roman;serif"/>
                  <w:b w:val="false"/>
                  <w:strike w:val="false"/>
                  <w:dstrike w:val="false"/>
                  <w:color w:val="000000"/>
                  <w:sz w:val="20"/>
                  <w:u w:val="none"/>
                  <w:effect w:val="none"/>
                </w:rPr>
                <w:t>26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6"/>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100">
              <w:r>
                <w:rPr>
                  <w:rStyle w:val="InternetLink"/>
                  <w:rFonts w:ascii="Times New Roman;serif" w:hAnsi="Times New Roman;serif"/>
                  <w:b/>
                  <w:color w:val="0000FF"/>
                  <w:sz w:val="20"/>
                  <w:u w:val="singl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100">
              <w:r>
                <w:rPr>
                  <w:rStyle w:val="InternetLink"/>
                  <w:rFonts w:ascii="Times New Roman;serif" w:hAnsi="Times New Roman;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103">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103">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103">
              <w:r>
                <w:rPr>
                  <w:rStyle w:val="InternetLink"/>
                  <w:rFonts w:ascii="Times New Roman;serif" w:hAnsi="Times New Roman;serif"/>
                  <w:b w:val="false"/>
                  <w:strike w:val="false"/>
                  <w:dstrike w:val="false"/>
                  <w:color w:val="000000"/>
                  <w:sz w:val="20"/>
                  <w:u w:val="none"/>
                  <w:effect w:val="none"/>
                </w:rPr>
                <w:t>27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106">
              <w:r>
                <w:rPr>
                  <w:rStyle w:val="InternetLink"/>
                  <w:rFonts w:ascii="Times New Roman;serif" w:hAnsi="Times New Roman;serif"/>
                  <w:b w:val="false"/>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106">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106">
              <w:r>
                <w:rPr>
                  <w:rStyle w:val="InternetLink"/>
                  <w:rFonts w:ascii="Times New Roman;serif" w:hAnsi="Times New Roman;serif"/>
                  <w:b w:val="false"/>
                  <w:strike w:val="false"/>
                  <w:dstrike w:val="false"/>
                  <w:color w:val="000000"/>
                  <w:sz w:val="20"/>
                  <w:u w:val="none"/>
                  <w:effect w:val="none"/>
                </w:rPr>
                <w:t>27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109">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109">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109">
              <w:r>
                <w:rPr>
                  <w:rStyle w:val="InternetLink"/>
                  <w:rFonts w:ascii="Times New Roman;serif" w:hAnsi="Times New Roman;serif"/>
                  <w:b w:val="false"/>
                  <w:strike w:val="false"/>
                  <w:dstrike w:val="false"/>
                  <w:color w:val="000000"/>
                  <w:sz w:val="20"/>
                  <w:u w:val="none"/>
                  <w:effect w:val="none"/>
                </w:rPr>
                <w:t>27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112">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112">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112">
              <w:r>
                <w:rPr>
                  <w:rStyle w:val="InternetLink"/>
                  <w:rFonts w:ascii="Times New Roman;serif" w:hAnsi="Times New Roman;serif"/>
                  <w:b w:val="false"/>
                  <w:strike w:val="false"/>
                  <w:dstrike w:val="false"/>
                  <w:color w:val="000000"/>
                  <w:sz w:val="20"/>
                  <w:u w:val="none"/>
                  <w:effect w:val="none"/>
                </w:rPr>
                <w:t>27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115">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115">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115">
              <w:r>
                <w:rPr>
                  <w:rStyle w:val="InternetLink"/>
                  <w:rFonts w:ascii="Times New Roman;serif" w:hAnsi="Times New Roman;serif"/>
                  <w:b w:val="false"/>
                  <w:strike w:val="false"/>
                  <w:dstrike w:val="false"/>
                  <w:color w:val="000000"/>
                  <w:sz w:val="20"/>
                  <w:u w:val="none"/>
                  <w:effect w:val="none"/>
                </w:rPr>
                <w:t>28</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118">
              <w:r>
                <w:rPr>
                  <w:rStyle w:val="InternetLink"/>
                  <w:rFonts w:ascii="Times New Roman;serif" w:hAnsi="Times New Roman;serif"/>
                  <w:b w:val="false"/>
                  <w:color w:val="0000FF"/>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118">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118">
              <w:r>
                <w:rPr>
                  <w:rStyle w:val="InternetLink"/>
                  <w:rFonts w:ascii="Times New Roman;serif" w:hAnsi="Times New Roman;serif"/>
                  <w:b w:val="false"/>
                  <w:strike w:val="false"/>
                  <w:dstrike w:val="false"/>
                  <w:color w:val="000000"/>
                  <w:sz w:val="20"/>
                  <w:u w:val="none"/>
                  <w:effect w:val="none"/>
                </w:rPr>
                <w:t>28</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124">
              <w:r>
                <w:rPr>
                  <w:rStyle w:val="InternetLink"/>
                  <w:rFonts w:ascii="Times New Roman;serif" w:hAnsi="Times New Roman;serif"/>
                  <w:b w:val="false"/>
                  <w:color w:val="0000FF"/>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ec7d4a72cad401c808f9cd00a65ba56_124">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124">
              <w:r>
                <w:rPr>
                  <w:rStyle w:val="InternetLink"/>
                  <w:rFonts w:ascii="Times New Roman;serif" w:hAnsi="Times New Roman;serif"/>
                  <w:b w:val="false"/>
                  <w:strike w:val="false"/>
                  <w:dstrike w:val="false"/>
                  <w:color w:val="000000"/>
                  <w:sz w:val="20"/>
                  <w:u w:val="none"/>
                  <w:effect w:val="none"/>
                </w:rPr>
                <w:t>29</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7" w:type="dxa"/>
            <w:gridSpan w:val="9"/>
            <w:tcBorders/>
            <w:tcMar>
              <w:top w:w="0" w:type="dxa"/>
              <w:left w:w="0" w:type="dxa"/>
              <w:bottom w:w="0" w:type="dxa"/>
              <w:right w:w="0" w:type="dxa"/>
            </w:tcMar>
            <w:vAlign w:val="center"/>
          </w:tcPr>
          <w:p>
            <w:pPr>
              <w:pStyle w:val="TableContents"/>
              <w:bidi w:val="0"/>
              <w:spacing w:lineRule="auto" w:line="268" w:before="0" w:after="0"/>
              <w:jc w:val="both"/>
              <w:rPr/>
            </w:pPr>
            <w:hyperlink w:anchor="i3ec7d4a72cad401c808f9cd00a65ba56_127">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ec7d4a72cad401c808f9cd00a65ba56_127">
              <w:r>
                <w:rPr>
                  <w:rStyle w:val="InternetLink"/>
                  <w:rFonts w:ascii="Times New Roman;serif" w:hAnsi="Times New Roman;serif"/>
                  <w:b w:val="false"/>
                  <w:strike w:val="false"/>
                  <w:dstrike w:val="false"/>
                  <w:color w:val="000000"/>
                  <w:sz w:val="20"/>
                  <w:u w:val="none"/>
                  <w:effect w:val="none"/>
                </w:rPr>
                <w:t>30</w:t>
              </w:r>
            </w:hyperlink>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us and our industry that involve significant risks and uncertainties. Except for statements of historical facts, all statements contained in this Quarterly Report on Form 10-Q are forward-looking. These statements often contain words such as “anticipate,” “believe,” “contemplate,” “continue,” “could,” “estimate,” “expect,” “intend,” “may,” “plan,” “potential,” “predict,” “project,” “should,” “target,” “will” or “would” or similar terms, including their negatives. These forward-looking statements include, but are not limited to, statements regarding:</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the impact of macroeconomic developments, including inflation, interest rates, credit market conditions and overall economic uncertainty on our business, operating results, financial condition, and stock price;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our expectations regarding our future financial and operational performance, including total revenue, cost of revenue, non-GAAP operating income (loss) and adjusted EBITDA;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our ability to grow traffic and user engagement on our platform; </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expected returns on marketing investments and brand campaigns;</w:t>
      </w:r>
    </w:p>
    <w:p>
      <w:pPr>
        <w:pStyle w:val="TextBody"/>
        <w:bidi w:val="0"/>
        <w:spacing w:lineRule="auto" w:line="288" w:before="0" w:after="180"/>
        <w:ind w:left="0" w:right="0" w:firstLine="360"/>
        <w:jc w:val="both"/>
        <w:rPr/>
      </w:pPr>
      <w:r>
        <w:rPr>
          <w:color w:val="000000"/>
        </w:rPr>
        <w:t>•</w:t>
      </w:r>
      <w:r>
        <w:rPr>
          <w:rFonts w:ascii="Times New Roman;serif" w:hAnsi="Times New Roman;serif"/>
          <w:b w:val="false"/>
          <w:color w:val="000000"/>
          <w:sz w:val="20"/>
        </w:rPr>
        <w:t>consumer demand for the products on our platform;</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our ability to increase user registrations and improve repeat usage rates;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conversion of consumers into matches with financial services partners;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expansion within existing and new verticals, including new product and service offerings, features, and functionalities that are competitive, compliant with relevant rules and regulations, and meet market needs;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geographic expansion;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maintaining and expanding relationships with financial services partners and identifying new financial services partners;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developing efficient and scalable technical capabilities to provide personalized guidance and engage users;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enhancing brand awareness and consumer trust;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producing high quality, engaging consumer resources;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adapting to the evolving financial interests of consumers;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competing effectively in existing and new markets;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maintaining the security and availability of our platform;</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protecting and enhancing our intellectual property portfolio;</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attracting and retaining highly skilled, diverse talent;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complying with evolving laws, rules, and regulations that currently apply or may apply in the future to our business;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the adequacy of our cash, cash equivalents, and investments to meet liquidity needs;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managing growth, scaling infrastructure and preserving our corporate culture;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 xml:space="preserve">identifying, executing, and integrating acquisitions successfully; </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entering new financial services markets, and meeting the complexities associated with compliance in new financial services sectors; and</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achieving expected synergies, accretive value, and other benefits from completed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should not be relied upon as predictions or guarantees of future events. They are based on our current expectations, estimates, and projections regarding future events and trends that may affect our business, financial condition, and operating results. However, these expectations are subject to various risks, uncertainties, and assumptions, including those described elsewhere in this Quarterly Report on Form 10-Q, in Part I, Item 1A. Risk Factors in our Annual Report on Form 10-K for the year ended December 31, 2024, and in our subsequent periodic filings with the U.S. Securities and Exchange Commission.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industry is highly competitive and rapidly evolving, and new risks and uncertainties may arise that we cannot predict. As a result, actual results, events or circumstances may differ materially from those reflected in our forward-looking statements.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 this Quarterly Report on Form 10-Q speak only as of the date hereof. We undertake no obligation to update any such statements in this Quarterly Report on Form 10-Q to reflect subsequent events, new information, or unexpected developments, except as required by law. These statements also do not account for potential impacts from future acquisitions, mergers, dispositions, joint ventures, or investments.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statements that include “we believe” or similar expressions represent our beliefs and opinions as of the date of this Quarterly Report on Form 10-Q. While we believe the information supporting these statements is reasonable, it may be incomplete or subject to change. Investors should not interpret these statements as assurances that we have conducted an exhaustive inquiry or review of all relevant information. Given their inherent uncertainty, investors should not place undue reliance on these statements.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40" w:before="120" w:after="12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70"/>
        <w:gridCol w:w="2289"/>
        <w:gridCol w:w="2298"/>
        <w:gridCol w:w="109"/>
        <w:gridCol w:w="109"/>
        <w:gridCol w:w="109"/>
        <w:gridCol w:w="211"/>
        <w:gridCol w:w="631"/>
        <w:gridCol w:w="109"/>
        <w:gridCol w:w="109"/>
        <w:gridCol w:w="109"/>
        <w:gridCol w:w="109"/>
        <w:gridCol w:w="241"/>
        <w:gridCol w:w="722"/>
        <w:gridCol w:w="180"/>
      </w:tblGrid>
      <w:tr>
        <w:trPr/>
        <w:tc>
          <w:tcPr>
            <w:tcW w:w="2870"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4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amounts which are in thousands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437.6</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stock—$0.0001 par value per share—5,000 shares authorized; zero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stock—$0.0001 par value per share—296,686 shares authorized; 75,223 and 74,108 shares issued and outstanding as of June 30,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437.6</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9"/>
        <w:gridCol w:w="1466"/>
        <w:gridCol w:w="1472"/>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5"/>
      </w:tblGrid>
      <w:tr>
        <w:trPr/>
        <w:tc>
          <w:tcPr>
            <w:tcW w:w="210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312.5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Weighted-average Shares Used in Computing 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tbl>
      <w:tblPr>
        <w:tblW w:w="7662" w:type="dxa"/>
        <w:jc w:val="left"/>
        <w:tblInd w:w="0" w:type="dxa"/>
        <w:tblLayout w:type="fixed"/>
        <w:tblCellMar>
          <w:top w:w="28" w:type="dxa"/>
          <w:left w:w="28" w:type="dxa"/>
          <w:bottom w:w="28" w:type="dxa"/>
          <w:right w:w="28" w:type="dxa"/>
        </w:tblCellMar>
      </w:tblPr>
      <w:tblGrid>
        <w:gridCol w:w="1178"/>
        <w:gridCol w:w="1034"/>
        <w:gridCol w:w="1043"/>
        <w:gridCol w:w="109"/>
        <w:gridCol w:w="109"/>
        <w:gridCol w:w="109"/>
        <w:gridCol w:w="211"/>
        <w:gridCol w:w="406"/>
        <w:gridCol w:w="109"/>
        <w:gridCol w:w="109"/>
        <w:gridCol w:w="109"/>
        <w:gridCol w:w="109"/>
        <w:gridCol w:w="211"/>
        <w:gridCol w:w="481"/>
        <w:gridCol w:w="109"/>
        <w:gridCol w:w="109"/>
        <w:gridCol w:w="109"/>
        <w:gridCol w:w="109"/>
        <w:gridCol w:w="211"/>
        <w:gridCol w:w="406"/>
        <w:gridCol w:w="109"/>
        <w:gridCol w:w="109"/>
        <w:gridCol w:w="109"/>
        <w:gridCol w:w="109"/>
        <w:gridCol w:w="211"/>
        <w:gridCol w:w="48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937"/>
        <w:gridCol w:w="469"/>
        <w:gridCol w:w="471"/>
        <w:gridCol w:w="109"/>
        <w:gridCol w:w="109"/>
        <w:gridCol w:w="109"/>
        <w:gridCol w:w="368"/>
        <w:gridCol w:w="368"/>
        <w:gridCol w:w="196"/>
        <w:gridCol w:w="109"/>
        <w:gridCol w:w="109"/>
        <w:gridCol w:w="109"/>
        <w:gridCol w:w="211"/>
        <w:gridCol w:w="406"/>
        <w:gridCol w:w="109"/>
        <w:gridCol w:w="109"/>
        <w:gridCol w:w="109"/>
        <w:gridCol w:w="109"/>
        <w:gridCol w:w="235"/>
        <w:gridCol w:w="704"/>
        <w:gridCol w:w="121"/>
        <w:gridCol w:w="109"/>
        <w:gridCol w:w="109"/>
        <w:gridCol w:w="109"/>
        <w:gridCol w:w="419"/>
        <w:gridCol w:w="837"/>
        <w:gridCol w:w="218"/>
        <w:gridCol w:w="109"/>
        <w:gridCol w:w="109"/>
        <w:gridCol w:w="109"/>
        <w:gridCol w:w="244"/>
        <w:gridCol w:w="732"/>
        <w:gridCol w:w="127"/>
        <w:gridCol w:w="109"/>
        <w:gridCol w:w="109"/>
        <w:gridCol w:w="109"/>
        <w:gridCol w:w="225"/>
        <w:gridCol w:w="674"/>
        <w:gridCol w:w="172"/>
      </w:tblGrid>
      <w:tr>
        <w:trPr/>
        <w:tc>
          <w:tcPr>
            <w:tcW w:w="93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Stockholders’ Equity</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amounts which are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74,108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530.9</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(166.5)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364.2</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pursuant to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74,492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537.9</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(166.3)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371.6</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pursuant to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75,223</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547.9</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w:t>
            </w:r>
            <w:r>
              <w:rPr>
                <w:color w:val="000000"/>
              </w:rPr>
              <w:t>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(158.1)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390.0</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1005"/>
        <w:gridCol w:w="470"/>
        <w:gridCol w:w="472"/>
        <w:gridCol w:w="109"/>
        <w:gridCol w:w="109"/>
        <w:gridCol w:w="109"/>
        <w:gridCol w:w="368"/>
        <w:gridCol w:w="368"/>
        <w:gridCol w:w="196"/>
        <w:gridCol w:w="109"/>
        <w:gridCol w:w="109"/>
        <w:gridCol w:w="109"/>
        <w:gridCol w:w="211"/>
        <w:gridCol w:w="406"/>
        <w:gridCol w:w="109"/>
        <w:gridCol w:w="109"/>
        <w:gridCol w:w="109"/>
        <w:gridCol w:w="109"/>
        <w:gridCol w:w="235"/>
        <w:gridCol w:w="704"/>
        <w:gridCol w:w="121"/>
        <w:gridCol w:w="109"/>
        <w:gridCol w:w="109"/>
        <w:gridCol w:w="109"/>
        <w:gridCol w:w="399"/>
        <w:gridCol w:w="797"/>
        <w:gridCol w:w="207"/>
        <w:gridCol w:w="109"/>
        <w:gridCol w:w="109"/>
        <w:gridCol w:w="109"/>
        <w:gridCol w:w="244"/>
        <w:gridCol w:w="732"/>
        <w:gridCol w:w="127"/>
        <w:gridCol w:w="109"/>
        <w:gridCol w:w="109"/>
        <w:gridCol w:w="109"/>
        <w:gridCol w:w="225"/>
        <w:gridCol w:w="674"/>
        <w:gridCol w:w="173"/>
      </w:tblGrid>
      <w:tr>
        <w:trPr/>
        <w:tc>
          <w:tcPr>
            <w:tcW w:w="100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Stockholders’ Equity</w:t>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amounts which are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Balance as of December 31, 2023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76,940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483.7</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366.9</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pursuant to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77,720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494.5</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378.7</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pursuant to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78,397</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505.6</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(125.9)</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379.4</w:t>
            </w: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805"/>
        <w:gridCol w:w="2396"/>
        <w:gridCol w:w="2432"/>
        <w:gridCol w:w="109"/>
        <w:gridCol w:w="109"/>
        <w:gridCol w:w="109"/>
        <w:gridCol w:w="211"/>
        <w:gridCol w:w="616"/>
        <w:gridCol w:w="109"/>
        <w:gridCol w:w="109"/>
        <w:gridCol w:w="109"/>
        <w:gridCol w:w="109"/>
        <w:gridCol w:w="211"/>
        <w:gridCol w:w="616"/>
        <w:gridCol w:w="155"/>
      </w:tblGrid>
      <w:tr>
        <w:trPr/>
        <w:tc>
          <w:tcPr>
            <w:tcW w:w="2805"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6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 of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borrowing on warehouse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payments related to net-share settlements on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 recorded in accounts payable and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 Related to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1.The Company and Basis of Presentation</w:t>
      </w:r>
    </w:p>
    <w:p>
      <w:pPr>
        <w:pStyle w:val="TextBody"/>
        <w:bidi w:val="0"/>
        <w:spacing w:lineRule="auto" w:line="288" w:before="0" w:after="180"/>
        <w:ind w:left="0" w:right="0" w:firstLine="360"/>
        <w:jc w:val="both"/>
        <w:rPr/>
      </w:pPr>
      <w:r>
        <w:rPr>
          <w:rFonts w:ascii="Times New Roman;serif" w:hAnsi="Times New Roman;serif"/>
          <w:b/>
          <w:color w:val="000000"/>
          <w:sz w:val="20"/>
        </w:rPr>
        <w:t>The Company—</w:t>
      </w:r>
      <w:r>
        <w:rPr>
          <w:rFonts w:ascii="Times New Roman;serif" w:hAnsi="Times New Roman;serif"/>
          <w:b w:val="false"/>
          <w:color w:val="000000"/>
          <w:sz w:val="20"/>
        </w:rPr>
        <w:t>NerdWallet, Inc., a Delaware corporation, was formed on December 29, 2011. NerdWallet, Inc. and its subsidiaries (collectively, the Company) provide consumer-driven advice about personal finance through its platform by connecting individuals and small and mid-sized businesses (SMBs) with providers of financial products.</w:t>
      </w:r>
    </w:p>
    <w:p>
      <w:pPr>
        <w:pStyle w:val="TextBody"/>
        <w:bidi w:val="0"/>
        <w:spacing w:lineRule="auto" w:line="288" w:before="0" w:after="180"/>
        <w:ind w:left="0" w:right="0" w:firstLine="360"/>
        <w:jc w:val="both"/>
        <w:rPr/>
      </w:pPr>
      <w:r>
        <w:rPr>
          <w:rFonts w:ascii="Times New Roman;serif" w:hAnsi="Times New Roman;serif"/>
          <w:b/>
          <w:color w:val="000000"/>
          <w:sz w:val="20"/>
        </w:rPr>
        <w:t>Basis of Consolidation and Presentation—</w:t>
      </w:r>
      <w:r>
        <w:rPr>
          <w:rFonts w:ascii="Times New Roman;serif" w:hAnsi="Times New Roman;serif"/>
          <w:b w:val="false"/>
          <w:color w:val="000000"/>
          <w:sz w:val="20"/>
        </w:rPr>
        <w:t xml:space="preserve">The accompanying unaudited interim condensed consolidated financial statements have been prepared in accordance with accounting principles generally accepted in the United States of America (GAAP) and applicable rules and regulations of the U.S. Securities and Exchange Commission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2024.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Certain comparative amounts for the three and six months ended June 30, 2024 have been reclassified to conform to the financial statement presentation as of and for the three and six months ended June 30, 2025. The results of operations for the three and six months ended June 30, 2025 are not necessarily indicative of the results to be expected for the full year or any other future period.</w:t>
      </w:r>
    </w:p>
    <w:p>
      <w:pPr>
        <w:pStyle w:val="TextBody"/>
        <w:bidi w:val="0"/>
        <w:spacing w:lineRule="auto" w:line="288" w:before="0" w:after="180"/>
        <w:ind w:left="0" w:right="0" w:firstLine="360"/>
        <w:jc w:val="both"/>
        <w:rPr/>
      </w:pPr>
      <w:r>
        <w:rPr>
          <w:rFonts w:ascii="Times New Roman;serif" w:hAnsi="Times New Roman;serif"/>
          <w:b/>
          <w:color w:val="000000"/>
          <w:sz w:val="20"/>
        </w:rPr>
        <w:t>Segments—</w:t>
      </w:r>
      <w:r>
        <w:rPr>
          <w:rFonts w:ascii="Times New Roman;serif" w:hAnsi="Times New Roman;serif"/>
          <w:b w:val="false"/>
          <w:color w:val="000000"/>
          <w:sz w:val="20"/>
        </w:rPr>
        <w:t>The Company has one operating segment. The measure of segment assets is presented as total assets in the condensed consolidated balance sheets.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segment costs and expenses, along with a reconciliation to income (loss) from operations, are as follows:</w:t>
      </w:r>
    </w:p>
    <w:tbl>
      <w:tblPr>
        <w:tblW w:w="9131" w:type="dxa"/>
        <w:jc w:val="left"/>
        <w:tblInd w:w="0" w:type="dxa"/>
        <w:tblLayout w:type="fixed"/>
        <w:tblCellMar>
          <w:top w:w="28" w:type="dxa"/>
          <w:left w:w="28" w:type="dxa"/>
          <w:bottom w:w="28" w:type="dxa"/>
          <w:right w:w="28" w:type="dxa"/>
        </w:tblCellMar>
      </w:tblPr>
      <w:tblGrid>
        <w:gridCol w:w="1437"/>
        <w:gridCol w:w="1262"/>
        <w:gridCol w:w="1275"/>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Personnel-related expenses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costs and expenses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Gross of capitalized internally developed software costs.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Primarily includes cost of revenue and non-personnel-related operating expenses (each excluding depreciation and amortization), restructuring charges, and acquisition-related retention and expenses.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segment items included in consolidated net income (loss) are presented in the condensed consolidated statements of operations, and comprised of other income (expense), net, and income tax provision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pPr>
      <w:r>
        <w:rPr>
          <w:rFonts w:ascii="Times New Roman;serif" w:hAnsi="Times New Roman;serif"/>
          <w:b/>
          <w:color w:val="000000"/>
          <w:sz w:val="20"/>
        </w:rPr>
        <w:t>Sales and Marketing</w:t>
      </w:r>
      <w:r>
        <w:rPr>
          <w:color w:val="000000"/>
        </w:rPr>
        <w:t>—</w:t>
      </w:r>
      <w:r>
        <w:rPr>
          <w:rFonts w:ascii="Times New Roman;serif" w:hAnsi="Times New Roman;serif"/>
          <w:b w:val="false"/>
          <w:color w:val="000000"/>
          <w:sz w:val="20"/>
        </w:rPr>
        <w:t>Components of sales and marketing expenses are as follows:</w:t>
      </w:r>
    </w:p>
    <w:tbl>
      <w:tblPr>
        <w:tblW w:w="7542" w:type="dxa"/>
        <w:jc w:val="left"/>
        <w:tblInd w:w="0" w:type="dxa"/>
        <w:tblLayout w:type="fixed"/>
        <w:tblCellMar>
          <w:top w:w="28" w:type="dxa"/>
          <w:left w:w="28" w:type="dxa"/>
          <w:bottom w:w="28" w:type="dxa"/>
          <w:right w:w="28" w:type="dxa"/>
        </w:tblCellMar>
      </w:tblPr>
      <w:tblGrid>
        <w:gridCol w:w="884"/>
        <w:gridCol w:w="775"/>
        <w:gridCol w:w="78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Organic and other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color w:val="000000"/>
          <w:sz w:val="20"/>
        </w:rPr>
        <w:t>Business Combination</w:t>
      </w:r>
      <w:r>
        <w:rPr>
          <w:color w:val="000000"/>
        </w:rPr>
        <w:t>—</w:t>
      </w:r>
      <w:r>
        <w:rPr>
          <w:rFonts w:ascii="Times New Roman;serif" w:hAnsi="Times New Roman;serif"/>
          <w:b w:val="false"/>
          <w:color w:val="000000"/>
          <w:sz w:val="20"/>
        </w:rPr>
        <w:t>On June 13, 2025, the Company acquired a privately-held financial services company for a purchase consideration of $5.0 million in cash. This acquisition has been accounted for as a business combination. The fair value of assets acquired totaled $2.0 million and was comprised of intangible assets for customer relationships with a three-year estimated useful life, and the Company recorded $3.0 million of goodwill.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contribution from this acquisition following the closing date through June 30, 2025 was not material to the Company’s revenue and operating income for the three and six months ended June 30, 2025. Pro forma results of operations have not been provided to reflect this acquisition as such results would not have been materially different from the Company’s reported results.</w:t>
      </w:r>
    </w:p>
    <w:p>
      <w:pPr>
        <w:pStyle w:val="TextBody"/>
        <w:bidi w:val="0"/>
        <w:spacing w:lineRule="auto" w:line="288" w:before="0" w:after="180"/>
        <w:ind w:left="0" w:right="0" w:firstLine="360"/>
        <w:jc w:val="both"/>
        <w:rPr/>
      </w:pPr>
      <w:r>
        <w:rPr>
          <w:rFonts w:ascii="Times New Roman;serif" w:hAnsi="Times New Roman;serif"/>
          <w:b/>
          <w:color w:val="000000"/>
          <w:sz w:val="20"/>
        </w:rPr>
        <w:t>Lease Amendment</w:t>
      </w:r>
      <w:r>
        <w:rPr>
          <w:color w:val="000000"/>
        </w:rPr>
        <w:t>—</w:t>
      </w:r>
      <w:r>
        <w:rPr>
          <w:rFonts w:ascii="Times New Roman;serif" w:hAnsi="Times New Roman;serif"/>
          <w:b w:val="false"/>
          <w:color w:val="000000"/>
          <w:sz w:val="20"/>
        </w:rPr>
        <w:t>In April 2025, the Company commenced an amendment of an operating lease for office space in Arizona, and recorded a $4.0 million right-of-use asset and $4.0 million of corresponding operating lease liabilities. The amendment expires in 2030, with total remaining future lease payments of $4.9 million as of June 30, 2025. The amendment also includes options for extension or early termination of the lease, neither of which options are certain to be exercised by the Company and, accordingly, are excluded from the calculations of ROU assets and lease liabilities recognized.</w:t>
      </w:r>
    </w:p>
    <w:p>
      <w:pPr>
        <w:pStyle w:val="TextBody"/>
        <w:bidi w:val="0"/>
        <w:spacing w:lineRule="auto" w:line="288" w:before="0" w:after="180"/>
        <w:ind w:left="0" w:right="0" w:firstLine="360"/>
        <w:jc w:val="both"/>
        <w:rPr/>
      </w:pPr>
      <w:r>
        <w:rPr>
          <w:rFonts w:ascii="Times New Roman;serif" w:hAnsi="Times New Roman;serif"/>
          <w:b/>
          <w:color w:val="000000"/>
          <w:sz w:val="20"/>
        </w:rPr>
        <w:t>Significant Accounting Policies</w:t>
      </w:r>
      <w:r>
        <w:rPr>
          <w:color w:val="000000"/>
        </w:rPr>
        <w:t>—</w:t>
      </w:r>
      <w:r>
        <w:rPr>
          <w:rFonts w:ascii="Times New Roman;serif" w:hAnsi="Times New Roman;serif"/>
          <w:b w:val="false"/>
          <w:color w:val="000000"/>
          <w:sz w:val="20"/>
        </w:rPr>
        <w:t>During the six months ended June 30, 2025, there have been no material changes to the Company’s significant accounting policies as disclosed in Note 1–The Company and its Significant Accounting Policies in the notes to the consolidated financial statements in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2.Revenue</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presents a disaggregation of the Company’s revenue based on product category:</w:t>
      </w:r>
    </w:p>
    <w:tbl>
      <w:tblPr>
        <w:tblW w:w="6746" w:type="dxa"/>
        <w:jc w:val="left"/>
        <w:tblInd w:w="0" w:type="dxa"/>
        <w:tblLayout w:type="fixed"/>
        <w:tblCellMar>
          <w:top w:w="28" w:type="dxa"/>
          <w:left w:w="28" w:type="dxa"/>
          <w:bottom w:w="28" w:type="dxa"/>
          <w:right w:w="28" w:type="dxa"/>
        </w:tblCellMar>
      </w:tblPr>
      <w:tblGrid>
        <w:gridCol w:w="596"/>
        <w:gridCol w:w="525"/>
        <w:gridCol w:w="52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SMB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verticals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recognized during the six months ended June 30, 2025 which was deferred as of December 31, 2024, was immaterial. During the six months ended June 30, 2024, the Company recognized $4.1 million of revenue that was deferred as of December 31, 2023, none of which was recognized during the three months ended June 30, 2024.</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contract asset recorded within prepaid expenses and other current assets on the condensed consolidated balance sheet related to estimated variable consideration was $5.3 million and $6.8 million as of June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assets that are measured at fair value on a recurring basis, by level, within the fair value hierarchy are summarized as follows:</w:t>
      </w:r>
    </w:p>
    <w:tbl>
      <w:tblPr>
        <w:tblW w:w="9461" w:type="dxa"/>
        <w:jc w:val="left"/>
        <w:tblInd w:w="0" w:type="dxa"/>
        <w:tblLayout w:type="fixed"/>
        <w:tblCellMar>
          <w:top w:w="28" w:type="dxa"/>
          <w:left w:w="28" w:type="dxa"/>
          <w:bottom w:w="28" w:type="dxa"/>
          <w:right w:w="28" w:type="dxa"/>
        </w:tblCellMar>
      </w:tblPr>
      <w:tblGrid>
        <w:gridCol w:w="1487"/>
        <w:gridCol w:w="1305"/>
        <w:gridCol w:w="1318"/>
        <w:gridCol w:w="109"/>
        <w:gridCol w:w="109"/>
        <w:gridCol w:w="109"/>
        <w:gridCol w:w="280"/>
        <w:gridCol w:w="700"/>
        <w:gridCol w:w="145"/>
        <w:gridCol w:w="109"/>
        <w:gridCol w:w="109"/>
        <w:gridCol w:w="109"/>
        <w:gridCol w:w="232"/>
        <w:gridCol w:w="578"/>
        <w:gridCol w:w="121"/>
        <w:gridCol w:w="109"/>
        <w:gridCol w:w="109"/>
        <w:gridCol w:w="109"/>
        <w:gridCol w:w="318"/>
        <w:gridCol w:w="612"/>
        <w:gridCol w:w="166"/>
        <w:gridCol w:w="109"/>
        <w:gridCol w:w="109"/>
        <w:gridCol w:w="109"/>
        <w:gridCol w:w="211"/>
        <w:gridCol w:w="52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Carrying</w:t>
              <w:br/>
              <w:t>Value</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55.0</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61" w:type="dxa"/>
        <w:jc w:val="left"/>
        <w:tblInd w:w="0" w:type="dxa"/>
        <w:tblLayout w:type="fixed"/>
        <w:tblCellMar>
          <w:top w:w="28" w:type="dxa"/>
          <w:left w:w="28" w:type="dxa"/>
          <w:bottom w:w="28" w:type="dxa"/>
          <w:right w:w="28" w:type="dxa"/>
        </w:tblCellMar>
      </w:tblPr>
      <w:tblGrid>
        <w:gridCol w:w="1483"/>
        <w:gridCol w:w="1303"/>
        <w:gridCol w:w="1324"/>
        <w:gridCol w:w="109"/>
        <w:gridCol w:w="109"/>
        <w:gridCol w:w="109"/>
        <w:gridCol w:w="280"/>
        <w:gridCol w:w="700"/>
        <w:gridCol w:w="145"/>
        <w:gridCol w:w="109"/>
        <w:gridCol w:w="109"/>
        <w:gridCol w:w="109"/>
        <w:gridCol w:w="265"/>
        <w:gridCol w:w="528"/>
        <w:gridCol w:w="138"/>
        <w:gridCol w:w="109"/>
        <w:gridCol w:w="109"/>
        <w:gridCol w:w="109"/>
        <w:gridCol w:w="318"/>
        <w:gridCol w:w="612"/>
        <w:gridCol w:w="166"/>
        <w:gridCol w:w="109"/>
        <w:gridCol w:w="109"/>
        <w:gridCol w:w="109"/>
        <w:gridCol w:w="211"/>
        <w:gridCol w:w="52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Carrying</w:t>
              <w:br/>
              <w:t>Value</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36.8</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4.Significant Condensed Consolidated Balance Sheet Components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equipment and software, net includes capitalized software development costs, net of accumulated amortization, of $32.7 million and $40.5 million as of June 30, 2025 and December 31, 2024, respectively. The Company capitalized $4.7 million and $9.8 million of software development costs during the three and six months ended June 30, 2025, respectively, and $6.9 million and $13.3 million during the three and six months ended June 30, 2024, respectively. The Company recorded amortization expense related to capitalized software development costs of $8.9 million and $17.7 million during the three and six months ended June 30, 2025 and $8.3 million and $16.3 million during the three and six months ended June 30, 2024,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include unbilled accounts payable of $34.1 million and $33.7 million, short-term borrowings under a warehouse line of credit of $11.3 million and $2.5 million, and operating lease liabilities of $1.7 million and $2.3 million, as of June 30, 2025 and December 31, 2024,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liabilities—noncurrent includes operating lease liabilities of $7.1 million and $4.1 million as of June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5.Commitments and Contingencies</w:t>
      </w:r>
    </w:p>
    <w:p>
      <w:pPr>
        <w:pStyle w:val="TextBody"/>
        <w:bidi w:val="0"/>
        <w:spacing w:lineRule="auto" w:line="288" w:before="0" w:after="180"/>
        <w:ind w:left="0" w:right="0" w:firstLine="360"/>
        <w:jc w:val="both"/>
        <w:rPr/>
      </w:pPr>
      <w:r>
        <w:rPr>
          <w:rFonts w:ascii="Times New Roman;serif" w:hAnsi="Times New Roman;serif"/>
          <w:b/>
          <w:color w:val="000000"/>
          <w:sz w:val="20"/>
        </w:rPr>
        <w:t>Commitments and Other Financial Arrangements</w:t>
      </w:r>
      <w:r>
        <w:rPr>
          <w:color w:val="000000"/>
        </w:rPr>
        <w:t>—</w:t>
      </w:r>
      <w:r>
        <w:rPr>
          <w:rFonts w:ascii="Times New Roman;serif" w:hAnsi="Times New Roman;serif"/>
          <w:b w:val="false"/>
          <w:color w:val="000000"/>
          <w:sz w:val="20"/>
        </w:rPr>
        <w:t xml:space="preserve">The Company has certain financial commitments and other arrangements including unused letters of credit, commitments under leases, and an outstanding warehouse line of credit. See Note 7–Leases for discussion of an amendment of an operating lease for office space. As of June 30, 2025, there were no other material changes to the Company’s commitments and other financial arrangements as disclosed in Note 8–Commitments and Contingencies in the notes to the consolidated financial statements in the Company’s Annual Report on Form 10-K for the year ended December 31, 2024. </w:t>
      </w:r>
    </w:p>
    <w:p>
      <w:pPr>
        <w:pStyle w:val="TextBody"/>
        <w:bidi w:val="0"/>
        <w:spacing w:lineRule="auto" w:line="288" w:before="0" w:after="180"/>
        <w:ind w:left="0" w:right="0" w:firstLine="360"/>
        <w:jc w:val="both"/>
        <w:rPr/>
      </w:pPr>
      <w:r>
        <w:rPr>
          <w:rFonts w:ascii="Times New Roman;serif" w:hAnsi="Times New Roman;serif"/>
          <w:b/>
          <w:color w:val="000000"/>
          <w:sz w:val="20"/>
        </w:rPr>
        <w:t>Litigation and Other Legal Matters</w:t>
      </w:r>
      <w:r>
        <w:rPr>
          <w:color w:val="000000"/>
        </w:rPr>
        <w:t>—</w:t>
      </w:r>
      <w:r>
        <w:rPr>
          <w:rFonts w:ascii="Times New Roman;serif" w:hAnsi="Times New Roman;serif"/>
          <w:b w:val="false"/>
          <w:color w:val="000000"/>
          <w:sz w:val="20"/>
        </w:rPr>
        <w:t>The Company is involved from time to time in litigation, claims, and proceedings. Periodically, the Company 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June 30, 2025 or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6.Stockholders’ Equity</w:t>
      </w:r>
    </w:p>
    <w:p>
      <w:pPr>
        <w:pStyle w:val="TextBody"/>
        <w:bidi w:val="0"/>
        <w:spacing w:lineRule="auto" w:line="288" w:before="0" w:after="180"/>
        <w:ind w:left="0" w:right="0" w:firstLine="360"/>
        <w:jc w:val="both"/>
        <w:rPr/>
      </w:pPr>
      <w:r>
        <w:rPr>
          <w:rFonts w:ascii="Times New Roman;serif" w:hAnsi="Times New Roman;serif"/>
          <w:b/>
          <w:color w:val="000000"/>
          <w:sz w:val="20"/>
        </w:rPr>
        <w:t>Share Repurchase Program</w:t>
      </w:r>
      <w:r>
        <w:rPr>
          <w:color w:val="000000"/>
        </w:rPr>
        <w:t>—</w:t>
      </w:r>
      <w:r>
        <w:rPr>
          <w:rFonts w:ascii="Times New Roman;serif" w:hAnsi="Times New Roman;serif"/>
          <w:b w:val="false"/>
          <w:color w:val="000000"/>
          <w:sz w:val="20"/>
        </w:rPr>
        <w:t xml:space="preserve">The Company maintains a plan, authorized by its Board of Directors in May 2023 with subsequent additional share repurchase authorizations as approved by the Board of Directors, under which the Company may repurchase shares of the Company’s Class A common stock (collectively, the Repurchase Program).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repurchase any shares of Class A common stock during the six months ended June 30, 2025 and repurchased 0.1 million shares for $1.1 million during the three and six months ended June 30, 2024. The Company paid $0.3 million of excise taxes during the six months ended June 30, 2025 which related to previous share repurchases. The remaining share repurchase authorization under the Repurchase Program is $25.0 million as of June 30, 2025.</w:t>
      </w:r>
    </w:p>
    <w:p>
      <w:pPr>
        <w:pStyle w:val="TextBody"/>
        <w:bidi w:val="0"/>
        <w:spacing w:lineRule="auto" w:line="288" w:before="0" w:after="180"/>
        <w:ind w:left="0" w:right="0" w:firstLine="360"/>
        <w:jc w:val="both"/>
        <w:rPr/>
      </w:pPr>
      <w:r>
        <w:rPr>
          <w:rFonts w:ascii="Times New Roman;serif" w:hAnsi="Times New Roman;serif"/>
          <w:b/>
          <w:color w:val="000000"/>
          <w:sz w:val="20"/>
        </w:rPr>
        <w:t>Equity Incentive Plans</w:t>
      </w:r>
      <w:r>
        <w:rPr>
          <w:color w:val="000000"/>
        </w:rPr>
        <w:t>—</w:t>
      </w:r>
      <w:r>
        <w:rPr>
          <w:rFonts w:ascii="Times New Roman;serif" w:hAnsi="Times New Roman;serif"/>
          <w:b w:val="false"/>
          <w:color w:val="000000"/>
          <w:sz w:val="20"/>
        </w:rPr>
        <w:t>The 2021 Equity Incentive Plan and the predecessor 2012 Equity Incentive Plan, both as amended, along with the 2022 Inducement Equity Incentive Plan (collectively, the Plans) comprise the equity incentive plans of the Company.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2021 Equity Incentive Plan, the number of shares of Class A common stock reserved for issuance under the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 In accordance with these plan terms, the aggregate number of shares of Class A common stock reserved for issuance under the 2021 Equity Incentive Plan increased by 3.7 million shares effective January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pPr>
      <w:r>
        <w:rPr>
          <w:rFonts w:ascii="Times New Roman;serif" w:hAnsi="Times New Roman;serif"/>
          <w:b/>
          <w:color w:val="000000"/>
          <w:sz w:val="20"/>
        </w:rPr>
        <w:t>Stock Options</w:t>
      </w:r>
      <w:r>
        <w:rPr>
          <w:color w:val="000000"/>
        </w:rPr>
        <w:t>—</w:t>
      </w:r>
      <w:r>
        <w:rPr>
          <w:rFonts w:ascii="Times New Roman;serif" w:hAnsi="Times New Roman;serif"/>
          <w:b w:val="false"/>
          <w:color w:val="000000"/>
          <w:sz w:val="20"/>
        </w:rPr>
        <w:t>A summary of the Company’s stock option activity for its Plans is as follows:</w:t>
      </w:r>
    </w:p>
    <w:tbl>
      <w:tblPr>
        <w:tblW w:w="10173" w:type="dxa"/>
        <w:jc w:val="left"/>
        <w:tblInd w:w="0" w:type="dxa"/>
        <w:tblLayout w:type="fixed"/>
        <w:tblCellMar>
          <w:top w:w="28" w:type="dxa"/>
          <w:left w:w="28" w:type="dxa"/>
          <w:bottom w:w="28" w:type="dxa"/>
          <w:right w:w="28" w:type="dxa"/>
        </w:tblCellMar>
      </w:tblPr>
      <w:tblGrid>
        <w:gridCol w:w="1299"/>
        <w:gridCol w:w="1142"/>
        <w:gridCol w:w="1144"/>
        <w:gridCol w:w="109"/>
        <w:gridCol w:w="109"/>
        <w:gridCol w:w="109"/>
        <w:gridCol w:w="374"/>
        <w:gridCol w:w="374"/>
        <w:gridCol w:w="376"/>
        <w:gridCol w:w="109"/>
        <w:gridCol w:w="109"/>
        <w:gridCol w:w="109"/>
        <w:gridCol w:w="331"/>
        <w:gridCol w:w="968"/>
        <w:gridCol w:w="172"/>
        <w:gridCol w:w="109"/>
        <w:gridCol w:w="109"/>
        <w:gridCol w:w="109"/>
        <w:gridCol w:w="490"/>
        <w:gridCol w:w="490"/>
        <w:gridCol w:w="491"/>
        <w:gridCol w:w="109"/>
        <w:gridCol w:w="109"/>
        <w:gridCol w:w="109"/>
        <w:gridCol w:w="331"/>
        <w:gridCol w:w="639"/>
        <w:gridCol w:w="244"/>
      </w:tblGrid>
      <w:tr>
        <w:trPr/>
        <w:tc>
          <w:tcPr>
            <w:tcW w:w="129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 Options</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Contractual Life</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Intrinsic Value</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Balance as of December 31, 2024</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Cancelled/forfeited</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Balance as of June 30, 2025</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0.2 million of stock options with both service-based and performance-based conditions.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0.1 million of stock options with both service-based and performance-based conditions.</w:t>
      </w:r>
    </w:p>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six months ended June 30, 2025 was $5.96 per share. The aggregate intrinsic value of options exercised was immaterial for the six months ended June 30, 2025.</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per-share fair value of each stock option granted was determined on the date of grant using the following weighted-average assumptions:</w:t>
      </w:r>
    </w:p>
    <w:tbl>
      <w:tblPr>
        <w:tblW w:w="4327"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233"/>
        <w:gridCol w:w="233"/>
        <w:gridCol w:w="292"/>
        <w:gridCol w:w="117"/>
        <w:gridCol w:w="117"/>
        <w:gridCol w:w="117"/>
        <w:gridCol w:w="233"/>
        <w:gridCol w:w="233"/>
        <w:gridCol w:w="340"/>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360"/>
        <w:jc w:val="both"/>
        <w:rPr/>
      </w:pPr>
      <w:r>
        <w:rPr>
          <w:rFonts w:ascii="Times New Roman;serif" w:hAnsi="Times New Roman;serif"/>
          <w:b/>
          <w:color w:val="000000"/>
          <w:sz w:val="20"/>
        </w:rPr>
        <w:t>Restricted Stock Units</w:t>
      </w:r>
      <w:r>
        <w:rPr>
          <w:color w:val="000000"/>
        </w:rPr>
        <w:t>—</w:t>
      </w:r>
      <w:r>
        <w:rPr>
          <w:rFonts w:ascii="Times New Roman;serif" w:hAnsi="Times New Roman;serif"/>
          <w:b w:val="false"/>
          <w:color w:val="000000"/>
          <w:sz w:val="20"/>
        </w:rPr>
        <w:t>A summary of the Company’s outstanding nonvested restricted stock units (RSUs) for its Plans is as follows:</w:t>
      </w:r>
    </w:p>
    <w:tbl>
      <w:tblPr>
        <w:tblW w:w="6579" w:type="dxa"/>
        <w:jc w:val="left"/>
        <w:tblInd w:w="0" w:type="dxa"/>
        <w:tblLayout w:type="fixed"/>
        <w:tblCellMar>
          <w:top w:w="28" w:type="dxa"/>
          <w:left w:w="28" w:type="dxa"/>
          <w:bottom w:w="28" w:type="dxa"/>
          <w:right w:w="28" w:type="dxa"/>
        </w:tblCellMar>
      </w:tblPr>
      <w:tblGrid>
        <w:gridCol w:w="1125"/>
        <w:gridCol w:w="989"/>
        <w:gridCol w:w="991"/>
        <w:gridCol w:w="109"/>
        <w:gridCol w:w="109"/>
        <w:gridCol w:w="109"/>
        <w:gridCol w:w="434"/>
        <w:gridCol w:w="434"/>
        <w:gridCol w:w="436"/>
        <w:gridCol w:w="109"/>
        <w:gridCol w:w="109"/>
        <w:gridCol w:w="109"/>
        <w:gridCol w:w="326"/>
        <w:gridCol w:w="951"/>
        <w:gridCol w:w="239"/>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Units</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Grant-Date</w:t>
              <w:br/>
              <w:t>Fair Value</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Nonvested as of December 31, 2024</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Nonvested as of June 30, 2025</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6,172 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less than 0.1 million of RSUs with both service-based and performance-based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fair value of shares that vested under RSUs was $10.6 million during the six months ended June 30, 2025.</w:t>
      </w:r>
    </w:p>
    <w:p>
      <w:pPr>
        <w:pStyle w:val="TextBody"/>
        <w:bidi w:val="0"/>
        <w:spacing w:lineRule="auto" w:line="288" w:before="0" w:after="180"/>
        <w:ind w:left="0" w:right="0" w:firstLine="360"/>
        <w:jc w:val="both"/>
        <w:rPr/>
      </w:pPr>
      <w:r>
        <w:rPr>
          <w:rFonts w:ascii="Times New Roman;serif" w:hAnsi="Times New Roman;serif"/>
          <w:b/>
          <w:color w:val="000000"/>
          <w:sz w:val="20"/>
        </w:rPr>
        <w:t>Employee Stock Purchase Plan</w:t>
      </w:r>
      <w:r>
        <w:rPr>
          <w:color w:val="000000"/>
        </w:rPr>
        <w:t>—</w:t>
      </w:r>
      <w:r>
        <w:rPr>
          <w:rFonts w:ascii="Times New Roman;serif" w:hAnsi="Times New Roman;serif"/>
          <w:b w:val="false"/>
          <w:color w:val="000000"/>
          <w:sz w:val="20"/>
        </w:rPr>
        <w:t>The terms of the Employee Stock Purchase Plan (ESPP) provide for automatic increases in the number of shares reserved for issuance on January 1 of each calendar year, beginning in 2023 and through 2031, subject to terms of the ESPP. In accordance with these plan terms, the aggregate number of Class A common stock authorized for issuance under the ESPP increased by 0.7 million effective January 1, 2025. Prior to capitalizing amounts related to software development costs, the Company recognized stock-based compensation related to the ESPP of $0.2 million and $0.5 million during the three and six months ended June 30, 2025, and $0.2 million during the three and six months ended June 30, 2024, which relates to the ESPP purchase period which began on May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pPr>
      <w:r>
        <w:rPr>
          <w:rFonts w:ascii="Times New Roman;serif" w:hAnsi="Times New Roman;serif"/>
          <w:b/>
          <w:color w:val="000000"/>
          <w:sz w:val="20"/>
        </w:rPr>
        <w:t>Stock-Based Compensation</w:t>
      </w:r>
      <w:r>
        <w:rPr>
          <w:color w:val="000000"/>
        </w:rPr>
        <w:t>—</w:t>
      </w:r>
      <w:r>
        <w:rPr>
          <w:rFonts w:ascii="Times New Roman;serif" w:hAnsi="Times New Roman;serif"/>
          <w:b w:val="false"/>
          <w:color w:val="000000"/>
          <w:sz w:val="20"/>
        </w:rPr>
        <w:t>The Company recognized stock-based compensation under the Plans and ESPP as follows:</w:t>
      </w:r>
    </w:p>
    <w:tbl>
      <w:tblPr>
        <w:tblW w:w="7316" w:type="dxa"/>
        <w:jc w:val="left"/>
        <w:tblInd w:w="0" w:type="dxa"/>
        <w:tblLayout w:type="fixed"/>
        <w:tblCellMar>
          <w:top w:w="28" w:type="dxa"/>
          <w:left w:w="28" w:type="dxa"/>
          <w:bottom w:w="28" w:type="dxa"/>
          <w:right w:w="28" w:type="dxa"/>
        </w:tblCellMar>
      </w:tblPr>
      <w:tblGrid>
        <w:gridCol w:w="990"/>
        <w:gridCol w:w="870"/>
        <w:gridCol w:w="884"/>
        <w:gridCol w:w="109"/>
        <w:gridCol w:w="109"/>
        <w:gridCol w:w="109"/>
        <w:gridCol w:w="211"/>
        <w:gridCol w:w="40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stock-based compensation capitalized related to software development costs was $0.8 million and $1.3 million during the three months ended June 30, 2025 and 2024, respectively, and $1.6 million and $2.2 million during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7.Income Taxes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Company’s tax provision for the three and six months ended June 30, 2025 was determined using an estimated annual effective tax rate which is adjusted for discrete items occurring during the periods presented. The Company’s tax provision for the three and six months ended June 30, 2024 was determined using a discrete effective tax rate method, as allowed by ASC Topic 740-270, </w:t>
      </w:r>
      <w:r>
        <w:rPr>
          <w:rFonts w:ascii="Times New Roman;serif" w:hAnsi="Times New Roman;serif"/>
          <w:b w:val="false"/>
          <w:i/>
          <w:color w:val="000000"/>
          <w:sz w:val="20"/>
        </w:rPr>
        <w:t xml:space="preserve">Income Taxes, Interim Reporting, </w:t>
      </w:r>
      <w:r>
        <w:rPr>
          <w:rFonts w:ascii="Times New Roman;serif" w:hAnsi="Times New Roman;serif"/>
          <w:b w:val="false"/>
          <w:color w:val="000000"/>
          <w:sz w:val="20"/>
        </w:rPr>
        <w:t>as the Company had determined that small changes in estimated “ordinary” income would have resulted in significant changes in the estimated annual effective tax rate.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six months ended June 30, 2025 differs from the U.S. federal statutory income tax rate of 21% primarily due to discrete items related to stock-based compensation and uncertain tax positions, partially offset by research and development credits. The primary difference between the Company’s effective tax rate and the statutory federal income tax rate for the three and six months ended June 30, 2024 was the full valuation allowance previously maintained on the Company’s federal, state and foreign deferred tax attributes. During the three months ended December 31, 2024, the Company concluded that it was more likely than not that the Company will be able to fully realize its net U.S. Federal and majority state deferred tax assets, with a significant improvement in the Company’s profitability, coupled with anticipated future earnings, deemed to provide positive evidence to support sufficient taxable income in future periods, and accordingly recorded a valuation allowance release. The Company continues to maintain a valuation allowance on its California deferred tax assets, which consist primarily of tax credits, as of June 30, 2025. The Company’s judgment regarding the likelihood of realization of its deferred tax assets could change in future periods, which could result in a material impact in the Company’s income tax provision in the period of change.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tax reform legislation through An Act to Provide for Reconciliation Pursuant to Title II of H. Con. Res. 14, commonly known as the One Big Beautiful Bill Act. Included in this legislation are provisions that allow for the immediate expensing of domestic U.S. research and development expenses, immediate expensing of certain capital expenditures, and other changes to the U.S. taxation of profits derived from foreign operations. The Company continues to evaluate the impact the new legislation will have on the Company’s condensed consolidated financial statements, and is not able to quantify the impact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8.Net Income (Loss) Per Basic and Diluted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basic and diluted per share computations for net income (loss) attributable to common stockholders:</w:t>
      </w:r>
    </w:p>
    <w:tbl>
      <w:tblPr>
        <w:tblW w:w="10205" w:type="dxa"/>
        <w:jc w:val="left"/>
        <w:tblInd w:w="0" w:type="dxa"/>
        <w:tblLayout w:type="fixed"/>
        <w:tblCellMar>
          <w:top w:w="28" w:type="dxa"/>
          <w:left w:w="28" w:type="dxa"/>
          <w:bottom w:w="28" w:type="dxa"/>
          <w:right w:w="28" w:type="dxa"/>
        </w:tblCellMar>
      </w:tblPr>
      <w:tblGrid>
        <w:gridCol w:w="2022"/>
        <w:gridCol w:w="1683"/>
        <w:gridCol w:w="1691"/>
        <w:gridCol w:w="109"/>
        <w:gridCol w:w="109"/>
        <w:gridCol w:w="109"/>
        <w:gridCol w:w="211"/>
        <w:gridCol w:w="511"/>
        <w:gridCol w:w="109"/>
        <w:gridCol w:w="109"/>
        <w:gridCol w:w="109"/>
        <w:gridCol w:w="109"/>
        <w:gridCol w:w="211"/>
        <w:gridCol w:w="576"/>
        <w:gridCol w:w="109"/>
        <w:gridCol w:w="109"/>
        <w:gridCol w:w="109"/>
        <w:gridCol w:w="109"/>
        <w:gridCol w:w="211"/>
        <w:gridCol w:w="511"/>
        <w:gridCol w:w="109"/>
        <w:gridCol w:w="109"/>
        <w:gridCol w:w="109"/>
        <w:gridCol w:w="109"/>
        <w:gridCol w:w="211"/>
        <w:gridCol w:w="576"/>
        <w:gridCol w:w="156"/>
      </w:tblGrid>
      <w:tr>
        <w:trPr/>
        <w:tc>
          <w:tcPr>
            <w:tcW w:w="202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dilutive RSUs, stock options and ESPP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common stock equivalents were excluded from the computation of diluted net income (loss) per share because including them would have been antidilutive:</w:t>
      </w:r>
    </w:p>
    <w:tbl>
      <w:tblPr>
        <w:tblW w:w="8489" w:type="dxa"/>
        <w:jc w:val="left"/>
        <w:tblInd w:w="0" w:type="dxa"/>
        <w:tblLayout w:type="fixed"/>
        <w:tblCellMar>
          <w:top w:w="28" w:type="dxa"/>
          <w:left w:w="28" w:type="dxa"/>
          <w:bottom w:w="28" w:type="dxa"/>
          <w:right w:w="28" w:type="dxa"/>
        </w:tblCellMar>
      </w:tblPr>
      <w:tblGrid>
        <w:gridCol w:w="1621"/>
        <w:gridCol w:w="1425"/>
        <w:gridCol w:w="1439"/>
        <w:gridCol w:w="109"/>
        <w:gridCol w:w="109"/>
        <w:gridCol w:w="109"/>
        <w:gridCol w:w="203"/>
        <w:gridCol w:w="203"/>
        <w:gridCol w:w="178"/>
        <w:gridCol w:w="178"/>
        <w:gridCol w:w="178"/>
        <w:gridCol w:w="178"/>
        <w:gridCol w:w="203"/>
        <w:gridCol w:w="203"/>
        <w:gridCol w:w="178"/>
        <w:gridCol w:w="109"/>
        <w:gridCol w:w="109"/>
        <w:gridCol w:w="109"/>
        <w:gridCol w:w="203"/>
        <w:gridCol w:w="203"/>
        <w:gridCol w:w="156"/>
        <w:gridCol w:w="154"/>
        <w:gridCol w:w="154"/>
        <w:gridCol w:w="154"/>
        <w:gridCol w:w="203"/>
        <w:gridCol w:w="203"/>
        <w:gridCol w:w="218"/>
      </w:tblGrid>
      <w:tr>
        <w:trPr/>
        <w:tc>
          <w:tcPr>
            <w:tcW w:w="1621"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stock options and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NerdWallet provides trustworthy financial guidance to consumers and small and mid-sized businesses (SMBs).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mission is to provide clarity for all of life’s financial decisions.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vision is a world where everyone makes financial decisions with confidence.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personal finance website, app, and financial service provider, NerdWallet provides consumers—both individuals and SMBs—with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for consumers in the U.S., United Kingdom, Canada and Australia.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non-GAAP financial measures we use to evaluate our business.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non-GAAP operating income (loss) and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pStyle w:val="TextBody"/>
        <w:bidi w:val="0"/>
        <w:spacing w:lineRule="auto" w:line="288" w:before="0" w:after="180"/>
        <w:ind w:left="0" w:right="0" w:firstLine="360"/>
        <w:jc w:val="both"/>
        <w:rPr/>
      </w:pPr>
      <w:r>
        <w:rPr>
          <w:rFonts w:ascii="Times New Roman;serif" w:hAnsi="Times New Roman;serif"/>
          <w:b/>
          <w:i/>
          <w:color w:val="000000"/>
          <w:sz w:val="20"/>
        </w:rPr>
        <w:t>Non-GAAP operating income (loss):</w:t>
      </w:r>
      <w:r>
        <w:rPr>
          <w:color w:val="000000"/>
        </w:rPr>
        <w:t xml:space="preserve"> </w:t>
      </w:r>
      <w:r>
        <w:rPr>
          <w:rFonts w:ascii="Times New Roman;serif" w:hAnsi="Times New Roman;serif"/>
          <w:b w:val="false"/>
          <w:color w:val="000000"/>
          <w:sz w:val="20"/>
        </w:rPr>
        <w:t>We define non-GAAP operating income (loss) as income (loss) from operations adjusted to exclude depreciation and amortization, and further exclude (1) impairment of right-of-use asset, (2) losses (gains) on disposals of assets, (3) change in fair value of contingent consideration related to earnouts, (4) deferred compensation related to earnouts, (5) acquisition-related costs, and (6) restructuring charges. We also reduce income from operations, or increase loss from operations, for capitalized internally developed software costs.</w:t>
      </w:r>
    </w:p>
    <w:p>
      <w:pPr>
        <w:pStyle w:val="TextBody"/>
        <w:bidi w:val="0"/>
        <w:spacing w:lineRule="auto" w:line="288" w:before="0" w:after="180"/>
        <w:ind w:left="0" w:right="0" w:firstLine="360"/>
        <w:jc w:val="both"/>
        <w:rPr/>
      </w:pPr>
      <w:r>
        <w:rPr>
          <w:rFonts w:ascii="Times New Roman;serif" w:hAnsi="Times New Roman;serif"/>
          <w:b/>
          <w:i/>
          <w:color w:val="000000"/>
          <w:sz w:val="20"/>
        </w:rPr>
        <w:t>Adjusted EBITDA:</w:t>
      </w:r>
      <w:r>
        <w:rPr>
          <w:color w:val="000000"/>
        </w:rPr>
        <w:t xml:space="preserve"> </w:t>
      </w:r>
      <w:r>
        <w:rPr>
          <w:rFonts w:ascii="Times New Roman;serif" w:hAnsi="Times New Roman;serif"/>
          <w:b w:val="false"/>
          <w:color w:val="000000"/>
          <w:sz w:val="20"/>
        </w:rPr>
        <w:t xml:space="preserve">We define adjusted EBITDA as net income (loss) from continuing operations adjusted to exclude depreciation and amortization, interest income (expense), net, other gains (losses), net, and provision (benefit) for income taxes, and further exclude (1) impairment of right-of-use asset, (2) losses (gains) on disposals of assets, (3) change in fair value of contingent consideration related to earnouts, (4) deferred compensation related to earnouts, (5) stock-based compensation, (6) acquisition-related costs, and (7) restructuring charges.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financial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Non-GAAP operating income (loss) and adjusted EBITDA exclude certain recurring, non-cash charges, such as amortization of software, depreciation of property and equipment, amortization of intangible assets, impairment of right-of-use asset,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Non-GAAP operating income (loss) and adjusted EBITDA exclude certain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0"/>
        </w:rPr>
        <w:t>Non-GAAP operating income (loss) and adjusted EBITDA exclude restructuring charges primarily consisting of severance payments, stock-based compensation, employee benefits, and related expenses for impacted employees, as well as contract termination costs, associated with our Restructuring Plan;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EBITDA does not reflect interest income (expense) and other gains (losses), net, which include unrealized and realized gains and losses on foreign currency exchange, as well as certain nonrecurring gains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Operations—Results of Operations—Non-GAAP Financial Measures” for reconciliations of non-GAAP operating income (loss) to income (loss) from operations, and adjusted EBITDA to net income (loss), the most directly comparable respective 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our results of operations for the periods presented. The following discussion should be read in conjunction with the condensed consolidated financial statements and related notes included elsewhere in this Quarterly Report on Form 10-Q. </w:t>
      </w:r>
    </w:p>
    <w:tbl>
      <w:tblPr>
        <w:tblW w:w="8022" w:type="dxa"/>
        <w:jc w:val="left"/>
        <w:tblInd w:w="0" w:type="dxa"/>
        <w:tblLayout w:type="fixed"/>
        <w:tblCellMar>
          <w:top w:w="28" w:type="dxa"/>
          <w:left w:w="28" w:type="dxa"/>
          <w:bottom w:w="28" w:type="dxa"/>
          <w:right w:w="28" w:type="dxa"/>
        </w:tblCellMar>
      </w:tblPr>
      <w:tblGrid>
        <w:gridCol w:w="1036"/>
        <w:gridCol w:w="910"/>
        <w:gridCol w:w="91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stock-based compensation as follows:</w:t>
      </w:r>
    </w:p>
    <w:tbl>
      <w:tblPr>
        <w:tblW w:w="6686" w:type="dxa"/>
        <w:jc w:val="left"/>
        <w:tblInd w:w="0" w:type="dxa"/>
        <w:tblLayout w:type="fixed"/>
        <w:tblCellMar>
          <w:top w:w="28" w:type="dxa"/>
          <w:left w:w="28" w:type="dxa"/>
          <w:bottom w:w="28" w:type="dxa"/>
          <w:right w:w="28" w:type="dxa"/>
        </w:tblCellMar>
      </w:tblPr>
      <w:tblGrid>
        <w:gridCol w:w="845"/>
        <w:gridCol w:w="742"/>
        <w:gridCol w:w="752"/>
        <w:gridCol w:w="109"/>
        <w:gridCol w:w="109"/>
        <w:gridCol w:w="109"/>
        <w:gridCol w:w="196"/>
        <w:gridCol w:w="37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w:t>
              <w:br/>
              <w:t>June 30,</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our condensed consolidated statements of operations as a percentage of revenue:</w:t>
      </w:r>
    </w:p>
    <w:tbl>
      <w:tblPr>
        <w:tblW w:w="7387" w:type="dxa"/>
        <w:jc w:val="left"/>
        <w:tblInd w:w="0" w:type="dxa"/>
        <w:tblLayout w:type="fixed"/>
        <w:tblCellMar>
          <w:top w:w="28" w:type="dxa"/>
          <w:left w:w="28" w:type="dxa"/>
          <w:bottom w:w="28" w:type="dxa"/>
          <w:right w:w="28" w:type="dxa"/>
        </w:tblCellMar>
      </w:tblPr>
      <w:tblGrid>
        <w:gridCol w:w="1036"/>
        <w:gridCol w:w="910"/>
        <w:gridCol w:w="919"/>
        <w:gridCol w:w="109"/>
        <w:gridCol w:w="109"/>
        <w:gridCol w:w="109"/>
        <w:gridCol w:w="210"/>
        <w:gridCol w:w="211"/>
        <w:gridCol w:w="318"/>
        <w:gridCol w:w="128"/>
        <w:gridCol w:w="128"/>
        <w:gridCol w:w="128"/>
        <w:gridCol w:w="232"/>
        <w:gridCol w:w="234"/>
        <w:gridCol w:w="389"/>
        <w:gridCol w:w="109"/>
        <w:gridCol w:w="109"/>
        <w:gridCol w:w="109"/>
        <w:gridCol w:w="210"/>
        <w:gridCol w:w="211"/>
        <w:gridCol w:w="279"/>
        <w:gridCol w:w="112"/>
        <w:gridCol w:w="112"/>
        <w:gridCol w:w="112"/>
        <w:gridCol w:w="232"/>
        <w:gridCol w:w="234"/>
        <w:gridCol w:w="388"/>
      </w:tblGrid>
      <w:tr>
        <w:trPr/>
        <w:tc>
          <w:tcPr>
            <w:tcW w:w="10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income from operations of $10.7 million and $11.4 million for the three and six months ended June 30, 2025, as compared to losses from operations of $9.6 million and $5.9 million for the three and six months ended June 30, 2024, respectively, driven by increases in revenue of $36.3 million and $83.6 million which were partially offset by increases of $16.0 million and $66.3 million in operating expenses, primarily attributable to increases of $21.9 million and $73.7 million in sales and marketing expenses, partially offset by decreases of $4.8 million and $8.7 million in research and development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net income of $8.2 million and $8.4 million for the three and six months ended June 30, 2025, as compared to net losses of $9.4 million and $8.3 million for the three and six months ended June 30, 2024, respectively, primarily attributable to income from operations of $10.7 million and $11.4 million for the three and six months ended June 30, 2025, as compared to losses from operations of $9.6 million and $5.9 million for the three and six months ended June 30, 2024, partially offset by a $2.2 million increase in income tax provision for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Revenue</w:t>
      </w:r>
      <w:r>
        <w:rPr>
          <w:color w:val="000000"/>
        </w:rPr>
        <w:t xml:space="preserve"> </w:t>
      </w:r>
    </w:p>
    <w:tbl>
      <w:tblPr>
        <w:tblW w:w="10322" w:type="dxa"/>
        <w:jc w:val="left"/>
        <w:tblInd w:w="0" w:type="dxa"/>
        <w:tblLayout w:type="fixed"/>
        <w:tblCellMar>
          <w:top w:w="28" w:type="dxa"/>
          <w:left w:w="28" w:type="dxa"/>
          <w:bottom w:w="28" w:type="dxa"/>
          <w:right w:w="28" w:type="dxa"/>
        </w:tblCellMar>
      </w:tblPr>
      <w:tblGrid>
        <w:gridCol w:w="362"/>
        <w:gridCol w:w="305"/>
        <w:gridCol w:w="24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188"/>
        <w:gridCol w:w="188"/>
        <w:gridCol w:w="271"/>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0"/>
        <w:gridCol w:w="211"/>
        <w:gridCol w:w="316"/>
      </w:tblGrid>
      <w:tr>
        <w:trPr/>
        <w:tc>
          <w:tcPr>
            <w:tcW w:w="36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SMB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verticals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increased $36.3 million, or 24%, and $83.6 million, or 27%, for the three and six months ended June 30, 2025 compared to the three and six months ended June 30, 2024, respectively, primarily reflecting growth in Insurance products and Emerging verticals revenues, partially offset by lower Credit cards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Insurance revenue includes revenue from consumer insurance products, including auto, life and pet insurance. Insurance revenue increased $25.2 million, or 86%, and $77.8 million, or 153%, for the three and six months ended June 30, 2025, respectively, driven by strong growth in auto insurance products revenue as carriers expanded budgets.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Credit cards revenue consists of revenue from consumer credit cards. Credit cards revenue decreased $11.3 million, or 25%, and $23.3 million, or 24%, for the three and six months ended June 30, 2025, respectively, primarily due to continued pressures in organic search traffic that have persisted for multiple quarters.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SMB products revenue includes revenue from loans, credit cards and other financial products and services intended for small and mid-sized businesses. SMB products revenue decreased $1.1 million, or 4%, and $2.6 million, or 5%, for the three and six months ended June 30, 2025, respectively, primarily due to pressures in organic search traffic.</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Loans revenue includes revenue from personal loans, mortgages, student loans and auto loans. Loans revenue increased $5.8 million, or 27%, and $8.4 million, or 20%, for the three and six months ended June 30, 2025, respectively, primarily due to increases of 29% and 19% in personal loans revenue, respectively, and 32% and 28% in mortgage loans revenue, respectively, as we continue to integrate our acquisition of Next Door Lending LLC (NDL) in October 2024.</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Emerging verticals revenue includes revenue from other product sources, including banking, investing and international. Emerging verticals revenue increased $17.7 million, or 64%, and $23.3 million, or 35%, for the three and six months ended June 30, 2025, respectively, primarily driven by increases of 79% and 46% in banking revenue, respectively, due to higher demand for banking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Costs and Expenses</w:t>
      </w:r>
      <w:r>
        <w:rPr>
          <w:color w:val="000000"/>
        </w:rPr>
        <w:t xml:space="preserve"> </w:t>
      </w:r>
    </w:p>
    <w:tbl>
      <w:tblPr>
        <w:tblW w:w="10652" w:type="dxa"/>
        <w:jc w:val="left"/>
        <w:tblInd w:w="0" w:type="dxa"/>
        <w:tblLayout w:type="fixed"/>
        <w:tblCellMar>
          <w:top w:w="28" w:type="dxa"/>
          <w:left w:w="28" w:type="dxa"/>
          <w:bottom w:w="28" w:type="dxa"/>
          <w:right w:w="28" w:type="dxa"/>
        </w:tblCellMar>
      </w:tblPr>
      <w:tblGrid>
        <w:gridCol w:w="609"/>
        <w:gridCol w:w="443"/>
        <w:gridCol w:w="23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188"/>
        <w:gridCol w:w="188"/>
        <w:gridCol w:w="271"/>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188"/>
        <w:gridCol w:w="188"/>
        <w:gridCol w:w="316"/>
      </w:tblGrid>
      <w:tr>
        <w:trPr/>
        <w:tc>
          <w:tcPr>
            <w:tcW w:w="6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increased $1.7 million, or 11%, and $5.7 million, or 19%, for the three and six months ended June 30, 2025, respectively, compared to the three and six months ended June 30, 2024, primarily due to increases of $0.7 million and $3.7 million primarily related to third-party service charges, and $0.6 million and $1.4 million in amortization expense related to capitalized software development costs.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$4.8 million, or 21%, and $8.7 million, or 20%, for the three and six months ended June 30, 2025 compared to the three and six months ended June 30, 2024, respectively, primarily attributable to decreases of $4.3 million and $8.4 million in personnel-related costs, respectively, for our engineering, data and product management personnel and contractors.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sales and marketing expense, including as a percentage of total sales and marketing expense, are as follows:</w:t>
      </w:r>
    </w:p>
    <w:tbl>
      <w:tblPr>
        <w:tblW w:w="10299" w:type="dxa"/>
        <w:jc w:val="left"/>
        <w:tblInd w:w="0" w:type="dxa"/>
        <w:tblLayout w:type="fixed"/>
        <w:tblCellMar>
          <w:top w:w="28" w:type="dxa"/>
          <w:left w:w="28" w:type="dxa"/>
          <w:bottom w:w="28" w:type="dxa"/>
          <w:right w:w="28" w:type="dxa"/>
        </w:tblCellMar>
      </w:tblPr>
      <w:tblGrid>
        <w:gridCol w:w="407"/>
        <w:gridCol w:w="357"/>
        <w:gridCol w:w="362"/>
        <w:gridCol w:w="109"/>
        <w:gridCol w:w="109"/>
        <w:gridCol w:w="109"/>
        <w:gridCol w:w="211"/>
        <w:gridCol w:w="616"/>
        <w:gridCol w:w="109"/>
        <w:gridCol w:w="109"/>
        <w:gridCol w:w="109"/>
        <w:gridCol w:w="109"/>
        <w:gridCol w:w="210"/>
        <w:gridCol w:w="211"/>
        <w:gridCol w:w="271"/>
        <w:gridCol w:w="109"/>
        <w:gridCol w:w="109"/>
        <w:gridCol w:w="109"/>
        <w:gridCol w:w="211"/>
        <w:gridCol w:w="616"/>
        <w:gridCol w:w="109"/>
        <w:gridCol w:w="109"/>
        <w:gridCol w:w="109"/>
        <w:gridCol w:w="109"/>
        <w:gridCol w:w="210"/>
        <w:gridCol w:w="211"/>
        <w:gridCol w:w="271"/>
        <w:gridCol w:w="109"/>
        <w:gridCol w:w="109"/>
        <w:gridCol w:w="109"/>
        <w:gridCol w:w="211"/>
        <w:gridCol w:w="616"/>
        <w:gridCol w:w="109"/>
        <w:gridCol w:w="109"/>
        <w:gridCol w:w="109"/>
        <w:gridCol w:w="109"/>
        <w:gridCol w:w="210"/>
        <w:gridCol w:w="211"/>
        <w:gridCol w:w="271"/>
        <w:gridCol w:w="109"/>
        <w:gridCol w:w="109"/>
        <w:gridCol w:w="109"/>
        <w:gridCol w:w="211"/>
        <w:gridCol w:w="616"/>
        <w:gridCol w:w="109"/>
        <w:gridCol w:w="109"/>
        <w:gridCol w:w="109"/>
        <w:gridCol w:w="109"/>
        <w:gridCol w:w="210"/>
        <w:gridCol w:w="211"/>
        <w:gridCol w:w="316"/>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Organic and other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able to adjust our marketing spend to reflect changes in external factors and consumer behavior.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$21.9 million, or 21%, and $73.7 million, or 34%, for the three and six months ended June 30, 2025 compared to the three and six months ended June 30, 2024, respectively, primarily due to increases of $30.0 million and $73.0 million in performance marketing expenses, respectively, as well as a $6.7 million decrease in brand marketing expenses for the three months ended June 30, 2025.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$2.8 million, or 17%, and $4.4 million, or 14%, for the three and six months ended June 30, 2025, as compared to the three and six months ended June 30, 2024, respectively, primarily attributable to decreases of $2.2 million and $4.6 million in personnel-related costs,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632"/>
        <w:gridCol w:w="525"/>
        <w:gridCol w:w="532"/>
        <w:gridCol w:w="109"/>
        <w:gridCol w:w="109"/>
        <w:gridCol w:w="109"/>
        <w:gridCol w:w="211"/>
        <w:gridCol w:w="406"/>
        <w:gridCol w:w="109"/>
        <w:gridCol w:w="109"/>
        <w:gridCol w:w="109"/>
        <w:gridCol w:w="109"/>
        <w:gridCol w:w="211"/>
        <w:gridCol w:w="406"/>
        <w:gridCol w:w="109"/>
        <w:gridCol w:w="109"/>
        <w:gridCol w:w="109"/>
        <w:gridCol w:w="109"/>
        <w:gridCol w:w="211"/>
        <w:gridCol w:w="464"/>
        <w:gridCol w:w="109"/>
        <w:gridCol w:w="109"/>
        <w:gridCol w:w="109"/>
        <w:gridCol w:w="109"/>
        <w:gridCol w:w="188"/>
        <w:gridCol w:w="188"/>
        <w:gridCol w:w="314"/>
        <w:gridCol w:w="109"/>
        <w:gridCol w:w="109"/>
        <w:gridCol w:w="109"/>
        <w:gridCol w:w="211"/>
        <w:gridCol w:w="406"/>
        <w:gridCol w:w="109"/>
        <w:gridCol w:w="109"/>
        <w:gridCol w:w="109"/>
        <w:gridCol w:w="109"/>
        <w:gridCol w:w="211"/>
        <w:gridCol w:w="406"/>
        <w:gridCol w:w="109"/>
        <w:gridCol w:w="109"/>
        <w:gridCol w:w="109"/>
        <w:gridCol w:w="109"/>
        <w:gridCol w:w="211"/>
        <w:gridCol w:w="464"/>
        <w:gridCol w:w="109"/>
        <w:gridCol w:w="109"/>
        <w:gridCol w:w="109"/>
        <w:gridCol w:w="109"/>
        <w:gridCol w:w="188"/>
        <w:gridCol w:w="188"/>
        <w:gridCol w:w="362"/>
      </w:tblGrid>
      <w:tr>
        <w:trPr/>
        <w:tc>
          <w:tcPr>
            <w:tcW w:w="63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$0.5 million, or 29%, and $1.0 million, or 41%, for the three and six months ended June 30, 2025 compared to the three and six months ended June 30, 2024, respectively, primarily attributable to lower interest income reflecting lower interest rates and average cash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Company’s tax provision for the six months ended June 30, 2025 was determined using an estimated annual effective tax rate which was adjusted for discrete items occurring during the period. The Company’s tax provision for the six months ended June 30, 2024 was determined using a discrete effective tax rate method, as allowed by ASC Topic 740-270, </w:t>
      </w:r>
      <w:r>
        <w:rPr>
          <w:rFonts w:ascii="Times New Roman;serif" w:hAnsi="Times New Roman;serif"/>
          <w:b w:val="false"/>
          <w:i/>
          <w:color w:val="000000"/>
          <w:sz w:val="20"/>
        </w:rPr>
        <w:t xml:space="preserve">Income Taxes, Interim Reporting, </w:t>
      </w:r>
      <w:r>
        <w:rPr>
          <w:rFonts w:ascii="Times New Roman;serif" w:hAnsi="Times New Roman;serif"/>
          <w:b w:val="false"/>
          <w:color w:val="000000"/>
          <w:sz w:val="20"/>
        </w:rPr>
        <w:t>as the Company had determined that small changes in estimated “ordinary” income would have resulted in significant changes in the estimated annual effective tax rate.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income tax provisions of $3.3 million and $4.4 million for the three and six months ended June 30, 2025, respectively, and $1.1 million and $4.8 million for the three and six months ended June 30, 2024, respectively. Our effective tax rate was 28.9% and 34.5% for the three and six months ended June 30, 2025 and (13.7%) and (138.6%) for the three and six months ended June 30, 2024, respectively. Our effective tax rate for the three and six months ended June 30, 2025 differs from the U.S. federal statutory income tax rate of 21% primarily due to discrete items related to stock-based compensation and uncertain tax positions, partially offset by research and development credits. Our effective tax rate for the three and six months ended June 30, 2024 differed from the U.S. federal statutory income tax rate of 21% primarily due to the valuation allowance previously maintained against our net U.S. deferred tax assets and state taxes, partially offset by research and development credits.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our ongoing assessment of all available evidence, both positive and negative, including consideration of our historical profitability and the estimated impact of our operating model on future profitability, we concluded that it was more likely than not that our U.S. federal and majority state deferred tax assets are realizable, resulting in a valuation allowance release for federal and states, other than California, during the three months ended December 31, 2024. We continue to maintain a valuation allowance on our California deferred tax assets, which consist primarily of tax credits, as of June 30, 2025. Our judgment regarding the likelihood of realization of these deferred tax assets could change in future periods, which could result in a material impact to our income tax provision in the period of change.</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tax reform legislation through An Act to Provide for Reconciliation Pursuant to Title II of H. Con. Res. 14, commonly known as the One Big Beautiful Bill Act. Included in this legislation are provisions that allow for the immediate expensing of domestic U.S. research and development expenses, immediate expensing of certain capital expenditures, and other changes to the U.S. taxation of profits derived from foreign operations. We continue to evaluate the impact the new legislation will have on our condensed consolidated financial statements, and are not able to quantify the impact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compensate for these limitations by reconciling non-GAAP operating income (loss) to income (loss) from operations, and adjusted EBITDA to net income (loss), the most comparable GAAP financial measures, as follows:</w:t>
      </w:r>
    </w:p>
    <w:tbl>
      <w:tblPr>
        <w:tblW w:w="9480" w:type="dxa"/>
        <w:jc w:val="left"/>
        <w:tblInd w:w="0" w:type="dxa"/>
        <w:tblLayout w:type="fixed"/>
        <w:tblCellMar>
          <w:top w:w="28" w:type="dxa"/>
          <w:left w:w="28" w:type="dxa"/>
          <w:bottom w:w="28" w:type="dxa"/>
          <w:right w:w="28" w:type="dxa"/>
        </w:tblCellMar>
      </w:tblPr>
      <w:tblGrid>
        <w:gridCol w:w="1436"/>
        <w:gridCol w:w="1262"/>
        <w:gridCol w:w="1277"/>
        <w:gridCol w:w="109"/>
        <w:gridCol w:w="109"/>
        <w:gridCol w:w="109"/>
        <w:gridCol w:w="211"/>
        <w:gridCol w:w="526"/>
        <w:gridCol w:w="271"/>
        <w:gridCol w:w="109"/>
        <w:gridCol w:w="109"/>
        <w:gridCol w:w="109"/>
        <w:gridCol w:w="211"/>
        <w:gridCol w:w="526"/>
        <w:gridCol w:w="331"/>
        <w:gridCol w:w="109"/>
        <w:gridCol w:w="109"/>
        <w:gridCol w:w="109"/>
        <w:gridCol w:w="211"/>
        <w:gridCol w:w="526"/>
        <w:gridCol w:w="271"/>
        <w:gridCol w:w="109"/>
        <w:gridCol w:w="109"/>
        <w:gridCol w:w="109"/>
        <w:gridCol w:w="211"/>
        <w:gridCol w:w="526"/>
        <w:gridCol w:w="376"/>
      </w:tblGrid>
      <w:tr>
        <w:trPr/>
        <w:tc>
          <w:tcPr>
            <w:tcW w:w="143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(5.9)</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Non-GAAP operating income (loss) margin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(8.3)</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39.8</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non-GAAP operating income (loss) as a percentage of revenue.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adjusted EBITDA as a percentage of revenue.</w:t>
      </w:r>
    </w:p>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Operations—Results of Operations” for a discussion of the changes in income (loss) from operations and net income (loss) for the three and six months ended June 30, 2025 compared to the three and six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non-GAAP operating income of $20.7 million for the three months ended June 30, 2025 as compared to a non-GAAP operating loss of $2.7 million for the three months ended June 30, 2024, while non-GAAP operating income increased $22.1 million, or 281%, for the six months ended June 30, 2025 as compared to the six months ended June 30, 2024. The changes in non-GAAP operating income are primarily attributable to income from operations of $10.7 million and $11.4 million for the three and six months ended June 30, 2025, as compared to losses from operations of $9.6 million and $5.9 million for the three and six months ended June 30, 2024, partially offset by decreases of $2.0 million and $3.1 million in capitalized internally developed software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increased $19.3 million, or 135%, and $14.9 million, or 37%, for the three and six months ended June 30, 2025 compared to the three and six months ended June 30, 2024, respectively, primarily attributable to net income of $8.2 million and $8.4 million for the three and six months ended June 30, 2025, as compared to net losses of $9.4 million and $8.3 million for the three and six months ended June 30, 2024, respectively. Additionally, adjustments to reconcile adjusted EBITDA to net income increased $1.7 million for the three months ended June 30, 2025 and decreased $1.8 million for the six months ended June 30, 2025, primarily reflecting decreases of $2.1 million and $4.1 million in stock-based compensation, partially offset by the impacts of decreases of $0.7 million and $1.3 million in net interest income, increases of $0.5 million and $1.2 million in depreciation and amortization, and, for the six months ended June 30, 2025, a $2.2 million increase in income tax provision.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to meet our business requirements and plans, both in the short-term (i.e., the next twelve months from June 30, 2025) and long-term (i.e., beyond the next twelve months), have historically been cash generated from operations. Our primary liquidity needs are related to the funding of general business requirements, including working capital requirements, research and development, and capital expenditures, as well as other liquidity requirements including, but not limited to, business combinations.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we had cash and cash equivalents of $105.3 million and $66.3 million,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Known Contractual and Other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description of contractual commitments as of June 30, 2025 is included in Note 5–Commitments and Contingencies in the notes to our condensed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 broadly, we also have purchase obligations under contractual arrangements with vendors and service providers, including for certain web-hosting and cloud computing services and advertising, which do not qualify for recognition on our condensed consolidated balance sheets but which we consider non-cancellable. During the six months ended June 30, 2025, there have been no material changes in our purchase obligations as disclosed in “Management’s Discussion and Analysis of Financial Condition and Results of Operations–Liquidity and Capital Resources” in our Annual Report on Form 10-K for the year ended December 31, 2024.</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Trends, Uncertainties and Anticipated Sources of Funds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grow our business, we intend to make significant investments in our business, which may result in increases in our personnel and related expenses.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pPr>
      <w:r>
        <w:rPr>
          <w:rFonts w:ascii="Times New Roman;serif" w:hAnsi="Times New Roman;serif"/>
          <w:b/>
          <w:i/>
          <w:color w:val="000000"/>
          <w:sz w:val="20"/>
        </w:rPr>
        <w:t xml:space="preserve">Share Repurchase Program: </w:t>
      </w:r>
      <w:r>
        <w:rPr>
          <w:rFonts w:ascii="Times New Roman;serif" w:hAnsi="Times New Roman;serif"/>
          <w:b w:val="false"/>
          <w:color w:val="000000"/>
          <w:sz w:val="20"/>
        </w:rPr>
        <w:t>We maintain a plan, authorized by our Board of Directors in May 2023 with subsequent additional share repurchase authorizations as approved by our Board of Directors, under which we may repurchase shares of our Class A common stock (collectively, the Repurchase Program). Subject to market conditions and other factors, the Repurchase Program is intended to make opportunistic repurchases of our Class A common stock to reduce our outstanding share count. Under the Repurchase Program, shares of Class A common stock may be repurchased in the open market through privately negotiated transactions or otherwise, in accordance with applicable securities laws and other restrictions. The Repurchase Program does not have fixed expiration dates and does not obligate us to acquire any specific number of shares. The timing and terms of any repurchases are at management’s discretion and depend on a variety of factors, including business, economic and market conditions, regulatory requirements, prevailing stock prices and other considerations. Additionally, we may, from time to time, enter into Rule 10b-5 trading plans to facilitate repurchases. Shares repurchased under the Repurchase Programs are retired. We expect to fund repurchases with existing cash and cash equivalents. We did not repurchase any shares of Class A common stock during the six months ended June 30, 2025. We paid $0.3 million of excise taxes during the six months ended June 30, 2025 which related to previous share repurchases.</w:t>
      </w:r>
    </w:p>
    <w:p>
      <w:pPr>
        <w:pStyle w:val="TextBody"/>
        <w:bidi w:val="0"/>
        <w:spacing w:lineRule="auto" w:line="288" w:before="0" w:after="180"/>
        <w:ind w:left="0" w:right="0" w:firstLine="360"/>
        <w:jc w:val="both"/>
        <w:rPr/>
      </w:pPr>
      <w:r>
        <w:rPr>
          <w:rFonts w:ascii="Times New Roman;serif" w:hAnsi="Times New Roman;serif"/>
          <w:b/>
          <w:i/>
          <w:color w:val="000000"/>
          <w:sz w:val="20"/>
        </w:rPr>
        <w:t>Credit Facility:</w:t>
      </w:r>
      <w:r>
        <w:rPr>
          <w:color w:val="000000"/>
        </w:rPr>
        <w:t xml:space="preserve"> </w:t>
      </w:r>
      <w:r>
        <w:rPr>
          <w:rFonts w:ascii="Times New Roman;serif" w:hAnsi="Times New Roman;serif"/>
          <w:b w:val="false"/>
          <w:color w:val="000000"/>
          <w:sz w:val="20"/>
        </w:rPr>
        <w:t>We, including three of our wholly-owned subsidiaries, maintain a credit agreement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The Credit Facility matures on September 26, 2028. We had no outstanding balance on our Credit Agreement as of June 30, 2025 or December 31, 2024. The available amount to borrow under our Credit Agreement was $123.9 million at both June 30, 2025 and December 31, 2024, which was equal to the available amount under the credit agreement of $125.0 million, net of letters of credit of $1.1 million. Our Credit Agreement contains certain customary financial and non-financial covenants. We were in compliance with all covenants as of June 30, 2025 and December 31, 2024.</w:t>
      </w:r>
    </w:p>
    <w:p>
      <w:pPr>
        <w:pStyle w:val="TextBody"/>
        <w:bidi w:val="0"/>
        <w:spacing w:lineRule="auto" w:line="288" w:before="0" w:after="180"/>
        <w:ind w:left="0" w:right="0" w:firstLine="360"/>
        <w:jc w:val="both"/>
        <w:rPr/>
      </w:pPr>
      <w:r>
        <w:rPr>
          <w:rFonts w:ascii="Times New Roman;serif" w:hAnsi="Times New Roman;serif"/>
          <w:b/>
          <w:i/>
          <w:color w:val="000000"/>
          <w:sz w:val="20"/>
        </w:rPr>
        <w:t xml:space="preserve">Warehouse Line of Credit: </w:t>
      </w:r>
      <w:r>
        <w:rPr>
          <w:rFonts w:ascii="Times New Roman;serif" w:hAnsi="Times New Roman;serif"/>
          <w:b w:val="false"/>
          <w:color w:val="000000"/>
          <w:sz w:val="20"/>
        </w:rPr>
        <w:t>NDL, a wholly-owned subsidiary, maintains a $15.0 million warehouse line of credit to provide NDL short-term funding for mortgage loans originated for sale. Borrowings under the warehouse line of credit bear interest at the greater of the interest rate of the underlying mortgage loans held for sale or a minimum rate of 6%, and are secured by the underlying promissory notes of the mortgage loans held for sale as well as NDL’s other assets. The warehouse line of credit matures on February 1, 2026. NDL had $11.3 million outstanding under the warehouse line of credit as of June 30, 2025, which is included in accrued expenses and other current liabilities on our condensed consolidated balance sheet. The warehouse line of credit requires NDL to comply with certain minimum tangible net worth, liquidity, and insurance requirements. NDL was in compliance with all covenants as of June 30, 2025 and December 31, 2024.</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current cash and cash equivalents and future cash flow from operations, as well as access to our Credit Agreement, will be sufficient to meet our ongoing working capital, capital expenditure and other liquidity requirements for the next twelve months and beyond.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180"/>
        <w:jc w:val="both"/>
        <w:rPr>
          <w:rFonts w:ascii="Times New Roman;serif" w:hAnsi="Times New Roman;serif"/>
          <w:b/>
          <w:i/>
          <w:color w:val="000000"/>
          <w:sz w:val="20"/>
        </w:rPr>
      </w:pPr>
      <w:r>
        <w:rPr>
          <w:rFonts w:ascii="Times New Roman;serif" w:hAnsi="Times New Roman;serif"/>
          <w:b/>
          <w:i/>
          <w:color w:val="000000"/>
          <w:sz w:val="20"/>
        </w:rPr>
        <w:t>Sources and Uses of Capital Resources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7445" w:type="dxa"/>
        <w:jc w:val="left"/>
        <w:tblInd w:w="0" w:type="dxa"/>
        <w:tblLayout w:type="fixed"/>
        <w:tblCellMar>
          <w:top w:w="28" w:type="dxa"/>
          <w:left w:w="28" w:type="dxa"/>
          <w:bottom w:w="28" w:type="dxa"/>
          <w:right w:w="28" w:type="dxa"/>
        </w:tblCellMar>
      </w:tblPr>
      <w:tblGrid>
        <w:gridCol w:w="1837"/>
        <w:gridCol w:w="1615"/>
        <w:gridCol w:w="1632"/>
        <w:gridCol w:w="109"/>
        <w:gridCol w:w="109"/>
        <w:gridCol w:w="109"/>
        <w:gridCol w:w="211"/>
        <w:gridCol w:w="511"/>
        <w:gridCol w:w="109"/>
        <w:gridCol w:w="109"/>
        <w:gridCol w:w="109"/>
        <w:gridCol w:w="109"/>
        <w:gridCol w:w="211"/>
        <w:gridCol w:w="511"/>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$11.3 million in the six months ended June 30, 2025 compared to the six months ended June 30, 2024, primarily driven by net income of $8.4 million for the six months ended June 30, 2025, as compared to a net loss of $8.3 million for the six months ended June 30, 2024, partially offset by a $5.1 million decrease in non-cash charges. The decrease in non-cash charges was primarily due to decreases of $4.1 million in stock-based compensation and $3.2 million in deferred taxes, partially offset by increases of $1.2 million in depreciation and amortization and $0.8 million in other, net.</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$5.2 million in the six months ended June 30, 2025 compared to the six months ended June 30, 2024, primarily due to an $8.1 million purchase of an investment in the six months ended June 30, 2024, and a $2.7 million decrease in capitalized software development costs, partially offset by $5.0 million of cash paid for an acquisition.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net cash provided by financing activities of $8.9 million for the six months ended June 30, 2025, as compared to net cash used in financing activities of $0.4 million for the six months ended June 30, 2024, with the change primarily due to $8.7 million of short-term borrowings under a warehouse line of credit and $1.0 million from issuance of Class A common stock under our Employee Stock Purchase Plan, both during the six months ended June 30, 2025, partially offset by a $1.8 million decrease from exercises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there have been no material changes in our critical accounting policies as disclosed in “Management’s Discussion and Analysis of Financial Condition and Results of Operations–Critical Accounting Policies and Estimates”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there were no material changes from the market risk disclosures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Item 4. Controls and Procedures.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June 30, 2025. Based on that evaluation, the Chief Executive Officer and the Chief Financial Officer concluded that these disclosure controls and procedures were effective as of June 30,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identified in connection with the evaluation required by Rules 13a-15(d) and 15d-15(d) of the Exchange Act that occurred during the quarter ended June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40" w:before="12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5–Commitments and Contingencies in the notes to condensed consolidated financial statements in Item 1 of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2024 and in our subsequent periodic filings with the Securities and Exchange Commission.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Risks Related to Our Investment Advisory Businesses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has expanded to provide investment management services, including direct management of client assets, subjecting us to extensive regulation under both the federal laws, such as the Investment Advisers Act of 1940, and the laws, rules, and regulations of the jurisdictions where we conduct business. Our ability to conduct business in the jurisdictions in which we will operate depends on our compliance with the laws, rules, and regulations promulgated by the federal regulatory bodies and the regulatory authorities in each of the states and other jurisdictions in which we do business. Periodic SEC and state examinations could result in fines, restrictions, or reputational damage if our policies, disclosures, or marketing fall short. Key risks include:</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Regulatory scrutiny</w:t>
      </w:r>
      <w:r>
        <w:rPr>
          <w:rFonts w:ascii="Times New Roman;serif" w:hAnsi="Times New Roman;serif"/>
          <w:b w:val="false"/>
          <w:color w:val="000000"/>
          <w:sz w:val="20"/>
        </w:rPr>
        <w:t>. Our ability to comply with all applicable laws, rules, regulations, and interpretations is largely dependent on our establishment and maintenance of compliance, audit, and reporting systems and procedures, which is dependent on our ability to attract and retain qualified compliance, audit, supervisory, and risk management personnel.</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Fiduciary liability</w:t>
      </w:r>
      <w:r>
        <w:rPr>
          <w:rFonts w:ascii="Times New Roman;serif" w:hAnsi="Times New Roman;serif"/>
          <w:b w:val="false"/>
          <w:color w:val="000000"/>
          <w:sz w:val="20"/>
        </w:rPr>
        <w:t>. Failures in know-your-customer processes, portfolio management, or conflict management could trigger client losses, lawsuits, fee rescission, or enforcement actions.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Third-party dependence</w:t>
      </w:r>
      <w:r>
        <w:rPr>
          <w:rFonts w:ascii="Times New Roman;serif" w:hAnsi="Times New Roman;serif"/>
          <w:b w:val="false"/>
          <w:color w:val="000000"/>
          <w:sz w:val="20"/>
        </w:rPr>
        <w:t>. We rely on custodians, clearing brokers, and tech vendors. Service disruptions, cyber incidents, or vendor failures could impair client service and expose us to liability.</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Operational resilience</w:t>
      </w:r>
      <w:r>
        <w:rPr>
          <w:rFonts w:ascii="Times New Roman;serif" w:hAnsi="Times New Roman;serif"/>
          <w:b w:val="false"/>
          <w:color w:val="000000"/>
          <w:sz w:val="20"/>
        </w:rPr>
        <w:t>. Managing assets at scale requires robust trading, risk, reporting, and cybersecurity systems; deficiencies could disrupt service and invite sanctions.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Evolving rules</w:t>
      </w:r>
      <w:r>
        <w:rPr>
          <w:rFonts w:ascii="Times New Roman;serif" w:hAnsi="Times New Roman;serif"/>
          <w:b w:val="false"/>
          <w:color w:val="000000"/>
          <w:sz w:val="20"/>
        </w:rPr>
        <w:t>. New custody, marketing, or best-interest standards could raise compliance costs or limit growth. Our educational tools and digital engagement may also be deemed investment advice, increasing exposure.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assure you that our systems and procedures will be effective in complying with all applicable laws, rules, and regulations, and interpretations. Because these advisory activities involve custodial control and fiduciary obligations, any adverse event could materially affect our reputation, revenues,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Securities Trading Plans of Directors or Executive Officers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 following directors or officers (as defined in Rule 16a-1 of the Exchange Act) adopted, modified or terminated a Rule 10b5-1 trading arrangement or a non-Rule 10b5-1 trading arrangement (as such terms are defined under Item 408 of Regulation S-K) as set forth below:</w:t>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2025, Jennifer Ceran, a member of our Board of Directors, adopted a Rule 10b5-1 trading plan providing for the potential sale of up to 40,000 shares of Class A common stock and is set to expire on May 27, 2026. </w:t>
      </w:r>
    </w:p>
    <w:p>
      <w:pPr>
        <w:pStyle w:val="TextBody"/>
        <w:bidi w:val="0"/>
        <w:spacing w:lineRule="auto" w:line="276"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29, 2025, Nicholas Tatum, Chief Accounting Officer, adopted a Rule 10b5-1 trading plan providing for the potential sale of up to 11,983 shares of Class A common stock, set to expire on July 10,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10, 2025, The Yount Family Revocable Trust, of which Samuel Yount, Chief Business Officer, is trustee, terminated a Rule 10b5-1 trading plan that was set to expire on December 12,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10, 2025, Bearman LLC, of which, Samuel Yount, Chief Business Officer, is the sole member, terminated a Rule 10b5-1 trading plan that was set to expire on December 12,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10, 2025, The SMB Charitable Remainder Trust of which, Samuel Yount, Chief Business Officer, is trustee, terminated a Rule 10b5-1 trading plan that was set to expire on December 12,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10, 2025, The Margaret Yount Charitable Remainder Trust, of which, Samuel Yount, Chief Business Officer, is trustee, terminated a Rule 10b5-1 trading plan that was set to expire on December 12,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Exhibits. </w:t>
      </w:r>
    </w:p>
    <w:tbl>
      <w:tblPr>
        <w:tblW w:w="10205" w:type="dxa"/>
        <w:jc w:val="left"/>
        <w:tblInd w:w="0" w:type="dxa"/>
        <w:tblLayout w:type="fixed"/>
        <w:tblCellMar>
          <w:top w:w="28" w:type="dxa"/>
          <w:left w:w="28" w:type="dxa"/>
          <w:bottom w:w="28" w:type="dxa"/>
          <w:right w:w="28" w:type="dxa"/>
        </w:tblCellMar>
      </w:tblPr>
      <w:tblGrid>
        <w:gridCol w:w="281"/>
        <w:gridCol w:w="247"/>
        <w:gridCol w:w="249"/>
        <w:gridCol w:w="109"/>
        <w:gridCol w:w="109"/>
        <w:gridCol w:w="109"/>
        <w:gridCol w:w="2492"/>
        <w:gridCol w:w="2492"/>
        <w:gridCol w:w="2496"/>
        <w:gridCol w:w="109"/>
        <w:gridCol w:w="109"/>
        <w:gridCol w:w="109"/>
        <w:gridCol w:w="418"/>
        <w:gridCol w:w="360"/>
        <w:gridCol w:w="516"/>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7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Location</w:t>
            </w:r>
          </w:p>
        </w:tc>
      </w:tr>
      <w:tr>
        <w:trPr/>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exhibit101limitedconsent.htm">
              <w:r>
                <w:rPr>
                  <w:rStyle w:val="InternetLink"/>
                  <w:rFonts w:ascii="Times New Roman;serif" w:hAnsi="Times New Roman;serif"/>
                  <w:b w:val="false"/>
                  <w:color w:val="000080"/>
                  <w:sz w:val="20"/>
                  <w:u w:val="single"/>
                </w:rPr>
                <w:t>Limited Consent, Waiver and Third Amendment to Credit Agreement</w:t>
              </w:r>
            </w:hyperlink>
            <w:hyperlink w:anchor="exhibit101limitedconsent.htm">
              <w:r>
                <w:rPr>
                  <w:rStyle w:val="InternetLink"/>
                  <w:rFonts w:ascii="Times New Roman;serif" w:hAnsi="Times New Roman;serif"/>
                  <w:b w:val="false"/>
                  <w:color w:val="000080"/>
                  <w:sz w:val="20"/>
                  <w:u w:val="single"/>
                </w:rPr>
                <w:t xml:space="preserve"> dated June 13,</w:t>
              </w:r>
            </w:hyperlink>
            <w:hyperlink w:anchor="exhibit101limitedconsent.htm">
              <w:r>
                <w:rPr>
                  <w:rStyle w:val="InternetLink"/>
                  <w:rFonts w:ascii="Times New Roman;serif" w:hAnsi="Times New Roman;serif"/>
                  <w:b w:val="false"/>
                  <w:color w:val="000080"/>
                  <w:sz w:val="20"/>
                  <w:u w:val="single"/>
                </w:rPr>
                <w:t xml:space="preserve"> </w:t>
              </w:r>
            </w:hyperlink>
            <w:hyperlink w:anchor="exhibit101limitedconsent.htm">
              <w:r>
                <w:rPr>
                  <w:rStyle w:val="InternetLink"/>
                  <w:rFonts w:ascii="Times New Roman;serif" w:hAnsi="Times New Roman;serif"/>
                  <w:b w:val="false"/>
                  <w:color w:val="000080"/>
                  <w:sz w:val="20"/>
                  <w:u w:val="single"/>
                </w:rPr>
                <w:t>2025, b</w:t>
              </w:r>
            </w:hyperlink>
            <w:hyperlink w:anchor="exhibit101limitedconsent.htm">
              <w:r>
                <w:rPr>
                  <w:rStyle w:val="InternetLink"/>
                  <w:rFonts w:ascii="Times New Roman;serif" w:hAnsi="Times New Roman;serif"/>
                  <w:b w:val="false"/>
                  <w:color w:val="000080"/>
                  <w:sz w:val="20"/>
                  <w:u w:val="single"/>
                </w:rPr>
                <w:t>y and among Nerd</w:t>
              </w:r>
            </w:hyperlink>
            <w:hyperlink w:anchor="exhibit101limitedconsent.htm">
              <w:r>
                <w:rPr>
                  <w:rStyle w:val="InternetLink"/>
                  <w:rFonts w:ascii="Times New Roman;serif" w:hAnsi="Times New Roman;serif"/>
                  <w:b w:val="false"/>
                  <w:color w:val="000080"/>
                  <w:sz w:val="20"/>
                  <w:u w:val="single"/>
                </w:rPr>
                <w:t xml:space="preserve">Wallet, </w:t>
              </w:r>
            </w:hyperlink>
            <w:hyperlink w:anchor="exhibit101limitedconsent.htm">
              <w:r>
                <w:rPr>
                  <w:rStyle w:val="InternetLink"/>
                  <w:rFonts w:ascii="Times New Roman;serif" w:hAnsi="Times New Roman;serif"/>
                  <w:b w:val="false"/>
                  <w:color w:val="000080"/>
                  <w:sz w:val="20"/>
                  <w:u w:val="single"/>
                </w:rPr>
                <w:t>Inc</w:t>
              </w:r>
            </w:hyperlink>
            <w:hyperlink w:anchor="exhibit101limitedconsent.htm">
              <w:r>
                <w:rPr>
                  <w:rStyle w:val="InternetLink"/>
                  <w:rFonts w:ascii="Times New Roman;serif" w:hAnsi="Times New Roman;serif"/>
                  <w:b w:val="false"/>
                  <w:color w:val="000080"/>
                  <w:sz w:val="20"/>
                  <w:u w:val="single"/>
                </w:rPr>
                <w:t>. and JPMorgan Chase Bank, N.A., as Administrative Agent</w:t>
              </w:r>
            </w:hyperlink>
            <w:hyperlink w:anchor="exhibit101limitedconsent.htm">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1-302certificatio.htm">
              <w:r>
                <w:rPr>
                  <w:rStyle w:val="InternetLink"/>
                  <w:rFonts w:ascii="Times New Roman;serif" w:hAnsi="Times New Roman;serif"/>
                  <w:b w:val="false"/>
                  <w:color w:val="000080"/>
                  <w:sz w:val="20"/>
                  <w:u w:val="single"/>
                </w:rPr>
                <w:t>Certification of Principal Executive Officer pursuant to Exchange Act Rules 13a-14(a) and 15d-14(a), as adopted pursuant to Section</w:t>
              </w:r>
            </w:hyperlink>
            <w:hyperlink w:anchor="exhibit311-302certificatio.htm">
              <w:r>
                <w:rPr>
                  <w:rStyle w:val="InternetLink"/>
                  <w:rFonts w:ascii="Times New Roman;serif" w:hAnsi="Times New Roman;serif"/>
                  <w:b w:val="false"/>
                  <w:color w:val="000080"/>
                  <w:sz w:val="20"/>
                  <w:u w:val="single"/>
                </w:rPr>
                <w:t> </w:t>
              </w:r>
            </w:hyperlink>
            <w:hyperlink w:anchor="exhibit311-302certificatio.htm">
              <w:r>
                <w:rPr>
                  <w:rStyle w:val="InternetLink"/>
                  <w:rFonts w:ascii="Times New Roman;serif" w:hAnsi="Times New Roman;serif"/>
                  <w:b w:val="false"/>
                  <w:color w:val="000080"/>
                  <w:sz w:val="20"/>
                  <w:u w:val="single"/>
                </w:rPr>
                <w:t>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2-302certificatio.htm">
              <w:r>
                <w:rPr>
                  <w:rStyle w:val="InternetLink"/>
                  <w:rFonts w:ascii="Times New Roman;serif" w:hAnsi="Times New Roman;serif"/>
                  <w:b w:val="false"/>
                  <w:color w:val="000080"/>
                  <w:sz w:val="20"/>
                  <w:u w:val="single"/>
                </w:rPr>
                <w:t>Certification of Principal Financial Officer pursuant to Exchange Act Rules 13a-14(a) and 15d-14(a), as adopted pursuant to Section</w:t>
              </w:r>
            </w:hyperlink>
            <w:hyperlink w:anchor="exhibit312-302certificatio.htm">
              <w:r>
                <w:rPr>
                  <w:rStyle w:val="InternetLink"/>
                  <w:rFonts w:ascii="Times New Roman;serif" w:hAnsi="Times New Roman;serif"/>
                  <w:b w:val="false"/>
                  <w:color w:val="000080"/>
                  <w:sz w:val="20"/>
                  <w:u w:val="single"/>
                </w:rPr>
                <w:t> </w:t>
              </w:r>
            </w:hyperlink>
            <w:hyperlink w:anchor="exhibit312-302certificatio.htm">
              <w:r>
                <w:rPr>
                  <w:rStyle w:val="InternetLink"/>
                  <w:rFonts w:ascii="Times New Roman;serif" w:hAnsi="Times New Roman;serif"/>
                  <w:b w:val="false"/>
                  <w:color w:val="000080"/>
                  <w:sz w:val="20"/>
                  <w:u w:val="single"/>
                </w:rPr>
                <w:t>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404certificatio.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2-404certificatio.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bidi w:val="0"/>
        <w:spacing w:before="24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0"/>
        <w:jc w:val="left"/>
        <w:rPr/>
      </w:pPr>
      <w:hyperlink w:anchor="i3ec7d4a72cad401c808f9cd00a65ba5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19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317"/>
        <w:gridCol w:w="317"/>
        <w:gridCol w:w="317"/>
        <w:gridCol w:w="587"/>
        <w:gridCol w:w="587"/>
        <w:gridCol w:w="8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NERDWALLET,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 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140" w:after="180"/>
        <w:ind w:left="0" w:right="0" w:firstLine="490"/>
        <w:jc w:val="both"/>
        <w:rPr/>
      </w:pPr>
      <w:r>
        <w:rPr/>
      </w:r>
    </w:p>
    <w:p>
      <w:pPr>
        <w:pStyle w:val="TextBody"/>
        <w:bidi w:val="0"/>
        <w:jc w:val="center"/>
        <w:rPr/>
      </w:pPr>
      <w:r>
        <w:rPr/>
      </w:r>
    </w:p>
    <w:p>
      <w:pPr>
        <w:pStyle w:val="TextBody"/>
        <w:bidi w:val="0"/>
        <w:spacing w:before="0" w:after="0"/>
        <w:jc w:val="center"/>
        <w:rPr/>
      </w:pPr>
      <w:bookmarkStart w:id="0" w:name="exhibit101limitedconsent.htm"/>
      <w:bookmarkStart w:id="1" w:name="ksexhibit101limitedconsent"/>
      <w:bookmarkEnd w:id="0"/>
      <w:bookmarkEnd w:id="1"/>
      <w:r>
        <w:rPr/>
        <w:drawing>
          <wp:inline distT="0" distB="0" distL="0" distR="0">
            <wp:extent cx="10048875" cy="13001625"/>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jc w:val="center"/>
        <w:rPr>
          <w:color w:val="FFFFFF"/>
          <w:sz w:val="2"/>
        </w:rPr>
      </w:pPr>
      <w:r>
        <w:rPr>
          <w:color w:val="FFFFFF"/>
          <w:sz w:val="2"/>
        </w:rPr>
        <w:t xml:space="preserve">EXECUTION VERSION 781835802 LIMITED CONSENT, WAIVER AND THIRD AMENDMENT TO CREDIT AGREEMENT THIS LIMITED CONSENT, WAIVER AND THIRD AMENDMENT TO CREDIT AGREEMENT (this “Amendment”) is made as of June 13, 2025 by and among NerdWallet, Inc., a Delaware corporation (the “Borrower”), and JPMorgan Chase Bank, N.A., as Administrative Agent (the “Administrative Agent”), under that certain Credit Agreement dated as of September 26, 2023 by and among the Borrower, the subsidiaries of the Borrower from time to time party thereto as Subsidiary Guarantors, the Lenders from time to time party thereto and the Administrative Agent (as amended by the First Amendment to Credit Agreement, dated as of November 1, 2023, the Limited Consent and Second Amendment to Credit Agreement, dated as of October 1, 2024, and as further amended, restated, supplemented or otherwise modified from time to time prior to the date hereof, the “Existing Credit Agreement”). Capitalized terms used herein and not otherwise defined herein shall have the respective meanings given to them in the Amended Credit Agreement (as defined below). WHEREAS, pursuant to that certain Asset Purchase Agreement, dated as of May 11, 2025 (as amended, restated, supplemented or otherwise modified prior to the date hereof, the “Specified Purchase Agreement”), by and among a Subsidiary of NerdWallet Domestic Holding Co. I, LLC, a Delaware limited liability company, as purchaser (the “Purchaser”), and the “Seller Parties” as defined therein (the “Seller Parties”), the Purchaser intends to purchase, acquire, accept and assume certain specified assets of the Seller Parties, subject to the assumption by the Purchaser of certain specified liabilities of the Seller Parties, in each case, as set forth in the Specified Purchase Agreement (the “Specified Acquisition”). WHEREAS, pursuant to Section 5.15 of the Credit Agreement, the Loan Parties are required to deliver to the Administrative Agent either (i) evidence of the filed dissolution papers of NerdWallet India Private Limited (“NerdWallet India”; and such dissolution, the “NerdWallet India Dissolution”) or (ii) the original certificates representing 65% of the Equity Interests of NerdWallet India, together with an undated stock power for such certificate executed in blank by a duly authorized officer of the pledgor thereof (collectively, the “NerdWallet India Post-Closing Requirements”). WHEREAS, the Borrower has requested that Administrative Agent and each of the Lenders, among other things, (i) consent to the Specified Acquisition, (ii) waive the NerdWallet India Post- Closing Requirements and consent to NerdWallet India remaining a non-Loan Party until the consummation of the NerdWallet India Dissolution and (iii) make certain amendments to the Existing Credit Agreement pursuant to Section 9.02 thereof, and the Administrative Agent and the Lenders party hereto, which constitute the Required Lenders, have agreed to do so, subject to the terms and conditions set forth herein. NOW, THEREFORE, in consideration of the premises set forth above, the terms and conditions contained herein, and other good and valuable consideration, the receipt and sufficiency of which are hereby acknowledged, the Borrower, the Lenders party hereto and the Administrative Agent hereby agree to enter into this Amendment. 1. Amendments to the Existing Credit Agreement. Effective as of the Third Amendment Effective Date (as defined below), the Existing Credit Agreement is hereby amended to delete the stricken text (indicated in the same manner as the following example: stricken text) and to add the double-underlined text (indicated in the same manner as the following example: double-underlined text) as set forth on Exhibit A hereto (the “Amended Credit Agreement”). Any Schedule, Exhibit or other attachment to the Existing Credit Agreement or any other Loan Document not amended pursuant to the terms of this Amendment shall remain in effect without any amendment or other modification thereto. 2. Limited Consent and Waiver.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 Subject to the terms and conditions hereof and notwithstanding anything contained in any Loan Document, including, without limitation, Section 6.04 of the Credit Agreement, the Administrative Agent and the Lenders party hereto, constituting the Required Lenders, hereby consent to the Specified Acquisition and waive all deliverables or other requirements under the Amended Credit Agreement in connection with the Specified Acquisition, except as explicitly set forth in this Amendment; provided that the Purchase Price (as defined in the Specified Purchase Agreement) shall count against the basket in Section 6.04(w) of the Credit Agreement. (b) Subject to the terms and conditions hereof and notwithstanding anything contained in any Loan Document, including, without limitation, Section 5.15 of the Credit Agreement, the Administrative Agent and the Lenders party hereto, constituting the Required Lenders, hereby waive the NerdWallet India Post-Closing Requirements, agree that the original certificates representing the Equity Interests of NerdWallet India shall not be required to be delivered or otherwise pledged to the Administrative Agent and consent to NerdWallet India remaining a non-Loan Party until the consummation of the NerdWallet India Dissolution. (c) The parties hereto agree that the limited consents and waivers set forth in this Section shall be limited precisely as written and, except as expressly set forth in this Section, shall not be deemed to be a consent to or amendment, waiver or modification of any other term or condition of the Credit Agreement or any other Loan Document and shall not be (i) a consent to any other Acquisition or to any further Investments in or transactions with the Seller Parties or (ii) a consent or waiver with respect to any other deliverable under Section 5.15 of the Credit Agreement. 3. Conditions of Effectiveness. The effectiveness of this Amendment (the “Third Amendment Effective Date”) is subject to the satisfaction of the following conditions precedent: (a) the Administrative Agent’s (or its counsel’s) shall have received executed counterparts of this Amendment signed by or on behalf of the Borrower, the Administrative Agent and Lenders constituting Required Lenders (which, subject to Section 9.06(b) of the Amended Credit Agreement, may include any Electronic Signatures transmitted by telecopy, emailed pdf. or any other electronic means that reproduces an image of an actual executed signature page); (b) the Administrative Agent shall have received a true and complete copy of the fully executed Specified Purchase Agreement, together with all schedules, exhibits and other attachments thereto; and (c) the Administrative Agent shall have received such other documents and taken such other actions as the Administrative Agent or its counsel may have reasonably requested. 4. Representations and Warranties of the Borrower. The Borrower hereby represents and warrants as of the date hereof as follows: (a) This Amendment and the Amended Credit Agreement constitute legal, valid and binding obligations of the Borrower, enforceable in accordance with their terms, subject to applicable bankruptcy, insolvency, reorganization, moratorium or other laws affecting creditors’ rights generally and subject to general principles of equity, regardless of whether considered in a proceeding in equity or at law. (b) After giving effect to the terms of this Amendment, (i) no Default or Event of Default has occurred and is continuing or would result therefrom and (ii) the representations and warranties of the Loan Parties set forth in the Amended Credit Agreement and the other Loan Documents are true and correct in all material respects with the same effect as though made on and as of the date hereof (it being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understood and agreed that any representation or warranty which by its terms is made as of a specified date is true and correct in all material respects only as of such specified date). 5. Reference to and Effect on the Existing Credit Agreement. (a) Upon the effectiveness hereof, each reference to the “Credit Agreement” in the Existing Credit Agreement or any other Loan Document shall mean and be a reference to the Amended Credit Agreement. (b) The Borrower hereby (i) agrees that this Amendment and the transactions contemplated hereby shall not limit or diminish its obligations arising under or pursuant to the Loan Documents to which it is a party, (ii) reaffirms all of its obligations under the Existing Credit Agreement and the other Loan Documents to which it is a party and (iii) acknowledges and agrees that the Existing Credit Agreement and each other Loan Document executed by it remains in full force and effect and is hereby reaffirmed, ratified and confirmed. (c) Except as set forth herein, the execution, delivery and effectiveness of this Amendment shall not operate as a waiver of any right, power or remedy of the Lenders or the Administrative Agent under the Existing Credit Agreement or any of the other Loan Documents, nor constitute a waiver of any provision of any of the Loan Documents or any other documents, instruments and agreements executed and/or delivered in connection therewith. (d) This Amendment is a Loan Document. 6. Governing Law. This Amendment shall be governed by and construed in accordance with and governed by the law of the State of New York. The parties hereto agree that provisions of Sections 9.09 and 9.10 of the Amended Credit Agreement are hereby incorporated by reference, mutatis mutandis. 7. Headings. Section headings in this Amendment are included herein for convenience of reference only and shall not constitute a part of this Amendment for any other purpose. 8. Counterparts. This Amendment may be executed by one or more of the parties hereto on any number of separate counterparts, and all of said counterparts taken together shall be deemed to constitute one and the same instrument. Delivery of an executed counterpart of a signature page of this Amendment that is an Electronic Signature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9. No Novation. Neither the execution, delivery and acceptance of this Amendment nor any of the terms, covenants, conditions or other provisions set forth herein are intended, nor shall they be deemed or construed, to effect a novation of any liens or Obligations under the Existing Credit Agreement or to pay, extinguish, release, satisfy or discharge (a) the Obligations under the Existing Credit Agreement, (b) the liability of any Loan Party under the Existing Credit Agreement or the other Loan Documents executed and delivered in connection therewith or any Obligations or other obligations evidenced thereby, or (c) any mortgages, deeds of trust, liens, security interests or contractual or legal rights securing all or any part of such Obligations. 10. Reaffirmation. Except as expressly modified by this Amendment, all of the terms, provisions and conditions of the Existing Credit Agreement, as heretofore amended, shall remain unchanged and in full force and effect. Each Loan Party, as debtor, grantor, pledgor, guarantor, assignor, or in any other similar capacity in which such Person grants liens or security interests in its property or otherwise acts as accommodation party or guarantor, as the case may be, hereby (i) ratifies and reaffirms all of its payment and performance obligations, contingent or otherwise, under the Existing Credit Agreement and each other Loan Document to which it is a party (after giving effect hereto) and (ii) to the extent such Person granted liens on or security interests in any of its property pursuant to any Loan Documents as security for or otherwise guaranteed the Obligations under or with respect to the Loan Documents, ratifies and reaffirms such guarantee and grant of security interests and liens and confirms and agrees that such security interests and liens hereafter secure all of the Obligations as amended hereby. This Amendment shall not constitute a course of dealing with the Administrative Agent or any Lender at variance with the Existing Credit Agreement or the other Loan Documents such as to require further notice by such Person to require strict compliance with the terms of the Existing Credit Agreement and the other Loan Documents in the future.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Consent, Waiver and Third Amendment to Credit Agreement IN WITNESS WHEREOF, this Amendment has been duly executed as of the day and year first above written. NERDWALLET, INC., as the Borrower By:____________________________________ Name: Title: Docusign Envelope ID: 3867441C-9A69-4D7C-BA55-09523A9B217A Tim Chen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Consent, Waiver and Third Amendment to Credit Agreement JPMORGAN CHASE BANK, N.A., as Administrative Agent and a Lender By:_______________________________________ Name: Title: Jared Friedberg Authorized Signor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953625" cy="13001625"/>
            <wp:effectExtent l="0" t="0" r="0" b="0"/>
            <wp:docPr id="4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 descr=""/>
                    <pic:cNvPicPr>
                      <a:picLocks noChangeAspect="1" noChangeArrowheads="1"/>
                    </pic:cNvPicPr>
                  </pic:nvPicPr>
                  <pic:blipFill>
                    <a:blip r:embed="rId8"/>
                    <a:stretch>
                      <a:fillRect/>
                    </a:stretch>
                  </pic:blipFill>
                  <pic:spPr bwMode="auto">
                    <a:xfrm>
                      <a:off x="0" y="0"/>
                      <a:ext cx="9953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Consent, Waiver and Third Amendment to Credit Agreement CITIBANK, N.A., as a Lender By:_____________________________ Name:___________________________ Title:____________________________ Docusign Envelope ID: A9D81ED7-5D0A-4815-9352-68D57B6C1E95 Senior Vice President Kristina Skalskaya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Amended Credit Agreement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770162217781836582 CREDIT AGREEMENT1 dated as of September 26, 2023 among NERDWALLET, INC., as the Borrower, The Other Loan Parties Party Hereto, The Lenders Party Hereto and JPMORGAN CHASE BANK, N.A., as Administrative Agent ___________________________ JPMORGAN CHASE BANK, N.A., SILICON VALLEY BANK, A DIVISION OF FIRST-CITIZENS BANK &amp; TRUST COMPANY, and MUFG BANK, LTD., as Joint Lead Arrangers and Joint Bookrunners 1 As amended by the First Amendment to Credit Agreement, dated November 1, 2023 and, the Second Amendment to Credit Agreement, dated October 1, 2024 and the Third Amendment to Credit Agreement, dated June 13,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ARTICLE I Definitions 1 SECTION 1.01. Defined Terms 1 SECTION 1.02. Classification of Loans and Borrowings 35 SECTION 1.03. Terms Generally 35 SECTION 1.04. Accounting Terms; GAAP 3536 SECTION 1.05. Pro Forma Adjustments 36 SECTION 1.06. Status of Obligations 38 SECTION 1.07. Interest Rates; Benchmark Notification 38 SECTION 1.08. Letter of Credit Amounts 38 SECTION 1.09. Divisions 39 ARTICLE II The Credits 39 SECTION 2.01. Revolving Commitments 39 SECTION 2.02. Loans and Borrowings 39 SECTION 2.03. Requests for Borrowings 40 SECTION 2.04. [Intentionally Omitted] 4041 SECTION 2.05. Swingline Loans 4041 SECTION 2.06. Letters of Credit 42 SECTION 2.07. Funding of Borrowings 47 SECTION 2.08. Interest Elections 47 SECTION 2.09. Termination and Reduction of Revolving Commitments; Increase in Revolving Commitments 4849 SECTION 2.10. Repayment of Loans; Evidence of Debt 50 SECTION 2.11. Prepayment of Loans 51 SECTION 2.12. Fees 52 SECTION 2.13. Interest 53 SECTION 2.14. Alternate Rate of Interest 5354 SECTION 2.15. Increased Costs 56 SECTION 2.16. Break Funding Payments 57 SECTION 2.17. Taxes 57 SECTION 2.18. Payments Generally; Allocation of Proceeds; Sharing of Set-offs 61 SECTION 2.19. Mitigation Obligations; Replacement of Lenders 63 SECTION 2.20. Defaulting Lenders 64 SECTION 2.21. Returned Payments 66 SECTION 2.22. Banking Services and Swap Agreements 66 ARTICLE III Representations and Warranties 67 SECTION 3.01. Organization; Powers 67 SECTION 3.02. Authorization; Enforceability 67 SECTION 3.03. Governmental Approvals; No Conflicts 67 SECTION 3.04. Financial Condition; No Material Adverse Change 67 SECTION 3.05. Properties 68 SECTION 3.06. Litigation and Environmental Matters 68 SECTION 3.07. Compliance with Laws and Agreements; No Default 68 SECTION 3.08. Investment Company Status 6869 SECTION 3.09. Taxes 69 SECTION 3.10. ERISA 69 i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3.11. Disclosure 69 SECTION 3.12. Material Agreements 69 SECTION 3.13. Solvency 69 SECTION 3.14. Insurance 70 SECTION 3.15. Capitalization and Subsidiaries 70 SECTION 3.16. Security Interest in Collateral 70 SECTION 3.17. Employment Matters 70 SECTION 3.18. Margin Regulations 70 SECTION 3.19. Use of Proceeds 71 SECTION 3.20. No Burdensome Restrictions 71 SECTION 3.21. Anti-Corruption Laws and Sanctions 71 SECTION 3.22. Affected Financial Institutions 71 SECTION 3.23. Plan Assets; Prohibited Transactions 71 SECTION 3.24. Data Security and Privacy. 71 ARTICLE IV Conditions 72 SECTION 4.01. Effective Date 72 SECTION 4.02. Each Credit Event 75 ARTICLE V Affirmative Covenants 75 SECTION 5.01. Financial Statements and Other Information 75 SECTION 5.02. Notices of Material Events 77 SECTION 5.03. Existence; Conduct of Business 78 SECTION 5.04. Payment of Obligations 78 SECTION 5.05. Maintenance of Properties 78 SECTION 5.06. Books and Records; Inspection Rights 7879 SECTION 5.07. Compliance with Laws and Material Contractual Obligations 79 SECTION 5.08. Use of Proceeds 79 SECTION 5.09. Accuracy of Information 79 SECTION 5.10. Insurance 80 SECTION 5.11. Casualty and Condemnation 80 SECTION 5.12. Depository Banks 80 SECTION 5.13. Subsidiary Guarantors; Additional Collateral; Further Assurances 80 SECTION 5.14. Data Security and Privacy. 81 SECTION 5.15. Post-Closing Requirements 82 SECTION 5.16. Designation of Restricted and Unrestricted Subsidiaries 82 ARTICLE VI Negative Covenants 83 SECTION 6.01. Indebtedness 83 SECTION 6.02. Liens 8485 SECTION 6.03. Fundamental Changes 86 SECTION 6.04. Investments, Loans, Advances, Guarantees and Acquisitions 87 SECTION 6.05. Asset Sales 8990 SECTION 6.06. Sale and Leaseback Transactions 9091 SECTION 6.07. Swap Agreements 91 SECTION 6.08. Restricted Payments; Certain Payments of Indebtedness 91 SECTION 6.09. Transactions with Affiliates 9293 SECTION 6.10. Restrictive Agreements 93 SECTION 6.11. Amendment of Material Documents 9394 SECTION 6.12. Financial Covenants 9394 ii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VII Events of Default 94 ARTICLE VIII The Administrative Agent 9798 SECTION 8.01. Authorization and Action 9798 SECTION 8.02. Administrative Agent’s Reliance, Limitation of Liability, Indemnification, Etc.99100 SECTION 8.03. Posting of Communications 101 SECTION 8.04. The Administrative Agent Individually 102 SECTION 8.05. Successor Administrative Agent 102103 SECTION 8.06. Acknowledgments of Lenders and Issuing Banks 103 SECTION 8.07. Collateral Matters 105 SECTION 8.08. Credit Bidding 105106 SECTION 8.09. Certain ERISA Matters 106107 ARTICLE IX Miscellaneous 108 SECTION 9.01. Notices 108 SECTION 9.02. Waivers; Amendments 110 SECTION 9.03. Expenses; Limitation of Liability; Indemnity; Etc 112 SECTION 9.04. Successors and Assigns 114 SECTION 9.05. Survival 118 SECTION 9.06. Counterparts; Integration; Effectiveness; Electronic Execution 118 SECTION 9.07. Severability 119 SECTION 9.08. Right of Setoff 119 SECTION 9.09. Governing Law; Jurisdiction; Consent to Service of Process 119120 SECTION 9.10. WAIVER OF JURY TRIAL 120121 SECTION 9.11. Headings 121 SECTION 9.12. Confidentiality 121 SECTION 9.13. Several Obligations; Nonreliance; Violation of Law 122 SECTION 9.14. USA PATRIOT Act 122 SECTION 9.15. Disclosure 122 SECTION 9.16. Appointment for Perfection 122 SECTION 9.17. Interest Rate Limitation 122123 SECTION 9.18. No Fiduciary Duty, etc. 122123 SECTION 9.19. Marketing Consent 123 SECTION 9.20. Acknowledgment and Consent to Bail-In of Affected Financial Institutions 123124 SECTION 9.21. Acknowledgement Regarding Any Supported QFCs 124 ARTICLE X Loan Guaranty 124125 SECTION 10.01. Guaranty 124125 SECTION 10.02. Guaranty of Payment 125 SECTION 10.03. No Discharge or Diminishment of Loan Guaranty 125 SECTION 10.04. Defenses Waived 125126 SECTION 10.05. Rights of Subrogation 126 SECTION 10.06. Reinstatement; Stay of Acceleration 126 SECTION 10.07. Information 126127 SECTION 10.08. Release of Loan Guarantors 126127 SECTION 10.09. [Reserved]. 127 SECTION 10.10. Maximum Liability 127 SECTION 10.11. Contribution 127 SECTION 10.12. Liability Cumulative 128 SECTION 10.13. Keepwell 128 iii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Commitment Schedule Schedule 2.06 – Existing Letters of Credit Schedule 3.05 – Properties, etc. Schedule 3.12 – Material Agreements Schedule 3.14 – Insurance Schedule 3.15 – Capitalization and Subsidiaries Schedule 5.15 – Post-Closing Requirements Schedule 6.01 – Existing Indebtedness Schedule 6.02 – Existing Liens Schedule 6.04 – Existing Investments Schedule 6.10 – Existing Restrictions EXHIBITS: Exhibit A – Assignment and Assumption Exhibit B – [Reserved] Exhibit C-1 – Borrowing Request Exhibit C-2 – Interest Election Request Exhibit D-1 – U.S. Tax Compliance Certificate (For Foreign Lenders That Are Not Partnerships For U.S. Federal Income Tax Purposes) Exhibit D-2 – U.S. Tax Compliance Certificate (For Foreign Participants That Are Not Partnerships For U.S. Federal Income Tax Purposes) Exhibit D-3 – U.S. Tax Compliance Certificate (For Foreign Participants That Are Partnerships For U.S. Federal Income Tax Purposes) Exhibit D-4 – U.S. Tax Compliance Certificate (For Foreign Lenders That Are Partnerships For U.S. Federal Income Tax Purposes) Exhibit E – Compliance Certificate Exhibit F – Joinder Agreement iv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AGREEMENT (as it may be amended, restated, supplemented or modified from time to time, this “Agreement”), dated as of September 26, 2023, among NERDWALLET, INC., a Delaware corporation, as the Borrower, the other Loan Parties party hereto, the Lenders party hereto, and JPMORGAN CHASE BANK, N.A., as Administrative Agent. The parties hereto agree as follows: ARTICLE I Definitions SECTION 1.01.Defined Terms. As used in this Agreement, the following terms have the meanings specified below: “ABR”, when used in reference to any Loan or Borrowing, refers to whether such Loan, or the Loans comprising such Borrowing, is bearing interest at a rate determined by reference to the Alternate Base Rate. “Account” has the meaning assigned to such term in the Security Agreement. “Account Debtor” means any Person obligated on an Account. “Acquisition” means any transaction, or any series of related transactions, consummated on or after the Effective Date, by which any Loan Party or Restricted Subsidiary (a) 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 “Adjusted Covenant Period” has the meaning assigned to such term in Section 6.12. “Adjusted Daily Simple SOFR” means, with respect to any RFR Borrowing, an interest rate per annum equal to (a) Daily Simple SOFR, plus (b) 0.10%; provided that if the Adjusted Daily Simple SOFR as so determined would be less than the Floor, such rate shall be deemed to be equal to the Floor for the purposes of this Agreement. “Adjusted Term SOFR Rate” means, with respect to any Term Benchmark Borrowing for any Interest Period or for any ABR Borrowing based on the Adjusted Term SOFR Rate, an interest rate per annum equal to (a) the Term SOFR Rate for such Interest Period, plus (b) 0.10%; provided that if the Adjusted Term SOFR Rate as so determined would be less than the Floor, such rate shall be deemed to be equal to the Floor for the purposes of this Agreement. “Administrative Agent” means JPMorgan Chase Bank, N.A. (or any of its designated branch offices or affiliates), in its capacity as administrative agent for the Lenders hereunder. “Administrative Questionnaire” means an Administrative Questionnaire in a form supplied by the Administrative Agent. 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Affected Financial Institution” means (a) any EEA Financial Institution or (b) any UK Financial Institution. “Affiliate” means, with respect to a specified Person, another Person that directly, or indirectly through one or more intermediaries, Controls or is Controlled by or is under common Control with the specified Person. “Agent-Related Person” has the meaning assigned to such term in Section 9.03(d). “Aggregate Revolving Exposure” means, at any time, the aggregate Revolving Exposure of all the Lenders at such time. “Alternate Base Rate” means, for any day, a rate per annum equal to the greatest of (a) the Prime Rate in effect on such day, (b) the NYFRB Rate in effect on such day plus ½ of 1%, and (c) the Adjusted Term SOFR Rate for a one-month Interest Period as published two U.S. Government Securities Business Days prior to such day (or if such day is not a U.S. Government Securities Business Day, the immediately preceding U.S. Government Securities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per annum, such rate shall be deemed to be 1.00% per annum for purposes of this Agreement. “Ancillary Document” has the meaning assigned to such term in Section 9.06(b). “Anti-Corruption Laws” means all laws, rules, and regulations of any jurisdiction applicable to the Borrower or any of its Affiliates from time to time concerning or relating to bribery or corruption. “Applicable Parties” has the meaning assigned to such term in Section 8.03(c). “Applicable Percentage” means, at any time with respect to any Lender, a percentage equal to a fraction the numerator of which is such Lender’s Revolving Commitment at such time and the denominator of which is the aggregate Revolving Commitments at such time (provided that, if the Revolving Commitments have terminated or expired, the Applicable Percentages shall be determined based upon such Lender’s share of the Aggregate Revolving Exposure at such time); provided that, in accordance with Section 2.20, so long as any Lender shall be a Defaulting Lender, such Defaulting Lender’s Revolving Commitment shall be disregarded in the calculations above. “Applicable Rate” means, for any day, with respect to any ABR Loan, Term Benchmark Loan or RFR Loan, or with respect to the commitment fees payable hereunder, as the case may be, the applicable rate per annum set forth below under the caption “ABR Spread”, “Term Benchmark and RFR Spread” or “Commitment Fee Rate”, as the case may be, based upon the Borrower’s Total Net Leverage Ratio as of the most recent determination date, provided that, until the delivery to the Administrative Agent of the Financial Statements pursuant to Section 5.01(a) or (b) for the first fiscal quarter ending after the 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770162217 0.35% Term Benchmark and RFR Spread Category 2 ≥ 1.00 to 1.00 but &lt; 2.00 to 1.00 Commitment Fee Rate 1.50% 2.50% 0.30% Total Net Leverage Ratio Category 1 ≥ 2.00 to 1.00 Category 3 &lt; 1.00 to 1.00 1.25% 1.75% 2.25% ABR Spread 0.25% 2.75% For purposes of the foregoing, (a) the Applicable Rate shall be determined as of the end of each fiscal quarter of the Borrower, based upon the Financial Statements delivered pursuant to Section 5.01(a) or (b) for such fiscal quarter and (b) each change in the Applicable Rate resulting from a change in the Total Net Leverage Ratio shall be effective during the period commencing on and including the date that is three (3) Business Days after the date of delivery to the Administrative Agent of such Financial Statements indicating such change and ending on the date immediately preceding the effective date of the next such change, provided that at the option of the Administrative Agent or at the request of the Required Lenders, if the Borrower fails to deliver the annual or quarterly Financial Statements required to be delivered by it pursuant to Section 5.01(a) or (b), the Total Net Leverage Ratio shall be deemed to be in Category 1 during the period from the expiration of the time for delivery thereof until such consolidated financial statements are delivered. If at any time the Administrative Agent or the Borrower determines that the Financial Statements upon which the Applicable Rate was determined were incorrect (whether based on a restatement, fraud or otherwise), or any ratio or compliance information in a Compliance Certificate or other certification was incorrectly calculated, relied on incorrect information or was otherwise not accurate, true or correct, the Borrower shall be required to retroactively pay any additional amount that the Borrower would have been required to pay if such Financial Statements, Compliance Certificate or other information had been accurate and/or computed correctly at the time they were delivered. “Approved Electronic Platform” has the meaning assigned to such term in Section 8.03(a). “Approved Fund” has the meaning assigned to such term in Section 9.04(b). “Arranger” means (a) JPMorgan Chase Bank, N.A., in its capacity as left lead arranger and a joint bookrunner hereunder, and (b) MUFG Bank, Ltd. and Silicon Valley Bank, a division of First-Citizens Bank &amp; Trust Company, in each case, in its capacity as a joint lead arranger and joint bookrunner hereunder. “Assignment and Assumption” means an assignment and assumption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 Effective Date, the “Applicable Rate” shall be the applicable rates per annum set forth below in Category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Availability Period” means the period from and including the Effective Date to but excluding the earlier of the Revolving Credit Maturity Date and the date of termination of the Revolving Commitments. “Available Tenor”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2.14(e).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“Banking Services” means each and any of the following bank services provided to any Loan Party or any Restricted Subsidiary by the Administrative Agent, any Lender or any of their respective Affiliates (or any Person that was a Lender or an Affiliate of a Lender at the time incurred), including any such services existing on the Effective Date with a Lender or an Affiliate of a Lender: (a) credit cards for commercial customers (including, without limitation, “commercial credit cards” and purchasing cards), (b) stored value cards, (c) merchant processing services, (d) foreign currency transactions and (e) treasury management services (including, without limitation, controlled disbursement, automated clearinghouse transactions, return items, any direct debit scheme or arrangement, overdrafts and interstate depository network services, fraud management, positive pay, receivables and cash pooling services). “Banking Services Obligations” means any and all obligations of theany Loan Parties or its Restricted SubsidiariesParty or any Subsidiary, whether absolute or contingent and howsoever and whensoever created, arising, evidenced or acquired (including all renewals, extensions and modifications thereof and substitutions therefor) in connection with Banking Services. “Bankruptcy Code” means Title 11 of the United States Code entitled “Bankruptcy,” as now and hereafter in effect, or any successor thereto, as hereafter amended. “Bankruptcy Event”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 “Benchmark” means, initially, with respect to any (i) RFR Loan, Daily Simple SOFR or (ii) Term Benchmark Loan, the Term SOFR Rate; provided that, if a Benchmark Transition Event and the related Benchmark Replacement Date have occurred with respect to the Term SOFR Rate or Daily Simple SOFR, as applicable, or the then-current Benchmark, then “Benchmark” means the applicable Benchmark Replacement to the extent that such Benchmark Replacement has replaced such prior benchmark rate pursuant to Section 2.14(b). “Benchmark Replacement” means, for any Available Tenor, the first alternative set forth in the order below that can be determined by the Administrative Agent for the applicable Benchmark Replacement Date: (1) the Adjusted Daily Simple SOFR; or (2)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in the United States at such time; and (b) the related Benchmark Replacement Adjustment. If the Benchmark Replacement as determined pursuant to clause (1) or (2) above would be less than the Floor, the Benchmark Replacement will be deemed to be the Floor for the purposes of this Agreement and the other Loan Documents. “Benchmark Replacement Adjustment”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at such time. “Benchmark Replacement Conforming Changes”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provisions, and other technical, administrative or operational matters) that the Administrative Agent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(in consultation with the Borrower) that no market practice for the administration of such Benchmark Replacement exists, in such other manner of administration as the Administrative Agent decides (in consultation with the Borrower) is reasonably necessary in connection with the administration of this Agreement and the other Loan Documents). “Benchmark Replacement Date” means,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means,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 “Beneficial Ownership Certification” means a certification regarding beneficial ownership or control as required by the Beneficial Ownership Regulation. “Beneficial Ownership Regulation” means 31 C.F.R. § 1010.230. “Benefit Plan” means any of (a) an “employee benefit plan” (as defined in Section 3(3) of ERISA) that is subject to Title I of ERISA, (b) a “plan” as defined in and subject to Section 4975 of the Code to which Section 4975 of the Code applies, and (c) any Person whose assets include (for purposes of the Plan Asset Regulations or otherwise for purposes of Title I of ERISA or Section 4975 of the Code) the assets of any such “employee benefit plan” or “plan”. “BHC Act Affiliate” of a party means an “affiliate” (as such term is defined under, and interpreted in accordance with, 12 U.S.C. 1841(k)) of such party. “Borrower” means NERDWALLET, INC., a Delaware corporation. “Borrowing” means (a) Revolving Loans of the same Type, made, converted or continued on the same date and, in the case of Term Benchmark Loans, as to which a single Interest Period is in effect or (b) a Swingline Loan. “Borrowing Request” means a request by the Borrower for a Borrowing in accordance with Section 2.03, which shall be substantially in the form attached hereto as Exhibit C-1 or any other form approved by the Administrative Agent. “Burdensome Restrictions” means any consensual encumbrance or restriction of the type described in clause (a) or (b) of Section 6.10. 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Business Day” means, any day (other than a Saturday or a Sunday) on which banks are open for business in New York City; provided that, in addition to the foregoing, a Business Day shall be any such day that is only a U.S. Government Securities Business Day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“Capital Expenditures” means, without duplication, any expenditure or commitment to expend money for any purchase or other acquisition of any asset which would be classified as a fixed or capital asset on a consolidated balance sheet of the Borrower and its Restricted Subsidiaries prepared in accordance with GAAP. “Capital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or finance lease obligations on a balance sheet of such Person under GAAP, and the amount of such obligations shall be the capitalized amount thereof determined in accordance with GAAP. “Change in Control” means (a) the acquisition of ownership, directly or indirectly, beneficially or of record, by any Person or group (within the meaning of the Securities Exchange Act of 1934 and the rules of the SEC thereunder as in effect on the date hereof) other than the Permitted Holders, of Equity Interests representing more than 50% of the aggregate ordinary voting power represented by the issued and outstanding Equity Interests of the Borrower; or (b) the Borrower shall cease to own, free and clear of all Liens (other than Liens permitted under Section 6.02) or other encumbrances, 100% of the outstanding Equity Interests of each of the Subsidiary Guarantors on a fully diluted basis, other than (x) pursuant to transactions permitted by this Agreement where 100% of the Equity Interests of such Subsidiary Guarantor are sold or (y) pursuant to a transaction expressly permitted under Section 6.03. “Change in Law”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rules,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and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 “Charges” has the meaning assigned to such term in Section 9.17. “Chase” means JPMorgan Chase Bank, N.A., a national banking association, in its individual capacity, and its successors. 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Class”, when used in reference to any Loan or Borrowing, refers to whether such Loan, or the Loans comprising such Borrowing, are Revolving Loans or Swingline Loans. “CME Term SOFR Administrator” means CME Group Benchmark Administration Limited as administrator of the forward-looking term SOFR (or a successor administrator). “Code” means the Internal Revenue Code of 1986, as amended from time to time. “Collateral” means any and all property owned, leased or operated by a Person covered by the Collateral Documents and any and all other property (other than any Excluded Assets) of any Loan Party, now existing or hereafter acquired, that may at any time be, become or be intended to be, subject to a security interest or Lien in favor of the Administrative Agent, on behalf of itself and the other Secured Parties, to secure the Secured Obligations. “Collateral Documents” means, collectively, the Security Agreement and all other agreements, instruments and documents executed, delivered or otherwise prepared in connection with this Agreement that are intended to create, perfect or evidence Liens to secure the Secured Obligations, including, without limitation, all other security agreements, pledge agreements, loan agreements, notes, guarantees, subordination agreements, pledges, powers of attorney, consents, assignments, contracts, fee letters, notices, leases, financing statements and all other written matter whether heretofore, now or hereafter executed by any Loan Party and delivered to the Administrative Agent. “Commitment Schedule” means the Schedule attached hereto identified as such. “Commodity Exchange Act” means the Commodity Exchange Act (7 U.S.C. § 1 et seq.), as amended from time to time, and any successor statute. “Communications” has the meaning assigned to such term in Section 8.03(c). “Company Sensitive Information” has the meaning assigned to such term in Section 3.24(c). “Compliance Certificate” means a certificate of a Financial Officer in substantially the form of Exhibit E. “Connection Income Taxes” means Other Connection Taxes that are imposed on or measured by net income (however denominated) or that are franchise Taxes or branch profits Taxes. “Consolidated EBITDA” means with respect to the Borrower and its Restricted Subsidiaries, on a consolidated basis, for any period, (a) Consolidated Net Income for such period, plus (b) the sum, without duplication, of the following amounts for such period but solely to the extent deducted in calculating Consolidated Net Income (other than in the case of clause (b)(xviii)) for such period of: (i) Consolidated Interest Expense; plus (ii) expenses for Taxes based on income net of tax refunds; plus (iii) total depreciation expense; plus 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total amortization expense (including, without limitation, amortization of intangibles from purchase price accounting); plus (v) noncash stock based compensation expense; plus (vi) noncash exchange, transaction or performance losses relating to any foreign currency hedging transactions or currency fluctuations; plus (vii) costs, fees and expenses in connection with the execution and delivery of this Agreement and the other Loan Documents and any amendments or other modifications thereto, in each case to the extent incurred within six (6) months after the Effective Date or the effectiveness of such amendment or other modification (or such later time period as approved in writing by the Administrative Agent in its sole discretion); plus (viii) one-time costs, fees, and expenses in connection with Permitted Acquisitions, investments, dispositions, issuances or repurchases of Equity Interests, or the incurrence, amendment or waiver of Indebtedness (in each case permitted hereunder), in each case, whether or not consummated; provided that, any amounts described in this clause (b)(viii) with respect to transactions that are not consummated shall not exceed $5,000,000 in the aggregate for any period; plus (ix) noncash purchase accounting adjustments (including, but not limited to deferred revenue write down) and any adjustments as required or permitted by the application of FASB 141 (requiring the use of purchase method of accounting for acquisitions and consolidations), FASB 142 (relating to changes in accounting for the amortization of goodwill and certain other intangibles) and FASB 144 (relating to the write downs of long-lived assets), in each case, in connection with Permitted Acquisitions; plus (x) noncash charges for goodwill and other intangible write-offs and write-downs in connection with Permitted Acquisitions or otherwise; plus (xi) the amount of any restructuring charge, accrual or reserve, integration cost or other business optimization expense, including any restructuring costs incurred in connection with acquisitions, mergers or consolidations after the Effective Date and any other restructuring expenses, severance expenses, one-time compensation charges, post-retirement employee benefits plans, any expenses relating to reconstruction, decommissioning or recommissioning fixed assets for alternate use, expenses or charges relating to facility closing costs, acquisition integration costs and signing, retention or completion bonuses or expenses, in an aggregate amount when taken together with any amounts in clause (b)(xii) below, not to exceed fifteen percent (15%) of Consolidated EBITDA in any period; plus (xii) (A) any extraordinary, unusual or non-recurring non-cash expenses or non-cash charges and (B) any non-recurring expenses or charges in an aggregate amount, when taken together with any amounts in clause (b)(xi) above, not to exceed fifteen percent (15%) of Consolidated EBITDA in any period; plus (xiii) other noncash items reducing Consolidated Net Income (excluding any such noncash item to the extent that it represents an accrual or reserve for potential cash items in any future period or amortization of a prepaid cash item that was paid in a prior period) approved by the Administrative Agent in writing as an ‘add-back’ to Consolidated EBITDA; plus 10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(xiv) the amount of any loss incurred during such period for which there is insurance or indemnity coverage and for which a related insurance or indemnity recovery is not recorded in accordance with GAAP, but for which such insurance or indemnity recovery is reasonably expected to be received by a Loan Party in a subsequent fiscal period and within one year of the date of the underlying loss; provided that if such recovery is not received in cash within one year of the date of the underlying loss, such amount will be deducted from Consolidated EBITDA for the subsequent period; plus (xv) expenses and payments that are covered by indemnification or purchase price adjustment provisions in any agreement entered into by a Loan Party or Restricted Subsidiary in connection with any proposed or actual Permitted Acquisition and for which (A) the indemnitor or counterparty has assumed coverage in writing and (B) the Borrower reasonably expects to receive such expenses and payments within one year from the date of calculation; provided that if such expenses and payments are not received in cash within one year of the date of the underlying loss, such amount will be deducted from Consolidated EBITDA for the subsequent period; plus (xvi) any expense deducted in calculating Consolidated Net Income and actually reimbursed in cash by third parties (other than a Group Member); plus (xvii) the amount of earn-out obligations, other contingent consideration obligations, stay-bonuses or similar payments, seller debt or other deferred purchase price payments, in each case, contingent or otherwise, incurred in connection with any Permitted Acquisition, to the extent such payments are permitted under this Agreement and expensed under GAAP standards; plus (xviii) the amount of cost savings, operating expense reductions, other operating improvements and initiatives and synergies projected by the Borrower in good faith to result from actions actually taken in connection with any investment, Disposition, merger, amalgamation, consolidation, discontinued operations, or operational changes (which will be added to Consolidated EBITDA as so projected until fully realized and calculated on a pro forma basis as though such cost savings, operating expense reductions, other operating improvements and initiatives and synergies had been realized on the first day of such period), net of the amount of actual benefits realized during such period from such actions in an amount not to exceed $4,000,000 in any period; provided that (x) such actions have actually been taken within six (6) months after the consummation of the investment, acquisition, Disposition, merger, amalgamation, consolidation, discontinued operations, or operational change expected to result in such cost savings or other benefits, and (y) such cost savings are reasonably identifiable and factually supportable (in the good faith determination of the Borrower); plus (xix) unusual or non-recurring non-cash write-downs of capitalized software development costs and other fixed assets; minus (c) the sum, without duplication of the amounts for such period of (i) interest income; plus (ii) capitalized software development costs; plus 11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noncash items increasing Consolidated Net Income for such period (excluding any such noncash item to the extent it represents the reversal of an accrual or reserve for potential cash item in any prior period); plus (iv) any extraordinary, unusual or non-recurring gains. “Consolidated Fixed Charges” means, for any period, without duplication, the sum of cash Consolidated Interest Expense, plus scheduled principal payments on Indebtedness (other than any earn-out obligations, seller debt or other deferred purchase price payments, but including Capital Leases), plus expense for taxes paid in cash, plus Restricted Payments paid in cash (other than Restricted Payments permitted pursuant to Section 6.08(a)(v)), in each case, for such period, and all calculated for the Borrower and its Restricted Subsidiaries on a consolidated basis in accordance with GAAP. “Consolidated Interest Expense” means, for any period, total interest expense (including that attributable to Capital Lease Obligations) of the Borrower and its Restricted Subsidiaries for such period with respect to all outstanding Indebtedness of the Borrower and its Restricted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Borrower and its Restricted Subsidiaries on a consolidated basis for such period in accordance with GAAP. “Consolidated Net Income” means, for any period, the consolidated net income (or loss) determined for the Borrower and its Restricted Subsidiaries, on a consolidated basis in accordance with GAAP; provided that there shall be excluded from the calculation of “Consolidated Net Income” (a) the income (or deficit) of any such Person accrued prior to the date it becomes a Restricted Subsidiary of the Borrower or is merged into or consolidated with the Borrower or any of its Restricted Subsidiaries, (b) the income (or deficit) of any such Person (other than a Restricted Subsidiary of the Borrower) in which the Borrower or any of its Restricted Subsidiaries has an ownership interest, except to the extent that any such income is (i) actually received by the Borrower or any of its Restricted Subsidiaries in the form of dividends or similar distributions and (ii) in the case of an Unrestricted Subsidiary, paid from the proceeds of earned income of such Unrestricted Subsidiary, and (c) the undistributed earnings of any Restricted Subsidiary of the Borrower to the extent that the declaration or payment of dividends or similar distributions by such Restricted Subsidiary is not at the time permitted by the terms of any contractual obligation (other than under any Loan Document) or Requirement of Law applicable to such Restricted Subsidiary. “Consolidated Total Assets” means, at any date, total assets of the Borrower and its Restricted Subsidiaries calculated in accordance with GAAP on a consolidated basis as of such date. “Consolidated Total Indebtedness” means, at any date, the aggregate principal amount of total Indebtedness of the Borrower and its Restricted Subsidiaries on a consolidated basis, determined for the Borrower and its Restricted Subsidiaries on a consolidated basis at such date, in accordance with GAAP; provided that no earn-outs shall be included in Consolidated Total Indebtedness unless earned, due and owing.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12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Corresponding Tenor” with respect to any Available Tenor means, as applicable, either a tenor (including overnight) or an interest payment period having approximately the same length (disregarding business day adjustment) as such Available Tenor.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“Covered Party” has the meaning assigned to such term in Section 9.21. “Credit Party” means the Administrative Agent, the Issuing Bank, the Swingline Lender or any other Lender. “Daily Simple SOFR” means, for any day (a “SOFR Rate Day”), a rate per annum equal to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“Data Protection Laws” means all applicable laws, in multiple jurisdictions worldwide, that relate to (i) the confidentiality, processing, privacy, security, protection, transfer or trans-border data flow of Personal Data, personally-identifiable information or customer information, or (ii) electronic data privacy; whether such laws are in place as of the Effective Date or come into effect during the term. “Default” means any event or condition which constitutes an Event of Default or which upon notice, lapse of time or both would, unless cured or waived, become an Event of Default. “Default Right” has the meaning assigned to that term in, and shall be interpreted in accordance with, 12 C.F.R. §§ 252.81, 47.2 or 382.1, as applicable. “Defaulting Lender”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13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 “Disposition” or “Dispose”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Restricted Subsidiary of such Person), including any sale, assignment, transfer or other disposal, with or without recourse, of any notes or accounts receivable or any rights and claims associated therewith. “Disqualified Stock” means any Equity Interest that, by its terms (or by the terms of any security into which it is convertible, or for which it is exchangeable, in each case at the option of the holder thereof), or upon the happening of any event (other than a Change in Control or similar event), matures or is mandatorily redeemable, pursuant to a sinking fund obligation or otherwise, or redeemable at the option of the holder thereof, in whole or in part, on or prior to the date that is 91 days after Revolving Credit Maturity Date. The amount of Disqualified Stock deemed to be outstanding at any time for purposes of this Agreement will be the maximum amount that the Loan Parties and Restricted Subsidiaries may become obligated to pay upon maturity of, or pursuant to any mandatory redemption provisions of, such Disqualified Stock or portion thereof, plus accrued dividends. Notwithstanding the preceding sentence, any Equity Interests that would constitute Disqualified Stock solely because the holders of the Equity Interests have the right to be paid upon liquidation, dissolution, winding up or pursuant to such other applicable statutory or regulatory obligations of the issuer of such Equity Interests will not constitute Disqualified Stock if the terms of such Equity Interests provide that such payments may not be made with respect to such Equity Interests unless such payments are made after Payment in Full of the Secured Obligations. “Dollars”, “dollars” or “$” refers to lawful money of the U.S. “Domestic Subsidiary” means a Restricted Subsidiary organized under the laws of a jurisdiction located in the United States of America other than a Restricted Subsidiary substantially all of the assets of which consist of the Equity Interests (or Equity Interests and Indebtedness) of “controlled foreign corporations” within the meaning of Section 957 of the Code. “ECP” means an “eligible contract participant” as defined in Section 1(a)(18) of the Commodity Exchange Act or any regulations promulgated thereunder and the applicable rules issued by the Commodity Futures Trading Commission and/or the SEC.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14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“Effective Date” means the date on which the conditions specified in Section 4.01 are satisfied (or waived in accordance with Section 9.02). “Electronic Signature” means an electronic sound, symbol, or process attached to, or associated with, a contract or other record and adopted by a Person with the intent to sign, authenticate or accept such contract or record. “Electronic System” means any electronic system, including e-mail, e-fax, web portal access for the Borrower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 “Environmental Laws” means all laws,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 “Environmental Liability” means any liability, contingent or otherwise (including any liability for damages, costs of environmental remediation, fines, penalties or indemnities), of the Borrower or any Restricted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 “Equity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 “ERISA” means the Employee Retirement Income Security Act of 1974, as amended from time to time, and the rules and regulations promulgated thereunder. “ERISA Affiliate”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 “ERISA Event”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that is not waived; (c) the filing pursuant to Section 412(c) of the 15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or Section 302(c) of ERISA of an application for a waiver of the minimum funding standard with respect to any Plan; (d) the incurrence by the Borrower or any ERISA Affiliate of any material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material liability with respect to the withdrawal or partial withdrawal of the Borrower or any ERISA Affiliate from any Plan or Multiemployer Plan; or (g) the receipt by the Borrower or any ERISA Affiliate of any notice, or the receipt by any Multiemployer Plan from the Borrower or any ERISA Affiliate of any notice, concerning the imposition upon the Borrower or any ERISA Affiliate of any material Withdrawal Liability or a determination that a Multiemployer Plan is, or is expected to be, insolvent or in critical status, within the meaning of Title IV of ERISA. “EU Bail-In Legislation Schedule” means the EU Bail-In Legislation Schedule published by the Loan Market Association (or any successor Person), as in effect from time to time. “Event of Default” has the meaning assigned to such term in Article VII. “Excluded Assets” has the meaning assigned to such term in the Security Agreement. “Excluded Swap Obligation” 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Revolving Commitment pursuant to a law in effect on the date on which (i) such Lender acquires such interest in the Loan, Letter of Credit or Revolving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Revolving Commitment or to such Lender immediately before it changed its lending office, (c) Taxes attributable to such Recipient’s failure to comply with Section 2.17(f) and (d) any withholding Taxes imposed under FATCA. “Existing Letter of Credit” means each letter of credit issued prior to the Effective Date by a Person that shall be an Issuing Bank and listed on Schedule 2.06. 16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FATCA”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 “Federal Funds Effective Rate”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 “Federal Reserve Board” means the Board of Governors of the Federal Reserve System of the United States of America. “Financial Officer” means the chief financial officer, principal accounting officer, treasurer or controller of the Borrower. “Financial Statements” has the meaning assigned to such term in Section 5.01. “Fixed Charge Coverage Ratio” means, for any period, the ratio of (a) Consolidated EBITDA for such period, minus Unfinanced Capital Expenditures for such period, to (b) Consolidated Fixed Charges for such period. “Floor” means the benchmark rate floor, if any, provided in this Agreement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and the Adjusted Daily Simple SOFR shall be zero. “Foreign Lender” means (a) if the Borrower is a U.S. Person, a Lender that is not a U.S. Person, and (b) if the Borrower is not a U.S. Person, a Lender that is resident or organized under the laws of a jurisdiction other than that in which the Borrower is resident for tax purposes. “Foreign Subsidiary” means any Restricted Subsidiary which is not a Domestic Subsidiary. “Funding Account” has the meaning assigned to such term in Section 4.01(h). “GAAP” means generally accepted accounting principles in the United States of America. “GDPR” means the EU General Data Protection Regulation EU/2016/679 and any laws implementing or supplementing the GDPR. “Governmental Authority”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“Guarantee” of or by any Person (the “guarantor”) means any obligation, contingent or otherwise, of the guarantor guaranteeing or having the economic effect of guaranteeing any Indebtedness 17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“Guaranteed Obligations” means (i) with respect to the Borrower, the Specified Ancillary Obligations and (ii) with respect to any Subsidiary Guarantor, the Secured Obligations, and, in each case, all costs and expenses including, without limitation, all court costs and reasonable attorneys’ and paralegals’ fees (including allocated costs of in-house counsel and paralegals) and expenses paid or incurred by the Administrative Agent, the Issuing Bank and the Lenders in endeavoring to collect all or any part of the Secured Obligations from, or in prosecuting any action against, the Borrower, any Loan Guarantor or any other guarantor of all or any part of the Secured Obligations; provided that, in each case,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“Hazardous Materials”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 “Hostile Acquisition”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 “Incremental Facility Amendment” has the meaning assigned to such term in Section 2.09. “Indebtedness”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18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demand guarantees and similar independent undertakings, (j) all obligations, contingent or otherwise, of such Person in respect of bankers’ acceptances, (k) obligations under any earn-out (which for all purposes of this Agreement shall be valued at the maximum potential amount payable with respect to each such earn-out), (l) any other Off-Balance Sheet Liability, (m) Disqualified Stock of such Person and (n)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“Indemnified Taxes” means (a) Taxes, other than Excluded Taxes, imposed on or with respect to any payment made by or on account of any obligation of any Loan Party under any Loan Document and (b) to the extent not otherwise described in the foregoing clause (a), Other Taxes. “Indemnitee” has the meaning assigned to such term in Section 9.03(c). “Ineligible Institution” has the meaning assigned to such term in Section 9.04(b). “Information” has the meaning assigned to such term in Section 9.12. “Information Memorandum” means the Lender Presentation dated August 10, 2023 relating to the Borrower and the Transactions. “Intellectual Property” has the meaning assigned to such term in the Security Agreement. “Interest Election Request” means a request by the Borrower to convert or continue a Borrowing in accordance with Section 2.08, which shall be substantially in the form attached as Exhibit C-2 hereto or any other form approved by the Administrative Agent. “Interest Payment Date” means (a) with respect to any ABR Loan (other than a Swingline Loan), the first day of each calendar quarter and the Revolving Credit Maturity Date, (b) with respect to any RFR Loan, each date that is on the numerically corresponding day in each calendar month that is one month after the Borrowing of such Loan (or, if there is no such numerically corresponding day in such month, then the last day of such month) and the Revolving Credit Maturity Date, (c)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Credit Maturity Date, and (d) with respect to any Swingline Loan, the day that such Loan is required to be repaid and the Revolving Credit Maturity Date. “Interest Period” means with respect to any Term Benchmark Borrowing, the period commencing on the date of such Borrowing and ending on the numerically corresponding day in the calendar month that is one (1), three (3) or six (6) months thereafter (in each case, subject to the availability for the Benchmark applicable to the relevant Loan or Revolving Commitment), as the 19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 may elect;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in the case of any Borrowing other than a Swingline Loan, shall be the effective date of the most recent conversion or continuation of such Borrowing. “Inventory” has the meaning assigned to such term in the Security Agreement. “IRS” means the United States Internal Revenue Service. “Issuing Bank” means, individually and collectively, each of Chase, in its capacity as the issuer of Letters of Credit hereunder (including its Existing Letter of Credit), Silicon Valley Bank, a division of First-Citizens Bank &amp; Trust Company, in its capacity as the issuer of its Existing Letter of Credit, and any other Lender from time to time designated by the Borrower as an Issuing Bank, with the consent of such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 “Issuing Bank Sublimit” means, as of the Effective Date, (i) $10,000,000, in the case of Chase and (ii) in the case of any other Issuing Bank, such amount as shall be designated to the Administrative Agent and the Borrower in writing by such Issuing Bank; provided that any Issuing Bank shall be permitted at any time to increase or reduce its Issuing Bank Sublimit upon providing five (5) days’ prior written notice thereof to the Administrative Agent and the Borrower. “Joinder Agreement” means a Joinder Agreement in substantially the form of Exhibit F. “LC Collateral Account” has the meaning assigned to such term in Section 2.06(j). “LC Disbursement” means any payment made by an Issuing Bank pursuant to a Letter of Credit. “LC Exposure” means at any time, the sum of (a) the aggregate undrawn amount of all outstanding Letters of Credit at such time plus (b) the aggregate amount of all LC Disbursements that have not yet been reimbursed by or on behalf of the Borrower at such time. The LC Exposure of any Lender at any time shall be its Applicable Percentage of the aggregate LC Exposure at such time. “Lender” means, as of any date of determination, a Person listed on the Commitment Schedule (or, if the Revolving Commitments have terminated or expired, a Person holding Revolving Exposure), and any other Person that shall have become a Lender hereunder pursuant to Section 2.09 or an Assignment and Assumption or other documentation contemplated hereby, other than any such Person that ceases to be a Lender hereunder pursuant to an Assignment and Assumption or other documentation 20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contemplated hereby. Unless the context otherwise requires, the term “Lenders” includes the Swingline Lender and the Issuing Bank. “Lender-Related Person” has the meaning assigned to such term in Section 9.03(b). “Letter of Credit Agreement” has the meaning assigned to such term in Section 2.06(b). “Letters of Credit” means the letters of credit issued pursuant to this Agreement, including each Existing Letter of Credit, and the term “Letter of Credit” means any one of them or each of them singularly, as the context may require. “Liabilities” means any losses, claims (including intraparty claims), demands, damages or liabilities of any kind. “Lien”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“Limited Condition Acquisition” means any Acquisition that the Borrower or any Restricted Subsidiary is contractually committed to consummate (it being understood that such commitment may be subject to conditions precedent, which conditions precedent may be amended, satisfied or waived in accordance with the terms of the applicable agreement) and whose consummation is not conditioned on the availability of, or on obtaining, third party financing; provided that, in the event the consummation of any such Acquisition shall not have occurred within one hundred twenty (120) days following the signing of the applicable contractual commitment, such Acquisition shall no longer constitute a Limited Condition Acquisition for any purpose. “Liquidity” means, as of any date of determination, the sum of (a) Qualified Cash plus (b) so long as no Default or Event of Default exists, (i) the aggregate amount of Revolving Commitments less (ii) the aggregate amount of Revolving Exposure. “Loan Documents” means, collectively, this Agreement, each promissory note issued pursuant to this Agreement, each Letter of Credit Agreement, each Collateral Document, each Compliance Certificate, the Loan Guaranty and each other agreement, fee letter, instrument, document and certificate executed and delivered to, or in favor of, the Administrative Agent or any Lender and including each other pledge, power of attorney, consent, assignment, contract, notice, letter of credit agreement, letter of credit applications and any agreements between the Borrower and the Issuing Bank regarding the Issuing Bank’s Issuing Bank Sublimit or the respective rights and obligations between the Borrower and the Issuing Bank in connection with the issuance of Letters of Credit, and each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“Loan Guarantor” means each Loan Party. 21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Loan Guaranty” means Article X of this Agreement. “Loan Parties” means, collectively, the Borrower and the Subsidiary Guarantors and their successors and assigns, and the term “Loan Party” shall mean any one of them or all of them individually, as the context may require. “Loans” means the loans and advances made by the Lenders to the Borrower pursuant to this Agreement, including Swingline Loans. “Margin Stock” means margin stock within the meaning of Regulations T, U and X, as applicable. “Material Acquisition” means any Permitted Acquisition having total consideration in excess of $30,000,000. “Material Adverse Effect” means a material adverse effect on (a) the business, assets, operations or financial condition of the Borrower and its Restricted Subsidiaries taken as a whole, (b) the ability of any Loan Party to perform any of its Obligations, (c) the Collateral, or the Administrative Agent’s Liens (on behalf of itself and the other Secured Parties) on the Collateral or the priority of such Liens, or (d) the rights of or benefits available to the Administrative Agent, the Issuing Bank or the Lenders under any of the Loan Documents. “Material Agreement” means, with respect to any Person, each contract to which such Person is a party as to which the breach, nonperformance, termination, cancellation or failure to renew by any party thereto would reasonably be expected to result in a Material Adverse Effect. “Material Domestic Subsidiary” means each Domestic Subsidiary (i) which, as of the end of the most recent fiscal quarter of the Borrower, for the period of four consecutive fiscal quarters then ended, for which financial statements have been delivered (or are required to have been delivered) pursuant to Section 5.01(a) or (b) (or, if prior to the date of the delivery of the first financial statements to be delivered pursuant to Section 5.01(a) or (b), the most recent financial statements referred to in Section 3.04(a)), contributed greater than ten percent (10%) of Consolidated EBITDA for such period or (ii) which contributed greater than ten percent (10%) of Consolidated Total Assets as of the end of such most recent fiscal quarter; provided that, if at any time the aggregate amount of Consolidated EBITDA or Consolidated Total Assets attributable to all Domestic Subsidiaries that are not Material Domestic Subsidiaries exceeds twenty percent (20%) Consolidated EBITDA for any such period or twenty percent (20%) of Consolidated Total Assets as of the end of any such fiscal quarter, the Borrower (or, in the event the Borrower has failed to do so within ten (10) days, the Administrative Agent) shall designate sufficient Domestic Subsidiaries as “Material Domestic Subsidiaries” to eliminate such excess, and such designated Restricted Subsidiaries shall for all purposes of this Agreement constitute Material Domestic Subsidiaries. “Material Indebtedness” means Indebtedness (other than the Loans and Letters of Credit), or obligations in respect of one or more Swap Agreements, of any one or more of the Borrower and its Restricted Subsidiaries in an aggregate principal amount exceeding $10,000,000. For purposes of determining Material Indebtedness, the “principal amount” of the obligations of the Borrower or any Restricted Subsidiary in respect of any Swap Agreement at any time shall be the maximum aggregate amount (giving effect to any netting agreements) that the Borrower or such Restricted Subsidiary would be required to pay if such Swap Agreement were terminated at such time. 22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Material Intellectual Property” has the meaning assigned to such term in the Security Agreement. “Maximum Rate” has the meaning assigned to such term in Section 9.17. “Moody’s” means Moody’s Investors Service, Inc. “MUFG” means MUFG Bank, Ltd., in its individual capacity, and its successors. “Multiemployer Plan” means a multiemployer plan as defined in Section 4001(a)(3) of ERISA. “NerdWallet Domestic Holding Co. I” means NerdWallet Domestic Holding Co. I, LLC, a Delaware limited liability company. “Next Door” means Next Door Lending LLC, a Michigan limited liability company. “Non-Consenting Lender” has the meaning assigned to such term in Section 9.02(d). “NYFRB” means the Federal Reserve Bank of New York. “NYFRB Rate” means, for any day, the greater of (a) the Federal Funds Effective Rate in effect on such day and (b) the Overnight Bank Funding Rate in effect on such day(or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 “NYFRB’s Website” means the website of the NYFRB at http://www.newyorkfed.org, or any successor source. “Obligated Party” has the meaning assigned to such term in Section 10.02. “Obligations”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Indemnitee,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“OFAC” means the Office of Foreign Assets Control of the United States Department of the Treasury. “Off-Balance Sheet Liability”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23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functional equivalent of or takes the place of borrowing but which does not constitute a liability on the balance sheet of such Person (other than operating leases). “Original Indebtedness” has the meaning assigned to such term in Section 6.01(f). “Other Connection Taxes”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“Overnight Bank Funding Rate”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“Paid in Full” or “Payment in Full” means, (i) the indefeasible payment in full in cash of all outstanding Loans and LC Disbursements, together with accrued and unpaid interest thereon, (ii) the termination, expiration, or cancellation and return of all outstanding Letters of Credit (or alternatively, with respect to each such Letter of Credit, the furnishing to the Administrative Agent of a cash deposit, or at the discretion of the Administrative Agent a back up standby letter of credit satisfactory to the Administrative Agent and the Issuing Bank, in an amount equal to 103% of the LC Exposure as of the date of such payment), (iii) the indefeasible payment in full in cash of the accrued and unpaid fees, (iv)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(v) the termination of all Revolving Commitments, and (vi) the termination of the Swap Agreement Obligations and the Banking Services Obligations or entering into other arrangements satisfactory to the Secured Parties counterparties thereto. “Parent” means, with respect to any Lender, any Person as to which such Lender is, directly or indirectly, a subsidiary. “Participant” has the meaning assigned to such term in Section 9.04(c). “Participant Register” has the meaning assigned to such term in Section 9.04(c). “Payment” has the meaning assigned to such term in Section 8.06(c). “Payment Notice” has the meaning assigned to such term in Section 8.06(c). “PBGC” means the Pension Benefit Guaranty Corporation referred to and defined in ERISA and any successor entity performing similar functions. 24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Permitted Acquisition” means any Acquisition by any Loan Party in a transaction that satisfies each of the following requirements: (a) such Acquisition is not a Hostile Acquisition; (b) the business acquired in connection with such Acquisition is not engaged, directly or indirectly, in any line of business other than the businesses in which the Loan Parties are engaged on the Effective Date and any business activities that are substantially similar or reasonably related or incidental thereto; (c) both immediately before and after giving effect (including giving effect on a pro forma basis) to such Acquisition and any Indebtedness incurred or assumed in connection therewith, no Default or Event of Default shall have occurred and be continuing; (d) as soon as available, but not less than ten (10) Business Days prior to such Acquisition, the Borrower has provided the Administrative Agent (i) notice of such Acquisition, (ii) a copy of all business and financial information reasonably requested by the Administrative Agent including pro forma financial statements and statements of cash flow and (iii) a due diligence quality of earnings report conducted by a firm of independent public accountants of recognized national standing or any other accounting firm reasonably satisfactory to the Administrative Agent; provided, however, (x) solely with respect to any Acquisition involving cash consideration of less than $30,000,000, the information and other deliverables described in clause (ii) above shall only be required to the extent such information is available and within the Borrower’s possession or control and (y) solely with respect to any Acquisition involving cash consideration of less than $30,000,000, the due diligence quality of earnings report described in clause (iii) above shall only be required to the extent obtained by the Borrower; (e) if such Acquisition is an acquisition of the Equity Interests of a Person that will not become a Loan Party hereunder or of assets by any Restricted Subsidiary that is not a Loan Party, the aggregate consideration paid or payable (including without limitation, all transaction costs, any management fees, assumed Indebtedness and liabilities incurred, assumed or reflected on a consolidated balance sheet of the Borrower and its Restricted Subsidiaries after giving effect to such Acquisition and the maximum amount (to the extent such maximum amount is stated, and if not stated, then the reasonably anticipated amount) of all earn-out obligations and other deferred payments) in respect of such Acquisition, when taken together with the aggregate consideration paid in respect of all other such Permitted Acquisitions, does not exceed $30,000,000 during the term of this Agreement; (f) immediately prior to and after giving effect (including giving effect on a pro forma basis) to such Acquisition and the Loans (if any) requested to be made in connection therewith, (i) the Total Net Leverage Ratio shall not be greater than 0.25x less than the then applicable level required under Section 6.12(a) and (ii) the Borrower shall be in pro forma compliance with the financial covenants in Section 6.12 (after giving effect to any Adjusted Covenant Period, if applicable); (g) [reserved]; (h) if such Acquisition is an acquisition of assets, such Acquisition is structured so that a Loan Party shall acquire such assets; 25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if such Acquisition is an acquisition of Equity Interests, such Acquisition will not result in any violation of Regulation U; (j) if such Acquisition involves a merger or a consolidation involving any Loan Party, such Loan Party shall be the surviving entity (provided that any such merger or consolidation involving the Borrower shall result in the Borrower as the surviving entity); (k) no Loan Party shall, as a result of or in connection with any such Acquisition, assume or incur any direct or contingent liabilities (whether relating to environmental, tax, litigation, or other matters) that could reasonably be expected to result in the existence or incurrence of a Material Adverse Effect; (l) [reserved]; (m) all actions required to be taken with respect to any newly acquired or formed Subsidiary of a Loan Party required under Section 5.13 shall have been taken; and (n) the Borrower shall have delivered to the Administrative Agent the final executed documentation relating to such Acquisition promptly, but in any event within five (5) Business Days, following the consummation thereof. “Permitted Encumbrances” means: (a) Liens imposed by law for Taxes that are not yet due or are being contested in compliance with Section 5.04; (b) carriers’, warehousemen’s, landlords’, suppliers’, mechanics’, materialmen’s, repairmen’s and other like Liens imposed by law, arising in the ordinary course of business and securing obligations that are not overdue by more than thirty (30) days or are being contested in compliance with Section 5.04; (c) pledges and deposits made in the ordinary course of business in compliance with workers’ compensation, unemployment insurance and other social security laws or regulations; (d) deposits to secure the performance of bids, trade contracts, leases, statutory obligations, surety and appeal bonds, performance bonds and other obligations of a like nature, in each case in the ordinary course of business or deposits made in connection with Permitted Acquisitions; (e) judgment Liens in respect of judgments that do not constitute an Event of Default under clause (k) of Article VII; and (f) 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or any Restricted Subsidiary; provided that the term “Permitted Encumbrances” shall not include any Lien securing Indebtedness, except with respect to clause (e) above. 26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Permitted Holders” means Tim Chen and his affiliates. “Permitted Investments” means: (a) 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 (b) investments in commercial paper of an issuer rated at least A-1 by S&amp;P or P-1 by Moody’s, or carrying an equivalent rating by a nationally recognized rating agency, if both of the two named rating agencies cease publishing ratings of commercial paper issuers generally, and maturing within 12 months from the date of acquisition; (c) investments in certificates of deposit, eurodollar time deposits, overnight bank deposits, bankers’ acceptances and time deposits maturing within 12 months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 (d) fully collateralized repurchase obligations with a term of not more than 30 days for securities described in clause (a) above and entered into with a financial institution satisfying the criteria described in clause (c) above;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money market or similar funds that either (x) invest exclusively in assets satisfying the requirements of clauses (a) through (g) of this definition, or (y) (i) comply with the criteria set forth in Securities and Exchange Commission Rule 2a-7 under the Investment Company Act of 1940, (ii) are rated AAA by S&amp;P and Aaa by Moody’s and (iii) have portfolio assets of at least $5,000,000,000; and (g) in the case of a Restricted Subsidiary organized or having its principal place of business outside the United States, investments denominated in the currency of the jurisdiction in which such Restricted Subsidiary is organized or has its principal place of business which are similar and of comparable credit quality to the items specified in clauses (a) through (f) above;. “Person” means any natural person, corporation, limited liability company, trust, joint venture, association, company, partnership, Governmental Authority or other entity. “Personal Data” means data or information pertaining to an individual that is regulated or protected by one or more of the Data Protection Laws. “Plan” means any employee pension benefit plan (other than a Multiemployer Plan) subject to the provisions of Title IV of ERISA or Section 412 of the Code or Section 302 of ERISA, and in respect 27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which the Borrower or any ERISA Affiliate is (or, if such plan were terminated, would under Section 4069 of ERISA be deemed to be) an “employer” as defined in Section 3(5) of ERISA. “Plan Asset Regulations” means 29 CFR § 2510.3-101, as modified by Section 3(42) of ERISA, as amended from time to time. “Prime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“Privacy Agreements” has the meaning assigned to such term in Section 3.24(a). “Privacy Policies” has the meaning assigned to such term in Section 3.24(b). “Proceeding” means any claim, litigation, investigation, action, suit, arbitration or administrative, judicial or regulatory action or proceeding in any jurisdiction. “Projections” has the meaning assigned to such term in Section 5.01(e). “PTE” means a prohibited transaction class exemption issued by the U.S. Department of Labor, as any such exemption may be amended from time to time. “QFC” has the meaning assigned to the term “qualified financial contract” in, and shall be interpreted in accordance with, 12 U.S.C. 5390(c)(8)(D). “QFC Credit Support” has the meaning assigned to such term in Section 9.21. “Qualified Cash” means, as of any date of determination, the aggregate amount of unrestricted cash and Permitted Investments of the Loan Parties maintained in an account with Chase or that is subject to a customary springing control agreement in favor of the Administrative Agent. “Qualified ECP Guarantor”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“Recipient” means, as applicable, (a) the Administrative Agent, (b) any Lender and (c) any Issuing Bank, or any combination thereof (as the context requires). “Reference Time” with respect to any setting of the then-current Benchmark means (1) if such Benchmark is the Term SOFR Rate, 5:00 a.m. (Chicago time) on the day that is two U.S. Government Securities Business Days preceding the date of such setting, (2) if such Benchmark is Daily Simple SOFR, then four U.S. Government Securities Business Days prior to such setting or (3) if such 28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Benchmark is none of the Term SOFR Rate or Daily Simple SOFR, the time determined by the Administrative Agent in its reasonable discretion. “Refinance Indebtedness” has the meaning assigned to such term in Section 6.01(f). “Register” has the meaning assigned to such term in Section 9.04(b). “Regulation D” means Regulation D of the Federal Reserve Board, as in effect from time to time and all official rulings and interpretations thereunder or thereof. “Regulation T” means Regulation T of the Federal Reserve Board, as in effect from time to time and all official rulings and interpretations thereunder or thereof. “Regulation U” means Regulation U of the Federal Reserve Board, as in effect from time to time and all official rulings and interpretations thereunder or thereof. “Regulation X” means Regulation X of the Federal Reserve Board, as in effect from time to time and all official rulings and interpretations thereunder or thereof. “Related Parties” means, with respect to any specified Person, such Person’s Affiliates and the respective directors, officers, partners, members, trustees, employees, agents, administrators, managers, representatives and advisors of such Person and such Person’s Affiliates. “Release” means any releasing, spilling, leaking, pumping, pouring, emitting, emptying, discharging, injecting, escaping, leaching, migrating, disposing, or dumping of any substance into the environment. “Relevant Governmental Body” means the Federal Reserve Board and/or the NYFRB, or a committee officially endorsed or convened by the Federal Reserve Board and/or the NYFRB or, in each case, any successor thereto. “Relevant Rate” means (i) with respect to any Term Benchmark Borrowing, the Adjusted Term SOFR Rate, and (ii) with respect to any RFR Borrowing, Adjusted Daily Simple SOFR, as applicable. “Required Lenders” means, subject to Section 2.20: (a) at any time prior to the earlier of the Loans becoming due and payable pursuant to Article VII or the Revolving Commitments terminating or expiring, Lenders having Revolving Exposures and Unfunded Revolving Commitments representing more than 50% of the sum of the Aggregate Revolving Exposure and aggregate Unfunded Revolving Commitments at such time, provided that, solely for purposes of declaring the Loans to be due and payable pursuant to Article VII, the Unfunded Revolving Commitment of each Lender shall be deemed to be zero in determining the Required Lenders; and (b) for all purposes after the Loans become due and payable pursuant to Article VII or the Revolving Commitments expire or terminate, Lenders having Revolving Exposures representing more than 50% of the sum of the Aggregate Revolving Exposure at such time; provided that, in the case of clauses (a) and (b) above, the Revolving Exposure of any Lender that is a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Revolving Commitment of such Lender shall be determined on the basis of its Revolving Exposure excluding such excess amount. “Requirement of Law” means, with respect to any Person, (a) the charter, articles or certificate of organization or incorporation and bylaws or operating, management or partnership agreement, or other 29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 “Resolution Authority” means an EEA Resolution Authority or, with respect to any UK Financial Institution, a UK Resolution Authority. “Responsible Officer” means the president, Financial Officer or other executive officer of the Borrower. “Restricted Payment” means, as the case may be, (i)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such Equity Interests in the Borrower or any Restricted Subsidiary or any option, warrant or other right to acquire any such Equity Interests in the Borrower or any Restricted Subsidiary, or (ii) the payment of any management, advisory, transaction services, monitoring, bonus or similar fees, howsoever designated, or the payment of any costs, expenses and indemnities under any management, advisory, monitoring or similar agreement. “Restricted Subsidiary” means, at any time, any Subsidiary other than an Unrestricted Subsidiary. “Revolving Commitment” means, with respect to each Lender, the amount set forth on the Commitment Schedule opposite such Lender’s name as a “Revolving Commitment”, or in the Assignment and Assumption or other documentation or record (as such term is defined in Section 9-102(a)(70) of the New York UCC) as provided in Section 9.04(b)(ii)(C), pursuant to which such Lender shall have assumed its Revolving Commitment pursuant to the terms hereof, as applicable, as such Revolving Commitment may be reduced or increased from time to time pursuant to (a) Section 2.09 and (b) assignments by or to such Lender pursuant to Section 9.04; provided that at no time shall the Revolving Exposure of any Lender exceed its Revolving Commitment. The initial aggregate amount of the Lenders’ Revolving Commitments is $125,000,000. “Revolving Credit Maturity Date” means September 26, 2028 (if the same is a Business Day, or if not then the immediately next succeeding Business Day), or any earlier date on which the Revolving Commitments are reduced to zero or otherwise terminated pursuant to the terms hereof. “Revolving Exposure” means, with respect to any Lender, at any time, the sum of the aggregate outstanding principal amount (in Dollars) of such Lender’s Revolving Loans and its LC Exposure and its Swingline Exposure at such time. “Revolving Loan” means a Loan made pursuant to Section 2.01. “RFR” when used in reference to any Loan or Borrowing, refers to whether such Loan, or the Loans comprising such Borrowing, are bearing interest at a rate determined by reference to the Adjusted Daily Simple SOFR (excluding, for the avoidance of doubt, any ABR Loan or Borrowing). 30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S&amp;P” means Standard &amp; Poor’s Rating Services, a Standard &amp; Poor’s Financial Services LLC business. “Sale and Leaseback Transaction” has the meaning assigned to such term in Section 6.06. “Sanctioned Country” means, at any time, a country, region or territory which is itself the subject of any comprehensive Sanctions (at the time of this Agreement, the so-called Donetsk People’s Republic, the so-called Luhansk People’s Republic, the Crimea, Zaporizhzhia and Kherson Regions of Ukraine, Cuba, Iran, North Korea and Syria). “Sanctioned Person” means, at any time, any Person subject of any Sanctions, including (a) any Person listed in any Sanctions-related list of designated Persons maintained by the U.S. government, including by OFAC, the U.S. Department of State or the U.S. Department of Commerce, or by the United Nations Security Council, the European Union, any European Union member state, His Majesty’s Treasury of the United Kingdom or other relevant sanctions authority in any country in which the Borrower has operations, (b) any Person located, organized or resident in a Sanctioned Country, or (c) any Person owned or controlled by any such Person or Persons described in the foregoing clauses (a) or (b) (including, without limitation for purposes of defining a Sanctioned Person, as ownership and control may be defined and/or established in and/or by any applicable Sanctions). “Sanctions” means all applicable laws and regulations relating to economic or financial sanctions, or trade embargoes imposed, administered or enforced from time to time by (a) the U.S. government, including those administered by OFAC, the U.S. Department of State or the U.S. Department of Commerce, or (b) the United Nations Security Council, the European Union, any European Union member state or His Majesty’s Treasury of the United Kingdom or other relevant sanctions authority in any country in which the Borrower has operations. “SEC” means the Securities and Exchange Commission of the U.S. “Secured Obligations” means all Obligations, together with all Banking Services Obligations and Swap Agreement Obligations owing by the Loan Parties or any of their Restricted Subsidiaries (or, with respect to Banking Services Obligations, Subsidiaries) to one or more Lenders or their respective Affiliates or to any person that was a Lender or Affiliate of a Lender at the time incurred; provided that the definition of “Secured Obligations” shall not create any guarantee by any Loan Guarantor of (or grant of security interest by any Loan Guarantor to support, as applicable) any Excluded Swap Obligations of such Loan Guarantor for purposes of determining any obligations of any Loan Guarantor. “Secured Parties” means (a) the Lenders, (b) the Administrative Agent,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 “Security Agreement”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31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and the other Secured Parties, as the same may be amended, restated, supplemented or otherwise modified from time to time. “Security Program” has the meaning assigned to such term in Section 3.24(c). “Share Repurchase” has the meaning assigned to such term in Section 6.08(a)(iv). “SOFR” means a rate per annum equal to the secured overnight financing rate as administered by the SOFR Administrator. “SOFR Administrator” means the NYFRB (or a successor administrator of the secured overnight financing rate). “SOFR Administrator’s Website” means the NYFRB’s Website, currently at http://www.newyorkfed.org, or any successor source for the secured overnight financing rate identified as such by the SOFR Administrator from time to time. “SOFR Rate Day” has the meaning assigned to such term under the definition of Daily Simple SOFR. “Specified Ancillary Obligations” means all obligations and liabilities (including interest and fees accruing during the pendency of any bankruptcy, insolvency, receivership or other similar proceeding, regardless of whether allowed or allowable in such proceeding) of any of the Restricted Subsidiaries (or, with respect to Banking Services Obligations,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in respect of any Swap Agreement Obligations or any Banking Services Obligations. “Statement” has the meaning assigned to such term in Section 2.18(f). “Subordinated Indebtedness” of a Person means any Indebtedness of such Person, the payment of which is subordinated to payment of the Secured Obligations to the written satisfaction of the Administrative Agent. “subsidiary”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 “Subsidiary” means any direct or indirect subsidiary of the Borrower or of any other Loan Party, as applicable. “Subsidiary Guarantor” means the Borrower’s Material Domestic Subsidiaries party hereto as Subsidiary Guarantors as of the Effective Date and any other Material Domestic Subsidiary that becomes a party to this Agreement pursuant to a Joinder Agreement. 32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Supported QFC” has the meaning assigned to such term in Section 9.21. “SVB” means Silicon Valley Bank, a division of First-Citizens Bank &amp; Trust Company, in its individual capacity, and its successors. “Swap Agreement”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Borrower or the Restricted Subsidiaries shall be a Swap Agreement. “Swap Agreement Obligations” means any and all obligations of the Loan Parties and their Restricted Subsidiaries, whether absolute or contingent and howsoever and whensoever created, arising, evidenced or acquired (including all renewals, extensions and modifications thereof and substitutions therefor), under (a) any Swap Agreement permitted hereunder with the Administrative Agent, a Lender or an Affiliate of the Administrative Agent or a Lender (or any Person that was a Lender or an Affiliate of a Lender at the time incurred), and (b) any cancellations, buy backs, reversals, terminations or assignments of any Swap Agreement transaction permitted hereunder with the Administrative Agent, a Lender or an Affiliate of the Administrative Agent or a Lender (or any Person that was a Lender or an Affiliate of a Lender at the time incurred). “Swap Obligation” means, with respect to any Loan Guarantor, any obligation to pay or perform under any agreement, contract or transaction that constitutes a “swap” within the meaning of section 1a(47) of the Commodity Exchange Act or any rules or regulations promulgated thereunder. “Swingline Exposure”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such Lender in its capacity as a Swingline Lender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Lender that is a Swingline Lender, the aggregate principal amount of all Swingline Loans made by such Lender as a Swingline Lender outstanding at such time, less the amount of participations funded by the other Lenders in such Swingline Loans. “Swingline Lender” means Chase (or any of its designated branch offices or affiliates), in its capacity as lender of Swingline Loans hereunder. Any consent required of the Administrative Agent or the Issuing Bank shall be deemed to be required of the Swingline Lender and any consent given by Chase in its capacity as Administrative Agent or Issuing Bank shall be deemed given by Chase in its capacity as Swingline Lender as well. “Swingline Loan” means a Loan made pursuant to Section 2.05. “Taxes”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 33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Term Benchmark”, when used in reference to any Loan or Borrowing, refers to whether such Loan, or the Loans comprising such Borrowing, bear interest at a rate determined by reference to the Adjusted Term SOFR Rate. “Term SOFR Determination Day” has the meaning assigned to such term under the definition of Term SOFR Reference Rate. “Term SOFR Rate”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“Term SOFR Reference Rate” means, for any day and time (such day, the “Term SOFR Determination Day”), with respect to any Term Benchmark Borrowing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“Third Amendment Effective Date” means June 13, 2025. “Total Net Leverage Ratio” means, on any date, the ratio of (a) Consolidated Total Indebtedness on such date minus Qualified Cash, in an amount not to exceed $25,000,000, to (b) Consolidated EBITDA for the period of four consecutive fiscal quarters ended on or most recently prior to such date. “Transactions” means the execution, delivery and performance by the Loan Parties of this Agreement and the other Loan Documents, the borrowing of Loans and other credit extensions, the use of the proceeds thereof and the issuance of Letters of Credit hereunder. “Type”, when used in reference to any Loan or Borrowing, refers to whether the rate of interest on such Loan, or on the Loans comprising such Borrowing, is determined by reference to the Adjusted Term SOFR Rate, the Adjusted Daily Simple SOFR or the Alternate Base Rate. “UCC” means the Uniform Commercial Code as in effect from time to time in the State of New York or in any other state, the laws of which are required to be applied in connection with the issue of perfection of security interests. “UK Financial Institutions”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34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“Unfinanced Capital Expenditures” means, for any period, Capital Expenditures for maintenance purposes made during such period which are not financed from the proceeds of any Indebtedness (other than the Revolving Loans; it being understood and agreed that, to the extent any such Capital Expenditures are financed with Revolving Loans, such Capital Expenditures shall be deemed Unfinanced Capital Expenditures), but in any event excluding capitalized software development expenses that are deducted from Consolidated EBITDA, calculated for the Borrower and its Restricted Subsidiaries on a consolidated basis for such period in accordance with GAAP. “Unfunded Revolving Commitment” means, with respect to each Lender at any time, the Revolving Commitment of such Lender at such time, less its Revolving Exposure at such time. “Unliquidated Obligations”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 “Unrestricted Subsidiary” means Next Door., NerdWallet Domestic Holding Co. I and each direct Subsidiary of NerdWallet Domestic Holding Co. I as of the Third Amendment Effective Date, and any other Subsidiary of the Borrower that at the time of determination has previously been designated, and continues to be, an Unrestricted Subsidiary in accordance with Section 5.16(a). “U.S.” means the United States of America. “U.S.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Person” means a “United States person” within the meaning of Section 7701(a)(30) of the Code. “U.S. Special Resolution Regime” has the meaning assigned to such term in Section 9.21. “U.S. Tax Compliance Certificate” has the meaning assigned to such term in Section 2.17(f)(ii)(B)(3). “USA PATRIOT Act” means the Uniting and Strengthening America by Providing Appropriate Tools Required to Intercept and Obstruct Terrorism Act of 2001. 35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Withdrawal Liability” means liability to a Multiemployer Plan as a result of a complete or partial withdrawal from such Multiemployer Plan, as such terms are defined in Part I of Subtitle E of Title IV of ERISA.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1.02.Classification of Loans and Borrowings. For purposes of this Agreement, Loans may be classified and referred to by Class (e.g., a “Revolving Loan”) or by Type (e.g., a “Term Benchmark Loan”) or by Class and Type (e.g., a “Term Benchmark Revolving Loan”). Borrowings also may be classified and referred to by Class (e.g., a “Revolving Borrowing”) or by Type (e.g., a “Term Benchmark Borrowing”) or by Class and Type (e.g., a “Term Benchmark Revolving Borrowing”). SECTION 1.03.Terms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 SECTION 1.04.Accounting Terms; GAAP. (a) Except as otherwise expressly provided herein, all terms of an accounting or financial nature shall be construed in accordance with GAAP, as in effect from time to time; provided that, if after 36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date hereof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(or any other Accounting Standards Codification or Financial Accounting Standard having a similar result or effect) to value any Indebtedness or other liabilities of the Borrower or any Restricted Subsidiary at “fair value”, as defined therein and (ii) without giving effect to any treatment of Indebtedness in respect of convertible debt instruments under Financial Accounting Standards Board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(b) 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 SECTION 1.05.Pro Forma Adjustments. (a) To the extent the Borrower or any Restricted Subsidiary (a) makes any acquisition permitted pursuant to Section 6.04 or Disposition of assets outside the ordinary course of business permitted by Section 6.05 during the period of four fiscal quarters of the Borrower most recently ended or (b) consummates any transaction that requires any pro forma calculation as a condition thereto or in connection therewith under the terms of this Agreement, then, in each case, (i) the Total Net Leverage Ratio, but not the Fixed Charge Coverage Ratio,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as if such acquisition, such Disposition or such other transaction (and any related incurrence, repayment or assumption of Indebtedness) had occurred in the first day of such four-quarter period, (ii) unless otherwise expressly required hereunder, such pro forma calculation shall be determined by reference to the financial statements for the period of four consecutive fiscal quarters ended on or most recently prior to such calculation for which financial statements have been delivered (or are required to have been delivered) to the Administrative Agent pursuant to Section 5.01(a) or (b) (or, if prior to the date of the delivery of the first financial statements to be delivered pursuant to Section 5.01(a) or (b), the most recent financial statements referred to in Section 3.04(a)) and (iii) any such calculation made by reference to, or requiring pro forma compliance with, any of the financial covenants shall be made by reference to the applicable financial covenant levels required under Section 6.12 for the quarter during which such acquisition, 37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Disposition or other transaction was consummated (or, if there is no financial covenant required to be tested during such fiscal quarter, the financial covenant level for the first testing period scheduled to occur after the date of such calculation). In addition to the foregoing, and notwithstanding anything in this Agreement to the contrary, to the extent any Indebtedness is incurred or assumed in connection with any transaction permitted hereunder, any pro forma determination of the Total Net Leverage Ratio or compliance with the financial covenants required to be made under this Agreement in connection with such transaction shall be made without including the proceeds of such incurred or assumed Indebtedness as unrestricted cash. (b) In connection with any action being taken in connection with a Limited Condition Acquisition, for purposes of: (i) determining compliance with any provision of this Agreement which requires the calculation of any financial ratio or test, including the Total Net Leverage Ratio and Fixed Charge Coverage Ratio; (ii) testing availability under baskets set forth in this Agreement (including baskets measured as a percentage of Consolidated EBITDA or Consolidated Total Assets); or (iii) determining the existence of any Default or Event of Default (other than with respect to Section 4.02), in each case, at the option of the Borrower (the Borrower’s election to exercise such option in connection with any Limited Condition Acquisition, an “LCA Election”), the date of determination of whether any such action is permitted hereunder (including if the applicable tests for a Permitted Acquisition are satisfied) shall be deemed to be the date the definitive agreement for such Limited Condition Acquisition is entered into (the “LCA Test Date”), and if, after giving pro forma effect to the Limited Condition Acquisition, the Borrower or any of its Restricted Subsidiaries would have been permitted to take such action on the relevant LCA Test Date in compliance with such ratio, test or basket or other provision, such ratio, test or basket shall be deemed to have been complied with; provided, however, that notwithstanding the foregoing and/or any LCA Election, no Event of Default pursuant to clauses (a), (b), (h) or (i) of Article VII shall be continuing immediately prior to or after giving effect to the consummation of any Limited Condition Acquisition on the date of such consummation. For the avoidance of doubt, if the Borrower has made an LCA Election and any of the ratios, tests or baskets or other provision for which compliance was determined or tested as of the LCA Test Date would have failed to have been satisfied as a result of fluctuations in any such ratio, test or basket or other provision, including due to fluctuations in Consolidated EBITDA, Consolidated Interest Expense or Consolidated Total Assets, at or prior to the consummation of the relevant transaction or action, such baskets, tests or ratios will not be deemed to have failed to have been satisfied as a result of such fluctuations. If the Borrower has made an LCA Election for any Limited Condition Acquisition, then in connection with any event or transaction occurring after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 “Subsequent Transaction”) in connection with which a ratio, test or basket availability calculation must be made on a pro forma basis or giving pro forma effect to such Subsequent Transaction, for purposes of determining whether such ratio, test or basket availability has been complied with under this Agreement, any such ratio, test or basket shall be required to be satisfied on a pro forma basis both (i) assuming such Limited Condition Acquisition and the other transactions in connection therewith have been consummated and (ii) assuming such Limited Condition Acquisition and the other transactions in connection therewith have not been consummated. 38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1.06.Status of Obligations.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 SECTION 1.07.Interest Rates; Benchmark Notification. The interest rate on a Loan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1.08.Letter of Credit Amounts. Unless otherwise specified herein, the amount of a Letter of Credit at any time shall be deemed to be the stated amount of such Letter of Credit available to be drawn at such time; provided 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 and each Lender shall 39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remain in full force and effect until the Issuing Bank and the Lenders shall have no further obligations to make any payments or disbursements under any circumstances with respect to any Letter of Credit. SECTION 1.09.Divisions.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ARTICLE II The Credits SECTION 2.01.Revolving Commitments. Subject to the terms and conditions set forth herein, each Lender severally (and not jointly) agrees to make Revolving Loans in dollars to the Borrower from time to time during the Availability Period in an aggregate principal amount that will not result (after giving effect to any application of proceeds of such Borrowing pursuant to Section 2.10(a)) in (i) such Lender’s Revolving Exposure exceeding such Lender’s Revolving Commitment or (ii) the Aggregate Revolving Exposure exceeding the aggregate Revolving Commitments. Within the foregoing limits and subject to the terms and conditions set forth herein, the Borrower may borrow, prepay and reborrow Revolving Loans. SECTION 2.02.Loans and Borrowings. (a) Each Loan (other than a Swingline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provided that the Revolving Commitments of the Lenders are several and no Lender shall be responsible for any other Lender’s failure to make Loans as required. Any Swingline Loan shall be made in accordance with the procedures set forth in Section 2.05. (b) Subject to Section 2.14, each Revolving Borrowing shall be comprised entirely of ABR Loans or Term Benchmark Loans as the Borrower may request in accordance herewith.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provided that any exercise of such option shall not affect the obligation of the Borrower to repay such Loan in accordance with the terms of this Agreement. (c) At the commencement of each Interest Period for any Term Benchmark Borrowing, such Borrowing shall be in an aggregate amount that is an integral multiple of $100,000 and not less than $500,000. At the time that each ABR Borrowing or RFR Borrowing is made, such Borrowing shall be in an aggregate amount that is an integral multiple of $100,000 and not less than $200,000; provided that an ABR Revolving Borrowing may be in an aggregate amount that is equal to the entire unused balance of the total Revolving Commitments or that is required to finance the reimbursement of an LC Disbursement as contemplated by Section 2.06(e). Each Swingline Loan shall be in an amount that is an integral multiple of $50,000 and not less than $250,000. Borrowings of more than one Type may be 40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outstanding at the same time; provided that there shall not at any time be more than a total of seven (7) Term Benchmark Borrowings and RFR Borrowings outstanding. (d) Notwithstanding any other provision of this Agreement, the Borrower shall not be entitled to request, or to elect to convert or continue, any Borrowing if the Interest Period requested with respect thereto would end after the Revolving Credit Maturity Date. (e) To the extent the Borrower directs the Administrative Agent or the Lenders to remit the proceeds of any Loans hereunder to a Person other than the Borrower, in each such case, the Borrower hereby acknowledges and agrees that (i) all Loans constitute direct obligations of the Borrower, (ii) all Loans are made for the account of the Borrower and (iii) the deposit of the proceeds of the Loans as so provided directly benefits the Borrower. SECTION 2.03.Requests for Borrowings. To request a Borrowing, the Borrower shall notify the Administrative Agent of such request by submitting a Borrowing Request signed by a Responsible Officer of the Borrower or through any Electronic System, if arrangements for doing so have been approved by the Administrative Agent, (a) in the case of a Term Benchmark Borrowing, not later than 10:00 a.m., New York City time, three U.S. Government Securities Business Days before the date of the proposed Borrowing or (b) in the case of an ABR Borrowing, not later than 11:00 a.m., New York City time, on the date of the proposed Borrowing; provided that any such notice of an ABR Revolving Borrowing to finance the reimbursement of an LC Disbursement as contemplated by Section 2.06(e) may be given not later than 9:00 a.m., New York City time, on the date of the proposed Borrowing. Each such Borrowing Request shall be irrevocable. Each such Borrowing Request shall specify the following information in compliance with Section 2.02: (i) the aggregate principal amount of the requested Borrowing; (ii) the date of such Borrowing, which shall be a Business Day; (iii) whether such Borrowing is to be an ABR Borrowing or a Term Benchmark Borrowing; (iv) in the case of a Term Benchmark Borrowing, the initial Interest Period to be applicable thereto, which shall be a period contemplated by the definition of the term “Interest Period”; and (v) the location and number of the Borrower’s account to which funds are to be disbursed, which shall comply with the requirements of Section 2.07, and a breakdown of the separate wires comprising such Borrowing. If no election as to the Type of Borrowing is specified, then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Notwithstanding the foregoing, in no event shall the Borrower be permitted to request an RFR Loan (it being understood and agreed that Adjusted Daily Simple SOFR shall only apply to the extent provided in Sections 2.14(a) and 2.14(f)). 41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2.04.[Intentionally Omitted]. SECTION 2.05.Swingline Loans. (a) Subject to the terms and conditions set forth herein, from time to time during the Availability Period, the Swingline Lender shall, following request therefore by the Borrower, make Swingline Loans in dollars to the Borrower, in an aggregate principal amount at any time outstanding that will not result in (i) the aggregate principal amount of outstanding Swingline Loans exceeding $10,000,000, (ii) the Swingline Lender’s Revolving Exposure exceeding its Revolving Commitment, or (iii) the Aggregate Revolving Exposure exceeding the aggregate Revolving Commitments; provided that the Swingline Lender shall not be required to make a Swingline Loan to refinance an outstanding Swingline Loan. Within the foregoing limits and subject to the terms and conditions set forth herein, the Borrower may borrow, prepay and reborrow Swingline Loans. To request a Swingline Loan, the Borrower shall submit a written notice to the Administrative Agent of such request by fax or through any Electronic System, if arrangements for doing so have been approved by the Administrative Agent,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to the extent the Swingline Lender elects to make such Swingline Loan, by means of a credit to the Funding Account(s) (or, in the case of a Swingline Loan made to finance the reimbursement of an LC Disbursement as provided in Section 2.06(e), by remittance to the Issuing Bank, and in the case of repayment of another Loan or fees or expenses as provided by Section 2.18(c), by remittance to the Administrative Agent to be distributed to the Lenders) by 2:00 p.m., New York City time, on the requested date of such Swingline Loan. (b) The Swingline Lender may by written notice given to the Administrative Agent require the Lenders to acquire participations on such Business Day in all or a portion of the Swingline Loans outstanding. Such notice shall specify the aggregate amount of Swingline Loans in which the Lenders will participate. Promptly upon receipt of such notice, the Administrative Agent will give notice thereof to each Lender, specifying in such notice such Lender’s Applicable Percentage of such Swingline Loan or Loans. Each Lender hereby absolutely and unconditionally agrees, promptly upon receipt of such notice from the Administrative Agent (and in any event, if such notice is received by 11:00 a.m., New York City time, on a Business Day no later than 4:00 p.m., New York City time on such Business Day and if received after 11:00 a.m., New York City time, “on a Business Day” shall mean no later than 9:00 a.m., New York City time on the immediately succeeding Business Day), to pay to the Administrative Agent in dollars,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Lender shall comply with its obligation under this paragraph by wire transfer in dollars of immediately available funds, in the same manner as provided in Section 2.07 with respect to Revolving Loans made by such Lender (and Section 2.07 shall apply, mutatis mutandis,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42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 (c) 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 (d) Subject to the appointment and acceptance of a successor Swingline Lender, the Swingline Lender may resign as Swingline Lender at any time upon thirty days’ prior written notice to the Administrative Agent, the Borrower and the Lenders, in which case, the Swingline Lender shall be replaced in accordance with Section 2.05(c) above. SECTION 2.06.Letters of Credit. (a) General. Subject to the terms and conditions set forth herein, the Borrower may request the Issuing Bank to issue Letters of Credit denominated in dollars as the applicant thereof for the support of its or its Restricted Subsidiaries’ obligations, in a form reasonably acceptable to the Issuing Bank, at any time and from time to time during the Availability Period. Each Existing Letter of Credit is deemed issued hereunder. (b) Notice of Issuance, Amendment, Extension; Certain Conditions. To request the issuance of a Letter of Credit (or the amendment or extension of an outstanding Letter of Credit), the Borrower shall hand deliver or fax (or transmit through any Electronic System, if arrangements for doing so have been approved by the Issuing Bank) to the Issuing Bank and the Administrative Agent (reasonably in advance of the requested date of issuance, amendment or extension, but in any event no less than three Business Days)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Issuing Bank and using such Issuing Bank’s standard form (each, a “Letter of Credit Agreement”). In the event of any conflict between the terms and conditions of this Agreement and the terms and conditions of any Letter of Credit Agreement, 43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(i) the aggregate LC Exposure shall not exceed $10,000,000, (ii) no Lender’s Revolving Exposure shall exceed its Revolving Commitment and (iii) the Aggregate Revolving Exposure shall not exceed the aggregate Revolving Commitments.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set forth in clauses (i) through (iii) of this Section 2.06(b). The Issuing Bank shall not be under any obligation to issue any Letter of Credit if: (i) any order, judgment or decree of any Governmental Authority or arbitrator shall by its terms purport to enjoin or restrain the Issuing Bank from issuing such Letter of Credit, or request that the Issuing Bank refrain from issuing such Letter of Credit, or any Requirement of Law relating to the Issuing Bank or any request or directive (whether or not having the force of law) from any Governmental Authority with jurisdiction over the Issuing Bank shall prohibit, the issuance of letters of credit generally or such Letter of Credit in particular, or any such order, judgment, decree, Requirement of Law, request or directive shall impose upon the Issuing Bank with respect to such Letter of Credit any restriction, reserve or capital or liquidity requirement (for which the Issuing Bank is not otherwise compensated hereunder) not in effect on the Effective Date, or shall impose upon the Issuing Bank any unreimbursed loss, cost or expense that was not applicable on the Effective Date and that the Issuing Bank in good faith deems material to it; or (ii) the issuance of such Letter of Credit would violate one or more policies of the Issuing Bank applicable to letters of credit generally. (c) Expiration Date. Each Letter of Credit shall expire (or be subject to termination or non-extension by notice from the Issuing Bank to the beneficiary thereof) at or prior to the close of business on the earlier of (i) the date one year after the date of the issuance of such Letter of Credit (or, in the case of any extension of the expiration thereof, including, without limitation, any automatic extension provision, one year after such extension) and (ii) the date that is five Business Days prior to the Revolving Credit Maturity Date; provided that any Letter of Credit with a one-year tenor may provide for the extension thereof for additional one-year periods (which shall in no event extend beyond the date referred to in clause (ii) above). (d) Participations. By the issuance of a Letter of Credit (or an amendment to a Letter of Credit increasing the amount or extending the term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Borrower on 44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date due as provided in paragraph (e) of this Section, or of any reimbursement payment required to be refunded to the Borrower for any reason, including after the Revolving Credit Maturity Date.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Revolving Commitments, and that each such payment shall be made without any offset, abatement, withholding or reduction whatsoever. (e) Reimbursement. If the Issuing Bank shall make any LC Disbursement in respect of a Letter of Credit, the Borrower shall reimburse such LC Disbursement by paying to the Administrative Agent an amount equal to such LC Disbursement not later than 11:00 a.m., New York City time, on (i) the Business Day that the Borrower receives notice of such LC Disbursement, if such notice is received prior to 9:00 a.m., New York City time, on the day of receipt, or (ii) the Business Day immediately following the day that the Borrower receives such notice, if such notice is received after 9:00 a.m., New York City time, on the day of receipt; provided that, if such LC Disbursement is greater than or equal to $1,000,000, the Borrower may, subject to the conditions to borrowing set forth herein, request in accordance with Section 2.03 or 2.05 that such payment be financed with an ABR Revolving Borrowing or Swingline Loan in an equivalent amount of such LC Disbursement and, to the extent so financed, the Borrower’s obligation to make such payment shall be discharged and replaced by the resulting ABR Revolving Borrowing or Swingline Loan.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mutatis mutandis, to the payment obligations of the Lenders), and the Administrative Agent shall promptly pay to the Issuing Bank the amounts so received by it from the Lenders. Promptly following receipt by the Administrative Agent of any payment from the Borrower pursuant to this paragraph, the Administrative Agent shall distribute such payment to the Issuing Bank or, to the extent that Lenders have made payments pursuant to this paragraph to reimburse the Issuing Bank, then to such Lenders and the Issuing Bank, as their interests may appear. Any payment made by a Lender pursuant to this paragraph to reimburse the Issuing Bank for any LC Disbursement (other than the funding of ABR Revolving Loans or a Swingline Loan as contemplated above) shall not constitute a Loan and shall not relieve the Borrower of its obligation to reimburse such LC Disbursement. (f) Obligations Absolute.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or the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45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Letter of Credit (including any document required to make a drawing thereunder), any error in interpretation of technical terms, any error in translation or any consequence arising from causes beyond the control of the Issuing Bank; provided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bad faith or willful misconduct on the part of the Issuing Bank (as finally determined by a nonappealable judgment of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(g) Disbursement Procedures. The Issuing Bank for any Letter of Credit shall, within the time allowed by applicable law or the specific terms of such Letter of Credit following its receipt thereof, examine all documents purporting to represent a demand for payment under a Letter of Credit. The Issuing Bank shall promptly after such examination notify the Administrative Agent and the Borrower by telephone (confirmed by fax or through Electronic Systems) of such demand for payment and whether the Issuing Bank has made or will make an LC Disbursement thereunder; provided that such notice need not be given prior to payment by the Issuing Bank and any failure to give or delay in giving such notice shall not relieve the Borrower of its obligation to reimburse the Issuing Bank and the Lenders with respect to any such LC Disbursement. (h) Interim Interest.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and such interest shall be due and payable on the date when such reimbursement is due; provided that, if the Borrower fails to reimburse such LC Disbursement when due pursuant to paragraph (e) of this Section, then Section 2.13(d) shall apply. Interest accrued pursuant to this paragraph shall be for the account of the Issuing Bank, except that interest accrued on and after the date of payment by any Lender pursuant to paragraph (e) of this Section to reimburse the Issuing Bank shall be for the account of such Lender to the extent of such payment. (i) Replacement and Resignation of the Issuing Bank. (i) The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Section 2.12(b). From and after the effective date of any such replacement, (x) the successor Issuing Bank shall have all the rights and obligations of the replaced Issuing Bank under this Agreement with respect to Letters of Credit to be issued thereafter and (y)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46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 (ii) Subject to the appointment and acceptance of a successor Issuing Bank, the Issuing Bank may resign as an Issuing Bank at any time upon thirty days’ prior written notice to the Administrative Agent, the Borrower and the Lenders, in which case, such resigning Issuing Bank shall be replaced in accordance with Section 2.06(i)(i) above. (j) Cash Collateralization. If any Event of Default shall occur and be continuing, on the Business Day that the Borrower receives notice from the Administrative Agent or the Required Lenders (or, if the maturity of the Loans has been accelerated,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Lenders (the “LC Collateral Account”), an amount in cash in dollars equal to 103% of the amount of the LC Exposure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The Borrower also shall deposit cash collateral in accordance with this paragraph as and to the extent required by Section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 shall immediately deposit into the LC Collateral Account an amount in cash equal to 103% of such LC Exposure as of such date plus any accrued and unpaid interest thereon. The Administrative Agent shall have exclusive dominion and control, including the exclusive right of withdrawal, over the LC Collateral Account and the Borrower hereby grants the Administrative Agent a security interest in the LC Collateral Account and all moneys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such Events of Default have been cured or waived as confirmed in writing by the Administrative Agent. (k) Issuing Bank Reports to the Administrative Agent. In the event Chase is not the only Issuing Bank, and unless otherwise agreed by the Administrative Agent, each Issuing Bank other than Chase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and amendments, all expirations and cancelations and all disbursements and reimbursements, (ii) reasonably prior to the time that such Issuing Bank issues, 47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amends or extends any Letter of Credit, the date of such issuance, amendment or extension, and the stated amount of the Letters of Credit issued, amended or extended by it and outstanding after giving effect to such issuance, amendment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 (l) Letters of Credit Issued for Account of Restricted Subsidiaries.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Restricted Subsidiary in respect of such Letter of Credit. The Borrower hereby acknowledges that the issuance of such Letters of Credit for its Restricted Subsidiaries inures to the benefit of the Borrower, and that the Borrower’s business derives substantial benefits from the businesses of such Restricted Subsidiaries. SECTION 2.07.Funding of Borrowings. (a) Each Lender shall make each Loan to be made by such Lender hereunder on the proposed date thereof solely by wire transfer of immediately available funds by 1:00 p.m., New York City time, to the account of the Administrative Agent most recently designated by it for such purpose by notice to the Lenders in an amount equal to such Lender’s Applicable Percentage; provided that Swingline Loans shall be made as provided in Section 2.05. The Administrative Agent will make such Loans available to the Borrower by promptly crediting the funds so received in the aforesaid account of the Administrative Agent to the Funding Account(s); provided that ABR Revolving Loans made to finance the reimbursement of an LC Disbursement as provided in Section 2.06(e) shall be remitted by the Administrative Agent to the Issuing Bank. (b)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each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 provided, that any interest received from the Borrower by the 48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during the period beginning when Administrative Agent funded the Borrowing until such Lender pays such amount shall be solely for the account of the Administrative Agent. SECTION 2.08.Interest Elections. (a) Each Borrowing initially shall be of the Type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 (b) To make an election pursuant to this Section, the Borrower shall notify the Administrative Agent of such election either in writing (delivered by hand or fax) by delivering an Interest Election Request signed by a Responsible Officer of the Borrower or through any Electronic System, if arrangements for doing so have been approved by the Administrative Agent, by the time that a Borrowing Request would be required under Section 2.03 if the Borrower were requesting a Borrowing of the Type resulting from such election to be made on the effective date of such election. Each such Interest Election Request shall be irrevocable. Notwithstanding any contrary provision herein, this Section shall not be construed to permit the Borrower to (i) elect an Interest Period for Term Benchmark Loans that does not comply with Section 2.02(d), or (ii) elect Adjusted Daily Simple SOFR (it being understood and agreed that Adjusted Daily Simple SOFR shall only apply to the extent provided in Sections 2.14(a) and 2.14(f)). (c) Each Interest Election Request (including requests submitted through any Electronic System) shall specify the following information in compliance with Section 2.02: (i)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(ii) the effective date of the election made pursuant to such Interest Election Request, which shall be a Business Day; (iii) whether the resulting Borrowing is to be an ABR Borrowing or a Term Benchmark Borrowing; and (iv) if the resulting Borrowing is a Term Benchmark Borrowing, the Interest Period to be applicable thereto after giving effect to such election, which Interest Period shall be a period contemplated by the definition of the term “Interest Period”. If any such Interest Election Request requests a Term Benchmark Borrowing but does not specify an Interest Period, then the Borrower shall be deemed to have selected an Interest Period of one month’s duration. 49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Promptly following receipt of an Interest Election Request, the Administrative Agent shall advise each Lender of the details thereof and of such Lender’s portion of each resulting Borrowing. (e) 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deemed to have an Interest Period that is one month.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each Term Benchmark Borrowing and RFR Borrowing shall be converted to an ABR Borrowing at the end of the Interest Period applicable thereto (or immediately in the case of an RFR Borrowing). SECTION 2.09.Termination and Reduction of Revolving Commitments; Increase in Revolving Commitments. (a) Unless previously terminated, all the Revolving Commitments shall terminate on the Revolving Credit Maturity Date. (b) The Borrower may at any time terminate the Revolving Commitments upon the Payment in Full of the Secured Obligations. (c) The Borrower may at any time and from time to time reduce the Revolving Commitments; provided that (i) each reduction of the Revolving Commitments shall be in an amount that is an integral multiple of $500,000 and not less than $1,000,000 and (ii) the Borrower shall not terminate or reduce the Revolving Commitments if, after giving effect to any concurrent prepayment of the Revolving Loans in accordance with Section 2.11, (x) the Aggregate Revolving Exposure would exceed the aggregate Revolving Commitments or (y) the Revolving Exposure of any Lender would exceed the Revolving Commitment of such Lender. (d) The Borrower shall notify the Administrative Agent of any election to terminate or reduce the Revolving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provided that a notice of termination of the Revolving Commitments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 (e) The Borrower shall have the right to increase the Revolving Commitments by obtaining additional Revolving Commitments, either from one or more of the Lenders or another lending institution (other than any Ineligible Institution), provided that (i) any such request for an increase shall be in a minimum amount of $10,000,000, (ii) the Borrower may make a maximum of four (4) such requests during the term of this Agreement, (iii) after giving effect thereto, the sum of the total of the additional Revolving Commitments does not exceed $75,000,000, (iv) the Administrative Agent, the Swingline Lender and the Issuing Bank have approved the identity of any such new Lender, such approvals not to 50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unreasonably withheld, conditioned or delayed, (v) any such new Lender assumes all of the rights and obligations of a “Lender” hereunder, and (vi) the procedures described in Section 2.09(f) have been satisfied. Nothing contained in this Section 2.09 shall constitute, or otherwise be deemed to be, a commitment on the part of any Lender to increase its Revolving Commitment hereunder at any time. (f) As a condition precedent to such an increase of the Revolving Commitments, the Borrower shall deliver to the Administrative Agent (i) a certificate of each Loan Party signed by an authorized officer of such Loan Party (A) certifying and attaching the resolutions adopted by such Loan Party approving or consenting to such increase, and (B) in the case of the Borrower, certifying that, before and after giving effect to such increase, (1) the representations and warranties contained in Article III and the other Loan Documents are true and correct in all material respects, except to the extent that such representations and warranties specifically refer to an earlier date, in which case they are true and correct as of such earlier date, (2) no Default or Event of Default exists and (3) the Borrower is in compliance (on a pro forma basis) with the covenants contained in Section 6.12 (which calculations shall assume that such increase of the Revolving Commitments is fully drawn) and (ii) legal opinions and documents consistent with those delivered on the Effective Date, to the extent reasonably requested by the Administrative Agent. (g) On the effective date of any such increase,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 shall be deemed to have repaid and reborrowed all outstanding Revolving Loans as of the date of any increase in the Revolving Commitments (with such reborrowing to consist of the Types of Revolving Loans, with related Interest Periods if applicable, specified by the Borrower to the Administrative Agent). The deemed payments made pursuant to clause (ii) of the immediately preceding sentence shall be accompanied by payment of all accrued interest on the amount prepaid and, to the extent applicable, shall be subject to indemnification by the Borrower pursuant to the provisions of Section 2.16. Any increase in the Revolving Commitments shall be on the same terms and subject to the same conditions as the then existing Revolving Commitments. (h) Subject to the foregoing conditions, any increase in the Revolving Commitments may be made hereunder pursuant to an amendment or restatement (an “Incremental Facility Amendment”) of this Agreement and, as appropriate, the other Loan Documents, executed by the Borrower, each Lender participating in such increase and the Administrative Agent. The Incremental Facility Amendment may, without the consent of any other Lenders, effect such amendments to this Agreement and the other Loan Documents as may be necessary or appropriate, in the reasonable opinion of the Administrative Agent, to effect the provisions of this Section 2.09 and reflect the applicable increase in the Revolving Commitments. Within a reasonable time after the effective date of any increase, the Administrative Agent shall, and is hereby authorized and directed to, revise the Commitment Schedule to reflect such increase and shall distribute such revised Commitment Schedule to each of the Lenders and the Borrower, whereupon such revised Commitment Schedule shall replace the old Commitment Schedule and become part of this Agreement. 51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In connection with any increase of the Revolving Commitments pursuant to this Section 2.09, any new lending institution becoming a party hereto shall (i) execute such documents and agreements as the Administrative Agent may reasonably request and (ii) provide to the Administrative Agent, its name, address, tax identification number and/or such other information as shall be necessary for the Administrative Agent to comply with applicable “know your customer” and anti-money laundering rules and regulations, including without limitation, the USA PATRIOT Act. SECTION 2.10.Repayment of Loans; Evidence of Debt. (a) The Borrower hereby unconditionally promises to pay in dollars (i) to the Administrative Agent for the account of each Lender the then unpaid principal amount of each Revolving Loan on the Revolving Credit Maturity Date, and (ii) to the Swingline Lender the then unpaid principal amount of each Swingline Loan on the earlier of the Revolving Credit Maturity Date and the fifth (5th) Business Day after such Swingline Loan is made; provided that on each date that a Revolving Loan is made, the Borrower shall repay all Swingline Loans then outstanding and the proceeds of any such Revolving Loan shall be applied by the Administrative Agent to repay any Swingline Loans outstanding. (b)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(c) The Administrative Agent shall maintain accounts in which it shall record (i) the amount of each Loan made hereunder, the Type thereof and the Interest Period applicable thereto, if any, (ii) the amount of any principal or interest due and payable or to become due and payable from the Borrower to each Lender hereunder and (iii) the amount of any sum received by the Administrative Agent hereunder for the account of the Lenders and each Lender’s share thereof. (d) The entries made in the accounts maintained pursuant to paragraph (b) or (c) of this Section shall be prima facie evidence of the existence and amounts of the obligations recorded therein absent manifest error; provided that the failure of any Lender or the Administrative Agent to maintain such accounts or any error therein shall not in any manner affect the Obligations. (e) Any Lender may request that Loans made by it be evidenced by a promissory note. In such event, the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SECTION 2.11.Prepayment of Loans. (a) The Borrower shall have the right at any time and from time to time to prepay any Borrowing in whole or in part, subject to prior notice in accordance with paragraph (c) of this Section and, if applicable, payment of any break funding expenses under Section 2.16. (b) In the event and on such occasion that the Aggregate Revolving Exposure exceeds the aggregate Revolving Commitments, the Borrower shall prepay the Revolving Loans, LC Exposure and/or Swingline Loans (or, if no such Borrowings are outstanding, deposit cash collateral in the LC Collateral Account in an aggregate amount equal to such excess, in accordance with Section 2.06(j)) in an aggregate 52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principal amount sufficient to cause the aggregate principal amount of all Revolving Exposures to be less than or equal to the aggregate Revolving Commitments. (c) The Borrower shall notify the Administrative Agent (and, in the case of prepayment of a Swingline Loan, the Swingline Lender) by fax or through any Electronic System, if arrangements for doing so have been approved by the Administrative Agent, of any prepayment under this Section: (i) in the case of prepayment of a Term Benchmark Borrowing, not later than 10:00 a.m., New York City time, three (3) U.S. Government Securities Business Days before the date of prepayment, (ii) in the case of an RFR Borrowing, not later than 10:00 a.m., New York City time, five (5) U.S. Government Securities Business Days before the date of prepayment, (iii) in the case of prepayment of an ABR Revolving Borrowing (other than a Swingline Loan), not later than 10:00 a.m., New York City time, on the date of prepayment or (iv) in the case of prepayment of a Swingline Loan, not later than 11:00 a.m., New York City time, on the date of prepayment. Each such notice shall be irrevocable and shall specify the prepayment date and the principal amount of each Borrowing or portion thereof to be prepaid; provided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2.02 (or, in the case of any RFR Loan, in such amount that would be permitted in the case of an advance of an ABR Revolving Borrowing as provided in Section 2.02), except as necessary to apply fully the required amount of a mandatory prepayment. Each voluntary prepayment of a Borrowing shall be applied to such Loans in such amounts, at the discretion of the Borrower. Each mandatory prepayment made pursuant to Section 2.11(b) shall be applied ratably to all outstanding Loans. Prepayments shall be accompanied by (i) accrued interest to the extent required by Section 2.13 and (ii) break funding payments pursuant to Section 2.16. SECTION 2.12.Fees. (a) The Borrower agrees to pay to the Administrative Agent a commitment fee for the account of each Lender, which shall accrue at the Applicable Rate on the daily amount of the undrawn portion of the Revolving Commitment of such Lender during the period from and including the Effective Date to but excluding the date on which the Lenders’ Revolving Commitments terminate; it being understood that the LC Exposure of a Lender shall be included and the Swingline Exposure of a Lender shall be excluded in the drawn portion of the Revolving Commitment of such Lender for purposes of calculating the commitment fee; provided that, if such Lender continues to have any Revolving Exposure after its Revolving Commitment terminates, then such commitment fee shall continue to accrue on the daily amount of such Lender’s Revolving Exposure from and including the date on which its Revolving Commitment terminates to but excluding the date on which such Lender ceases to have any Revolving Exposure. Commitment fees accrued through and including the last day of March, June, September and December of each year shall be payable in arrears on the fifteenth (15th) day following such last day of March, June, September and December and on the date on which the Revolving Commitments terminate, commencing on the first such date to occur after the date hereof; provided that any commitment fees accruing after the date on which the Revolving Commitments terminate shall be payable on demand. All commitment fees shall be computed on the basis of a year of 360 days and shall be payable for the actual number of days elapsed (including the first day and last day of each period but excluding the date on which the Revolving Commitments terminate). (b) The Borrower agrees to pay (i) to the Administrative Agent for the account of each Lender a participation fee with respect to its participations in each outstanding Letter of Credit, which shall accrue on the daily maximum stated amount then available to be drawn under such Letter of Credit 53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the Issuing Bank for its own account a fronting fee, which shall accrue at a rate per annum equal to 0.125% on the daily maximum stated amount then available to be drawn under each outstanding Letter of Credit, during the period from and including the Effective Date to but excluding the later of the date of termination of the Revolving Commitments and the date on which there ceases to be any LC Exposure, as well as the Issuing Bank’s standard fees and commissions with respect to the issuance, amendment, cancellation, negotiation, transfer, presentment or extension of any Letter of Credit and other processing fees, and other standard costs and charges, of the Issuing Bank relating to Letters of Credit as from time to time in effect. Participation fees and fronting fees accrued through and including the last day of each March, June, September and December of each year shall be payable on the fifteenth (15th) day following such last day of March, June, September and December, commencing on the first such date to occur after the Effective Date; provided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Business Days after demand. All participation fees and fronting fees shall be computed on the basis of a year of 360 days and shall be payable for the actual number of days elapsed (including the first day but excluding the last day). (c) The Borrower agrees to pay to the Administrative Agent, for its own account, fees payable in the amounts and at the times separately agreed upon between the Borrower and the Administrative Agent. (d) All fees payable hereunder shall be paid in dollars on the dates due, in immediately available funds, to the Administrative Agent (or to the Issuing Bank, in the case of fees payable to it) for distribution, in the case of commitment fees and participation fees, to the Lenders entitled thereto. Fees paid shall not be refundable under any circumstances. SECTION 2.13.Interest. (a) The Loans comprising each ABR Borrowing (including each Swingline Loan) shall bear interest at the Alternate Base Rate plus the Applicable Rate. (b) The Loans comprising each Term Benchmark Borrowing shall bear interest at the Adjusted Term SOFR Rate for the Interest Period in effect for such Borrowing plus the Applicable Rate. (c) Each RFR Loan shall bear interest at a rate per annum equal to the Adjusted Daily Simple SOFR plus the Applicable Rate. (d) Notwithstanding the foregoing, (i) except as provided in the following clause (d)(ii), during the occurrence and continuance of an Event of Default, the Administrative Agent or the Required Lenders may, at their option, by notice to the Borrower (which notice may be revoked at the option of the Required Lenders notwithstanding any provision of Section 9.02 requiring the consent of “each Lender directly affected thereby” for reductions in interest rates), declare that, or (ii) automatically, without any notice or other action from any party hereto, upon the occurrence of an Event of Default described in clause (a) of Article VII or with respect to the Borrower described in clause (h) or (i) of Article VII, then, in each case, (A) all Loans shall bear interest at a rate per annum equal to 2% plus the rate otherwise applicable to such Loans as provided in the preceding paragraphs of this Section and (B) in the case of 54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other amount outstanding hereunder, such amount shall accrue interest at a rate per annum equal to 2% plus the rate applicable to ABR Loans as provided in Section 2.13(a). (e) Accrued interest on each Loan shall be payable in arrears on each Interest Payment Date for such Loan and, in the case of Revolving Loans, upon termination of the Revolving Commitments; provided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(f) All interest hereunder shall be computed on the basis of a year of 360 days, except that interest computed by reference to the Alternate Base Rate only at times when the Alternate Base Rate is based on the Prime Rate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Any determination of the applicable Alternate Base Rate, Adjusted Term SOFR Rate, Term SOFR Rate, Adjusted Daily Simple SOFR or Daily Simple SOFR shall be determined by the Administrative Agent, and such determination shall be conclusive absent manifest error. SECTION 2.14.Alternate Rate of Interest. (a) Subject to clauses (b), (c), (d), (e) and (f) of this Section 2.14, if: (i) the Administrative Agent reasonably determines (which determination shall be conclusive and binding absent manifest error) (A) prior to the commencement of any Interest Period for a Term Benchmark Borrowing that adequate and reasonable means do not exist for ascertaining the Adjusted Term SOFR Rate (including, without limitation, because the Term SOFR Reference Rate is not available or published on a current basis), for such Interest Period or (B) at any time, that adequate and reasonable means do not exist for ascertaining the applicable Adjusted Daily Simple SOFR for an RFR Loan; or (ii) the Administrative Agent is advised by the Required Lenders that (A) prior to the commencement of any Interest Period for a Term Benchmark Borrowing, the Adjusted Term SOFR Rate for the applicable Interest Period will not adequately and fairly reflect the cost to such Lenders (or Lender) of making or maintaining their Loans (or Loan) included in such Borrowing for such Interest Period, or (B) at any time, the applicable Adjusted Daily Simple SOFR for an RFR Loan will not adequately and fairly reflect the cost to such Lenders (or Lender) of making or maintaining their Loans (or its Loan) included in such Borrowing; then the Administrative Agent shall give notice thereof to the Borrower and the Lenders through any Electronic System as provided in Section 9.01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(1) an RFR Borrowing so long as the 55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Daily Simple SOFR is not also the subject of Section 2.14(a)(i) or (ii) above or (2) an ABR Borrowing if the Adjusted Daily Simple SOFR also is the subject of Section 2.14(a)(i) or (ii) above, and (B) any outstanding RFR Borrowing shall be converted to an ABR Borrowing at such time. Furthermore, if any Term Benchmark Loan or RFR Loan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(1) any Term Benchmark Loan shall on the last day of the Interest Period applicable to such Loan, be converted by the Administrative Agent to, and shall constitute, (x) an RFR Borrowing so long as the Adjusted Daily Simple SOFR is not also the subject of Section 2.14(a)(i) or (ii) above or (y) an ABR Loan if the Adjusted Daily Simple SOFR also is the subject of Section 2.14(a)(i) or (ii) above, on such day, and (2) any RFR Loan shall on and from such day be converted by the Administrative Agent to, and shall constitute, an ABR Loan. (b) 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Section 2.14(e)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56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their sole discretion and without consent from any other party to this Agreement or any other Loan Document, except, in each case, as expressly required pursuant to this Section 2.14. (e)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(f) Upon the Borrower’s receipt of notice of the commencement of a Benchmark Unavailability Period with respect to any Relevant Rate, (i) in the case of a Term Benchmark Borrowing, the Borrower may revoke any request for a Term Benchmark Borrowing of, conversion to or continuation of Term Benchmark Loans to be made, converted or continued during any Benchmark Unavailability Period and, failing that, the Borrower will be deemed to have converted any such request into a request for a Borrowing of or conversion to (A) an RFR Borrowing so long as the Adjusted Daily Simple SOFR is not the subject of a Benchmark Transition Event or (B) an ABR Borrowing if the Adjusted Daily Simple SOFR is the subject of a Benchmark Transition Event, and (ii) in the case of any outstanding RFR Borrowing, such Borrowing shall on and from such day be converted by the Administrative Agent to, and shall constitute, an ABR Loan.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(1) any Term Benchmark Loan shall on the last day of the Interest Period applicable to such Loan, be converted by the Administrative Agent to, and shall constitute, (x) an RFR Borrowing so long as the Adjusted Daily Simple SOFR is not the subject of a Benchmark Transition Event or (y) an ABR Loan if the Adjusted Daily Simple SOFR is the subject of a Benchmark Transition Event, on such day and (2) any RFR Loan shall on and from such day be converted by the Administrative Agent to, and shall constitute, an ABR Loan. SECTION 2.15.Increased Costs. (a) If any Change in Law shall: (i) impose, modify or deem applicable any reserve, special deposit, liquidity or similar requirement (including any compulsory loan requirement, insurance charge or other assessment) against assets of, deposits with or for the account of, or credit extended by, any Lender or the Issuing Bank; or 57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impose on any Lender or the Issuing Bank or the applicable interbank market any other condition, cost or expense (other than Taxes) affecting this Agreement or Loans made by such Lender or any Letter of Credit or participation therein; or (iii)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and the result of any of the foregoing shall be to increase the cost to such Lender, the Issuing Bank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 will pay to such Lender, the Issuing Bank or such other Recipient, as the case may be, such additional amount or amounts as will compensate such Lender, the Issuing Bank or such other Recipient, as the case may be, for such additional costs incurred or reduction suffered. (b) If any Lender or the Issuing Bank reasonably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Revolving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 (c) A certificate of a Lender or the Issuing Bank setting forth the amount or amounts necessary to compensate such Lender or the Issuing Bank or its holding company, as the case may be, as specified in paragraph (a) or (b) of this Section shall be delivered to the Borrower and shall be conclusive absent manifest error. The Borrower shall pay such Lender or the Issuing Bank, as the case may be, the amount shown as due on any such certificate within ten (10) Business Days after receipt thereof. (d) Failure or delay on the part of any Lender or the Issuing Bank to demand compensation pursuant to this Section shall not constitute a waiver of such Lender’s or the Issuing Bank’s right to demand such compensation; provided that the Borrower shall not be required to compensate a Lender or the Issuing Bank pursuant to this Section for any increased costs or reductions incurred more than 360 days prior to the date that such Lender or the Issuing Bank, as the case may be, notifies the Borrower of the Change in Law giving rise to such increased costs or reductions and of such Lender’s or the Issuing Bank’s intention to claim compensation therefor; provided further that, if the Change in Law giving rise to such increased costs or reductions is retroactive, then the 360-day period referred to above shall be extended to include the period of retroactive effect thereof. SECTION 2.16.Break Funding Payments. 58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With respect to Loans that are not RFR Loans, in the event of (i) the payment of any principal of any Term Benchmark Loan other than on the last day of an Interest Period applicable thereto (including as a result of an Event of Default or as a result of any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2.09(d) and is revoked in accordance therewith), or (iv) the assignment of any Term Benchmark Loan, in each case, other than on the last day of the Interest Period applicable thereto, as a result of a request by the Borrower pursuant to Section 2.19 or 9.02(d), then, in any such event, the Borrower shall compensate each Lender for the loss, cost and expense attributable to such event. (b)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2.09(d) and is revoked in accordance therewith), or (iii) the assignment of any RFR Loan, in each case, other than on the Interest Payment Date applicable thereto, as a result of a request by the Borrower pursuant to Section 2.19 or 9.02(d), then, in any such event, the Borrower shall compensate each Lender for the loss, cost and expense attributable to such event. (c) A certificate of any Lender setting forth any amount or amounts that such Lender is entitled to receive pursuant to this Section 2.16 shall be delivered to the Borrower and shall be conclusive absent manifest error. The Borrower shall pay such Lender the amount shown as due on any such certificate within ten (10) days after receipt thereof. SECTION 2.17.Taxes. (a) Withholding of Taxes; Gross-Up; Payments Free of Taxes. Any and all payments by or on account of any obligation of any Loan Party under any Loan Document (including, without limitation, the Secured Obligations and Guaranteed Obligations of each Loan Party)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 (b) Payment of Other Taxes by Loan Parties. The Loan Parties shall timely pay to the relevant Governmental Authority in accordance with applicable law, or at the option of the Administrative Agent timely reimburse it for, Other Taxes. (c) Evidence of Payment.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59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Indemnification by the Loan Parties. The Loan Parties shall jointly and severally indemnify each Recipient,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 (e) Indemnification by the Lenders. Each Lender shall severally indemnify the Administrative Agent, within ten (10) Business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 (f) Status of Lenders.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the Borrower is a U.S. Person, (A)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 60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(1) in the case of a Foreign Lender claiming the benefits of an income tax treaty to which the U.S.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 (2) in the case of a Foreign Lender claiming that its extension of credit will generate U.S. effectively connected income, an executed copy of IRS Form W-8ECI; (3) 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the Borrower within the meaning of Section 881(c)(3)(B) of the Code, or a “controlled foreign corporation” described in Section 881(c)(3)(C) of the Code (a “U.S. Tax Compliance Certificate”) and (y) an executed copy of IRS Form W-8BEN or IRS Form W-8BEN-E, as applicable; or (4) to the extent a Foreign Lender is not the beneficial owner, an executed copy of IRS Form W-8IMY, accompanied by IRS Form W-8ECI, IRS Form W-8BEN or IRS Form W-8BEN-E, as applicable, a U.S. Tax Compliance Certificate substantially in the form of Exhibit D-2 or Exhibit D-3,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D-4 on behalf of each such direct and indirect partner; (C)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61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(g) Treatment of Certain Refunds.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 (h) Survival. Each party’s obligations under this Section 2.17 shall survive the resignation or replacement of the Administrative Agent or any assignment of rights by, or the replacement of, a Lender, the termination of the Revolving Commitments and the repayment, satisfaction or discharge of all obligations under any Loan Document (including the Payment in Full of the Secured Obligations). (i) Defined Terms. For purposes of this Section 2.17, the term “applicable law” includes FATCA. SECTION 2.18.Payments Generally; Allocation of Proceeds; Sharing of Set-offs. (a) Each Loan Party shall make each payment or prepayment required to be made by it hereunder (whether of principal, interest, fees or reimbursement of LC Disbursements, or of amounts payable under Sections 2.15, 2.16 or 2.17, or otherwise) prior to 2:00 p.m.,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 Dearborn St., Chicago IL 60603, except payments to be made 62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(b) All payments and any proceeds of Collateral received by the Administrative Agent (i) not constituting either (A) a specific payment of principal, interest, fees or other sum payable under the Loan Documents (which shall be applied as specified by the Borrower) or (B) a mandatory prepayment (which shall be applied in accordance with Section 2.11) or (ii) after an Event of Default has occurred and is continuing and the Administrative Agent so elects or the Required Lenders so direct, in each case, shall be applied first, to pay any fees, indemnities, or expense reimbursements including amounts then due to the Administrative Agent, the Swingline Lender and the Issuing Bank from the Borrower (other than in connection with Banking Services Obligations or Swap Agreement Obligations), second, to pay any fees, indemnities or expense reimbursements then due to the Lenders from the Loan Parties (other than in connection with Banking Services Obligations or Swap Agreement Obligations), third, to pay interest then due and payable on the Loans ratably, fourth, to prepay principal on the Loans and unreimbursed LC Disbursements, to pay an amount to the Administrative Agent equal to one hundred three percent (103%) of the aggregate LC Exposure, to be held as cash collateral for such Obligations, and to pay any amounts owing in respect of Swap Agreement Obligations and Banking Services Obligations up to and including the amount most recently provided to the Administrative Agent pursuant to Section 2.22, ratably, and fifth, to the payment of any other Secured Obligation due to the Administrative Agent or any Lender from the Borrower or any other Loan Party.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Term Benchmark Loan, except (i) on the expiration date of the Interest Period applicable thereto, or (ii) in the event, and only to the extent, that there are no outstanding ABR Loans and, in any such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 Notwithstanding the foregoing, Secured Obligations arising under Banking Services Obligations or Swap Agreement Obligations shall be excluded from the application described above and paid in clause fifth if the Administrative Agent has not received written notice thereof, together with such supporting documentation as the Administrative Agent may have reasonably requested from the applicable provider of such Banking Services or Swap Agreements. (c) 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pursuant to Section 2.03 or 2.05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63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(including Swingline Loans), and that all such Borrowings shall be deemed to have been requested pursuant to Sections 2.03 or 2.05, as applicable, and (ii) the Administrative Agent to charge any deposit account of the Borrower maintained with the Administrative Agent for each payment of principal, interest and fees as it becomes due hereunder or any other amount due under the Loan Documents. (d) If, except as otherwise expressly provided herein,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or sale of a participation in any of its Loans or participations in LC Disbursements or Swingline Loans to any assignee or participant, other than to the Borrower or any Restricted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(e) Unless the Administrative Agent shall have received, prior to any date on which any payment is due to the Administrative Agent for the account of the relevant Lenders or the Issuing Bank pursuant to the terms hereof or any other Loan Document (including any date that is fixed for prepayment by notice from the Borrower to the Administrative Agent pursuant to Section 2.11(f)), notice from the Borrower that the Borrower will not make such payment or prepayment,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 (f) The Administrative Agent may from time to time provide the Borrower with account statements or invoices with respect to any of the Secured Obligations (the “Statements”).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64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due amounts) shall not constitute a waiver of the Administrative Agent’s or the Lenders’ right to receive payment in full at another time. SECTION 2.19.Mitigation Obligations; Replacement of Lenders. (a) 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(b) If any Lender requests compensation under Section 2.15, or if the Borrower is required to pay any Indemnified Taxes or additional amounts to any Lender or any Governmental Authority for the account of any Lender pursuant to Section 2.17, if any Lender becomes a Defaulting Lender, or any Lender has refused to consent to any proposed amendment, modification, waiver, termination or consent with respect to any provision of this Agreement or any Loan Document that, pursuant to Section 9.02, requires the consent of all Lenders or each Lender affected thereby and with respect to which Lenders constituting the Required Lenders have consented to such proposed amendment, modification, waiver, termination or consent (such refusing Lender, a “Non-Consenting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(other than any Ineligible Institution) that shall assume such obligations (which assignee may be another Lender, if a Lender accepts such assignment); provided that (i) the Borrower shall have received the prior written consent of the Administrative Agent (and in circumstances where its consent would be required under Section 9.04, the Issuing Bank and the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(iii) in the case of any such assignment resulting from a claim for compensation under Section 2.15 or payments required to be made pursuant to Section 2.17, such assignment will result in a reduction in such compensation or payments and (iv) in the case of any such assignment resulting from a Lender being a Non-Consenting Lender, such assignment shall occur no later than thirty (30) days following such Lender becoming a Non-Consenting Lender and the new Lender shall have consented to such proposed amendment, modification, waiver, termination or consent. A Lender shall not be required to make any such assignment and delegation if, prior thereto, as a result of a waiver by such Lender or otherwise, the circumstances entitling the Borrower to require such assignment and delegation cease to apply. Each party hereto agrees that (x)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provided that, following the effectiveness of any such assignment, the other parties to 65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assignment agree to execute and deliver such documents necessary to evidence such assignment as reasonably requested by the applicable Lender, provided that any such documents shall be without recourse to or warranty by the parties thereto. SECTION 2.20.Defaulting Lenders. Notwithstanding any provision of this Agreement to the contrary, if any Lender becomes a Defaulting Lender, then the following provisions shall apply for so long as such Lender is a Defaulting Lender: (a) fees shall cease to accrue on the unfunded portion of the Revolving Commitment of such Defaulting Lender pursuant to Section 2.12(a); (b) 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Issuing Bank or Swingline Lender hereunder; third, to cash collateralize the LC Exposure with respect to such Defaulting Lender in accordance with this Section; fourth, as the Borrower may request (so long as no Event of Default exists), to the funding of any Loan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(x) satisfy such Defaulting Lender’s potential future funding obligations with respect to Loans under this Agreement and (y) cash collateralize the future LC Exposure with respect to such Defaulting Lender with respect to future Letters of Credit issued under this Agreement, in accordance with this Section; sixth,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or under any other Loan Document; seventh, so long as no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Revolving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(c) such Defaulting Lender shall not have the right to vote on any issue on which voting is required (other than to the extent expressly provided in Section 9.02(b)) and the Revolving Commitment and Revolving Exposure of such Defaulting Lender shall not be included in determining whether the Required Lenders have taken or may take any action hereunder or under any other Loan Document; 66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provided that, except as otherwise provided in Section 9.02, this clause (c) shall not apply to the vote of a Defaulting Lender in the case of an amendment, waiver or other modification requiring the consent of such Lender or each Lender directly affected thereby; (d) if any Swingline Exposure or LC Exposure exists at the time such Lender becomes a Defaulting Lender then: (i) 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 (ii) if the reallocation described in clause (i) above cannot, or can only partially, be effected, the Borrower shall within one (1) Business Day following notice by the Administrative Agent (x) first, prepay such Swingline Exposure and (y) second,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 (iii) 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 (iv) if the LC Exposure of the non-Defaulting Lenders is reallocated pursuant to clause (i) above, then the fees payable to the Lenders pursuant to Sections 2.12(a) and 2.12(b) shall be adjusted in accordance with such non-Defaulting Lenders’ Applicable Percentages; and (v) 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 (e) 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100% covered by the Revolving Commitments of the non-Defaulting Lenders and/or cash collateral will be provided by the Borrower in accordance with Section 2.20(d), and Swingline Exposure related to any such newly made Swingline Loan or LC Exposure related to any newly issued or increased Letter of Credit shall be allocated among non-Defaulting Lenders in a manner consistent with Section 2.20(d)(i) (and such Defaulting Lender shall not participate therein). If (i) a Bankruptcy Event or a Bail-In Action with respect to the Parent of any Lender shall occur following the date hereof and for so long as such event shall continue or (ii) the Swingline Lender or the 67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 or such Lender, satisfactory to the Swingline Lender or the Issuing Bank, as the case may be, to defease any risk to it in respect of such Lender hereunder. In the event that each of the Administrative Agent, the Borrower,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 SECTION 2.21.Returned Payments.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 SECTION 2.22.Banking Services and Swap Agreements. Each Lender or Affiliate thereof providing Banking Services for any Loan Party or any Subsidiary, or having Swap Agreements with, any Loan Party or any Restricted Subsidiary shall deliver to the Administrative Agent, promptly after entering into such Banking Services or Swap Agreements, written notice setting forth the aggregate amount of all Banking Services Obligations of such Loan Party or Subsidiary and Swap Agreement Obligations of such Loan Party or Restricted Subsidiary to such Lender or Affiliate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which tier of the waterfall, contained in Section 2.18(b), such Banking Services Obligations and/or Swap Agreement Obligations will be placed. For the avoidance of doubt, so long as Chase or its Affiliate is the Administrative Agent, neither Chase nor any of its Affiliates providing Banking Services for any Loan Party or any Subsidiary of a Loan Party, or having Swap Agreements with, any Loan Party or any Restricted Subsidiary of a Loan Party, shall be required to provide any notice described in this Section 2.22 in respect of such Banking Services or Swap Agreements. 68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III Representations and Warranties Each Loan Party represents and warrants to the Lenders that (and where applicable, agrees): SECTION 3.01.Organization; Powers. Each Loan Party and each Restricted Subsidiary is duly organized or formed,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SECTION 3.02.Authorization; Enforceability.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 SECTION 3.03.Governmental Approvals; No Conflicts.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except where the failure to do so, individually or in the aggregate, could not reasonably be expected to result in a Material Adverse Effect, (b) will not violate any Requirement of Law applicable to any Loan Party or any Restricted Subsidiary, (c) will not violate or result in a default under any indenture, agreement or other instrument binding upon any Loan Party or any Restricted Subsidiary or the assets of any Loan Party or any Restricted Subsidiary, or give rise to a right thereunder to require any payment to be made by any Loan Party or any Restricted Subsidiary, except as could not, individually or in the aggregate, reasonably be expected to result in a Material Adverse Effect, and (d) will not result in the creation or imposition of, or other requirement to create, any Lien on any asset of any Loan Party or any Restricted Subsidiary, except Liens created pursuant to the Loan Documents. SECTION 3.04.Financial Condition; No Material Adverse Change. (a) The Borrower has heretofore furnished to the Lenders its consolidated balance sheet and statements of income, stockholders equity and cash flows (i) as of and for the fiscal year ended December 31, 2022, reported on by Deloitte &amp; Touche LLP, independent public accountants, and (ii) as of and for the fiscal quarter and the portion of the fiscal year ended June 30, 2023, certified by its Financial Officer. Such financial statements present fairly, in all material respects, the financial position and results of operations and cash flows of the Borrower and its consolidated Subsidiaries as of such dates and for such periods in accordance with GAAP, subject to normal year end audit adjustments and the absence of footnotes in the case of the statements referred to in clause (ii) above. (b) No event, change or condition has occurred that has had, or could reasonably be expected to have, a Material Adverse Effect, since December 31, 2022. 69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3.05.Properties. (a) As of the date of this Agreement, Schedule 3.05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Each of the Loan Parties and each Restricted Subsidiary has good and indefeasible title to, or valid leasehold interests in, all of its real and personal property, free of all Liens other than those permitted by Section 6.02. (b) Each Loan Party and each Restricted Subsidiary owns, or is licensed to use, all trademarks, tradenames, copyrights, patents and other intellectual property necessary to its business as currently conducted, and a correct and complete list of all U.S. registered Intellectual Property as of the date of this Agreement is set forth on Schedule 3.05, and the use thereof by each Loan Party and each Restricted Subsidiary, to the knowledge of such Loan Party or such Restricted Subsidiary, does not infringe in any material respect upon the rights of any other Person, and each Loan Party’s and each Restricted Subsidiary’s rights thereto are not subject to any licensing agreement or similar arrangement other than non-exclusive arrangements in the ordinary course of business or otherwise permitted hereby. (c) All software and source code developed by each Loan Party and its Restricted Subsidiaries, either by their employee(s) or a third party on behalf of a Loan Party and its Restricted Subsidiaries, material to their business are either subject to written work-made-for-hire agreements or are owned by a Loan Party or its Restricted Subsidiaries by operation of any Requirements of Law and, except as set forth on Schedule 3.05, do not contain any source code or other materials subject to or licensed under an open source license in such a way that grants, or purports to grant, to any third party any rights or immunities under any software or source code developed by each Loan Party and its Restricted Subsidiaries and material to their business. SECTION 3.06.Litigation and Environmental Matters. (a) There are no actions, suits or proceedings by or before any arbitrator or Governmental Authority pending against or, to the knowledge of any Loan Party, threatened against or affecting any Loan Party or any Restricted Subsidiary (i) as to which there is a reasonable possibility of an adverse determination and that, if adversely determined, could reasonably be expected, individually or in the aggregate, to result in a Material Adverse Effect or (ii) that involve any Loan Document or the Transactions. (b) (i) No Loan Party nor any Restricted Subsidiary has received notice of any claim with respect to any Environmental Liability or knows of any basis for any Environmental Liability and (ii) and except with respect to any other matters that, individually or in the aggregate, could not reasonably be expected to result in a Material Adverse Effect, no Loan Party nor any Restricted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 SECTION 3.07.Compliance with Laws and Agreements; No Default. Except where the failure to do so, individually or in the aggregate, could not reasonably be expected to result in a Material Adverse Effect, each Loan Party and each Restricted Subsidiary is in compliance with (i) all Requirements of Law applicable to it or its property and (ii) all indentures, agreements and other 70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instruments binding upon it or its property. No Default or Event of Default has occurred and is continuing. SECTION 3.08.Investment Company Status. No Loan Party nor any Restricted Subsidiary is an “investment company” as defined in, or subject to regulation under, the Investment Company Act of 1940. SECTION 3.09.Taxes. Each Loan Party and each Restricted Subsidiary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Restricted Subsidiary, as applicable, has set aside on its books adequate reserves or (b) to the extent failure to so file or pay could not reasonably be expected to result in a Material Adverse Effect. SECTION 3.10.ERISA.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Plans. SECTION 3.11.Disclosure. (a) The Loan Parties have disclosed to the Lenders all agreements, instruments and corporate or other restrictions to which any Loan Party or any Restricted Subsidiary is subject, and all other matters known to it, that, individually or in the aggregate, could reasonably be expected to result in a Material Adverse Effect. Neither the Information Memorandum nor any of the other reports, financial statements, certificates or other information furnished by or on behalf of any Loan Party or any Restricted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 (b) As of the Effective Date, to the knowledge of the Borrower, the information included in the Beneficial Ownership Certification provided on or prior to the Effective Date to any Lender in connection with this Agreement is true and correct in all respects. SECTION 3.12.Material Agreements. All Material Agreements to which any Loan Party is a party or is bound as of the date of this Agreement are listed on Schedule 3.12. No Loan Party nor any Restricted Subsidiary is in default in the performance, observance or fulfillment of any of the obligations, covenants or conditions contained in (i) any Material Agreement or (ii) any agreement or instrument evidencing or governing Indebtedness. SECTION 3.13.Solvency. (a) Immediately after the consummation of the Transactions to occur on the Effective Date, and immediately after the making of each Loan and each issuance of a Letter of Credit hereunder, (i) the 71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fair value of the assets of the Loan Parties, on a consolidated basis, at a fair valuation, will exceed their debts and liabilities, subordinated, contingent or otherwise; (ii) the present fair saleable value of the property of the Loan Parties, on a consolidated basis, will be greater than the amount that will be required to pay the probable liability of its debts and other liabilities, subordinated, contingent or otherwise, as such debts and other liabilities become absolute and matured; (iii) the Loan Parties, on a consolidated basis, will be able to pay their debts and liabilities, subordinated, contingent or otherwise, as such debts and liabilities become absolute and matured; and (iv) the Loan Parties, on a consolidated basis, will not have unreasonably small capital with which to conduct the business in which they are engaged as such businesses are now conducted and are proposed to be conducted after the Effective Date. (b) The Loan Parties, on a consolidated basis, do not intend to and do not believe that they will, incur debts beyond their ability to pay such debts as they mature, taking into account the timing of and amounts of cash to be received by them and the timing of the amounts of cash to be payable on or in respect of their Indebtedness. SECTION 3.14.Insurance. Schedule 3.14 sets forth a description of all insurance maintained by or on behalf of the Loan Parties and their Restricted Subsidiaries as of the Effective Date. As of the Effective Date, all premiums in respect of such insurance have been paid. The Loan Parties believe that the insurance maintained by or on behalf of the Loan Parties and their Restricted Subsidiaries is adequate and is customary for companies engaged in the same or similar businesses operating in the same or similar locations. SECTION 3.15.Capitalization and Subsidiaries. As of the Effective Date, Schedule 3.15 sets forth (a) a correct and complete list of the name and relationship to the Borrower of each Subsidiary, (b) a true and complete listing of each class of each of the Borrower’s authorized Equity Interests, of which all of such issued Equity Interests are validly issued, outstanding, fully paid and non-assessable, and owned beneficially and of record by the Persons identified on Schedule 3.15, (c) the type of entity of the Borrower and each Subsidiary, and (d) whether such Subsidiary is a Loan Party or a Material Domestic Subsidiary. All of the issued and outstanding Equity Interests owned by any Loan Party have been (to the extent such concepts are relevant with respect to such ownership interests) duly authorized and issued and are fully paid and non-assessable. SECTION 3.16.Security Interest in Collateral. The provisions of this Agreement and the other Loan Documents create legal and valid Liens on all the Collateral in favor of the Administrative Agent, for the benefit of the Secured Parties, and such Liens constitute perfected and continuing Liens on the Collateral,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or written agreement with the Administrative Agent and (b) Liens perfected only by possession (including possession of any certificate of title), to the extent the Administrative Agent has not obtained or does not maintain possession of such Collateral. SECTION 3.17.Employment Matters. As of the Effective Date, there are no strikes, lockouts or slowdowns against any Loan Party or any Restricted Subsidiary pending or, to the knowledge of any Loan Party, threatened. The hours worked by and payments made to employees of the Loan Parties and their Restricted Subsidiaries have not been in violation of the Fair Labor Standards Act or any other applicable federal, state, local or foreign law dealing with such matters. All payments due from any Loan Party or any Restricted Subsidiary, or for which any claim may be made against any Loan Party or any Restricted Subsidiary, on account of wages and employee health and welfare insurance and other 72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benefits, have been paid or accrued as a liability on the books of such Loan Party or such Restricted Subsidiary. SECTION 3.18.Margin Regulations.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Restricted Subsidiaries on a consolidated basis) will be Margin Stock. Neither the making of any Loan hereunder nor the use of proceeds thereof will violate the provisions of Regulation U or X of the Federal Reserve Board. SECTION 3.19.Use of Proceeds. The proceeds of the Loans have been used and will be used, whether directly or indirectly as set forth in Section 5.08. SECTION 3.20.No Burdensome Restrictions. No Loan Party is subject to any Burdensome Restrictions except Burdensome Restrictions permitted under Section 6.10. SECTION 3.21.Anti-Corruption Laws and Sanctions. Each Loan Party has implemented and maintains in effect policies and procedures reasonably designed to ensure material compliance by such Loan Party, its Subsidiaries and their respective directors, officers, and employees with Anti-Corruption Laws and applicable Sanctions, and such Loan Party, its Subsidiaries and their respective officers and directors, and, to the knowledge of such Loan Party, its employees, are in compliance with Anti-Corruption Laws and applicable Sanctions in all material respects and are not knowingly engaged in any activity that could reasonably be expected to result in any Loan Party being designated as a Sanctioned Person. None of (a) any Loan Party, any Subsidiary or any of their respective directors or officers, or (b) to the knowledge of any such Loan Party or Subsidiary, any employee or agents of such Loan Party or any Subsidiary that will act in any capacity in connection with or benefit from the credit facility established hereby, is a Sanctioned Person. No Borrowing or Letter of Credit, or use of proceeds will violate Anti-Corruption Laws in any material respects or applicable Sanctions. No Transaction or other transaction contemplated by this Agreement or the other Loan Documents will violate Anti-Corruption Laws or applicable Sanctions in any material respect. SECTION 3.22.Affected Financial Institutions. No Loan Party is an Affected Financial Institution. SECTION 3.23.Plan Assets; Prohibited Transactions. None of the Loan Parties is an entity deemed to hold “plan assets” (within the meaning of the Plan Asset Regulations), and, assuming for such purpose that no Loan or Letter of Credit is funded or held with “plan assets” (within the meaning of the Plan Asset Regulations) neither the execution, delivery nor performance of the transactions contemplated under this Agreement, including the making of any Loan and the issuance of any Letter of Credit hereunder, will give rise to a non-exempt prohibited transaction under Section 406(a) of ERISA or Section 4975(c)(1)(A)-(D) of the Code. SECTION 3.24.Data Security and Privacy. (a) Each Loan Party and its Restricted Subsidiaries is in compliance in all material respects with (i) all applicable Data Protection Laws, including but not limited to the GDPR and those relating to cross-border transfers; and (ii) all applicable data transfer agreements and data processing agreements required to be implemented pursuant to applicable Data Protection Laws, including the EU standard 73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contractual clauses, to which a Loan Party or a Restricted Subsidiary is a party (clause (ii), “Privacy Agreements”). (b) Each Loan Party and its Restricted Subsidiaries is in compliance in all material respects with all applicable written internal and public-facing privacy policies and notices of the Loan Parties and its Restricted Subsidiaries regarding the collection, retention, use, processing, disclosure and distribution of Personal Data by the Loan Parties or their Restricted Subsidiaries (collectively, the “Privacy Policies”). (c) Each Loan Party and its Restricted Subsidiaries has in place, maintains, and complies in all material respects with, a comprehensive written information security program (“Security Program”) that (i) complies in all material respects with all applicable Data Protection Laws, applicable Privacy Policies, and applicable Privacy Agreements, and (ii) includes commercially reasonable administrative, technical, organization, and physical security procedures and measures designed to preserve the security and integrity of all Personal Data and any other sensitive or confidential information or data related to each Loan Party and its Restricted Subsidiaries in the Loan Parties’ or its Restricted Subsidiaries’ possession or control (collectively, “Company Sensitive Information”) and to protect such Company Sensitive Information against unauthorized or unlawful processing, access, acquisition, use, theft, interruption, modification, disclosure, loss, destruction or damage. (d) Since January 1, 2021, to the knowledge of the Loan Parties, there has been (i) no actual or alleged material incidents of unauthorized access, use, intrusion, disclosure or breach of the security of any information technology systems owned or controlled by a Loan Party or a Restricted Subsidiary, and (ii) no actual or alleged material incidents of unauthorized acquisition, destruction, damage, disclosure, loss, corruption, alteration, or use of any Company Sensitive Information. (e) Each Loan Party and its Restricted Subsidiaries has a right (whether contractually, by Applicable Law or otherwise) to use all Personal Data that is used by or on behalf of a Loan Party or a Restricted Subsidiary in connection with the sale, use and/or operation of their products, services and businesses, except as could not reasonably be expected to result in a Material Adverse Effect. (f) No Loan Party nor any Restricted Subsidiary of a Loan Party has received any, nor to the knowledge of the Loan Parties are there any pending, written complaints, claims, demands, inquiries, proceedings, or other notices that could reasonably be expected to result in an investigation or other legal proceeding, including any notices of any investigation or other legal proceedings, regarding a Loan Party or a Restricted Subsidiary of any Loan Party, initiated by (i) any Person; (ii) any Governmental Authority, including the United States Federal Trade Commission, a state attorney general, data protection authority or similar state official, or a supervisory authority; or (iii) any self-regulatory authority or entity, alleging that any activity of a Loan Party or a Restricted Subsidiary: (1) is in violation of any applicable Data Protection Laws, or (2) is in violation of any Privacy Policies, in each case in any material respect. ARTICLE IV Conditions SECTION 4.01.Effective Date. The obligations of the Lenders to make Loans and of the Issuing Bank to issue Letters of Credit hereunder shall not become effective until the date on which each of the following conditions is satisfied (or waived in accordance with Section 9.02): 74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Credit Agreement and Loan Documents. The Administrative Agent (or its counsel) shall have received (i)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 (ii) duly executed copies of the Loan Documents and such other legal opinions, certificates, documents, instruments and agreements as the Administrative Agent shall reasonably request in connection with the Transactions and the other Loan Documents, including any promissory notes requested by a Lender pursuant to Section 2.10 payable to each such requesting Lender and a written opinion of the Loan Parties’ counsel, addressed to the Administrative Agent, the Issuing Bank and the Lenders, all in form and substance satisfactory to the Administrative Agent. (b) Financial Statements and Projections. The Lenders shall have received (i) audited consolidated financial statements of the Borrower and its Subsidiaries for the 2021 and 2022 fiscal years, (ii) unaudited interim consolidated financial statements of the Borrower and its Subsidiaries for each fiscal quarter ended after the date of the latest applicable financial statements delivered pursuant to clause (i) of this paragraph and on or prior to June 30, 2023, and (iii) Projections through 2027. (c) Closing Certificates; Certified Certificate of Incorporation; Good Standing Certificates. The Administrative Agent shall have received (i) a certificate of each Loan Party, dated the Effective Date and executed by its Secretary or Assistant Secretary, which shall (A) certify the resolutions of its Board of Directors, members or other governing body authorizing the execution, delivery and performance of the Loan Documents to which it is a party, (B) identify by name and title and bear the signatures of the officers of such Loan Party authorized to sign the Loan Documents to which it is a party and, in the case of the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long form good standing certificate for each Loan Party from its jurisdiction of organization. (d) No Default Certificate. The Administrative Agent shall have received a certificate, signed by a Financial Officer of the Borrower, dated as of the Effective Date (i) stating that no Default has occurred and is continuing as of such date and (ii) stating that the representations and warranties contained in the Loan Documents are true and correct in all material respects as of such date. (e) Fees. The Lenders and the Administrative Agent shall have received all fees required to be paid, and all expenses required to be reimbursed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to the Administrative Agent on or before the Effective Date. (f) Lien and IP Searches. The Administrative Agent shall have received the results of a recent lien search in the jurisdiction of organization of each Loan Party and each jurisdiction where material assets of the Loan Parties are located, and the results of search reports in respect of the intellectual property of the Loan Parties, and such searches shall reveal no Liens on any of the assets of the Loan Parties except for liens permitted by Section 6.02, discharged on or prior to the Effective Date pursuant to a pay-off letter or other documentation satisfactory to the Administrative Agent, or otherwise reasonably satisfactory to the Administrative Agent. (g) Pay-Off and Release Letter. The Administrative Agent shall have received satisfactory pay-off and release letters for all existing Indebtedness required to be repaid (including, without 75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limitation, the credit facility evidenced by the Amended and Restated Senior Secured Credit Facilities Credit Agreement, dated as of February 19, 2021, among NERDWALLET, INC. and NERDWALLET COMPARE, INC., as borrowers, the lenders party thereto, and Silicon Valley Bank, a division of First-Citizens Bank &amp; Trust Company, as administrative agent, issuing lender, swingline lender and lead arranger) and which confirms that all Liens securing such Indebtedness and all Guarantees in respect thereof will be terminated and released concurrently with such payment and all letters of credit issued or guaranteed as part of such Indebtedness shall have been cash collateralized or supported by a Letter of Credit. (h) Funding Account. The Administrative Agent shall have received a notice (which notice shall be in the form of a Borrowing Request or such other form or method as approved by the Administrative Agent) setting forth the deposit account of the Borrower (as may be updated from time to time by written notice from the Borrower to the Administrative Agent, the “Funding Account”) to which the Administrative Agent is authorized by the Borrower to transfer the proceeds of any Borrowings requested or authorized pursuant to this Agreement and which, in the case of a Borrowing Request, shall be delivered in accordance with Section 2.03, together with a customary funding indemnification letter to the extent any such Loan will be a Term Benchmark Loan. (i) [Reserved]. (j) Solvency. The Administrative Agent shall have received a solvency certificate signed by a Financial Officer dated the Effective Date in form and substance reasonably satisfactory to the Administrative Agent. (k) Pledged Equity Interests; Stock Powers; Pledged Notes.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and other instrument or possessory collateral (if any) pledged to the Administrative Agent pursuant to the Security Agreement, endorsed (without recourse) in blank (or accompanied by an executed transfer form in blank) by the pledgor thereof or accompanied by allonges or other acknowledgements signed in blank, as applicable. (l) Filings, Registrations and Recordings. Each document (including any Uniform Commercial Code financing statements and federal intellectual property filings)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6.02 to the extent any such Permitted Encumbrances would have priority over the Liens in favor of the Administrative Agent pursuant to any applicable law), shall be in proper form for filing, registration or recordation. (m) Insurance. Subject to Section 5.15, the Administrative Agent shall have received evidence of insurance coverage in form, scope, and substance reasonably satisfactory to the Administrative Agent and otherwise in compliance with the terms of Section 5.10 of this Agreement and the Security Agreement. (n) USA PATRIOT Act, Etc. At least five (5) days prior to the Effective Date, (i) the Administrative Agent and Lenders shall have received (x) all documentation and other information regarding the Loan Parties requested in connection with applicable “know your customer” and anti-money laundering rules and regulations, including the USA PATRIOT Act, to the extent requested in writing of the Borrower at least ten (10) days prior to the Effective Date and (y) a properly completed 76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signed IRS Form W-8 or W-9, as applicable, for each Loan Party and (ii) to the extent the Borrower qualifies as a “legal entity customer” under the Beneficial Ownership Regulation, any Lender that has requested, in a written notice to the Borrower at least ten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 (o) Other Documents. The Administrative Agent shall have received such other documents as the Administrative Agent, the Issuing Bank, any Lender or their respective counsel may have reasonably requested at least five (5) days prior to the date hereof (including, without limitation, a properly completed letter of credit application (whether standalone or pursuant to a master agreement, as applicable) if the issuance of a Letter of Credit will be required on the Effective Date, together with an executed copy of the Issuing Bank’s master agreement for the issuance of commercial Letters of Credit). Without limiting the generality of the provisions of Section 9.02, for purposes of determining compliance with the conditions specified in this Section 4.01 on the Effective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 The Administrative Agent shall notify the Loan Parties, the Lenders and the Issuing Bank of the Effective Date, and such notice shall be conclusive and binding. SECTION 4.02.Each Credit Event. The obligation of each Lender to make a Loan on the occasion of any Borrowing, and of the Issuing Bank to issue, amend or extend any Letter of Credit, is subject to the satisfaction of the following conditions: (a) The representations and warranties of the Loan Parties set forth in the Loan Documents shall be true and correct in all material respects (except for those representations and warranties that are qualified by materiality, in which case such representations and warranties shall be true and correct in all respects)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only as of such specified date). (b) At the time of and immediately after giving effect to such Borrowing or the issuance, amendment or extension of such Letter of Credit, as applicable, no Default or Event of Default shall have occurred and be continuing. Each Borrowing and each issuance, amendment or extension of a Letter of Credit shall be deemed to constitute a representation and warranty by the Borrower on the date thereof as to the matters specified in paragraphs (a) and (b) of this Section. Notwithstanding the failure to satisfy the conditions precedent set forth in paragraphs (a) or (b) of this Section, unless otherwise directed by the Required Lenders, the Administrative Agent may, but shall have no obligation to, continue to make Loans and an Issuing Bank may, but shall have no obligation to, issue, amend or extend, or cause to be issued, amended or extended, any Letter of Credit for the ratable account and risk of Lenders from time to time if the Administrative Agent believes that making such Loans or issuing, amending or extending, or causing the issuance, amendment or extension of, any such Letter of Credit is in the best interests of the Lenders; provided that the aggregate principal amount of 77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Loans made and Letters of Credit issued, amended or extended pursuant to this sentence shall not exceed $10,000,000 at any one time outstanding. ARTICLE V Affirmative Covenants Until all of the Secured Obligations shall have been Paid in Full, each Loan Party executing this Agreement covenants and agrees, jointly and severally with all of the other Loan Parties, with the Lenders that: SECTION 5.01.Financial Statements and Other Information. The Borrower will furnish to the Administrative Agent and each Lender: (a) within ninety (90) days after the end of each fiscal year of the Borrower (or, if earlier, by the date that the Annual Report on Form 10-K of the Borrower for such fiscal year would be required to be filed under the rules and regulations of the SEC, giving effect to any automatic extension available thereunder for the filing of such form) (commencing with the fiscal year ending December 31, 2023),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(b) within forty-five (45) days after the end of each of the first three fiscal quarters of each fiscal year of the Borrower (or, if earlier, by the date that the Quarterly Report on Form 10 Q of the Borrower for such fiscal quarter would be required to be filed under the rules and regulations of the SEC, giving effect to any automatic extension available thereunder for the filing of such form) (commencing with the fiscal quarter ending September 30, 2023),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(c) concurrently with any delivery of financial statements under clause (a) or (b) above (commencing with the fiscal quarter ending September 30, 2023) (collectively or individually, as the context requires, the “Financial Statements”), a Compliance Certificate (i) certifying, in the case of the Financial Statements delivered under clause (a) or (b) above, as presenting fairly in all material respects the financial condition and results of operations of the Borrower and its consolidated Restricted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stating whether any change in GAAP or in the application thereof has occurred since the date of the audited financial statements referred to in Section 3.04 and, if any such 78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change has occurred, specifying the effect of such change on the Financial Statements accompanying such certificate; (d) concurrently with any delivery of financial statements under clause (a) or (b) above for any period, to the extent there were any Unrestricted Subsidiaries during such period, the Borrower shall deliver to the Administrative Agent a balance sheet and related statements of operations, stockholders’ equity and cash flows as of the end of and for such fiscal year or fiscal quarter (and the then elapsed portion of such fiscal year), as the case may be, setting forth in comparative form the figures for the corresponding period or periods of (or, in the case of the balance sheet, as of the end of) the previous fiscal year, in each case, on a consolidating basis for the Borrower and its consolidated Restricted Subsidiaries, all certified by a Financial Officer of the Borrower as presenting fairly in all material respects the financial condition and results of operations of the Borrower and its consolidated Restricted Subsidiaries on a consolidating basis in accordance with GAAP consistently applied, subject, in the case of financial statements for any fiscal quarter only, to normal year-end audit adjustments and the absence of footnotes; (e) as soon as available, but in any event no later than the end of, and no earlier than thirty (30) days prior to the end of, each fiscal year of the Borrower, a copy of the plan and forecast (including a projected consolidated balance sheet, income statement and cash flow statement) of the Borrower for each month of the upcoming fiscal year (the “Projections”) in form reasonably satisfactory to the Administrative Agent; (f) promptly following any request therefor, (x) such other information regarding the operations, material changes in ownership of Equity Interests, business affairs and financial condition of any Loan Party or any Restricted Subsidiary, or compliance with the terms of this Agreement, as the Administrative Agent or any Lender (through the Administrative Agent) may reasonably request and (y) information and documentation reasonably requested in writing by the Administrative Agent or any Lender for purposes of compliance with applicable “know your customer” and anti-money laundering rules and regulations, including the USA PATRIOT Act and the Beneficial Ownership Regulation; (g) promptly after any request therefor by the Administrative Agent or any Lender, copies of (i) any documents described in Section 101(k)(1) of ERISA that the Borrower or any ERISA Affiliate may request with respect to any Multiemployer Plan and (ii) any notices described in Section 101(l)(1) of ERISA that the Borrower or any ERISA Affiliate may request with respect to any Multiemployer Plan; provided that if the Borrower or any ERISA Affiliate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 and (h) promptly after the same become publicly available, copies of all periodic and other reports, proxy statements and other materials filed by any Loan Party or any Restricted Subsidiary with the SEC, or any Governmental Authority succeeding to any or all of the functions of the SEC, or with any national securities exchange, or distributed by the Borrower to its shareholders generally, as the case may be. Documents required to be delivered pursuant to clauses (a), (b) or (h) of this Section 5.01 (to the extent any such documents are included in materials otherwise filed with the SEC) may be delivered electronically and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79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website or whether made available by the Administrative Agent); provided that upon written request by the Administrative Agent (or any Lender through the Administrative Agent) to the Borrower, (A) the Borrower shall deliver paper copies of such documents to the Administrative Agent or such Lender until a written request to cease delivering paper copies is given by the Administrative Agent or such Lender and (B) the Borrower shall notify the Administrative Agent and each Lender (by facsimile or through Electronic System) of the posting of any such documents and provide to the Administrative Agent through Electronic System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 SECTION 5.02.Notices of Material Events. The Borrower will furnish to the Administrative Agent and each Lender prompt (but in any event within any time period that may be specified below) written notice of the following: (a) the occurrence of any Default or Event of Default; (b) receipt of any notice of any investigation by a Governmental Authority or any Proceeding commenced or threatened against any Loan Party or any Restricted Subsidiary that (i) seeks damages in excess of $1,000,000, (ii) seeks injunctive relief, (iii) is asserted or instituted against any Plan, its fiduciaries or its assets, (iv) alleges criminal misconduct by any Loan Party or any Restricted Subsidiary, (v) alleges the violation of, or seeks to impose remedies under, any Environmental Law or related Requirement of Law, or seeks to impose Environmental Liability, (vi) asserts liability on the part of any Loan Party or any Restricted Subsidiary in excess of $1,000,000 in respect of any tax, fee, assessment, or other governmental charge, or (vii) involves any product recall; (c) any material change in accounting or financial reporting practices by the Borrower or any Restricted Subsidiary; (d) the occurrence of any ERISA Event that, alone or together with any other ERISA Events that have occurred, would reasonably be expected to result in liability of the Borrower and its Restricted Subsidiaries in an aggregate amount exceeding $5,000,000; (e) within ten (10) Business Days after the occurrence thereof, any Loan Party entering into a Swap Agreement or an amendment to a Swap Agreement, together with copies of all agreements evidencing such Swap Agreement or amendment; (f) any other development that results in, or could reasonably be expected to result in, a Material Adverse Effect; and (g) any change in the information provided in the Beneficial Ownership Certification delivered to such Lender that would result in a change to the list of beneficial owners identified in such certification. Each notice delivered under this Section (i) shall be in writing, (ii) shall contain a heading or a reference line that reads “Notice under Section 5.02 of NerdWallet, Inc. Credit Agreement dated September 26, 2023” and (iii) shall be accompanied by a statement of a Financial Officer or other executive officer of 80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Borrower setting forth the details of the event or development requiring such notice and any action taken or proposed to be taken with respect thereto. SECTION 5.03.Existence; Conduct of Business. Each Loan Party will, and will cause each Restricted Subsidiary to, (a) do or cause to be done all things necessary to preserve, renew and keep in full force and effect (i) its legal existence and (ii)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except, in each case of this clause (ii), to the extent that the failure to do so could not be expected to result in a Material Adverse Effect; provided that the foregoing shall not prohibit any merger, consolidation, liquidation or dissolution permitted under Section 6.03 and (b) carry on and conduct its business in substantially the same manner and in substantially the same fields of enterprise as it is presently conducted. SECTION 5.04.Payment of Obligations. Each Loan Party will, and will cause each Restricted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and such Loan Party or Restricted Subsidiary has set aside on its books adequate reserves with respect thereto in accordance with GAAP or (b) the failure to make such payment could not reasonably be expected to result in a Material Adverse Effect. SECTION 5.05.Maintenance of Properties. Each Loan Party will, and will cause each Restricted Subsidiary to, keep and maintain all property material to the conduct of its business in good working order and condition, ordinary wear and tear excepted. SECTION 5.06.Books and Records; Inspection Rights. Each Loan Party will, and will cause each Restricted Subsidiary to, (a) keep proper books of record and account in which full, true and correct entries are made of all dealings and transactions in relation to its business and activities and (b) unless an Event of Default has occurred and is continuing, no more than once per fiscal year, permit any representatives designated by the Administrative Agent or any Lender (including employees of the Administrative Agent, any Lender or any consultants, accountants, lawyers, agents and appraisers retained by the Administrative Agent), upon reasonable prior notice, to visit and inspect its properties, conduct at the Loan Party’s premises field examinations of the Loan Party’s assets, liabilities, books and records, including examining and making extracts from its books and records, and to discuss its affairs, finances and condition with its officers and independent accountants (and hereby authorizes the Administrative Agent and each Lender to contact its independent accountants directly) and to provide contact information for each bank where each Loan Party has a depository and/or securities account and each such Loan Party hereby authorizes the Administrative Agent and each Lender to contact the bank(s) in order to request bank statements and/or balances, all at such reasonable times and as often as reasonably requested. The Loan Parties acknowledge that the Administrative Agent, after exercising its rights of inspection, may prepare and distribute to the Lenders certain reports pertaining to the Loan Parties’ assets for internal use by the Administrative Agent and the Lenders. SECTION 5.07.Compliance with Laws and Material Contractual Obligations. Each Loan Party will, and will cause each Restricted Subsidiary to, (i) comply with each Requirement of Law applicable to it or its property (including without limitation Environmental Laws) and (ii) perform its obligations under material agreements to which it is a party, except, in each case, where the failure to do so, individually or in the aggregate, could not reasonably be expected to result in a Material Adverse Effect. Each Loan Party will maintain in effect and enforce policies and procedures reasonably designed to 81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ensure material compliance by such Loan Party, its Subsidiaries and their respective directors, officers and employees with Anti-Corruption Laws and applicable Sanctions. SECTION 5.08.Use of Proceeds. (a) The proceeds of the Loans and the Letters of Credit will be used only to (i) refinance certain existing indebtedness of the Borrower and (ii) finance the working capital needs and general corporate purposes of the Borrower and its Restricted Subsidiaries (including, without limitation, Permitted Acquisitions and stock repurchases). No part of the proceeds of any Loan and no Letter of Credit will be used, whether directly or indirectly, for any purpose that entails a violation of any of the regulations of the Federal Reserve Board, including Regulations T, U and X. (b) The Borrower will not request any Borrowing or Letter of Credit, and the Borrower shall not use, and shall procure that its Subsidiaries and its or their respective directors, officers, and employees shall not use, the proceeds of any Borrowing or Letter of Credit (i) in furtherance of an offer, payment, promise to pay, or authorization of the payment or giving of money, or anything else of value, to any Person in violation of any Anti-Corruption Laws in any material respect, (ii) for the purpose of funding, financing or facilitating any activities, business or transaction of or with any Sanctioned Person, or in any Sanctioned Country, in each case, except to the extent permitted for a Person required to comply with Sanctions, or (iii) in any manner that would result in the violation of any Sanctions applicable to any party hereto. SECTION 5.09.Accuracy of Information.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 on the date thereof as to the matters specified in this Section 5.09; provided that, with respect to the Projections, the Loan Parties will cause the Projections to be prepared in good faith based upon assumptions believed to be reasonable at the time. SECTION 5.10.Insurance. Each Loan Party will, and will cause each Restricted Subsidiary to, maintain with financially sound and reputable carriers having a financial strength rating of at least A- by A.M. Best Company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 will furnish to the Lenders, upon written request of the Administrative Agent, but no more frequently than annually, information in reasonable detail as to the insurance so maintained. SECTION 5.11.Casualty and Condemnation. The Borrower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SECTION 5.12.Depository Banks. Not later than one hundred eighty (180) days after the Effective Date (or such later date as agreed by the Administrative Agent in its sole discretion), the Borrower and each Restricted Subsidiary will maintain the Administrative Agent as its (a) principal 82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depository bank, including for the maintenance of operating, administrative, cash management, collection activity, and other deposit accounts for the conduct of its business and (b) principal provider of other bank products. SECTION 5.13.Subsidiary Guarantors; Additional Collateral; Further Assurances. (a) As promptly as possible but in any event within sixty (60) days (or such later date as may be agreed upon by the Administrative Agent) after any Person becomes a Restricted Subsidiary or any Restricted Subsidiary qualifies independently as, or is designated by the Borrower or the Administrative Agent as, a Material Domestic Subsidiary pursuant to the definition of “Material Domestic Subsidiary”, the Borrower shall (i) provide the Administrative Agent with written notice thereof setting forth information in reasonable detail describing the material assets of such Person and (ii) cause each such Restricted Subsidiary which also qualifies as a Material Domestic Subsidiary to execute and deliver to the Administrative Agent a Joinder Agreement and a joinder to the Security Agreement (in the form contemplated thereby) pursuant to which such Restricted Subsidiary agrees to be bound by the terms and provisions thereof, which shall be accompanied by appropriate organizational resolutions, other organizational documentation and legal opinions in form and substance reasonably satisfactory to the Administrative Agent and its counsel. In connection therewith, the Administrative Agent shall have received all documentation and other information regarding such newly formed or acquired Restricted Subsidiaries as may be required to comply with the applicable “know your customer” rules and regulations, including the USA PATRIOT Act. Each such Person delivering a Joinder Agreement (x) shall automatically become a Subsidiary Guarantor hereunder and thereupon shall have all of the rights, benefits, duties, and obligations in such capacity under the Loan Documents and (y) will grant Liens to the Administrative Agent, for the benefit of the Administrative Agent and the other Secured Parties, in any property of such Loan Party which constitutes Collateral. (b) Each Loan Party will cause, and will cause each other Loan Party to cause, all of its owned property (whether personal, tangible, intangible, or mixed, but excluding any Excluded Assets) to be subject at all times to first priority, perfected Liens in favor of the Administrative Agent for the benefit of the Secured Parties to secure the Secured Obligations in accordance with the terms and conditions of the Collateral Documents, subject in any case to Liens permitted by Section 6.02 to the extent any such Permitted Encumbrances would have priority over the Liens in favor of the Administrative Agent pursuant to any applicable law. Without limiting the generality of the foregoing, each Loan Party will cause (x) 100% of the issued and outstanding Equity Interests of each of its Domestic Subsidiaries and (y) 65% of the issued and outstanding Equity Interests entitled to vote (within the meaning of Treas. Reg. Section 1.956-2(c)(2)) and 100% of the issued and outstanding Equity Interests not entitled to vote (within the meaning of Treas. Reg. Section 1.956-2(c)(2)) in each Foreign Subsidiary directly owned by any Loan Party, in each case, to be subject at all times to a first priority, perfected Lien in favor of the Administrative Agent for the benefit of the Administrative Agent and the other Secured Parties to secure the Secured Obligations in accordance with the terms and conditions of the Collateral Documents or other pledge or security documents as the Administrative Agent shall reasonably request. Notwithstanding the foregoing, no such pledge agreement in respect of the Equity Interests of a Foreign Subsidiary shall be required pursuant to foreign law. (c) Without limiting the foregoing, each Loan Party will, and will cause each Restricted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83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perfection and priority of the Liens created or intended to be created by the Collateral Documents, all in form and substance reasonably satisfactory to the Administrative Agent and all at the expense of the Loan Parties. (d) If any material assets are acquired by any Loan Party after the Effective Date (other than Excluded Assets and assets constituting Collateral under the Security Agreement that become subject to the Lien under the Security Agreement upon acquisition thereof), the Borrower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including actions described in paragraphs (b) and (c) of this Section, all at the expense of the Loan Parties. (e) Notwithstanding anything in this Agreement or the other Loan Documents to the contrary, the Administrative Agent may (but shall not be obligated to) determine in its sole and reasonable discretion that the cost to the Loan Parties of granting and perfecting any Lien is disproportionate to the benefit to be realized by the Administrative Agent, the Lenders and the other Secured Parties by perfecting a Lien in a given asset or group of assets included in the Collateral and, in such case, the Administrative Agent shall be permitted to, without the consent of the Lenders or Required Lenders, waive any requirement of perfection of any such Lien required under the Loan Documents. SECTION 5.14.Data Security and Privacy. (a) Each Loan Party and its Restricted Subsidiaries will maintain compliance in all material respects with (i) all applicable Data Protection Laws, including but not limited to the GDPR and those relating to cross-border transfers; and (ii) the Privacy Agreements. (b) Each Loan Party and its Restricted Subsidiaries will maintain compliance in all material respects with all Privacy Policies consistent with the actual practices of each Loan Party and its Restricted Subsidiaries. (c) Each Loan Party and its Restricted Subsidiaries will maintain and comply in all material respects with its Security Program. Any Security Program of the Loan Parties or their Restricted Subsidiaries will at all times (i) comply in all material respects with all applicable Data Protection Laws, applicable Privacy Policies, and applicable Privacy Agreements, and (ii) include commercially reasonable administrative, technical, organization, and physical security procedures and measures designed to preserve the security, integrity and confidentiality of all Personal Data or Company Sensitive Information in such Loan Party’s or Restricted Subsidiary’s possession or control, and each Loan Party and its respective Restricted Subsidiaries will use commercially reasonable practices to protect such Company Sensitive Information against unauthorized or unlawful processing, access, acquisition, use, theft, interruption, modification, disclosure, loss, destruction or damage. (d) The Loan Parties shall, in accordance with its reasonable business judgment, take steps designed to ensure that no material (i) incidents of unauthorized access, use, intrusion, disclosure or breach of the security of any information technology systems operated in connection with a Loan Party or a Restricted Subsidiary or (ii) incidents of unauthorized acquisition, destruction, damage, disclosure, loss, corruption, alteration, or use of any Company Sensitive Information shall occur. (e) Each Loan Party and its Restricted Subsidiaries will, in accordance with its reasonable business judgment, have a valid and legal right (whether contractually, by Applicable Law or otherwise) to use all Personal Data that is used by or on behalf of a Loan Party or a Restricted Subsidiary in 84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connection with the sale, use and/or operation of their products, services and businesses, except as could not reasonably be expected to result in a Material Adverse Effect. (f) The Borrower will promptly give notice to the Administrative Agent upon any Loan Party becoming aware of any pending, written demands, inquiries, proceedings, or other notices that could reasonably be expected to result in an investigation or other legal proceeding, including any notices of any investigation or other legal proceedings, regarding a Loan Party or a Restricted Subsidiary and of which it becomes aware, initiated by (i) any Person; (ii) any Governmental Authority, including the United States Federal Trade Commission, a state attorney general, data protection authority or similar state official, or a supervisory authority; or (iii) any self-regulatory authority or entity, alleging that any activity of a Loan Party or a Restricted Subsidiary: (1) is in violation of any applicable Data Protection Laws, (2) is in violation of any Privacy Agreements, or (3) is in violation of any Privacy Policies, in each case, in any material respect. SECTION 5.15.Post-Closing Requirements. Not later than the dates set forth in Schedule 5.15 (or such later dates as the Administrative Agent shall agree in its sole discretion) or as otherwise required thereunder, the Loan Parties shall take the actions set forth on Schedule 5.15. SECTION 5.16.Designation of Restricted and Unrestricted Subsidiaries. (a) The Borrower may at any time from and after the Third Amendment Effective Date designate any Subsidiary acquired or created after the Third Amendment Effective Date, to be an Unrestricted Subsidiary; provided that (1) immediately before and after giving effect (including giving effect on a Pro Forma Basis) to any such designation, (i) no Default or Event of Default shall have occurred and be continuing or would result therefrom and (ii) the Borrower shall be in pro forma compliance with the financial covenants set forth in Section 6.12, (2) no Loan Party may be designated as an Unrestricted Subsidiary, (3) no Subsidiary may be designated as an Unrestricted Subsidiary if, after such designation, it would be a “Restricted Subsidiary” (or analogous concept) for the purpose of any secured Indebtedness of the Borrower or its Restricted Subsidiaries permitted hereunder, (4) no Unrestricted Subsidiary may (i) own Equity Interests in any Loan Party or Restricted Subsidiary, or (ii) hold a Lien on any material property of a Loan Party or any Restricted Subsidiary, and (5) after giving effect to such designation as an Unrestricted Subsidiary, such Unrestricted Subsidiary shall not own or exclusively license any intellectual property that is material to the business of the Borrower and the Restricted Subsidiaries (taken as a whole). The designation of any Subsidiary as an Unrestricted Subsidiary shall constitute an investment by the Borrower (or the applicable Restricted Subsidiary that owns such designated Subsidiary) therein at the date of designation and shall be in compliance with Section 6.04(w). (b) . The Borrower may at any time designate any Unrestricted Subsidiary as a Restricted Subsidiary; provided that immediately before and after giving effect (including giving effect on a Pro Forma Basis) to any such designation, (i) no Default or Event of Default shall have occurred and be continuing or would result therefrom and (ii) the Borrower shall be in pro forma compliance with the financial covenants set forth in Section 6.12. The Borrower shall be required to designate an Unrestricted Subsidiary as a Restricted Subsidiary if (a1) it would be a “Restricted Subsidiary” (or analogous concept) for the purpose of any secured Indebtedness of the Borrower or its Restricted Subsidiaries permitted hereunder, (b2) it (i) owns Equity Interests in any Loan Party or Restricted Subsidiary, or (ii) owns any material assets of any Loan Party or Restricted Subsidiary or (iii) holds a Lien on any material property of a Loan Party or any Restricted Subsidiary, or (c) it owns or exclusively licenses any intellectual property that is material to the business of the Borrower and the Restricted Subsidiaries (taken as a whole). The designation of any Unrestricted Subsidiary as a Restricted Subsidiary shall constitute (i) the incurrence at the time of designation of any investment, Indebtedness 85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Liens of such Subsidiary existing at such time and (ii) a return on any investment by the Borrower (or the applicable Restricted Subsidiary that owns such designated Subsidiary) in Unrestricted Subsidiaries pursuant to Section 6.04(w). Unrestricted Subsidiaries will not be subject to any of the restrictive covenants set forth in this Agreement. ARTICLE VI Negative Covenants Until all of the Secured Obligations shall have been Paid in Full, each Loan Party executing this Agreement covenants and agrees, jointly and severally with all of the other Loan Parties, with the Lenders that: SECTION 6.01.Indebtedness. No Loan Party will, nor will it permit any Restricted Subsidiary to, create, incur, assume or suffer to exist any Indebtedness, except: (a) the Secured Obligations; (b) Indebtedness existing on the date hereof and set forth in Schedule 6.01 and any Refinance Indebtedness in respect thereof; (c) Indebtedness of the Borrower to any Restricted Subsidiary and of any Restricted Subsidiary to the Borrower or any other Restricted Subsidiary, provided that (i) Indebtedness of any Restricted Subsidiary that is not a Loan Party to the Borrower or any other Loan Party shall be subject to Section 6.04 and (ii) Indebtedness of any Loan Party to any Restricted Subsidiary that is not a Loan Party shall be subordinated to the Secured Obligations on terms reasonably satisfactory to the Administrative Agent; (d) Guarantees by the Borrower of Indebtedness of any Restricted Subsidiary and by any Restricted Subsidiary of Indebtedness of the Borrower or any other Restricted Subsidiary, provided that (i) the Indebtedness so Guaranteed is permitted by this Section 6.01, (ii) Guarantees by the Borrower or any other Loan Party of Indebtedness of any Restricted Subsidiary that is not a Loan Party shall be subject to Section 6.04 and (iii) Guarantees permitted under this clause (d) shall be subordinated to the Secured Obligations on the same terms as the Indebtedness so Guaranteed is subordinated to the Secured Obligations, if applicable; (e) Indebtedness of the Borrower or any Restricted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provided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$5,000,000 (or such greater amount as the Administrative Agent may agree in its sole discretion) at any time outstanding; (f) Indebtedness which represents extensions, renewals, refinancing or replacements (such Indebtedness being so extended, renewed, refinanced or replaced being referred to herein as the “Refinance Indebtedness”) of any of the Indebtedness described in clauses (b), (e), (i) and (j) hereof (such Indebtedness being referred to herein as the “Original Indebtedness”); provided that (i) such 86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Refinance Indebtedness does not increase the principal amount or interest rate of the Original Indebtedness, except by an amount equal to a reasonable premium and other fees and expenses reasonably incurred in connection therewith, (ii) any Liens securing such Refinance Indebtedness are not extended to any additional property of any Loan Party or any Restricted Subsidiary, (iii) no Loan Party nor any Restricted Subsidiary, in each case that is not originally obligated with respect to repayment of such Original Indebtedness, is required to become obligated with respect to such Refinance Indebtedness, (iv) such Refinance Indebtedness does not result in a shortening of the maturity of such Original Indebtedness and (v) if such Original Indebtedness was subordinated in right of payment to the Obligations or any of the other Secured Obligations, then the terms and conditions of such Refinance Indebtedness must include subordination terms and conditions that are at least as favorable to the Administrative Agent and the Lenders as those that were applicable to such Original Indebtedness; (g)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 (h) Indebtedness of any Loan Party in respect of letters of credit, banker’s acceptances, bank guarantees, performance bonds, bid bonds, appeal bonds, surety bonds and similar obligations, in each case provided in the ordinary course of business; (i) unsecured Subordinated Indebtedness on terms and conditions (including with respect to any cash payments) acceptable to the Administrative Agent in its sole discretion; (j) Indebtedness of any Person that becomes a Restricted Subsidiary after the date hereof; provided that (i) such Indebtedness exists at the time such Person becomes a Restricted Subsidiary and is not created in contemplation of or in connection with such Person becoming a Restricted Subsidiary and (ii) the aggregate principal amount of Indebtedness permitted by this clause (j), together with any Refinance Indebtedness in respect thereof permitted by clause (f) above, shall not exceed $2,500,000 at any time outstanding; (k) obligations (contingent or otherwise) of the Borrower and its Restricted Subsidiaries existing or arising under any Swap Agreement permitted by Section 6.07; (l) unsecured Indebtedness to trade creditors in the ordinary course of business and not past due; (m) unsecured Indebtedness incurred as a result of endorsing negotiable instruments received in the ordinary course of business; (n) Indebtedness consisting of the financing of insurance premiums; (o) Indebtedness of Foreign Subsidiaries (i) in respect of business credit cards in an aggregate principal amount not to exceed $2,500,000 at any time outstanding; and (ii) otherwise in an aggregate principal amount not to exceed $5,000,000 at any time outstanding; (p) unsecured Indebtedness in the form of purchase price adjustments, earn outs, deferred compensation, or other arrangements representing Acquisition consideration or deferred payments of a similar nature incurred in connection with Investments permitted by Section 6.04; and (q) other Indebtedness in an aggregate principal amount not exceeding $5,000,000 at any time outstanding. 87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6.02.Liens. No Loan Party will, nor will it permit any Restricted Subsidiary to, create, incur, assume or permit to exist any Lien on any property or asset now owned or hereafter acquired by it, except: (a) Liens created pursuant to any Loan Document; (b) Permitted Encumbrances; (c) any Lien on any property or asset of the Borrower or any Restricted Subsidiary existing on the date hereof and set forth in Schedule 6.02; provided that (i) such Lien shall not apply to any other property or asset of the Borrower or any Restricted Subsidiary and (ii) such Lien shall secure only those obligations which it secures on the date hereof and extensions, renewals and replacements thereof that do not increase the outstanding principal amount thereof; (d) Liens on fixed or capital assets acquired, constructed or improved by the Borrower or any Restricted Subsidiary; provided that (i) such Liens secure Indebtedness permitted by Section 6.01(e), (ii) such Liens are incurred prior to or within 90 days after such acquisition or the completion of such construction or improvement, (iii) the Indebtedness secured thereby does not exceed the cost of acquiring, constructing or improving such fixed or capital assets and (iv) such Liens shall not apply to any other property or assets of the Borrower or any Restricted Subsidiary; (e) any Lien existing on any property or asset prior to the acquisition thereof by (including any merger into or consolidation with) the Borrower or any Restricted Subsidiary or existing on any property or asset of any Person that becomes a Loan Party after the date hereof prior to the time such Person becomes a Loan Party; provided that (i) such Lien is not created in contemplation of or in connection with such acquisition or such Person becoming a Loan Party, as the case may be, (ii) such Lien shall not apply to any other property or assets of any Loan Party or Restricted Subsidiary, (iii) such Lien shall only secure Indebtedness or obligations permitted pursuant to Section 6.01(j) and (iv) such Lien shall secure only those obligations which it secures on the date of such acquisition or the date such Person becomes a Loan Party, as the case may be, and extensions, renewals and replacements thereof that do not increase the outstanding principal amount thereof; (f) bankers’ Liens, rights of setoff and other similar Liens existing solely with respect to cash, Permitted Investments,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 (g) Liens arising out of Sale and Leaseback Transactions permitted by Section 6.06; (h) (x) any interest or title of a lessor or licensor under any lease or license entered into by the Borrower or any Restricted Subsidiary in the ordinary course of its business and covering only the assets so leased or licensed, (y) leases, licenses, subleases and sublicenses of real property granted to others in the ordinary course of business and (z) non-exclusive licenses of Intellectual Property in the ordinary course of business and other licenses and sublicenses that could not result in a legal transfer of title of the licensed property but that may be exclusive in respects other than territory and that may be exclusive as to territory only as to discreet geographical areas outside of the United States, in each case in the ordinary course of business; 88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the replacement, extension or renewal of any Lien permitted by clause (e) above upon or in the same property theretofore subject thereto or the replacement, extension or renewal (without increase in the amount or change in any direct or contingent obligor) of the Indebtedness secured thereby; (j) (i) cash deposits and liens on cash and Permitted Investments pledged to secure Indebtedness permitted under Section 6.01(h), (ii) Liens on cash and Permitted Investments securing reimbursement obligations with respect to letters of credit, banker’s acceptances, bank guarantees permitted by Section 6.01(h) that encumber documents and other property relating to such letters of credit, (iii) Liens on cash and Permitted Investments securing Obligations under any Swap Agreements permitted by Section 6.01(k), and (iv) Liens on cash deposits securing minimum capitalization requirements; (k) Liens on any earnest money deposits required in connection with a Permitted Acquisition or consisting of earnest money deposits required in connection with an acquisition of property expressly permitted hereunder; (l) Liens that are contractual rights of setoff relating to purchase orders and other agreements entered into with customers of such Person in the ordinary course of business; (m) Liens granted by a Restricted Subsidiary that is not a Loan Party in favor of the Borrower or another Loan Party in respect of Indebtedness owed by such Restricted Subsidiary; (n) Liens on insurance proceeds in favor of insurance companies granted solely to secure financed insurance premiums; (o) Liens in favor of custom and revenue authorities arising as a matter of law to secure the payment of custom duties in connection with the importation of goods; and (p) other Liens securing obligations in an outstanding amount not to exceed $5,000,000 at any one time; provided that, no such Lien (other than Liens arising by operation of law, Permitted Encumbrances and Liens permitted pursuant to clause (h) above) shall encumber any Material Intellectual Property or real property owned by any Loan Party or Restricted Subsidiary. SECTION 6.03.Fundamental Changes. (a) No Loan Party will, nor will it permit any Restricted Subsidiary to, merge into or consolidate with any other Person, or permit any other Person to merge into or consolidate with it, or otherwise Dispose of all or substantially all of its assets, or all or substantially all of the Equity Interests of any of its Restricted Subsidiaries (in each case, whether now owned or hereafter acquired), or liquidate or dissolve, except that, (i) any Restricted Subsidiary of the Borrower may merge into the Borrower in a transaction in which the Borrower is the surviving entity, (ii) any Loan Party (other than the Borrower) may merge into any other Loan Party in a transaction in which the surviving entity is a Loan Party; (iii) any Restricted Subsidiary that is a limited liability company may consummate a division as the dividing Person if, immediately upon the consummation of the division, all of the assets of the applicable dividing Person are held by one or more Loan Parties, and (iv) any Restricted Subsidiary that is not a Loan Party may liquidate or dissolve if the Borrower determines in good faith that such liquidation or dissolution is in the best interests of the Borrower and is not materially disadvantageous to the Lenders (as reasonably determined by the Administrative Agent); provided that any such merger or 89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consolidation involving a Person that is not a wholly-owned Restricted Subsidiary immediately prior to such merger or consolidation shall not be permitted unless also permitted by Section 6.04. (b) No Loan Party will, nor will it permit any Restricted Subsidiary to, engage to any material extent in any business other than businesses of the type conducted by the Borrower and its Restricted Subsidiaries on the date hereof and businesses reasonably related thereto. (c) The Borrower will not change its fiscal year or any fiscal quarter from the basis in effect on the Effective Date, and no other Loan Party will, nor will it permit any Restricted Subsidiary to change its fiscal year or any fiscal quarter from the basis in effect on the Effective Date except, with prior written notice to the Administrative Agent, to align with the fiscal year and fiscal quarters of the Borrower. (d) The Borrower will not change the accounting basis upon which its financial statements are prepared, and no Loan Party will change the accounting basis upon which its financial statements are prepared except, with prior written notice to the Administrative Agent, to align with the accounting basis of the Borrower. SECTION 6.04.Investments, Loans, Advances, Guarantees and Acquisitions. No Loan Party will, nor will it permit any Restricted Subsidiary to, form any subsidiary after the Effective Date, or purchase, hold or acquire (including pursuant to any merger or consolidation with any Person that was not a Loan Party and a wholly-owned Subsidiary prior to such merger or consolidation)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Person or any assets of any other Person constituting a business unit (whether through purchase of assets, merger or otherwise), except: (a) cash and Permitted Investments, plus any investments in an amount not to exceed $5,000,000 in the aggregate, which would otherwise constitute Permitted Investments under clause (c) of the definition thereof but-for the requirement that any such investment be issued, guaranteed or offered by, or placed with a domestic office of any commercial bank organized under the laws of the U.S. or any state thereof which has a combined capital and surplus and undivided profits of not less than $500,000,000; (b) investments in existence on the date hereof and described in Schedule 6.04; (c) investments made by the Borrower and the Restricted Subsidiaries in Equity Interests in their respective Restricted Subsidiaries, provided that (i) any such Equity Interests held by a Loan Party (other than Excluded Assets) shall be pledged pursuant to the Security Agreement, (ii) the aggregate outstanding amount of investments by Loan Parties in Restricted Subsidiaries that are not Loan Parties (together with outstanding intercompany loans permitted under clause (ii) of the proviso to Section 6.04(d) and outstanding principal amount of Indebtedness subject to Guarantees permitted under the proviso to Section 6.04(e)) shall not exceed $15,000,000 (or such greater amount as agreed by the Administrative Agent in its sole discretion) in any fiscal year of the Borrower (in each case determined without regard to any write-downs or write-offs) and (iii) no Event of Default exists and is continuing if such investment is by a Loan Party in a Restricted Subsidiary that is not a Loan Party; (d) loans or advances made by any Loan Party to any Subsidiary and made by any Restricted Subsidiary to a Loan Party or any other Subsidiary, provided that (i) any such loans and advances made 90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by a Loan Party shall be evidenced by a promissory note pledged pursuant to the Security Agreement, (ii) the outstanding amount of such loans and advances made by Loan Parties to Restricted Subsidiaries that are not Loan Parties (together with outstanding investments permitted under clause (ii) of the proviso to Section 6.04(c) and the outstanding principal amount of Indebtedness subject to Guarantees permitted under the proviso to Section 6.04(e)) shall not exceed $15,000,000 (or such greater amount as agreed by the Administrative Agent in its sole discretion) in any fiscal year of the Borrower (in each case determined without regard to any write-downs or write-offs) and (iii) no Event of Default exists and is continuing if such investment is by a Loan Party in a Subsidiary that is not a Loan Party; (e) Guarantee Obligations permitted by Section 6.01 and Guarantee Obligations of obligations not constituting Indebtedness in the ordinary course of business; provided that (i) the aggregate outstanding principal amount of Indebtedness of Restricted Subsidiaries that are not Loan Parties that is Guaranteed by any Loan Party (together with outstanding investments permitted under clause (ii) of the proviso to Section 6.04(c) and outstanding intercompany loans permitted under clause (ii) of the proviso to Section 6.04(d)) shall not exceed $15,000,000 (or such greater amount as agreed by the Administrative Agent in its sole discretion) in any fiscal year of the Borrower (in each case determined without regard to any write-downs or write-offs), (ii) no Event of Default exists and is continuing if such investment is by a Loan Party in a Restricted Subsidiary that is not a Loan Party and (iii) no Loan Party or Restricted Subsidiary may guarantee the Indebtedness or any other obligations of any Unrestricted Subsidiary pursuant to this clause (e); (f) investments consisting of (i) travel advances and employee relocation loans and other employee loans and advances in the ordinary course of business, and (ii) non-cash loans to employees, officers or directors relating to the purchase of equity securities of the Borrower and its Restricted Subsidiaries pursuant to employee stock purchase plans or agreements approved by the Borrower’s board of directors; (g) notes payable, or stock or other securities issued by Account Debtors to a Loan Party pursuant to negotiated agreements with respect to settlement of such Account Debtor’s Accounts in the ordinary course of business, consistent with past practices; (h) investments in the form of Swap Agreements permitted by Section 6.07; (i) investments of any Person existing at the time such Person becomes a Restricted Subsidiary of the Borrower or consolidates or merges with the Borrower or any Restricted Subsidiary (including in connection with a Permitted Acquisition), so long as such investments were not made in contemplation of such Person becoming a Restricted Subsidiary or of such merger; (j) investments received in connection with the Disposition of assets permitted by Section 6.05; (k) investments constituting deposits described in clauses (c) and (d) of the definition of the term “Permitted Encumbrances”; (l) Permitted Acquisitions; (m) investments received in settlement of amounts due to any Loan Party or Restricted Subsidiary effected in the ordinary course of business or owing to such Loan Party or Restricted Subsidiary as a result of insolvency proceedings involving an Account Debtor or upon the foreclosure or enforcement of any Lien in favor of such Loan Party or Restricted Subsidiary; 91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 the licensing or contribution of intellectual property pursuant to joint marketing or joint venture arrangements with other Persons in the ordinary course of business; (o) deposits made to secure the performance of leases, licenses or contracts in the ordinary course of business and other deposits made in connection with the insurance of Liens permitted by Section 6.02; (p) promissory notes and other non-cash consideration received in connection with Dispositions permitted by Section 6.05, to the extent not exceeding the limits specified therein with respect to the receipt of non-cash consideration in connection with such Dispositions; (q) investments in the ordinary course of business consisting of endorsements of negotiable instruments for collection or deposit; (r) extensions of trade credit to customers in the ordinary course of business consistent with past practice; (s) so long as no Event of Default exists immediately after giving effect to such investment, in addition to investments otherwise expressly permitted by this Section 6.04, any investments in an aggregate amount not to exceed $5,000,000 in any fiscal year of the Borrower; (t) so long as no Event of Default exists immediately after giving effect to such investment, investments in joint ventures, corporate collaborations, or strategic alliances; provided that, the aggregate amount of all such investments made in cash shall not exceed, together with investments permitted by Section 6.04(u), $15,000,000 in any fiscal year of the Borrower; (u) so long as no Event of Default exists immediately after giving effect to such investment, minority equity investments in companies in a similar line of business with non-U.S. operations in amounts not to exceed, together with Investments permitted by Section 6.04(t), $15,000,000 in any fiscal year of the Borrower; (v) the formation and/or capitalization of a new Restricted Subsidiary so long as such Loan Party and Restricted Subsidiary comply with Section 5.13, and so long as any such capitalization is otherwise permitted by this Section 6.04; and (w) so long as no Event of Default exists immediately after giving effect to such investment, investments in Unrestricted Subsidiaries in an aggregate amount not to exceed $15,000,00020,000,000 in any fiscal year of the Borrower; provided that no other clause of this Section 6.04 may be used to make investments in Unrestricted Subsidiaries. SECTION 6.05.Asset Sales. No Loan Party will, nor will it permit any Restricted Subsidiary to, Dispose of any asset, including any Equity Interest owned by it, nor will the Borrower permit any Restricted Subsidiary to issue any additional Equity Interest in such Restricted Subsidiary (other than to the Borrower or another Restricted Subsidiary in compliance with Section 6.04), except: (a) Dispositions of (i) Inventory in the ordinary course of business and (ii) used, obsolete, worn out or surplus equipment or property in the ordinary course of business; (b) Dispositions of assets to the Borrower or any Restricted Subsidiary; provided that (i) any such Dispositions involving a Restricted Subsidiary that is not a Loan Party shall be made in compliance with Section 6.09 and (ii) the aggregate fair market value of all assets Disposed by Loan Parties to 92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Restricted Subsidiaries that are not Loan Parties during the term of this Agreement shall not exceed $5,000,000; (c) Dispositions of Accounts (excluding Dispositions in a factoring arrangement) in connection with the compromise, settlement or collection thereof; (d) Dispositions of cash, Permitted Investments and other investments permitted by clauses (i) and (k) of Section 6.04 to the extent not otherwise prohibited by the terms of this Agreement or the other Loan Documents; (e) Sale and Leaseback Transactions permitted by Section 6.06; (f) Dispositions resulting from any casualty or other insured damage to, or any taking under power of eminent domain or by condemnation or similar proceeding of, any property or asset of the Borrower or any Restricted Subsidiary; (g) transactions permitted by Section 6.03(a); (h) so long as at the time of making such Disposition no Event of Default then exists or would result therefrom, other Dispositions of assets (other than Equity Interests in a Restricted Subsidiary unless all Equity Interests in such Restricted Subsidiary are sold) that are not permitted by any other clause of this Section; provided that the aggregate fair market value of all assets Disposed of in reliance upon this paragraph (h) shall not exceed $1,000,000 during any fiscal year of the Borrower; (i) the sale or issuance of the Equity Interests of a Restricted Subsidiary (i) to the Borrower or any other Loan Party, (ii) by a Restricted Subsidiary that is not a Loan Party to another Restricted Subsidiary that is not a Loan Party or (iii) in connection with any transaction that does not result in a Change in Control; (j) the non-exclusive licensing of patents, trademarks, copyrights, and other intellectual property rights in the ordinary course of business; (k) leases or subleases of real property in the ordinary course of business; (l) to the extent constituting a Disposition, Restricted Payments permitted by Section 6.08, Investments permitted by Section 6.04 and Liens permitted by Section 6.02; (m) the sale or discount without recourse of accounts receivable arising in the ordinary course of business in connection with the compromise or collection thereof; (n) any abandonment, cancellation, non-renewal or discontinuance of use or maintenance of intellectual property (or rights relating thereto) of any Loan Party or Restricted Subsidiary that the Borrower determines in good faith is desirable in the conduct of its business and not materially disadvantageous to the interests of the Lenders; and (o) any issuance, sale or pledge of Equity Interests in an Unrestricted Subsidiary; provided that all Dispositions permitted under clauses (a), (e), and (h) above shall be made for fair value and for at least 75% cash consideration. Notwithstanding the foregoing, no Loan Party nor any Restricted Subsidiary shall consummate any transaction that results in the Disposition (whether by way of any Restricted Payment, investment, Lien, 93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sale, conveyance, transfer or other Disposition, and whether in a single transaction or a series of transactions) of intellectual property that is material to the business of the Borrower and its Restricted Subsidiaries to any Unrestricted Subsidiary. SECTION 6.06.Sale and Leaseback Transactions. No Loan Party will, nor will it permit any Restricted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“Sale and Leaseback Transaction”), except for any such sale of any fixed or capital assets by the Borrower or any Restricted Subsidiary that is made for cash consideration in an amount not less than the fair value of such fixed or capital asset and is consummated within 90 days after the Borrower or such Restricted Subsidiary acquires or completes the construction of such fixed or capital asset. SECTION 6.07.Swap Agreements. No Loan Party will, nor will it permit any Restricted Subsidiary to, enter into any Swap Agreement, except (a) Swap Agreements entered into to hedge or mitigate risks to which the Borrower or any Restricted Subsidiary has actual exposure (other than those in respect of Equity Interests of the Borrower or any Restricted Subsidiary), and (b) Swap Agreements entered into in order to effectively cap, collar or exchange interest rates (from floating to fixed rates, from one floating rate to another floating rate or otherwise) with respect to any interest-bearing liability or investment of the Borrower or any Restricted Subsidiary. SECTION 6.08.Restricted Payments; Certain Payments of Indebtedness. (a) No Loan Party will, nor will it permit any Restricted Subsidiary to, declare or make, or agree to declare or make, directly or indirectly, any Restricted Payment, or incur any obligation (contingent or otherwise) to do so, except: (i) the Borrower may declare and pay dividends with respect to its Equity Interests payable solely in additional shares of its Equity Interests (other than Disqualified Stock); (ii) Restricted Subsidiaries may declare and pay dividends ratably with respect to their Equity Interests; (iii) each Loan Party and Restricted Subsidiary may make Restricted Payments to any Loan Party; (iv) so long as at the time of making such Restricted Payment no Event of Default then exists or would result therefrom, the Borrower may make Restricted Payments, not exceeding $5,000,000 during any fiscal year to repurchase equity interest from present or former officers, directors or employees of any Loan Party or Restricted Subsidiary; (v) each Loan Party may repurchase its Equity Interests and/or purchase Equity Interests from present or former officers, directors or employees, consultants, advisors, or other service providers of any Loan Party or Restricted Subsidiary (but excluding equity investment firms) (each a “Share Repurchase”) so long as immediately after giving effect to any such Share Repurchase, (i) the Total Net Leverage Ratio is less than 2.50 to 1.00, (ii), the aggregate amount of Liquidity is equal to or greater than $50,000,000, (iii) the Borrower is (A) in pro forma compliance with the financial covenants in Section 6.12 as of the most recently ended fiscal quarter for which financial statements were required to be delivered, and (B) projected to be in compliance with the financial covenants in Section 6.12 for the twelve (12) month period 94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thereafter, in each case based on financial statements and projections delivered to the Administrative Agent which give effect, on a pro forma basis, to such Share Repurchase and (iv) no Event of Default then exists or would result therefrom; (vi) (i) each Loan Party and Restricted Subsidiary may make repurchases of Equity Interests deemed to occur upon exercise of stock options or warrants if such repurchased Equity Interests represents a portion of the exercise price of such options or warrants, and (ii) each Loan Party and Restricted Subsidiary may make repurchases of Equity Interests deemed to occur upon the withholding of a portion of the Equity Interests issued, granted or awarded to a current or former officer, director, employee or consultant to pay for the taxes payable by such Person upon such issuance, grant or award (or upon vesting thereof); (vii) each Loan Party and Restricted Subsidiary may purchase, redeem or otherwise acquire Equity Interests issued by it solely with the proceeds received from the substantially concurrent issue of new shares of its Equity Interests (other than Disqualified Stock); provided that any such issuance is otherwise permitted hereunder; (viii) the Borrower may deliver its common Equity Interests upon conversion of any convertible Indebtedness having been issued by the Borrower; provided that such Indebtedness is otherwise permitted by Section 6.01; (ix) the Borrower may deliver its common Equity Interests in connection with the exercise of stock options, warrants, restricted stock units or other equity awards by way of cashless exercise; and (x) so long as no Event of Default exists or would result therefrom, the Borrower and its Restricted Subsidiaries may make other Restricted Payments in an aggregate amount not exceeding $2,500,000 in any fiscal year of the Borrower. (b) No Loan Party will, nor will it permit any Restricted Subsidiary to, make or agree to pay or make, directly or indirectly, any payment or other distribution (whether in cash, securities or other property) of or in respect of principal of or interest on any Indebtedness (including any earn-out, seller debt or deferred purchase price payments), or any payment or other distribution (whether in cash, securities or other property), including any sinking fund or similar deposit, on account of the purchase, redemption, retirement, acquisition, cancellation or termination of any Indebtedness, except: (i) payment of Indebtedness created under the Loan Documents; (ii) payment of regularly scheduled interest and principal payments as and when due in respect of any Indebtedness permitted under Section 6.01, other than payments in respect of Subordinated Indebtedness prohibited by the subordination provisions thereof; (iii) refinancings of Indebtedness to the extent permitted by Section 6.01; (iv) payment of secured Indebtedness that becomes due as a result of the voluntary sale or transfer of the property or assets securing such Indebtedness to the extent such sale or transfer is permitted by the terms of Section 6.05; and (v) the Loan Parties and Restricted Subsidiaries may make payments in respect of any earn-out obligation, seller debt or other deferred purchase price payments (A) so long as immediately after giving effect to any such payment, no Event of Default exists and the Borrower 95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is in pro forma compliance with the financial covenants in Section 6.12 as of the most recently ended fiscal quarter for which financial statements were required to be delivered or (B) solely with the proceeds received from the substantially concurrent issue of new shares of its Equity Interests (other than Disqualified Stock); provided that any such issuance is otherwise permitted hereunder. SECTION 6.09.Transactions with Affiliates. No Loan Party will, nor will it permit any Restricted Subsidiary to, sell, lease or otherwise transfer material property or assets to, or purchase, lease or otherwise acquire material property or assets from, or otherwise engage in any other material transactions with, any of its Affiliates, except (a) transactions that (i) are in the ordinary course of business and (ii) are at prices and on terms and conditions not less favorable to such Loan Party or such Restricted Subsidiary than could be obtained on an arm’s-length basis from unrelated third parties, (b) transactions between or among the Loan Parties not involving any other Affiliate, (c) any investment permitted by Sections 6.04(c) or 6.04(d), (d) any Indebtedness permitted under Section 6.01(c), (e) any Restricted Payment permitted by Section 6.08, (f) loans or advances to employees permitted under Section 6.04(f), (g) the payment of reasonable fees to directors of the Borrower or any Restricted Subsidiary who are not employees of the Borrower or any Restricted Subsidiary, and compensation and employee benefit arrangements paid to, and indemnities provided for the benefit of, directors, officers or employees of the Borrower or its Restricted Subsidiaries in the ordinary course of business, (h) any issuances of securities or other payments, awards or grants in cash, securities or otherwise pursuant to, or the funding of, employment agreements, stock options and stock ownership plans approved by the Borrower’s board of directors, and (i) equity (other than Disqualified Stock) or debt financings with the Borrower’s investors so long as any such debt financings constitute Subordinated Indebtedness permitted by this Agreement. SECTION 6.10.Restrictive Agreements. No Loan Party will, nor will it permit any Restricted Subsidiary to, directly or indirectly enter into, incur or permit to exist any agreement or other arrangement that prohibits, restricts or imposes any condition upon (a) the ability of such Loan Party or any Restricted Subsidiary to create, incur or permit to exist any Lien upon any of its property or assets, or (b) the ability of any Restricted Subsidiary to pay dividends or other distributions with respect to any Equity Interests or to make or repay loans or advances to the Borrower or any other Restricted Subsidiary or to Guarantee Indebtedness of the Borrower or any other Restricted Subsidiary; provided that (i) the foregoing shall not apply to restrictions and conditions imposed by any applicable law or by any Loan Document, (ii) the foregoing shall not apply to restrictions and conditions existing on the date hereof identified on Schedule 6.10 (but shall apply to any extension or renewal of, or any amendment or modification expanding the scope of, any such restriction or condition), (iii) the foregoing shall not apply to customary restrictions and conditions contained in agreements relating to the sale of assets or a Restricted Subsidiary pending such sale, provided such restrictions and conditions apply only to such assets or the Restricted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and other contracts restricting the assignment thereof. SECTION 6.11.Amendment of Material Documents. No Loan Party will, nor will it permit any Restricted Subsidiary to, amend, modify or waive any of its rights under (a) any agreement relating to any Subordinated Indebtedness, or (b) its charter, articles or certificate of organization or incorporation and bylaws or operating, management or partnership agreement, or other organizational or governing documents, in each case, to the extent any such amendment, modification or waiver would be materially adverse to the Lenders (as reasonably determined by the Administrative Agent). 96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6.12.Financial Covenants. (a) Total Net Leverage Ratio. The Borrower will not permit the Total Net Leverage Ratio, on the last day of any fiscal quarter, commencing with the fiscal quarter ending on December 31, 2023, to be greater than 3.00 to 1.00; provided that (x) so long as no Event of Default exists at such time or would result therefrom, the Borrower may elect to increase the maximum Total Net Leverage Ratio permitted under this Section 6.12 to 3.50 to 1.00 for a period of up to four (4) consecutive fiscal quarters, as specified by the Borrower, in connection with a Material Acquisition consummated during the first fiscal quarter of such specified period (each such specified period of consecutive fiscal quarters, an “Adjusted Covenant Period”) and (y) notwithstanding the foregoing clause (x), the Borrower may not elect a new Adjusted Covenant Period for at least one (1) full fiscal quarter following the end of another Adjusted Covenant Period. Any such election must be made in writing to the Administrative Agent within fifteen (15) Business Days of the consummation of such Material Acquisition, and shall specify the number of fiscal quarters (between one (1) and four (4)) for which the Adjusted Covenant Period will apply following the Material Acquisition; provided that to the extent the Borrower initially elects for the Adjusted Covenant Period to apply for less than four (4) fiscal quarters, the Borrower may subsequently elect to extend the Adjusted Covenant Period for additional, consecutive fiscal quarters (not to exceed four (4) fiscal quarters from the date of the Material Acquisition), by delivering written notice of such extension to the Administrative Agent at least fifteen (15) Business Days prior to the end of the initially specified Adjusted Covenant Period. (b) Fixed Charge Coverage Ratio. The Borrower will not permit the Fixed Charge Coverage Ratio, for any period of four consecutive fiscal quarters ending on the last day of any fiscal quarter, commencing with the fiscal quarter ending on December 31, 2023, to be less than 1.20 to 1.00. ARTICLE VII Events of Default If any of the following events (“Events of Default”) shall occur: (a) the Borrower shall fail to pay any principal of any Loan or any reimbursement obligation in respect of any LC Disbursement when and as the same shall become due and payable, whether at the due date thereof or otherwise; (b) 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 (c) any representation or warranty made or deemed made by or on behalf of any Loan Party or any Restricted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 (d) any Loan Party shall fail to observe or perform any covenant, condition or agreement contained in Section 5.02(a), 5.03 (with respect to a Loan Party’s existence), 5.08 or 5.15, or in Article VI; 97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any Loan Party shall fail to observe or perform any covenant, condition or agreement contained in this Agreement (other than those specified in clause (a), (b) or (d) of this Article) or any other Loan Document, and such failure shall continue unremedied for a period of (i) five (5) Business Days after the earlier of any Loan Party’s knowledge of such breach or notice thereof from the Administrative Agent (which notice will be given at the request of any Lender) if such breach relates to terms or provisions of Section 5.01, 5.02 (other than Section 5.02(a)), 5.03 (other than with respect to a Loan Party’s existence) through 5.07, 5.10, 5.11 or 5.13 of this Agreement or (ii) fifteen (15) Business Days after the earlier of any Loan Party’s knowledge of such breach or notice thereof from the Administrative Agent (which notice will be given at the request of any Lender) if such breach relates to terms or provisions of any other Section of this Agreement or any other Loan Document; (f) any Loan Party or any Restricted Subsidiary shall fail to make any payment (whether of principal or interest and regardless of amount), subject to any applicable grace periods, in respect of any Material Indebtedness, when and as the same shall become due and payable; (g)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(g) shall not apply to secured Indebtedness that becomes due as a result of the voluntary sale or transfer of the property or assets securing such Indebtedness to the extent such sale or transfer is permitted by the terms of Section 6.05; (h) an involuntary proceeding shall be commenced or an involuntary petition shall be filed seeking (i) liquidation, reorganization or other relief in respect of a Loan Party or Restricted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Restricted Subsidiary or for a substantial part of its assets, and, in any such case, such proceeding or petition shall continue undismissed for sixty (60) days or an order or decree approving or ordering any of the foregoing shall be entered; (i) any Loan Party or any Restricted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Restricted Subsidiary of any Loan Party or for a substantial part of its assets, (iv) file an answer admitting the material allegations of a petition filed against it in any such proceeding, (v) make a general assignment for the benefit of creditors or (vi) take any action for the purpose of effecting any of the foregoing; (j) [reserved]; (k) one or more judgments for the payment of money in an aggregate amount in excess of $10,000,000 shall be rendered against any Loan Party, any Restricted Subsidiary or any combination thereof and the same shall remain undischarged for a period of forty-five (45) consecutive days during which execution shall not be effectively stayed, or any action shall be legally taken by a judgment creditor to attach or levy upon any assets of any Loan Party or any Restricted Subsidiary to enforce any such judgment or any Loan Party or any Restricted Subsidiary shall fail within forty-five (45) days to 98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 (l) an ERISA Event shall have occurred that, when taken together with all other ERISA Events that have occurred, would reasonably be expected to result in a Material Adverse Effect; (m) a Change in Control shall occur; (n) [reserved]; (o) the Loan Guaranty shall fail to remain in full force or effect (other than pursuant to the terms hereof or thereof) or any action shall be taken to discontinue or to assert the invalidity or unenforceability of the Loan Guaranty or any Loan Guarantor shall fail to comply with any of the terms or provisions of the Loan Guaranty, or any Loan Guarantor shall deny that it has any further liability under the Loan Guaranty, or shall give notice to such effect; (p) 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 on any material portion of the Collateral; (q) any Collateral Document shall fail to remain in full force or effect (other than pursuant to the terms hereof or thereof) or any action shall be taken to discontinue or to assert the invalidity or unenforceability of any Collateral Document; or (r) 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any or all of the following actions, at the same or different times: (i) terminate the Revolving Commitments, whereupon the Revolving Commitments shall terminate immediately, (ii) declare the Loans then outstanding to be due and payable in whole (or in part, but ratably as among the Loans at the time outstanding, in which case any principal not so declared to be due and payable may thereafter be declared to be due and payable), whereupon the principal of the Loans so declared to be due and payable, together with accrued interest thereon and all fees and other Secured Obligations (including, for the avoidance of doubt, any break funding payment) accrued hereunder and under the other Loan Documents, shall become due and payable immediately, in each case without presentment, demand, protest or other notice of any kind, all of which are hereby waived by the Loan Parties, (iii) require cash collateral for the LC Exposure in accordance with Section 2.06(j) hereof and (iv) exercise all other rights and remedies of the Secured Parties under the Loan Documents and applicable law; and in the case of any event with respect to the Borrower described in clause (h) or (i) of this Article, the Revolving Commitments shall automatically terminate and the principal of the Loans then outstanding and cash collateral for the LC Exposure, together with accrued interest thereon and all fees and other Secured Obligations (including, for the avoidance of doubt, any break funding payment) accrued hereunder and under the other Loan 99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Documents, shall automatically become due and payable, and the obligation of the Borrower to cash collateralize the LC Exposure as provided in clause (iii) above shall automatically become effective, in each case without presentment, demand, protest or other notice of any kind, all of which are hereby waived by the Loan Parties. Upon the occurrence and during the continuance of an Event of Default, the Administrative Agent may, and at the request of the Required Lenders shall, increase the rate of interest applicable to the Loans and other Obligations as set forth in Section 2.13(d) of this Agreement and exercise any rights and remedies provided to the Administrative Agent under the Loan Documents or at law or equity, including all remedies provided under the UCC. In addition to any other rights and remedies granted to the Administrative Agent and the Lenders in the Loan Documents, the Administrative Agent on behalf of the Secured Parties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Restricted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Restricted Subsidiaries. The Borrower further agrees on behalf of itself and its Restricted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 pursuant to this Article VII,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the Administrative Agent may elect,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the Borrower on behalf of itself and its Restricted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 100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VIII The Administrative Agent SECTION 8.01.Authorization and Action. (a) 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other Loan Party, any Restricted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(c)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101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duties are entirely mechanical and administrative in nature. Without limiting the generality of the foregoing: (i) the Administrative Agent does not assume and shall not be deemed to have assumed any obligation or duty or any other relationship as the agent, fiduciary or trustee of or for any Lender, Issuing Bank, any other Secured Party or holder of any other Secured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 and (ii) nothing in this Agreement or any Loan Document shall require the Administrative Agent to account to any Lender for any sum or the profit element of any sum received by the Administrative Agent for its own account. (d)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bad faith or willful misconduct in the selection of such sub-agent. (e) No Arranger shall have any obligations or duties whatsoever in such capacity under this Agreement or any other Loan Document and shall incur no liability hereunder or thereunder in such capacity, but all such persons shall have the benefit of the indemnities provided for hereunder. (f) 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 (i) 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 102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to collect and receive any monies or other property payable or deliverable on any such claims and to distribute the same; 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Secured Obligations or the rights of any Lender or Issuing Bank or to authorize the Administrative Agent to vote in respect of the claim of any Lender or Issuing Bank in any such proceeding. (g) 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Restricted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 SECTION 8.02.Administrative Agent’s Reliance, Limitation of Liability, Indemnification, Etc.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bad faith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 (b) The Administrative Agent shall be deemed not to have knowledge of any (x)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(y)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103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Liability, cost or expense suffered by the Borrower, any other Loan Party, any Restricted Subsidiary, any Lender or the Issuing Bank as a result of, any determination of any Revolving Exposure, any of the component amounts thereof or any portion thereof attributable to each Lender or the Issuing Bank. (c) 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SECTION 8.03.Posting of Communications. (a) The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“Approved Electronic Platform”). (b)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104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distribution. Each of the Lenders, each of the Issuing Banks and the Borrower hereby approves distribution of the Communications through the Approved Electronic Platform and understands and assumes the risks of such distribution. (c)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ARRANGERS OR ANY OF THEIR RESPECTIVE RELATED PARTIES (COLLECTIVELY,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THROUGH AN ELECTRONIC SYSTEM OR THE APPROVED ELECTRONIC PLATFORM. “Communications”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 (d)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 (e) 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(f) Nothing herein shall prejudice the right of the Administrative Agent, any Lender or any Issuing Bank to give any notice or other communication pursuant to any Loan Document in any other manner specified in such Loan Document. SECTION 8.04.The Administrative Agent Individually. With respect to its Revolving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105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Restricted Subsidiary or any Affiliate of any of the foregoing as if such Person was not acting as the Administrative Agent and without any duty to account therefor to the Lenders or the Issuing Banks. SECTION 8.05.Successor Administrative Agent. (a) 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conditioned or delayed and shall not be required while an Event of Default under clauses (a), (b), (d) (solely with respect to a breach of Section 6.12), (h), (i) or (m) of Article VII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(b) 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106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 SECTION 8.06.Acknowledgments of Lenders and Issuing Banks. (a) Each Lender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the Arrangers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the Arrangers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 (b)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 (c)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107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 (ii)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(iii)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(iv) Each party’s obligations under this Section 8.06(c) shall survive the resignation or replacement of the Administrative Agent or any transfer of rights or obligations by, or the replacement of, a Lender, the termination of the Revolving Commitments or the repayment, satisfaction or discharge of all Obligations under any Loan Document. (d) 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108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expenses, and other amounts (including reasonable attorneys’ fees) incurred by the Administrative Agent or any such other Person as the direct or indirect result of any third parties who might obtain all or part of any report through the indemnifying Lender. SECTION 8.07.Collateral Matters. (a) 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(b) 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 SECTION 8.08.Credit Bidding.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109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SECTION 8.09.Certain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or any other Loan Party, that at least one of the following is and will be true: (i) such Lender is not using “plan assets” (within the meaning of the Plan Asset Regulations) of one or more Benefit Plans in connection with the Loans, the Letters of Credit, the Revolving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110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 (iv) such other representation, warranty and covenant as may be agreed in writing between the Administrative Agent, in its sole discretion, and such Lender. (b) In addition, unless either (1) sub-clause (i) in the immediately preceding clause (a) is true with respect to a Lender or (2) a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or any other Loan Party, that none of the Administrative Agent or the Arrangers or any of their respective Affiliates is a fiduciary with respect to the assets of such Lender in connection with the Loans, the Letters of Credit, the Revolving Commitments or this Agreement (including in connection with the reservation or exercise of any rights by the Administrative Agent under this Agreement, any Loan Document or any documents related to hereto or thereto). (c) The Administrative Agent and the Arrangers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Revolving Commitments, this Agreement and any other Loan Documents, (ii) may recognize a gain if it extended the Loans, the Letters of Credit or the Revolving Commitments for an amount less than the amount being paid for an interest in the Loans, the Letters of Credit or the Revolving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ARTICLE IX Miscellaneous SECTION 9.01.Notices. (a) Except in the case of notices and other communications expressly permitted to be given by fax or Electronic Systems (and subject in each case to paragraph (b) below), all notices and other communications provided for herein shall be in writing and shall be delivered by hand or overnight courier service, mailed by certified or registered mail or sent by fax or Electronic Systems, as follows: 111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if to any Loan Party, to it in care of the Borrower at: NerdWallet, Inc. 55 Hawthorne St., 10th Floor San Francisco, CA 94105 Attention: General Counsel Email: generalcounsel@nerdwallet.com with a copy to (which shall not constitute notice): Jones Day 500 Grant Street, Suite 4500 Pittsburgh, PA 15219-2514 Attention: Brian Trudgen Email: btrudgen@jonesday.com (ii) if to the Administrative Agent, the Swingline Lender, to JPMorgan Chase Bank, N.A. at: JPMorgan Chase Bank, N.A. 131 S Dearborn St, Floor 04 Chicago, IL, 60603-5506 Attention: Loan and Agency Servicing Email: jpm.agency.cri@jpmorgan.com Agency Withholding Tax Inquiries: Email: agency.tax.reporting@jpmorgan.com Agency Compliance/Financials/Intralinks: Email: covenant.compliance@jpmchase.com if to Chase in its capacity as an Issuing Bank, to JPMorgan Chase Bank, N.A. at JPMorgan Chase Bank, N.A. 131 S Dearborn St, Floor 04 Chicago, IL, 60603-5506 Attention: LC Agency Team Tel: 800-364-1969 Fax: 856-294-5267 Email: chicago.lc.agency.activity.team@jpmchase.com With a copy to: JPMorgan Chase Bank, N.A. 131 S Dearborn St, Floor 04 Chicago, IL, 60603-5506 Attention: Loan and Agency Servicing Email: jpm.agency.cri@jpmorgan.com (iii) if to any other Lender or Issuing Bank, to it at its address or fax number set forth in its Administrative Questionnaire. 112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 such notices and other communications (i) sent by hand or overnight courier service, or mailed by certified or registered mail shall be deemed to have been given when received, (ii) sent by fax shall be deemed to have been given when sent, provided that if not given during normal business hours for the recipient, such notice or communication shall be deemed to have been given at the opening of business on the next Business Day of the recipient, or (iii) delivered through any Electronic Systems or Approved Electronic Platforms, as applicable, to the extent provided in paragraph (b) below shall be effective as provided in such paragraph (b). (b) Notices and other communications to any Loan Party or any Lender hereunder may be delivered or furnished by using Electronic Systems or Approved Electronic Platforms, as applicable, or pursuant to procedures approved by the Administrative Agent; provided that the foregoing shall not apply to notices pursuant to Article II or to compliance and no Default certificates delivered pursuant to Section 5.01(c) unless otherwise agreed by the Administrative Agent and the applicable Lender. Each of the Administrative Agent and the Borrower (on behalf of the Loan Parties) may, in its discretion, agree to accept notices and other communications to it hereunder by using Electronic Systems or Approved Electronic Platforms, as applicable,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 (c) Any party hereto may change its address, facsimile number or e-mail address for notices and other communications hereunder by notice to the other parties hereto. SECTION 9.02.Waivers; Amendments.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 (b) Except as provided in Section 2.09 with respect to any Incremental Facility Amendment or modification of the Commitment Schedule, and subject to Sections 2.14(b) and (c) and Sections 113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9.02(c) and (e),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provided that no such agreement shall (A) increase the Revolving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(B)), (C) postpone any scheduled date of payment of the principal amount of any Loan or LC Disbursement, or any date for the payment of any interest, fees or other Secured Obligations payable hereunder, or reduce the amount of, waive or excuse any such payment, or postpone the scheduled date of expiration of any Revolving Commitment, without the written consent of each Lender (including any such Lender that is a Defaulting Lender) directly affected thereby, (D) change Section 2.09(d) or Section 2.18(b) or (d) in a manner that would alter the ratable reduction of Revolving Commitments or the manner in which payments are shared, without the written consent of each Lender (other than any Defaulting Lender), (E)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(it being understood that, solely with the consent of the parties prescribed by Section 2.09 to be parties to an Incremental Facility Amendment, additional Revolving Commitments may be included in the determination of Required Lenders on substantially the same basis as the initial Revolving Commitments and Loans are included on the Effective Date), (F) release the Borrower or release any Loan Guarantor from its obligation under its Loan Guaranty (except as otherwise permitted herein or in the other Loan Documents), without the written consent of each Lender (other than any Defaulting Lender), (G) except as provided in clause (c) of this Section or in any Collateral Document, release all or substantially all of the Collateral without the written consent of each Lender (other than any Defaulting Lender), or (H) subordinate the Liens on the Collateral or subordinate the right of payment of the Secured Obligations without the written consent of each Lender; provided further that no such agreement shall amend, modify or otherwise affect the rights or duties of the Administrative Agent, the Swingline Lender or the Issuing Bank hereunder without the prior written consent of the Administrative Agent, the Swingline Lender or the Issuing Bank, as the case may be (it being understood that any amendment to Section 2.20 shall require the consent of the Administrative Agent, the Swingline Lender and the Issuing Bank); provided further that no such agreement shall amend or modify the provisions of Section 2.06 or any Letter of Credit Agreement or any letter of credit application and any bilateral agreement between the Borrower and the Issuing Bank regarding the Issuing Bank’s Issuing Bank Sublimit or the respective rights and obligations between the Borrower and the Issuing Bank in connection with the issuance of Letters of Credit without the prior written consent of the Administrative Agent and the Issuing Bank, respectively. The Administrative Agent may also amend the Commitment Schedule to reflect assignments entered into pursuant to Section 9.04. (c) The Secured Parties hereby irrevocably authorize the Administrative Agent (or its designee), at its option and in its sole discretion, to release any Liens granted to the Administrative Agent by the Loan Parties on any Collateral (i) upon the Payment in Full of all Secured Obligations, and the cash collateralization (or receipt of a backstop letter of credit if agreed by the affected Lender) of all Unliquidated Obligations in a manner reasonably satisfactory to each affected Lender, (ii) constituting property being Disposed of if the Loan Party Disposing of such property certifies to the Administrative 114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that the Disposition is made in compliance with the terms of this Agreement (and the Administrative Agent may rely conclusively on any such certificate, without further inquiry), and to the extent that the property being Disposed of constitutes 100% of the Equity Interests of a Restricted Subsidiary, the Administrative Agent is authorized to release the Loan Guaranty provided by such Restricted Subsidiary, (iii) constituting property leased to a Loan Party under a lease which has expired or been terminated in a transaction permitted under this Agreement, (iv) as required to effect any Disposition of such Collateral in connection with any exercise of remedies of the Administrative Agent and the Lenders pursuant to Article VII, (v) in the event such property becomes an Excluded Asset and no longer constitutes Collateral or (vi) owned by a Restricted Subsidiary that ceases to be a Loan Party. Except as provided in the preceding sentence, the Administrative Agent will not release any Liens on Collateral without the prior written authorization of the Required Lenders or, to the extent required by Section 9.02(b), all of the Lenders (and it is acknowledged and agreed that the Administrative Agent may release any Collateral with such written authorization). Any such release shall not in any manner discharge, affect, or impair the Secured Obligations or any Liens (other than those expressly being released) upon (or obligations of the Loan Parties in respect of) all interests retained by the Loan Parties, including the proceeds of any sale, all of which shall continue to constitute part of the Collateral. In connection with any release pursuant to this Section, the Administrative Agent shall (and is hereby irrevocably authorized by each Secured Party to) execute and deliver to any Loan Party, at such Loan Party’s expense and without recourse or warranty to or by the Administrative Agent or any other Secured Party, all documents that such Loan Party shall reasonably request to evidence such release. Any execution and delivery by the Administrative Agent of documents in connection with any such release shall be without recourse to or warranty by the Administrative Agent. In addition, each of the Secured Parties, on behalf of itself and any of its Affiliates that are Secured Parties, irrevocably authorizes the Administrative Agent (or its designee), at its option and in its discretion, (x) to subordinate any Lien on any assets granted to or held by the Administrative Agent under any Loan Document to the holder of any Lien on such property that is permitted by Section 6.02(b) or 6.02(d) (each as in effect on the date hereof), or (y) in the event that the Borrower shall have advised the Administrative Agent that, notwithstanding the use by the Borrower of commercially reasonable efforts to obtain the consent of such holder (but without the requirement to pay any sums to obtain such consent) to permit the Administrative Agent to retain its liens (on a subordinated basis as contemplated by clause (x) above), the holder of such other Indebtedness requires, as a condition to the extension of such credit, that the Liens on such assets granted to or held by the Administrative Agent under any Loan Document be released, to release the Administrative Agent’s Liens on such assets.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 (d) If, in connection with any proposed amendment, restatement, supplement, modification, waiver or consent requiring the consent of “each Lender” or “each Lender directly affected thereby,” the consent of the Required Lenders is obtained, but the consent of other necessary Lenders is not obtained (any such Lender whose consent is necessary but has not been obtained being referred to herein as a “Non-Consenting Lender”), then the Borrower may elect to replace a Non-Consenting Lender as a Lender party to this Agreement, provided that, concurrently with such replacement, (i) another bank or other entity (other than any Ineligible Institution) which is reasonably satisfactory to the Borrower, the Administrative Agent, the Swingline Lender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(ii) such replacement Lender agrees to the applicable 115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proposed amendment, restatement, supplement, modification, waiver or consent and (iii)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(e) Notwithstanding anything to the contrary herein the Administrative Agent may, with the consent of the Borrower only, amend, modify or supplement this Agreement or any of the other Loan Documents to cure any ambiguity, omission, mistake, defect or inconsistency. SECTION 9.03.Expenses; Limitation of Liability; Indemnity; Etc. (a) Expenses. The Loan Parties, jointly and severally, shall pay all (i) reasonable and documented out-of-pocket expenses incurred by the Administrative Agent and its Affiliates (but limited to the reasonable and documented fees and out-of-pocket expenses of one primary counsel for the Administrative Agent, and one local counsel in each relevant material jurisdiction and one additional counsel in the case of any conflicts (in each case, excluding allocated costs of in-house counsel)), in connection with the syndication and distribution (including, without limitation, via the internet or through an Electronic System or Approved Electronic Platform) of the credit facility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reasonable and documented out-of-pocket expenses incurred by the Administrative Agent, the Issuing Bank or any Lender, including the fees, charges and disbursements of any counsel (but limited to the reasonable and documented fees and out-of-pocket expenses of one primary counsel and one local counsel in each relevant material jurisdiction and one additional counsel in the case of any conflicts (in each case, excluding allocated costs of in-house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(b) Limitation of Liability. To the extent permitted by applicable law (i) neither the Borrower nor any other Loan Party shall assert, and the Borrower and each other Loan Party hereby waives, any claim against the Administrative Agent, the Arrangers, the Issuing Bank and any Lender, and any Related Party of any of the foregoing Persons (each such Person being called a “Lender-Related Person”) for any Liabilities arising from the use by others of information or other materials (including, 116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without limitation, any personal data) obtained through telecommunications, electronic or other information transmission systems (including the Internet), except to the extent they are found by a final, non-appealable judgment of a court of competent jurisdiction to result from the willful misconduct, bad faith or gross negligence of such Lender-Related Person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9.03(b) shall relieve the Borrower or any other Loan Party of any obligation it may have to indemnify an Indemnitee, as provided in Section 9.03(c), against any special, indirect, consequential or punitive damages asserted against such Indemnitee by a third party. (c) Indemnity. The Loan Parties, jointly and severally, shall indemnify the Administrative Agent, the Arrangers, the Issuing Bank and each Lender, and each Related Party of any of the foregoing Persons (each such Person being called an “Indemnitee”) against, and hold each Indemnitee harmless from, any and all Liabilities and related expenses (but limited to the reasonable and documented fees and out-of-pocket expenses of one primary counsel for the Administrative Agent, and one local counsel in each relevant material jurisdiction and one additional counsel in the case of any conflicts (in each case, excluding allocated costs of in-house counsel)),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Restricted Subsidiary, or any Environmental Liability related in any way to a Loan Party or a Restricted Subsidiary, (iv) [reserved], or (v)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provided that such indemnity shall not, as to any Indemnitee, be available to the extent that such Liabilities or related expenses are determined by a court of competent jurisdiction by final and nonappealable judgment to have resulted from (x) the bad faith, gross negligence or willful misconduct of such Indemnitee, (y) the breach by such Indemnitee of its express funding obligations under this Agreement pursuant to a claim initiated by the Borrower or (z) any disputes solely among Indemnitees and not arising out of any act or omission of the Borrower or any of its Affiliates (other than any proceeding against any Indemnitee solely in its capacity or in fulfilling its role as Administrative Agent, Issuing Bank, Swingline Lender, lead arrangers, bookrunner or any other similar role with respect to the credit facility evidenced by this Agreement), and in the case of legal fees and expenses, shall be limited to the reasonable fees and reasonable documented out-of-pocket expenses of one primary counsel and one local counsel in each relevant material jurisdiction (in each case, excluding allocated costs of in-house counsel). This Section 9.03(c) shall not apply with respect to Taxes other than any Taxes that represent losses, claims or damages arising from any non-Tax claim. (d) Lender Reimbursement. Each Lender severally agrees to pay any amount required to be paid by any Loan Party under paragraphs (a), (b) or (c) of this Section 9.03 to the Administrative Agent, the Swingline Lender and the Issuing Bank, and each Related Party of any of the foregoing Persons (each, an “Agent-Related Person”) (to the extent not reimbursed by the Loan Parties and without limiting the obligation of any Loan Party to do so), ratably according to their respective Applicable Percentage in 117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 on the date on which such payment is sought under this Section (or, if such payment is sought after the date upon which the Revolving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Revolving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provided that the unreimbursed expense or Liability or related expense, as the case may be, was incurred by or asserted against such Agent-Related Person in its capacity as such; provided, further, that no Lender shall be liable for the payment of any portion of such Liabilities, costs, expenses or disbursements that are found by a final and non-appealable decision of a court of competent jurisdiction to have resulted primarily from such Agent-Related Person’s bad faith, gross negligence or willful misconduct, and in the case of legal fees and expenses, shall be limited to the reasonable fees and reasonable documented out-of-pocket expenses of one primary counsel and one local counsel in each relevant material jurisdiction, except in cases where there is a conflict of interest (in each case, excluding allocated costs of in-house counsel). The agreements in this Section shall survive the termination of this Agreement and Payment in Full of the Secured Obligations. (e) Payments. All amounts due under this Section 9.03 shall be payable promptly after written demand therefor. SECTION 9.04.Successors and Assigns. (a) The provisions of this Agreement shall be binding upon and inure to the benefit of the parties hereto and their respective successors and assigns permitted hereby (including any Affiliate of the Issuing Bank that issues any Letter of Credit), except that (i) no Loan Party may assign or otherwise transfer any of its rights or obligations hereunder without the prior written consent of each Lender (and any attempted assignment or transfer by any Loan Party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 (b) (i) Subject to the conditions set forth in paragraph (b)(ii) below, any Lender may assign to one or more Persons (other than an Ineligible Institution) all or a portion of its rights and obligations under this Agreement (including all or a portion of its Revolving Commitment, participations in Letters of Credit and the Loans at the time owing to it) with the prior written consent (such consent not to be unreasonably withheld, conditioned or delayed) of: (A) the Borrower, provided that the Borrower shall be deemed to have consented to an assignment of all or a portion of the Revolving Loans and Revolving Commitments unless it shall object thereto by written notice to the Administrative Agent within ten (10) Business Days after having received notice thereof, and provided further that no consent of the Borrower shall be required for an assignment to a Lender, an Affiliate of a Lender, an Approved Fund or, if an Event of Default under clauses (a), (b), 118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(solely with respect to a breach of Section 6.12), (h), (i) or (m) under Article VII has occurred and is continuing, any other assignee; (B) the Administrative Agent; provided that no consent of the Administrative Agent shall be required for an assignment to an assignee that is a Lender (other than a Defaulting Lender) with a Revolving Commitment immediately prior to giving effect to such assignment; (C) the Issuing Bank; and (D) the Swingline Lender. (ii) Assignments shall be subject to the following additional conditions: (A) except in the case of an assignment to a Lender or an Affiliate of a Lender or an Approved Fund or an assignment of the entire remaining amount of the assigning Lender’s Revolving Commitment or Loans, the amount of the Revolving Commitment or Loans of the assigning Lender subject to each such assignment (determined as of the date the Assignment and Assumption with respect to such assignment is delivered to the Administrative Agent) shall not be less than $10,000,000 unless each of the Borrower and the Administrative Agent otherwise consent, provided that no such consent of the Borrower shall be required if an Event of Default under clauses (a), (b), (d) (solely with respect to a breach of Section 6.12), (h), (i) or (m) has occurred and is continuing under Article VII has occurred and is continuing; (B) each partial assignment shall be made as an assignment of a proportionate part of all the assigning Lender’s rights and obligations under this Agreement; (C)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 (D)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 For the purposes of this Section 9.04(b), the terms “Approved Fund” and “Ineligible Institution” have the following meanings: “Approved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119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Ineligible Institution” means a (a) natural person, (b) Defaulting Lender or its Parent, (c) company, investment vehicle or trust for, or owned and operated for the primary benefit of, a natural person or relative(s) thereof, or (d) a Loan Party or a Subsidiary or other Affiliate of a Loan Party. (iii)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(iv) The Administrative Agent, acting for this purpose as a non-fiduciary agent of the Borrower, shall maintain at one of its offices a copy of each Assignment and Assumption delivered to it and a register for the recordation of the names and addresses of the Lenders, and the Revolving Commitment of, and principal amount (and stated interest) of the Loans and LC Disbursements owing to, each Lender pursuant to the terms hereof from time to time (the “Register”). The entries in the Register shall be conclusive, absent manifest error,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 (v)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the tax forms required by Section 2.17(f) and any written consent to such assignment required by paragraph (b) of this Section, the Administrative Agent shall accept such Assignment and Assumption and record the information contained therein in the Register; provided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(c) Any Lender may, without the consent of, or notice to, the Borrower, the Administrative Agent, the Swingline Lender or the Issuing Bank, sell participations to one or more banks or other entities (a “Participant”) other than an Ineligible Institution in all or a portion of such Lender’s rights and obligations under this Agreement (including all or a portion of its Revolving Commitment and the Loans owing to it); provided that (i) such Lender’s obligations under this Agreement shall remain unchanged; (ii) such Lender shall remain solely responsible to the other parties hereto for the performance of such obligations; and (iii) the Borrower, the Administrative Agent, the Issuing Bank and the other Lenders shall continue to deal solely and directly with such Lender in connection with such Lender’s rights and obligations under this Agreement. Any agreement or instrument pursuant to which a Lender sells such a 120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Sections 2.17(f) and (g) (it being understood that the documentation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or any other Loan Document (the “Participant Register”); provided that no Lender shall have any obligation to disclose all or any portion of the Participant Register (including the identity of any Participant or any information relating to a Participant’s interest in any Revolving Commitments, Loans, Letters of Credit or its other obligations under any Loan Document) to any Person except to the extent that such disclosure is necessary to establish that such Revolving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(d)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 SECTION 9.05.Survival.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until Payment in Full of the Secured Obligations. The provisions of Sections 2.15, 2.16, 2.17 and 9.03 and Article VIII 121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survive and remain in full force and effect regardless of the consummation of the transactions contemplated hereby, the repayment of the Loans, the expiration or termination of the Letters of Credit and the Revolving Commitments or the termination of this Agreement or any other Loan Document or any provision hereof or thereof. SECTION 9.06.Counterparts; Integration; Effectiveness; Electronic Execution.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122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 SECTION 9.07.Severability.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SECTION 9.08.Right of Setoff.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the Issuing Bank or any such Affiliate, to or for the credit or the account of any Loan Party against any and all of the Secured Obligations now or hereafter existing and owing to such Lender or the Issuing Bank or their respective Affiliates, irrespective of whether or not such Lender, the Issuing Bank or such Affiliate shall have made any demand under this Agreement or any other Loan Document and although such obligations of the Loan Parties may be contingent or unmatured or are owed to a branch office or Affiliate of such Lender or the Issuing Bank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and the Administrative Agent of such setoff or application; provided that the failure to give such notice shall not affect the validity of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 SECTION 9.09.Governing Law; Jurisdiction; Consent to Service of Process. (a) The Loan Documents (other than those containing a contrary express choice of law provision) shall be governed by and construed in accordance with and governed by the law of the State of New York. (b) Each of the Lenders and the Administrative Agent hereby irrevocably and unconditionally agrees that, notwithstanding the governing law provisions of any applicable Loan Document, any claims brought against the Administrative Agent by any Secured Party relating to this 123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any other Loan Document, the Collateral or the consummation or administration of the transactions contemplated hereby or thereby shall be construed in accordance with and governed by the law of the State of New York. (c)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the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UCC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 (d)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 (e)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 SECTION 9.10.WAIVER OF JURY TRIAL.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124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HERETO HAVE BEEN INDUCED TO ENTER INTO THIS AGREEMENT BY, AMONG OTHER THINGS, THE MUTUAL WAIVERS AND CERTIFICATIONS IN THIS SECTION. SECTION 9.11.Headings. Article and Section headings and the Table of Contents used herein are for convenience of reference only, are not part of this Agreement and shall not affect the construction of, or be taken into consideration in interpreting, this Agreement. SECTION 9.12.Confidentiality. Each of the Administrative Agent, the Issuing Bank and the Lenders agrees to maintain the confidentiality of the Information (as defined below), except that Information may be disclosed (a) to its Affiliates and to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Loan Parties and their obligations, (g) on a confidential basis to (1) any rating agency in connection with rating the Borrower or its Subsidiaries or the credit facility provided for herein or (2) the CUSIP Service Bureau or any similar agency in connection with the issuance and monitoring of CUSIP numbers with respect to the credit facility provided for herein, (h) with the consent of the Borrower, (i) to any Person providing a Guarantee of all or any portion of the Secured Obligations, or (j) to the extent such Information (x) becomes publicly available other than as a result of a breach of this Section or (y) becomes available to the Administrative Agent, the Issuing Bank or any Lender on a non-confidential basis from a source other than the Borrower. For the purposes of this Section, “Information” means all information received from the Borrower relating to the Borrower or its business, other than any such information that is available to the Administrative Agent, the Issuing Bank or any Lender on a non-confidential basis prior to disclosure by the Borrower and other than information pertaining to this Agreement provided by arrangers to data service providers, including league table providers, that serve the lending industry; provided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LENDER ACKNOWLEDGES THAT INFORMATION AS DEFINED IN SECTION 9.12 FURNISHED TO IT PURSUANT TO THIS AGREEMENT MAY INCLUDE MATERIAL NON-PUBLIC INFORMATION CONCERNING THE BORROWER,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ALL INFORMATION, INCLUDING REQUESTS FOR WAIVERS AND AMENDMENTS, FURNISHED BY THE BORROWER OR THE ADMINISTRATIVE AGENT PURSUANT TO, OR IN 125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SECTION 9.13.Several Obligations; Nonreliance; Violation of Law.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Federal Reserve Board) for the repayment of the Borrowings provided for herein. Anything contained in this Agreement to the contrary notwithstanding, neither the Issuing Bank nor any Lender shall be obligated to extend credit to the Borrower in violation of any Requirement of Law. SECTION 9.14.USA PATRIOT Act.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 SECTION 9.15.Disclosure.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 SECTION 9.16.Appointment for Perfection.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 SECTION 9.17.Interest Rate Limitation.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SECTION 9.18.No Fiduciary Duty, etc.. (a) Each Loan Party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Loan Parties with respect to the 126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Documents and the transactions contemplated therein and not as a financial advisor or a fiduciary to, or an agent of, any Loan Party or any other person. Each Loan Party agrees that it will not assert any claim against any Credit Party based on an alleged breach of fiduciary duty by such Credit Party in connection with this Agreement and the transactions contemplated by the Loan Documents. Additionally, each Loan Party acknowledges and agrees that no Credit Party is advising the Loan Parties as to any legal, tax, investment, accounting, regulatory or any other matters in any jurisdiction. Each Loan Party shall consult with its own advisors concerning such matters and shall be responsible for making its own independent investigation and appraisal of the transactions contemplated by the Loan Documents, and the Credit Parties shall have no responsibility or liability to any Loan Party with respect thereto. (b) Each Loan Party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Loan Party or its Affiliates and other companies with which any Loan Party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(c) In addition, each Loan Party acknowledges and agrees, and acknowledges its Subsidiaries’ understanding, that each Credit Party and its affiliates may be providing debt financing, equity capital or other services (including financial advisory services) to other companies in respect of which a Loan Party or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or its Subsidiaries in connection with the performance by such Credit Party of services for other companies, and no Credit Party will furnish any such information to other companies. Each Loan Party also acknowledges that no Credit Party has any obligation to use in connection with the transactions contemplated by the Loan Documents, or to furnish to any Loan Party, confidential information obtained from other companies. SECTION 9.19.Marketing Consent. The Borrower hereby authorizes Chase and its affiliates (collectively, the “Chase Parties”), MUFG and its affiliates (collectively, the “MUFG Parties”) and SVB and its affiliates (collectively, the “SVB Parties”), at their respective sole expense, and without any prior approval by the Borrower, to include the Borrower’s name and logo in advertising, marketing, tombstones, case studies and training materials, and to give such other publicity to this Agreement as the Chase Parties, the MUFG Parties or the SVB Parties may from time to time determine in their sole discretion provided that notwithstanding the foregoing, no such advertising, marketing, tombstones, case studies, training materials, or other publicity may disclose any information that is restricted from being disclosed pursuant to the Loan Documents or that has not previously been disclosed by the Borrower in an 8-K or similar public filing. The foregoing authorization shall remain in effect unless the Borrower notifies Chase, MUFG or SVB in writing that such authorization is revoked. SECTION 9.20.Acknowledgment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127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9.21. Acknowledgement Regarding Any Supported QFCs.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128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X Loan Guaranty SECTION 10.01. Guaranty. Each Loan Guarantor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Guaranteed Obligations of such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 SECTION 10.02. Guaranty of Payment. This Loan Guaranty is a guaranty of payment and not of collection. Each Loan Guarantor waives any right to require the Administrative Agent, the Issuing Bank or any Lender to sue the Borrower, any Loan Guarantor, any other guarantor of, or any other Person obligated for all or any part of the Guaranteed Obligations (each, an “Obligated Party”), or otherwise to enforce its payment against any collateral securing all or any part of the Guaranteed Obligations. SECTION 10.03. No Discharge or Diminishment of Loan Guaranty. (a) 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 (b)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 (c) 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129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omission or delay that might in any manner or to any extent vary the risk of such Loan Guarantor or that would otherwise operate as a discharge of any Loan Guarantor as a matter of law or equity (other than the Payment in Full of the Guaranteed Obligations). SECTION 10.04. Defenses Waived.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 SECTION 10.05. Rights of Subrogation.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 SECTION 10.06. Reinstatement; Stay of Acceleration.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 SECTION 10.07. Information.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 SECTION 10.08. Release of Loan Guarantors. 130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A Subsidiary Guarantor shall automatically be released from its obligations under the Loan Guaranty upon the consummation of any transaction permitted by this Agreement as a result of which such Subsidiary Guarantor ceases to be a Restricted Subsidiary; provided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(b) Further, the Administrative Agent may (and is hereby irrevocably authorized by each Lender to), upon the request of the Borrower, release any Subsidiary Guarantor from its obligations under the Loan Guaranty if such Subsidiary Guarantor is no longer a Material Domestic Subsidiary. (c) Upon Payment in Full of all Guaranteed Obligations, the Loan Guaranty and all obligations (other than those expressly stated to survive such termination) of each Loan Guarantor thereunder shall automatically terminate, all without delivery of any instrument or performance of any act by any Person. SECTION 10.09. [Reserved]. SECTION 10.10. Maximum Liability.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 SECTION 10.11. Contribution. (a) To the extent that any Loan Guarantor shall make a payment under this Loan Guaranty (a “Guarantor Payment”)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 (b) 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131 770162217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made by other Loan Guarantors as of such date in a manner to maximize the amount of such contributions. (c) 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 (d) The parties hereto acknowledge that the rights of contribution and indemnification hereunder shall constitute assets of the Loan Guarantor or Loan Guarantors to which such contribution and indemnification is owing. (e) The rights of the indemnifying Loan Guarantors against other Loan Guarantors under this Section 10.11 shall be exercisable upon the Payment in Full of the Guaranteed Obligations and the termination of this Agreement. SECTION 10.12. Liability Cumulative.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 SECTION 10.13. Keepwell.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 [Signature Pages Intentionally Omitted] 132 770162217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Tim Chen,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NerdWallet,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21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870"/>
        <w:gridCol w:w="870"/>
        <w:gridCol w:w="12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w:t>
              <w:br/>
              <w:t>Chairman of the Board of Directors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Jun Hyung Lee,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NerdWallet,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24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586"/>
        <w:gridCol w:w="586"/>
        <w:gridCol w:w="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 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June 30, 2025 (the “Report”) fully complies with the requirements of Section 13(a) or 15(d), as applicable, of the Securities Exchange Act of 1934;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bidi w:val="0"/>
        <w:spacing w:before="0" w:after="0"/>
        <w:jc w:val="left"/>
        <w:rPr/>
      </w:pPr>
      <w:r>
        <w:rPr/>
      </w:r>
    </w:p>
    <w:p>
      <w:pPr>
        <w:pStyle w:val="TextBody"/>
        <w:bidi w:val="0"/>
        <w:spacing w:before="0" w:after="120"/>
        <w:ind w:left="0" w:right="0" w:firstLine="540"/>
        <w:jc w:val="both"/>
        <w:rPr/>
      </w:pPr>
      <w:r>
        <w:rPr/>
      </w:r>
    </w:p>
    <w:tbl>
      <w:tblPr>
        <w:tblW w:w="521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870"/>
        <w:gridCol w:w="870"/>
        <w:gridCol w:w="12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w:t>
              <w:br/>
              <w:t>Chairman of the Board of Directors</w:t>
            </w:r>
          </w:p>
        </w:tc>
      </w:tr>
    </w:tbl>
    <w:p>
      <w:pPr>
        <w:pStyle w:val="TextBody"/>
        <w:bidi w:val="0"/>
        <w:spacing w:before="0" w:after="1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Jun Hyung Lee, Chief Financial Officer of NerdWallet,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June 30, 2025 (the “Report”) fully complies with the requirements of Section 13(a) or 15(d), as applicable, of the Securities Exchange Act of 1934;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bidi w:val="0"/>
        <w:spacing w:before="0" w:after="0"/>
        <w:jc w:val="left"/>
        <w:rPr/>
      </w:pPr>
      <w:r>
        <w:rPr/>
      </w:r>
    </w:p>
    <w:p>
      <w:pPr>
        <w:pStyle w:val="TextBody"/>
        <w:bidi w:val="0"/>
        <w:spacing w:before="0" w:after="120"/>
        <w:ind w:left="0" w:right="0" w:firstLine="540"/>
        <w:jc w:val="both"/>
        <w:rPr/>
      </w:pPr>
      <w:r>
        <w:rPr/>
      </w:r>
    </w:p>
    <w:tbl>
      <w:tblPr>
        <w:tblW w:w="424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586"/>
        <w:gridCol w:w="586"/>
        <w:gridCol w:w="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 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fontTable" Target="fontTable.xml"/><Relationship Id="rId1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100212</Words>
  <Characters>534538</Characters>
  <CharactersWithSpaces>633631</CharactersWithSpaces>
  <Paragraphs>2643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exhibit101limitedconsent</dc:title>
</cp:coreProperties>
</file>