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5"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2022</w:t>
      </w:r>
    </w:p>
    <w:p>
      <w:pPr>
        <w:sectPr>
          <w:pgSz w:w="11900" w:h="16838" w:orient="portrait"/>
          <w:cols w:equalWidth="0" w:num="1">
            <w:col w:w="11240"/>
          </w:cols>
          <w:pgMar w:left="320" w:top="1386" w:right="339" w:bottom="1440" w:gutter="0" w:footer="0" w:header="0"/>
        </w:sectPr>
      </w:pPr>
    </w:p>
    <w:p>
      <w:pPr>
        <w:spacing w:after="0" w:line="200" w:lineRule="exact"/>
        <w:rPr>
          <w:sz w:val="24"/>
          <w:szCs w:val="24"/>
          <w:color w:val="auto"/>
        </w:rPr>
      </w:pPr>
    </w:p>
    <w:p>
      <w:pPr>
        <w:spacing w:after="0" w:line="29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4"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Commission file number 001-40994</w:t>
      </w:r>
    </w:p>
    <w:p>
      <w:pPr>
        <w:spacing w:after="0" w:line="112" w:lineRule="exact"/>
        <w:rPr>
          <w:sz w:val="24"/>
          <w:szCs w:val="24"/>
          <w:color w:val="auto"/>
        </w:rPr>
      </w:pPr>
    </w:p>
    <w:p>
      <w:pPr>
        <w:jc w:val="center"/>
        <w:ind w:right="580"/>
        <w:spacing w:after="0"/>
        <w:rPr>
          <w:sz w:val="20"/>
          <w:szCs w:val="20"/>
          <w:color w:val="auto"/>
        </w:rPr>
      </w:pPr>
      <w:r>
        <w:rPr>
          <w:rFonts w:ascii="Arial" w:cs="Arial" w:eastAsia="Arial" w:hAnsi="Arial"/>
          <w:sz w:val="25"/>
          <w:szCs w:val="25"/>
          <w:b w:val="1"/>
          <w:bCs w:val="1"/>
          <w:color w:val="auto"/>
        </w:rPr>
        <w:t>NerdWallet, Inc.</w:t>
      </w:r>
    </w:p>
    <w:p>
      <w:pPr>
        <w:spacing w:after="0" w:line="29"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Delaware</w:t>
      </w:r>
    </w:p>
    <w:p>
      <w:pPr>
        <w:ind w:left="7460"/>
        <w:spacing w:after="0"/>
        <w:rPr>
          <w:sz w:val="20"/>
          <w:szCs w:val="20"/>
          <w:color w:val="auto"/>
        </w:rPr>
      </w:pPr>
      <w:r>
        <w:rPr>
          <w:rFonts w:ascii="Arial" w:cs="Arial" w:eastAsia="Arial" w:hAnsi="Arial"/>
          <w:sz w:val="17"/>
          <w:szCs w:val="17"/>
          <w:b w:val="1"/>
          <w:bCs w:val="1"/>
          <w:color w:val="auto"/>
        </w:rPr>
        <w:t>45-4180440</w:t>
      </w:r>
    </w:p>
    <w:p>
      <w:pPr>
        <w:spacing w:after="0" w:line="47" w:lineRule="exact"/>
        <w:rPr>
          <w:sz w:val="24"/>
          <w:szCs w:val="24"/>
          <w:color w:val="auto"/>
        </w:rPr>
      </w:pPr>
    </w:p>
    <w:p>
      <w:pPr>
        <w:ind w:left="180"/>
        <w:spacing w:after="0"/>
        <w:tabs>
          <w:tab w:leader="none" w:pos="6620" w:val="left"/>
        </w:tabs>
        <w:rPr>
          <w:sz w:val="20"/>
          <w:szCs w:val="20"/>
          <w:color w:val="auto"/>
        </w:rPr>
      </w:pPr>
      <w:r>
        <w:rPr>
          <w:rFonts w:ascii="Arial" w:cs="Arial" w:eastAsia="Arial" w:hAnsi="Arial"/>
          <w:sz w:val="17"/>
          <w:szCs w:val="17"/>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395" w:lineRule="exact"/>
        <w:rPr>
          <w:sz w:val="24"/>
          <w:szCs w:val="24"/>
          <w:color w:val="auto"/>
        </w:rPr>
      </w:pPr>
    </w:p>
    <w:p>
      <w:pPr>
        <w:jc w:val="center"/>
        <w:ind w:right="580"/>
        <w:spacing w:after="0"/>
        <w:rPr>
          <w:sz w:val="20"/>
          <w:szCs w:val="20"/>
          <w:color w:val="auto"/>
        </w:rPr>
      </w:pPr>
      <w:r>
        <w:rPr>
          <w:rFonts w:ascii="Arial" w:cs="Arial" w:eastAsia="Arial" w:hAnsi="Arial"/>
          <w:sz w:val="17"/>
          <w:szCs w:val="17"/>
          <w:b w:val="1"/>
          <w:bCs w:val="1"/>
          <w:color w:val="auto"/>
        </w:rPr>
        <w:t>55 Hawthorne Street, 11th Floor, San Francisco, California 94105</w:t>
      </w:r>
    </w:p>
    <w:p>
      <w:pPr>
        <w:spacing w:after="0" w:line="25"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(Address of principal executive offices) (Zip code)</w:t>
      </w:r>
    </w:p>
    <w:p>
      <w:pPr>
        <w:spacing w:after="0" w:line="97" w:lineRule="exact"/>
        <w:rPr>
          <w:sz w:val="24"/>
          <w:szCs w:val="24"/>
          <w:color w:val="auto"/>
        </w:rPr>
      </w:pPr>
    </w:p>
    <w:p>
      <w:pPr>
        <w:jc w:val="center"/>
        <w:ind w:right="580"/>
        <w:spacing w:after="0"/>
        <w:rPr>
          <w:sz w:val="20"/>
          <w:szCs w:val="20"/>
          <w:color w:val="auto"/>
        </w:rPr>
      </w:pPr>
      <w:r>
        <w:rPr>
          <w:rFonts w:ascii="Arial" w:cs="Arial" w:eastAsia="Arial" w:hAnsi="Arial"/>
          <w:sz w:val="17"/>
          <w:szCs w:val="17"/>
          <w:b w:val="1"/>
          <w:bCs w:val="1"/>
          <w:color w:val="auto"/>
        </w:rPr>
        <w:t>(415) 549-8913</w:t>
      </w:r>
    </w:p>
    <w:p>
      <w:pPr>
        <w:spacing w:after="0" w:line="25"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01" w:lineRule="exact"/>
        <w:rPr>
          <w:sz w:val="24"/>
          <w:szCs w:val="24"/>
          <w:color w:val="auto"/>
        </w:rPr>
      </w:pPr>
    </w:p>
    <w:p>
      <w:pPr>
        <w:sectPr>
          <w:pgSz w:w="11900" w:h="16838" w:orient="portrait"/>
          <w:cols w:equalWidth="0" w:num="2">
            <w:col w:w="180" w:space="400"/>
            <w:col w:w="10660"/>
          </w:cols>
          <w:pgMar w:left="320" w:top="1386"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7" w:lineRule="exact"/>
        <w:rPr>
          <w:sz w:val="24"/>
          <w:szCs w:val="24"/>
          <w:color w:val="auto"/>
        </w:rPr>
      </w:pPr>
    </w:p>
    <w:p>
      <w:pPr>
        <w:ind w:left="1340"/>
        <w:spacing w:after="0"/>
        <w:tabs>
          <w:tab w:leader="none" w:pos="4500" w:val="left"/>
          <w:tab w:leader="none" w:pos="722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Arial" w:cs="Arial" w:eastAsia="Arial" w:hAnsi="Arial"/>
          <w:sz w:val="17"/>
          <w:szCs w:val="17"/>
          <w:color w:val="auto"/>
        </w:rPr>
        <w:t>Class A common stock, $0.0001 par value</w:t>
      </w:r>
      <w:r>
        <w:rPr>
          <w:sz w:val="20"/>
          <w:szCs w:val="20"/>
          <w:color w:val="auto"/>
        </w:rPr>
        <w:tab/>
      </w:r>
      <w:r>
        <w:rPr>
          <w:rFonts w:ascii="Arial" w:cs="Arial" w:eastAsia="Arial" w:hAnsi="Arial"/>
          <w:sz w:val="17"/>
          <w:szCs w:val="17"/>
          <w:color w:val="auto"/>
        </w:rPr>
        <w:t>NRDS</w:t>
      </w:r>
      <w:r>
        <w:rPr>
          <w:sz w:val="20"/>
          <w:szCs w:val="20"/>
          <w:color w:val="auto"/>
        </w:rPr>
        <w:tab/>
      </w:r>
      <w:r>
        <w:rPr>
          <w:rFonts w:ascii="Arial" w:cs="Arial" w:eastAsia="Arial" w:hAnsi="Arial"/>
          <w:sz w:val="15"/>
          <w:szCs w:val="15"/>
          <w:color w:val="auto"/>
        </w:rPr>
        <w:t>The Nasdaq Global Market</w:t>
      </w:r>
    </w:p>
    <w:p>
      <w:pPr>
        <w:spacing w:after="0" w:line="223"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96"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2"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228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152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7"/>
                <w:szCs w:val="17"/>
                <w:color w:val="auto"/>
              </w:rPr>
              <w:t>Accelerated filer</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3"/>
        </w:trPr>
        <w:tc>
          <w:tcPr>
            <w:tcW w:w="2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7"/>
                <w:szCs w:val="17"/>
                <w:color w:val="auto"/>
              </w:rPr>
              <w:t>Smaller reporting company</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35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outstanding 42,033,701 shares of Class A common stock and 31,685,652 shares of Class B common stock as of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7"/>
          </w:tcPr>
          <w:p>
            <w:pPr>
              <w:spacing w:after="0" w:line="17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Item</w:t>
              </w:r>
            </w:hyperlink>
          </w:p>
        </w:tc>
        <w:tc>
          <w:tcPr>
            <w:tcW w:w="160" w:type="dxa"/>
            <w:vAlign w:val="bottom"/>
            <w:gridSpan w:val="2"/>
          </w:tcPr>
          <w:p>
            <w:pPr>
              <w:ind w:lef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90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3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5540" w:type="dxa"/>
            <w:vAlign w:val="bottom"/>
            <w:gridSpan w:val="8"/>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w:t>
              </w:r>
            </w:hyperlink>
          </w:p>
        </w:tc>
        <w:tc>
          <w:tcPr>
            <w:tcW w:w="90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4</w:t>
              </w:r>
            </w:hyperlink>
          </w:p>
        </w:tc>
        <w:tc>
          <w:tcPr>
            <w:tcW w:w="3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Loss</w:t>
              </w:r>
            </w:hyperlink>
          </w:p>
        </w:tc>
        <w:tc>
          <w:tcPr>
            <w:tcW w:w="4080" w:type="dxa"/>
            <w:vAlign w:val="bottom"/>
            <w:gridSpan w:val="2"/>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5</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w:t>
              </w:r>
            </w:hyperlink>
          </w:p>
        </w:tc>
        <w:tc>
          <w:tcPr>
            <w:tcW w:w="4080" w:type="dxa"/>
            <w:vAlign w:val="bottom"/>
            <w:gridSpan w:val="2"/>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w:t>
              </w:r>
            </w:hyperlink>
          </w:p>
        </w:tc>
        <w:tc>
          <w:tcPr>
            <w:tcW w:w="4760" w:type="dxa"/>
            <w:vAlign w:val="bottom"/>
            <w:gridSpan w:val="6"/>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8</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4480" w:type="dxa"/>
            <w:vAlign w:val="bottom"/>
            <w:gridSpan w:val="5"/>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9</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Item</w:t>
              </w:r>
            </w:hyperlink>
          </w:p>
        </w:tc>
        <w:tc>
          <w:tcPr>
            <w:tcW w:w="180" w:type="dxa"/>
            <w:vAlign w:val="bottom"/>
            <w:gridSpan w:val="3"/>
          </w:tcPr>
          <w:p>
            <w:pPr>
              <w:ind w:left="20"/>
              <w:spacing w:after="0"/>
              <w:rPr>
                <w:rFonts w:ascii="Arial" w:cs="Arial" w:eastAsia="Arial" w:hAnsi="Arial"/>
                <w:sz w:val="18"/>
                <w:szCs w:val="18"/>
                <w:color w:val="0000FF"/>
                <w:w w:val="92"/>
              </w:rPr>
            </w:pPr>
            <w:hyperlink w:anchor="page17">
              <w:r>
                <w:rPr>
                  <w:rFonts w:ascii="Arial" w:cs="Arial" w:eastAsia="Arial" w:hAnsi="Arial"/>
                  <w:sz w:val="18"/>
                  <w:szCs w:val="18"/>
                  <w:color w:val="0000FF"/>
                  <w:w w:val="92"/>
                </w:rPr>
                <w:t>2.</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1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900" w:type="dxa"/>
            <w:vAlign w:val="bottom"/>
          </w:tcPr>
          <w:p>
            <w:pPr>
              <w:jc w:val="center"/>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15</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0000FF"/>
              <w:bottom w:val="single" w:sz="8" w:color="0000FF"/>
            </w:tcBorders>
            <w:gridSpan w:val="3"/>
          </w:tcPr>
          <w:p>
            <w:pPr>
              <w:jc w:val="right"/>
              <w:ind w:right="20"/>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w:t>
              </w:r>
            </w:hyperlink>
          </w:p>
        </w:tc>
        <w:tc>
          <w:tcPr>
            <w:tcW w:w="18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3.</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23</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w:t>
              </w:r>
            </w:hyperlink>
          </w:p>
        </w:tc>
        <w:tc>
          <w:tcPr>
            <w:tcW w:w="160" w:type="dxa"/>
            <w:vAlign w:val="bottom"/>
            <w:tcBorders>
              <w:bottom w:val="single" w:sz="8" w:color="0000FF"/>
            </w:tcBorders>
            <w:gridSpan w:val="2"/>
          </w:tcPr>
          <w:p>
            <w:pPr>
              <w:ind w:left="2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4.</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6700" w:type="dxa"/>
            <w:vAlign w:val="bottom"/>
            <w:gridSpan w:val="10"/>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493"/>
        </w:trPr>
        <w:tc>
          <w:tcPr>
            <w:tcW w:w="320" w:type="dxa"/>
            <w:vAlign w:val="bottom"/>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b w:val="1"/>
                <w:bCs w:val="1"/>
                <w:color w:val="0000FF"/>
                <w:w w:val="99"/>
              </w:rPr>
            </w:pPr>
            <w:hyperlink w:anchor="page27">
              <w:r>
                <w:rPr>
                  <w:rFonts w:ascii="Arial" w:cs="Arial" w:eastAsia="Arial" w:hAnsi="Arial"/>
                  <w:sz w:val="18"/>
                  <w:szCs w:val="18"/>
                  <w:b w:val="1"/>
                  <w:bCs w:val="1"/>
                  <w:color w:val="0000FF"/>
                  <w:w w:val="99"/>
                </w:rPr>
                <w:t>PART II</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7"/>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Other Information</w:t>
              </w:r>
            </w:hyperlink>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20" w:type="dxa"/>
            <w:vAlign w:val="bottom"/>
            <w:tcBorders>
              <w:bottom w:val="single" w:sz="8" w:color="0000FF"/>
            </w:tcBorders>
          </w:tcPr>
          <w:p>
            <w:pPr>
              <w:spacing w:after="0"/>
              <w:rPr>
                <w:sz w:val="19"/>
                <w:szCs w:val="19"/>
                <w:color w:val="auto"/>
              </w:rPr>
            </w:pPr>
          </w:p>
        </w:tc>
        <w:tc>
          <w:tcPr>
            <w:tcW w:w="18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1.</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160" w:type="dxa"/>
            <w:vAlign w:val="bottom"/>
            <w:tcBorders>
              <w:top w:val="single" w:sz="8" w:color="0000FF"/>
            </w:tcBorders>
          </w:tcPr>
          <w:p>
            <w:pPr>
              <w:spacing w:after="0"/>
              <w:rPr>
                <w:sz w:val="19"/>
                <w:szCs w:val="19"/>
                <w:color w:val="auto"/>
              </w:rPr>
            </w:pPr>
          </w:p>
        </w:tc>
        <w:tc>
          <w:tcPr>
            <w:tcW w:w="6980" w:type="dxa"/>
            <w:vAlign w:val="bottom"/>
            <w:gridSpan w:val="12"/>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560" w:type="dxa"/>
            <w:vAlign w:val="bottom"/>
            <w:gridSpan w:val="5"/>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1A.</w:t>
              </w:r>
            </w:hyperlink>
          </w:p>
        </w:tc>
        <w:tc>
          <w:tcPr>
            <w:tcW w:w="848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Risk Factors</w:t>
              </w:r>
            </w:hyperlink>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18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2.</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Unregistered Sales of Equity Securities and Use of Proceeds</w:t>
              </w:r>
            </w:hyperlink>
          </w:p>
        </w:tc>
        <w:tc>
          <w:tcPr>
            <w:tcW w:w="4120" w:type="dxa"/>
            <w:vAlign w:val="bottom"/>
            <w:gridSpan w:val="4"/>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180" w:type="dxa"/>
            <w:vAlign w:val="bottom"/>
            <w:gridSpan w:val="3"/>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3.</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0000FF"/>
              <w:bottom w:val="single" w:sz="8" w:color="0000FF"/>
            </w:tcBorders>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18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4.</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9"/>
                <w:szCs w:val="19"/>
                <w:color w:val="auto"/>
              </w:rPr>
            </w:pPr>
          </w:p>
        </w:tc>
        <w:tc>
          <w:tcPr>
            <w:tcW w:w="6160" w:type="dxa"/>
            <w:vAlign w:val="bottom"/>
            <w:gridSpan w:val="9"/>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18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5.</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Other Information</w:t>
              </w:r>
            </w:hyperlink>
          </w:p>
        </w:tc>
        <w:tc>
          <w:tcPr>
            <w:tcW w:w="7160" w:type="dxa"/>
            <w:vAlign w:val="bottom"/>
            <w:gridSpan w:val="14"/>
          </w:tcPr>
          <w:p>
            <w:pPr>
              <w:spacing w:after="0"/>
              <w:rPr>
                <w:sz w:val="19"/>
                <w:szCs w:val="19"/>
                <w:color w:val="auto"/>
              </w:rPr>
            </w:pPr>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c>
          <w:tcPr>
            <w:tcW w:w="3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w:t>
              </w:r>
            </w:hyperlink>
          </w:p>
        </w:tc>
        <w:tc>
          <w:tcPr>
            <w:tcW w:w="160" w:type="dxa"/>
            <w:vAlign w:val="bottom"/>
            <w:gridSpan w:val="2"/>
          </w:tcPr>
          <w:p>
            <w:pPr>
              <w:ind w:lef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6.</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9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25</w:t>
              </w:r>
            </w:hyperlink>
          </w:p>
        </w:tc>
        <w:tc>
          <w:tcPr>
            <w:tcW w:w="3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24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c>
          <w:tcPr>
            <w:tcW w:w="300" w:type="dxa"/>
            <w:vAlign w:val="bottom"/>
          </w:tcPr>
          <w:p>
            <w:pPr>
              <w:spacing w:after="0"/>
              <w:rPr>
                <w:sz w:val="24"/>
                <w:szCs w:val="24"/>
                <w:color w:val="auto"/>
              </w:rPr>
            </w:pPr>
          </w:p>
        </w:tc>
      </w:tr>
      <w:tr>
        <w:trPr>
          <w:trHeight w:val="1418"/>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6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navigate macroeconomic challenges such as market volatility, inflation and an increasing interest rate environment;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benefits of our acquisition of On the Barrelhead, including expected accretive contributions to our revenue and adjusted EBITDA;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On the Barrelhead and achieve our expected synergies from this acquisition;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cost of revenue, Adjusted EBITDA and Monthly Unique Users;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returns on marketing investments and brand campaigns;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about consumer demand for the products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risks, uncertainties and other factors described elsewhere in this Quarterly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Report on Form 10-Q, in Part I, Item 1A. Risk Factors in our Annual Report on Form 10-K for the year ended December 31, 2021,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jc w:val="right"/>
        <w:ind w:right="24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17" w:lineRule="exact"/>
        <w:rPr>
          <w:sz w:val="20"/>
          <w:szCs w:val="20"/>
          <w:color w:val="auto"/>
        </w:rPr>
      </w:pPr>
    </w:p>
    <w:p>
      <w:pPr>
        <w:ind w:left="20"/>
        <w:spacing w:after="0"/>
        <w:tabs>
          <w:tab w:leader="none" w:pos="9000" w:val="left"/>
          <w:tab w:leader="none" w:pos="10420" w:val="left"/>
        </w:tabs>
        <w:rPr>
          <w:sz w:val="20"/>
          <w:szCs w:val="20"/>
          <w:color w:val="auto"/>
        </w:rPr>
      </w:pPr>
      <w:r>
        <w:rPr>
          <w:rFonts w:ascii="Arial" w:cs="Arial" w:eastAsia="Arial" w:hAnsi="Arial"/>
          <w:sz w:val="14"/>
          <w:szCs w:val="14"/>
          <w:i w:val="1"/>
          <w:iCs w:val="1"/>
          <w:color w:val="auto"/>
        </w:rPr>
        <w:t>(in millions, except share amounts which are in thousands and per share amounts)</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Prepaid expenses and other current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 —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Intangibles —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Contingent consideration —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 — noncurrent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liability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 — noncurrent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50" w:lineRule="exact"/>
        <w:rPr>
          <w:sz w:val="20"/>
          <w:szCs w:val="20"/>
          <w:color w:val="auto"/>
        </w:rPr>
      </w:pPr>
    </w:p>
    <w:p>
      <w:pPr>
        <w:ind w:left="400" w:hanging="161"/>
        <w:spacing w:after="0" w:line="249" w:lineRule="auto"/>
        <w:rPr>
          <w:sz w:val="20"/>
          <w:szCs w:val="20"/>
          <w:color w:val="auto"/>
        </w:rPr>
      </w:pPr>
      <w:r>
        <w:rPr>
          <w:rFonts w:ascii="Arial" w:cs="Arial" w:eastAsia="Arial" w:hAnsi="Arial"/>
          <w:sz w:val="17"/>
          <w:szCs w:val="17"/>
          <w:color w:val="auto"/>
        </w:rPr>
        <w:t>Preferred stock — $0.0001 par value per share — 5,000 shares authorized as of June 30, 2022 and December 31, 2021; zero shares issued and outstanding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0" w:right="160" w:hanging="161"/>
        <w:spacing w:after="0" w:line="224" w:lineRule="auto"/>
        <w:rPr>
          <w:sz w:val="20"/>
          <w:szCs w:val="20"/>
          <w:color w:val="auto"/>
        </w:rPr>
      </w:pPr>
      <w:r>
        <w:rPr>
          <w:rFonts w:ascii="Arial" w:cs="Arial" w:eastAsia="Arial" w:hAnsi="Arial"/>
          <w:sz w:val="18"/>
          <w:szCs w:val="18"/>
          <w:color w:val="auto"/>
        </w:rPr>
        <w:t>Common stock — $0.0001 par value per share — 296,686 shares authorized as of June 30, 2022 and December 31, 2021; 68,637 and 66,722 shares issued and outstanding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deficit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125.8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76.1</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63"/>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222.7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43.5</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43.2</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346.0</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364.1</w:t>
            </w:r>
          </w:p>
        </w:tc>
      </w:tr>
      <w:tr>
        <w:trPr>
          <w:trHeight w:val="20"/>
        </w:trPr>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70.3</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-162560</wp:posOffset>
            </wp:positionV>
            <wp:extent cx="8401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-1036320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-1216660</wp:posOffset>
            </wp:positionV>
            <wp:extent cx="8401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-2253615</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24.2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82.5</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945"/>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358.6</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70"/>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93"/>
              </w:rPr>
              <w:t>(94.3)</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263.5</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257.6</w:t>
            </w:r>
          </w:p>
        </w:tc>
      </w:tr>
      <w:tr>
        <w:trPr>
          <w:trHeight w:val="27"/>
        </w:trPr>
        <w:tc>
          <w:tcPr>
            <w:tcW w:w="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346.0</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364.1</w:t>
            </w:r>
          </w:p>
        </w:tc>
      </w:tr>
      <w:tr>
        <w:trPr>
          <w:trHeight w:val="27"/>
        </w:trPr>
        <w:tc>
          <w:tcPr>
            <w:tcW w:w="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-8255</wp:posOffset>
            </wp:positionV>
            <wp:extent cx="840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-393700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-2056765</wp:posOffset>
            </wp:positionV>
            <wp:extent cx="8401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80" w:space="140"/>
            <w:col w:w="100" w:space="720"/>
            <w:col w:w="1900"/>
          </w:cols>
          <w:pgMar w:left="320" w:top="125"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2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gains,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720" w:type="dxa"/>
            <w:vAlign w:val="bottom"/>
            <w:gridSpan w:val="2"/>
          </w:tcPr>
          <w:p>
            <w:pPr>
              <w:ind w:left="5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Used in Computing Net Loss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
        </w:trPr>
        <w:tc>
          <w:tcPr>
            <w:tcW w:w="57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6"/>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ind w:right="4700"/>
        <w:spacing w:after="0" w:line="250" w:lineRule="auto"/>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December 31, 2021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March 31, 2022</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66,722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331.6</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center"/>
              <w:ind w:left="333"/>
              <w:spacing w:after="0"/>
              <w:rPr>
                <w:sz w:val="20"/>
                <w:szCs w:val="20"/>
                <w:color w:val="auto"/>
              </w:rPr>
            </w:pPr>
            <w:r>
              <w:rPr>
                <w:rFonts w:ascii="Arial" w:cs="Arial" w:eastAsia="Arial" w:hAnsi="Arial"/>
                <w:sz w:val="18"/>
                <w:szCs w:val="18"/>
                <w:b w:val="1"/>
                <w:bCs w:val="1"/>
                <w:color w:val="auto"/>
                <w:w w:val="95"/>
              </w:rPr>
              <w:t>0.5</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257.6</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405"/>
        </w:trPr>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center"/>
              <w:ind w:left="313"/>
              <w:spacing w:after="0"/>
              <w:rPr>
                <w:sz w:val="20"/>
                <w:szCs w:val="20"/>
                <w:color w:val="auto"/>
              </w:rPr>
            </w:pPr>
            <w:r>
              <w:rPr>
                <w:rFonts w:ascii="Arial" w:cs="Arial" w:eastAsia="Arial" w:hAnsi="Arial"/>
                <w:sz w:val="18"/>
                <w:szCs w:val="18"/>
                <w:color w:val="auto"/>
                <w:w w:val="91"/>
              </w:rPr>
              <w:t>(0.3)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67,138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340.2</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center"/>
              <w:ind w:left="333"/>
              <w:spacing w:after="0"/>
              <w:rPr>
                <w:sz w:val="20"/>
                <w:szCs w:val="20"/>
                <w:color w:val="auto"/>
              </w:rPr>
            </w:pPr>
            <w:r>
              <w:rPr>
                <w:rFonts w:ascii="Arial" w:cs="Arial" w:eastAsia="Arial" w:hAnsi="Arial"/>
                <w:sz w:val="18"/>
                <w:szCs w:val="18"/>
                <w:b w:val="1"/>
                <w:bCs w:val="1"/>
                <w:color w:val="auto"/>
                <w:w w:val="95"/>
              </w:rPr>
              <w:t>0.2</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(85.0)</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255.4</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5"/>
        </w:trPr>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center"/>
              <w:ind w:left="313"/>
              <w:spacing w:after="0"/>
              <w:rPr>
                <w:sz w:val="20"/>
                <w:szCs w:val="20"/>
                <w:color w:val="auto"/>
              </w:rPr>
            </w:pPr>
            <w:r>
              <w:rPr>
                <w:rFonts w:ascii="Arial" w:cs="Arial" w:eastAsia="Arial" w:hAnsi="Arial"/>
                <w:sz w:val="18"/>
                <w:szCs w:val="18"/>
                <w:color w:val="auto"/>
                <w:w w:val="91"/>
              </w:rPr>
              <w:t>(1.0)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68,637</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358.6</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center"/>
              <w:ind w:left="313"/>
              <w:spacing w:after="0"/>
              <w:rPr>
                <w:sz w:val="20"/>
                <w:szCs w:val="20"/>
                <w:color w:val="auto"/>
              </w:rPr>
            </w:pPr>
            <w:r>
              <w:rPr>
                <w:rFonts w:ascii="Arial" w:cs="Arial" w:eastAsia="Arial" w:hAnsi="Arial"/>
                <w:sz w:val="18"/>
                <w:szCs w:val="18"/>
                <w:b w:val="1"/>
                <w:bCs w:val="1"/>
                <w:color w:val="auto"/>
                <w:w w:val="91"/>
              </w:rPr>
              <w:t>(0.8)</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263.5</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ind w:right="4700"/>
        <w:spacing w:after="0" w:line="250" w:lineRule="auto"/>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December 31, 2020</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1" w:lineRule="exact"/>
        <w:rPr>
          <w:sz w:val="20"/>
          <w:szCs w:val="20"/>
          <w:color w:val="auto"/>
        </w:rPr>
      </w:pPr>
    </w:p>
    <w:p>
      <w:pPr>
        <w:ind w:left="180" w:right="540" w:hanging="161"/>
        <w:spacing w:after="0" w:line="234" w:lineRule="auto"/>
        <w:rPr>
          <w:sz w:val="20"/>
          <w:szCs w:val="20"/>
          <w:color w:val="auto"/>
        </w:rPr>
      </w:pPr>
      <w:r>
        <w:rPr>
          <w:rFonts w:ascii="Arial" w:cs="Arial" w:eastAsia="Arial" w:hAnsi="Arial"/>
          <w:sz w:val="18"/>
          <w:szCs w:val="18"/>
          <w:color w:val="auto"/>
        </w:rPr>
        <w:t>Class A common stock surrendered for employees’ tax liability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options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Class F common stock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March 31, 2021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1" w:lineRule="exact"/>
        <w:rPr>
          <w:sz w:val="20"/>
          <w:szCs w:val="20"/>
          <w:color w:val="auto"/>
        </w:rPr>
      </w:pPr>
    </w:p>
    <w:p>
      <w:pPr>
        <w:ind w:left="180" w:right="540" w:hanging="161"/>
        <w:spacing w:after="0" w:line="234" w:lineRule="auto"/>
        <w:rPr>
          <w:sz w:val="20"/>
          <w:szCs w:val="20"/>
          <w:color w:val="auto"/>
        </w:rPr>
      </w:pPr>
      <w:r>
        <w:rPr>
          <w:rFonts w:ascii="Arial" w:cs="Arial" w:eastAsia="Arial" w:hAnsi="Arial"/>
          <w:sz w:val="18"/>
          <w:szCs w:val="18"/>
          <w:color w:val="auto"/>
        </w:rPr>
        <w:t>Class A common stock surrendered for employees’ tax liability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Repurchase of 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48,853</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8"/>
        </w:trPr>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49,052</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105.5</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61.5</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5"/>
        </w:trPr>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49,602</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7"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26"/>
        </w:trPr>
        <w:tc>
          <w:tcPr>
            <w:tcW w:w="8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r>
      <w:tr>
        <w:trPr>
          <w:trHeight w:val="26"/>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Non-cash lease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 of offering costs related to initial public offering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 under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Repurchase of Class A common stock</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Class 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Repurchase of stock options</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Series A redeemable 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Tax payments related to net-share settlements on restricted stock units</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64"/>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9"/>
        </w:trPr>
        <w:tc>
          <w:tcPr>
            <w:tcW w:w="8500" w:type="dxa"/>
            <w:vAlign w:val="bottom"/>
            <w:gridSpan w:val="2"/>
          </w:tcPr>
          <w:p>
            <w:pPr>
              <w:ind w:left="20"/>
              <w:spacing w:after="0"/>
              <w:rPr>
                <w:sz w:val="20"/>
                <w:szCs w:val="20"/>
                <w:color w:val="auto"/>
              </w:rPr>
            </w:pPr>
            <w:r>
              <w:rPr>
                <w:rFonts w:ascii="Arial" w:cs="Arial" w:eastAsia="Arial" w:hAnsi="Arial"/>
                <w:sz w:val="18"/>
                <w:szCs w:val="18"/>
                <w:color w:val="auto"/>
                <w:w w:val="95"/>
              </w:rPr>
              <w:t>Capitalized software development costs recorded in accounts payable and accrued expenses and other current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5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Purchase of property and equipment recorded in accounts payable and 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Offering costs related to initial public offering not yet paid</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Income tax payments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Disclosure Related to Operating Leases: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311"/>
        </w:trPr>
        <w:tc>
          <w:tcPr>
            <w:tcW w:w="8500" w:type="dxa"/>
            <w:vAlign w:val="bottom"/>
            <w:gridSpan w:val="2"/>
          </w:tcPr>
          <w:p>
            <w:pPr>
              <w:ind w:left="3540"/>
              <w:spacing w:after="0"/>
              <w:rPr>
                <w:sz w:val="20"/>
                <w:szCs w:val="20"/>
                <w:color w:val="auto"/>
              </w:rPr>
            </w:pPr>
            <w:r>
              <w:rPr>
                <w:rFonts w:ascii="Arial" w:cs="Arial" w:eastAsia="Arial" w:hAnsi="Arial"/>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337" w:right="339" w:bottom="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The Company — </w:t>
      </w:r>
      <w:r>
        <w:rPr>
          <w:rFonts w:ascii="Arial" w:cs="Arial" w:eastAsia="Arial" w:hAnsi="Arial"/>
          <w:sz w:val="18"/>
          <w:szCs w:val="18"/>
          <w:color w:val="auto"/>
        </w:rPr>
        <w:t>NerdWallet, Inc., a Delaware corporation, was formed on December 29, 2011. NerdWallet, Inc. and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Company) provide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Basis of Presentation — </w:t>
      </w:r>
      <w:r>
        <w:rPr>
          <w:rFonts w:ascii="Arial" w:cs="Arial" w:eastAsia="Arial" w:hAnsi="Arial"/>
          <w:sz w:val="18"/>
          <w:szCs w:val="18"/>
          <w:color w:val="auto"/>
        </w:rPr>
        <w:t>The accompanying unaudited interim condensed consolidated financial statements have been prepared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generally accepted in the United States of America (GAAP) and applicable rules and regulations of the U.S. Securities and Exchange Commission (SEC) regarding interim financial reporting. Accordingly, the accompanying condensed consolidated financial statements do not include all disclosures normally required in annual consolidated financial statements prepared in accordance with GAAP. The accompanying condensed consolidated financial statements should be read in conjunction with the Company’s audited financial statements and notes included in the Company’s Annual Report on Form 10-K for the year ended December 31, 2021.</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opinion of management, the accompanying unaudited interim condensed consolidated financial statements have been prepared on the same basis as the audited financial statements, and include all adjustments, consisting only of normal recurring adjustments, necessary for the fair statement of the Company’s financial position and results of operations for the periods presented. The accompanying condensed consolidated financial statements include the accounts of the Company and its wholly-owned subsidiaries. All intercompany transactions and balances have been eliminated in consolidation. The results of operations for the three and six months ended June 30, 2022 are not necessarily indicative of the results to be expected for the full year or any other future period.</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Acquisition of On the Barrelhead, Inc. — </w:t>
      </w:r>
      <w:r>
        <w:rPr>
          <w:rFonts w:ascii="Arial" w:cs="Arial" w:eastAsia="Arial" w:hAnsi="Arial"/>
          <w:sz w:val="17"/>
          <w:szCs w:val="17"/>
          <w:color w:val="auto"/>
        </w:rPr>
        <w:t>On June 23, 2022, the Company entered into an Agreement and Plan of Merger and Reorganization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Merger Agreement) with On the Barrelhead, Inc. (OTB), a data-driven platform that provides consumers and SMBs with credit-driven product recommendations. Under the terms of the Merger Agreement, the aggregate consideration to be paid by the Company to acquire all of the equity interests in OTB, subject to customary adjustments (the Purchase Price), was to consist of approximately $70 million in cash and approximately 4.9 million shares of the Company’s Class A common stock (the Stock Consideration). The Company recognized acquisition-related expenses of $2.2 million for the three and six months ended June 30, 2022 which are included in general and administrative expense on the Company’s condensed consolidated statements of operations. See Note 9 </w:t>
      </w:r>
      <w:r>
        <w:rPr>
          <w:rFonts w:ascii="Arial" w:cs="Arial" w:eastAsia="Arial" w:hAnsi="Arial"/>
          <w:sz w:val="17"/>
          <w:szCs w:val="17"/>
          <w:b w:val="1"/>
          <w:bCs w:val="1"/>
          <w:color w:val="auto"/>
        </w:rPr>
        <w:t>—</w:t>
      </w:r>
      <w:r>
        <w:rPr>
          <w:rFonts w:ascii="Arial" w:cs="Arial" w:eastAsia="Arial" w:hAnsi="Arial"/>
          <w:sz w:val="17"/>
          <w:szCs w:val="17"/>
          <w:color w:val="auto"/>
        </w:rPr>
        <w:t xml:space="preserve"> Subsequent Event for further discussion.</w:t>
      </w:r>
    </w:p>
    <w:p>
      <w:pPr>
        <w:spacing w:after="0" w:line="118"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 During the six months ended June 30, 2022, there have been no material changes to the Company’s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policies as disclosed in Note 1 – The Company and its Significant Accounting Policies in the notes to the consolidated financial statements in the Company’s Annual Report on Form 10-K for the year ended December 31, 2021.</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June 2016, the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establishing ASC Topic 326, and amended the guidance thereafter (ASC 326). ASC 326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measurement and recognition of expected credit losses for financial assets held at amortized cost; the Company’s financial assets that are in the scope of ASC 326 includes the Company’s accounts receivable, certain financial instruments and contract assets. ASC 326 replaces the prior incurred loss impairment model with an expected loss methodology, which results in more timely recognition of credit losses. The Company adopted the provisions of ASC 326 as of January 1, 2022 (two years after the effective date for public business entities due to the Company’s election under its EGC status), and such adoption did not have an impact on the Company’s financial condition and results of operations within its condensed consolidated financial statements.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October 2021, the Financial Accounting Standards Board (FASB) issued ASU 2021-08, </w:t>
      </w:r>
      <w:r>
        <w:rPr>
          <w:rFonts w:ascii="Arial" w:cs="Arial" w:eastAsia="Arial" w:hAnsi="Arial"/>
          <w:sz w:val="17"/>
          <w:szCs w:val="17"/>
          <w:i w:val="1"/>
          <w:iCs w:val="1"/>
          <w:color w:val="auto"/>
        </w:rPr>
        <w:t>Business Combinations (Topic 805):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Assets and Contract Liabilities from Contracts with Customers </w:t>
      </w:r>
      <w:r>
        <w:rPr>
          <w:rFonts w:ascii="Arial" w:cs="Arial" w:eastAsia="Arial" w:hAnsi="Arial"/>
          <w:sz w:val="17"/>
          <w:szCs w:val="17"/>
          <w:color w:val="auto"/>
        </w:rPr>
        <w:t>(ASU 2021-08), to address diversity and inconsistency related to the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measurement of contract assets and contract liabilities acquired in a business combination. The guidance in ASU 2021-08 states that an acquirer should recognize and measure contract assets and contract liabilities acquired in a business combination in accordance with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amendments in ASU 2021-08 will be applied prospectively to any business combinations that occur during or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of adoption. The Company adopted the provisions of ASU 2021-08 as of January 1, 2022, and such adoption did not have an impact on the Company’s financial condition and results of operations within its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disaggregation of the Company’s revenue based on product category: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26"/>
        </w:trPr>
        <w:tc>
          <w:tcPr>
            <w:tcW w:w="61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6"/>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6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91.6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expenses and other current assets on the condensed consolidated balance sheet related to estimated variable consideration was $5.0 million and $3.0 million as of June 30, 2022 and December 31, 2021, respectively.</w:t>
      </w:r>
    </w:p>
    <w:p>
      <w:pPr>
        <w:spacing w:after="0" w:line="11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Quoted Prices</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61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463"/>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61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7"/>
        </w:trPr>
        <w:tc>
          <w:tcPr>
            <w:tcW w:w="6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r>
      <w:tr>
        <w:trPr>
          <w:trHeight w:val="27"/>
        </w:trPr>
        <w:tc>
          <w:tcPr>
            <w:tcW w:w="61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liabilities consist entirely of contingent consideration, and the changes in fair value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25"/>
        </w:trPr>
        <w:tc>
          <w:tcPr>
            <w:tcW w:w="618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5"/>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58.6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Payment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Balance as of end of period</w:t>
            </w: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29.9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1"/>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Contingent consideration liabilities related to acquisitions are measured at fair value each reporting period using Level 3 unobservable inputs. 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weighted-average volatility was 57.5% and the weighted-average discount rate was estimated to be 11.0% as of June 30, 2022. The weighted-average volatility was 45.5% and the weighted-average discount rate was estimated to be 9.0% as of December 31, 2021.</w:t>
      </w:r>
    </w:p>
    <w:p>
      <w:pPr>
        <w:spacing w:after="0" w:line="1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Property, equipment and software, net includes capitalized software development costs, net of accumulated amortization, of $38.7 million and $32.1 million as of June 30, 2022 and December 31, 2021, respectively. The Company capitalized $8.9 million and $16.9 million of software development costs during the three and six months ended June 30, 2022, respectively, and $6.1 million and $11.9 million during the three and six months ended June 30, 2021, respectively. The Company recorded amortization expense related to capitalized software development costs of $5.4 million and $10.3 million during the three and six months ended June 30, 2022, respectively, and $4.0 million and $7.8 million during the three and six months ended June 30, 2021, respectively.</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expenses and other current liabilities include operating lease liabilities of $3.0 million and $2.4 million, as of June 30, 2022 and December 31, 2021,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liabilities — noncurrent includes operating lease liabilities of $11.2 million and $12.7 million as of June 30, 2022 and December 31, 2021, respectively.</w:t>
      </w:r>
    </w:p>
    <w:p>
      <w:pPr>
        <w:spacing w:after="0" w:line="1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Commitments and Other Financial Arrangements </w:t>
      </w:r>
      <w:r>
        <w:rPr>
          <w:rFonts w:ascii="Arial" w:cs="Arial" w:eastAsia="Arial" w:hAnsi="Arial"/>
          <w:sz w:val="18"/>
          <w:szCs w:val="18"/>
          <w:color w:val="auto"/>
        </w:rPr>
        <w:t>— The Company has certain financial commitments and other arrangements including unused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letters of credit and commitments under leases. As of June 30, 2022, there were no material changes to the Company’s commitments and other financial arrangements as disclosed in Note 8 – Commitments and Contingencies in the notes to the consolidated financial statements in the Company’s Annual Report on Form 10-K for the year ended December 31, 2021. On July 7, 2022, the Company borrowed $70.0 million under the Company’s existing credit facility with Silicon Valley Bank as administrative agent to finance the cash portion of the Purchase Price for the acquisition of OTB. See Note 9 </w:t>
      </w:r>
      <w:r>
        <w:rPr>
          <w:rFonts w:ascii="Arial" w:cs="Arial" w:eastAsia="Arial" w:hAnsi="Arial"/>
          <w:sz w:val="18"/>
          <w:szCs w:val="18"/>
          <w:b w:val="1"/>
          <w:bCs w:val="1"/>
          <w:color w:val="auto"/>
        </w:rPr>
        <w:t>—</w:t>
      </w:r>
      <w:r>
        <w:rPr>
          <w:rFonts w:ascii="Arial" w:cs="Arial" w:eastAsia="Arial" w:hAnsi="Arial"/>
          <w:sz w:val="18"/>
          <w:szCs w:val="18"/>
          <w:color w:val="auto"/>
        </w:rPr>
        <w:t xml:space="preserve"> Subsequent Event for further discussion.</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Litigation and Other Legal Matters </w:t>
      </w:r>
      <w:r>
        <w:rPr>
          <w:rFonts w:ascii="Arial" w:cs="Arial" w:eastAsia="Arial" w:hAnsi="Arial"/>
          <w:sz w:val="16"/>
          <w:szCs w:val="16"/>
          <w:color w:val="auto"/>
        </w:rPr>
        <w:t>— 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potential loss as of June 30, 2022 or December 31, 2021.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The 2021 Equity Incentive Plan and the predecessor 2012 Equity Incentive Plan, both as amended, (collectively, the Plans)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the grant of incentive and non-statutory stock options, stock appreciation rights, restricted stock units and restricted stock awards to employees, non-employee directors and consultants of the Company. At the Company’s 2022 annual meeting of stockholders on May 25, 2022, the stockholders approved an amendment to the 2021 Equity Incentive Plan to increase the aggregate number of shares of Class A common stock reserved for issuance thereunder by 8.0 million shares.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 summary of the Company’s stock option activity for its Plans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 millions)</w:t>
            </w:r>
          </w:p>
        </w:tc>
      </w:tr>
      <w:tr>
        <w:trPr>
          <w:trHeight w:val="26"/>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Cancelled/forfeited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89"/>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44"/>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Vested and exercisable as of June 30, 2022</w:t>
            </w:r>
          </w:p>
        </w:tc>
        <w:tc>
          <w:tcPr>
            <w:tcW w:w="1200" w:type="dxa"/>
            <w:vAlign w:val="bottom"/>
          </w:tcPr>
          <w:p>
            <w:pPr>
              <w:jc w:val="right"/>
              <w:spacing w:after="0"/>
              <w:rPr>
                <w:sz w:val="20"/>
                <w:szCs w:val="20"/>
                <w:color w:val="auto"/>
              </w:rPr>
            </w:pPr>
            <w:r>
              <w:rPr>
                <w:rFonts w:ascii="Arial" w:cs="Arial" w:eastAsia="Arial" w:hAnsi="Arial"/>
                <w:sz w:val="18"/>
                <w:szCs w:val="18"/>
                <w:color w:val="auto"/>
              </w:rPr>
              <w:t>3,897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was $6.49 per share during the six months ended June 30, 2022. The aggregate intrinsic value of options exercised was $4.1 million during the six months ended June 30, 2022.</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per-share fair value of each stock option was determined on the date of grant using the following weighted-average assumptions and ranges of fair value of common stock:</w:t>
      </w:r>
    </w:p>
    <w:p>
      <w:pPr>
        <w:spacing w:after="0" w:line="2"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22225</wp:posOffset>
            </wp:positionV>
            <wp:extent cx="1739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5"/>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r>
      <w:tr>
        <w:trPr>
          <w:trHeight w:val="27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A summary of the Company’s outstanding nonvested restricted stock units (RSUs) for its Plans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Weighted-Average</w:t>
            </w: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b w:val="1"/>
                <w:bCs w:val="1"/>
                <w:color w:val="auto"/>
              </w:rPr>
              <w:t>Grant-Date</w:t>
            </w:r>
          </w:p>
        </w:tc>
      </w:tr>
      <w:tr>
        <w:trPr>
          <w:trHeight w:val="186"/>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8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7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3,439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16.62</w:t>
            </w: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June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that vested under RSUs was $7.6 million during the six months ended June 30, 2022.</w:t>
      </w:r>
    </w:p>
    <w:p>
      <w:pPr>
        <w:spacing w:after="0" w:line="16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Company recognized stock-based compensation related to the Employee Stock Purchase Plan (ESPP) of</w:t>
      </w:r>
      <w:r>
        <w:rPr>
          <w:rFonts w:ascii="Arial" w:cs="Arial" w:eastAsia="Arial" w:hAnsi="Arial"/>
          <w:sz w:val="18"/>
          <w:szCs w:val="18"/>
          <w:b w:val="1"/>
          <w:bCs w:val="1"/>
          <w:color w:val="auto"/>
        </w:rPr>
        <w:t xml:space="preserve"> </w:t>
      </w:r>
      <w:r>
        <w:rPr>
          <w:rFonts w:ascii="Arial" w:cs="Arial" w:eastAsia="Arial" w:hAnsi="Arial"/>
          <w:sz w:val="18"/>
          <w:szCs w:val="18"/>
          <w:color w:val="auto"/>
        </w:rPr>
        <w:t>$2.6 million and $3.9 million during the three and six months ended June 30, 2022,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recognized stock-based compensation under the Plans and ESPP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26"/>
        </w:trPr>
        <w:tc>
          <w:tcPr>
            <w:tcW w:w="618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6"/>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Total stock-based compensation</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stock-based compensation capitalized related to software development costs was $1.9 million and $0.9 million during the three months ended June 30, 2022 and 2021, respectively, and $3.3 million and $1.4 million during the six months ended June 30, 2022 and 2021, respectively.</w:t>
      </w:r>
    </w:p>
    <w:p>
      <w:pPr>
        <w:spacing w:after="0" w:line="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which is adjusted for discrete items occurring during the periods presented. As of June 30, 2022, the Company has established a valuation allowance against its net U.S.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3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Basic and Diluted Share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There were no early exercised share options for the three and six months ended June 30, 2022, and the impact of early exercised share options on basic and diluted EPS was immaterial for the three and six months ended June 30, 2021.</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basic and diluted per share computations for net loss attributable to common stockholders: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25"/>
        </w:trPr>
        <w:tc>
          <w:tcPr>
            <w:tcW w:w="61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5"/>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common stockholders —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58"/>
              <w:spacing w:after="0"/>
              <w:rPr>
                <w:sz w:val="20"/>
                <w:szCs w:val="20"/>
                <w:color w:val="auto"/>
              </w:rPr>
            </w:pPr>
            <w:r>
              <w:rPr>
                <w:rFonts w:ascii="Arial" w:cs="Arial" w:eastAsia="Arial" w:hAnsi="Arial"/>
                <w:sz w:val="18"/>
                <w:szCs w:val="18"/>
                <w:color w:val="auto"/>
                <w:w w:val="93"/>
              </w:rPr>
              <w:t>(19.8)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(26.8)</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Weighted-average shares of common stock — basic and diluted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center"/>
              <w:ind w:left="334"/>
              <w:spacing w:after="0"/>
              <w:rPr>
                <w:sz w:val="20"/>
                <w:szCs w:val="20"/>
                <w:color w:val="auto"/>
              </w:rPr>
            </w:pPr>
            <w:r>
              <w:rPr>
                <w:rFonts w:ascii="Arial" w:cs="Arial" w:eastAsia="Arial" w:hAnsi="Arial"/>
                <w:sz w:val="18"/>
                <w:szCs w:val="18"/>
                <w:color w:val="auto"/>
                <w:w w:val="91"/>
              </w:rPr>
              <w:t>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ind w:left="398"/>
              <w:spacing w:after="0"/>
              <w:rPr>
                <w:sz w:val="20"/>
                <w:szCs w:val="20"/>
                <w:color w:val="auto"/>
              </w:rPr>
            </w:pPr>
            <w:r>
              <w:rPr>
                <w:rFonts w:ascii="Arial" w:cs="Arial" w:eastAsia="Arial" w:hAnsi="Arial"/>
                <w:sz w:val="18"/>
                <w:szCs w:val="18"/>
                <w:color w:val="auto"/>
                <w:w w:val="91"/>
              </w:rPr>
              <w:t>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center"/>
              <w:ind w:left="314"/>
              <w:spacing w:after="0"/>
              <w:rPr>
                <w:sz w:val="20"/>
                <w:szCs w:val="20"/>
                <w:color w:val="auto"/>
              </w:rPr>
            </w:pPr>
            <w:r>
              <w:rPr>
                <w:rFonts w:ascii="Arial" w:cs="Arial" w:eastAsia="Arial" w:hAnsi="Arial"/>
                <w:sz w:val="18"/>
                <w:szCs w:val="18"/>
                <w:color w:val="auto"/>
                <w:w w:val="85"/>
              </w:rPr>
              <w:t>48.8</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(0.28)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58"/>
              <w:spacing w:after="0"/>
              <w:rPr>
                <w:sz w:val="20"/>
                <w:szCs w:val="20"/>
                <w:color w:val="auto"/>
              </w:rPr>
            </w:pPr>
            <w:r>
              <w:rPr>
                <w:rFonts w:ascii="Arial" w:cs="Arial" w:eastAsia="Arial" w:hAnsi="Arial"/>
                <w:sz w:val="18"/>
                <w:szCs w:val="18"/>
                <w:color w:val="auto"/>
                <w:w w:val="93"/>
              </w:rPr>
              <w:t>(0.29)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(0.55)</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3"/>
              </w:rPr>
              <w:t>(0.28)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3"/>
              </w:rPr>
              <w:t>(0.29)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3"/>
              </w:rPr>
              <w:t>(0.55)</w:t>
            </w: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loss per share for the periods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6"/>
                <w:szCs w:val="16"/>
                <w:color w:val="auto"/>
              </w:rPr>
            </w:pPr>
          </w:p>
        </w:tc>
      </w:tr>
      <w:tr>
        <w:trPr>
          <w:trHeight w:val="25"/>
        </w:trPr>
        <w:tc>
          <w:tcPr>
            <w:tcW w:w="618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5"/>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ESPP</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7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Acquisition of On the Barrelhead, Inc.</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7, 2022, the Company borrowed $70.0 million under the Company’s existing credit facility with Silicon Valley Bank as administrative agent to finance the cash portion of the Purchase Price for the acquisition of OTB. Interest on the borrowing is incurred at the Eurodollar Rate, which is defined as LIBOR (or any successor thereto), plus a margin of 2.75%, equating to 4.54% as of July 7, 2022.</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11, 2022, the Company completed the acquisition of OTB for a preliminary acquisition date purchase consideration consisting of approximately $70 million in cash consideration and 4.9 million shares of the Company’s Class A common stock for Stock Consideration. The preliminary cash consideration includes approximately $12 million of cash which is held in escrow for the settlement of certain customary representations, warranties, agreements and covenants. The aggregate fair value of the Stock Consideration was approximately $43 million based on the closing price of the Company’s Class A common stock on the acquisition date. Half of the Stock Consideration is subject to a lockup arrangement whereby such shares may not be sold or otherwise transferred prior to expiration of the 24-month period following the acquisition date. The final Purchase Price will be subject to customary closing adjustments, including for transaction expenses, indebtedness, cash and working capital.</w:t>
      </w:r>
    </w:p>
    <w:p>
      <w:pPr>
        <w:spacing w:after="0" w:line="1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acquisition, the Company provided employment offer letters to OTB’s employees, including compensatory retention agreements with the co-founders of OTB which could result in up to $15.0 million of cash awards. Cash awards under these retention agreements are payable in equal installments on the first, second and third anniversary dates of the closing of the acquisition. Also concurrently with the closing of the acquisition, the Compensation Committee of the Company’s Board of Directors granted RSU awards under the NerdWallet, Inc. 2022 Inducement Equity Incentive Plan (the Inducement Plan) to employees of OTB who were offered employment with the Company, which RSU awards had an aggregate grant date fair value on the acquisition date of $17.5 million, including $12.8 million of RSU awards to the co-founders of OTB, $2.3 million of RSU awards to six non-management employees of OTB and $2.4 million of RSU awards to all fourteen employees of OTB. The $12.8 million of RSU awards to the co-founders of OTB will generally vest in full upon the third anniversary of the closing of the acquisition. The $2.3 million of RSU awards to non-management employees of OTB will vest annually over four years, with 20% of the RSUs subject to vest on each of the first, second and third annual vesting dates and the remaining 40% of the RSUs subject to vest on the fourth annual vesting date. The $2.4 million of RSU awards granted to all employees of OTB will generally vest over four years subject to a one-year cliff and quarterly vesting thereafter. RSU awards under the Inducement Plan are subject to the conditions of the Inducement Plan and the terms and conditions of the grant agreements covering such awards. Compensation expenses under these employment offer letters and vesting of awards under these retention agreements and Inducement Plan are generally subject to the employees’ continued employment with the Company, and the fair value of such compensation and awards are excluded from the Purchase Price and accounted for separately from the business combination. The value of cash awards under these retention agreements will be recognized as compensation expense ratably over the three-year period following the close of the acquisition. The value of RSU awards under the Inducement Plan will be recognized as stock-based compensation expense ratably over the respective vesting terms of the awards.</w:t>
      </w:r>
    </w:p>
    <w:p>
      <w:pPr>
        <w:spacing w:after="0" w:line="1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acquisition will be accounted for as a business combination. The Company is in the process of determining the fair values of intangible and tangible assets acquired and liabilities assumed, including review of third-party valuations. Accordingly, the Company is not able to provide the preliminary allocation of consideration paid to the assets acquired and liabilities assumed. Further, the supplemental pro forma revenue and loss of the combined company are predicated on the completion of the business combination accounting and allocation of consideration paid. Although the initial accounting for the business combination is incomplete, the Company believes the goodwill recorded will be primarily attributable to synergies from combining the operations of the Company and OTB as well as the value ascribed to the knowledge and experience of the OTB co-founders and employees. For income tax purposes, the acquisition is a stock purchase and goodwill is not tax deductible.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(UK) and Canada.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On the Barrelhead, Inc.</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June 23, 2022, we entered into an Agreement and Plan of Merger and Reorganization (the Merger Agreement) with On the Barrelhead, Inc. (OTB), a data-driven platform that provides consumers and small and mid-sized businesses (SMBs) with credit-driven product recommendations. Under the terms of the Merger Agreement, the aggregate consideration to be paid by us to acquire all of the equity interests in OTB, subject to customary adjustments (the Purchase Price), was to consist of approximately $70 million in cash and approximately 4.9 million shares of our Class A common stock (the Stock Consideration). On July 11, 2022, we completed the acquisition of OTB. See Note 1 </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and Basis of Presentation and Note 9 </w:t>
      </w:r>
      <w:r>
        <w:rPr>
          <w:rFonts w:ascii="Arial" w:cs="Arial" w:eastAsia="Arial" w:hAnsi="Arial"/>
          <w:sz w:val="17"/>
          <w:szCs w:val="17"/>
          <w:b w:val="1"/>
          <w:bCs w:val="1"/>
          <w:color w:val="auto"/>
        </w:rPr>
        <w:t>—</w:t>
      </w:r>
      <w:r>
        <w:rPr>
          <w:rFonts w:ascii="Arial" w:cs="Arial" w:eastAsia="Arial" w:hAnsi="Arial"/>
          <w:sz w:val="17"/>
          <w:szCs w:val="17"/>
          <w:color w:val="auto"/>
        </w:rPr>
        <w:t xml:space="preserve"> Subsequent Event in the notes to our condensed consolidated financial statements for further discussion.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the financial services partners on our platform during a given period. We had 20 million and 21 million average MUUs for the three and six months ended June 30, 2022, which was up 2% and down 1% compared to the three and six months ended June 30, 2021, respectively. We continue to see strong engagement in many of our verticals such as SMB products and banking, but were pressured by a challenging macro environment in both mortgages and investing, as well as lapping a longer 2021 tax season. While we expect MUUs to grow over time, the metric may fluctuate from period to period based on macroeconomic conditions, trends in consumer behavior, and our strategic marketing decisions.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our previously outstanding long-term debt, (3) change in fair value of contingent consideration related to earnouts, (4) deferred compensation related to earnouts, (5) stock-based compensation, and (6) acquisition-related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interest income (expense) and other gains (losses), net, which include unrealized and realized gains and losses on foreign currency exchange and the embedded derivative in our previously outstanding long-term debt, as well as certain nonrecurring gains (losses);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excludes certain recurring, non-cash charges, such as depreciation of property and equipment and amortization of intangible assets, and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excludes stock-based compensation, which has been, and will continue to be for the foreseeable future, a significant recurring expense in our business and an important part of our compensation strategy;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include the impact of impairment of assets previously acquired, acquisition-related transaction expenses, contingent consideration fair value adjustments related to earnouts, and deferred compensation related to earnouts.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“Management’s Discussion and Analysis of Financial Condition and Results of Operations — Results of Operations — 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160" w:type="dxa"/>
            <w:vAlign w:val="bottom"/>
            <w:gridSpan w:val="2"/>
          </w:tcPr>
          <w:p>
            <w:pPr>
              <w:ind w:left="46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stock-based compensation as follows: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right"/>
              <w:ind w:right="211"/>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w w:val="86"/>
              </w:rPr>
              <w:t>Six Months Ended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jc w:val="right"/>
              <w:ind w:right="551"/>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rPr>
              <w:t>June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1"/>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390"/>
              <w:spacing w:after="0"/>
              <w:rPr>
                <w:sz w:val="20"/>
                <w:szCs w:val="20"/>
                <w:color w:val="auto"/>
              </w:rPr>
            </w:pPr>
            <w:r>
              <w:rPr>
                <w:rFonts w:ascii="Arial" w:cs="Arial" w:eastAsia="Arial" w:hAnsi="Arial"/>
                <w:sz w:val="13"/>
                <w:szCs w:val="13"/>
                <w:b w:val="1"/>
                <w:bCs w:val="1"/>
                <w:color w:val="auto"/>
                <w:w w:val="82"/>
              </w:rPr>
              <w:t>2021</w:t>
            </w:r>
          </w:p>
        </w:tc>
        <w:tc>
          <w:tcPr>
            <w:tcW w:w="0" w:type="dxa"/>
            <w:vAlign w:val="bottom"/>
          </w:tcPr>
          <w:p>
            <w:pPr>
              <w:spacing w:after="0"/>
              <w:rPr>
                <w:sz w:val="1"/>
                <w:szCs w:val="1"/>
                <w:color w:val="auto"/>
              </w:rPr>
            </w:pPr>
          </w:p>
        </w:tc>
      </w:tr>
      <w:tr>
        <w:trPr>
          <w:trHeight w:val="25"/>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Total stock-based compensation</w:t>
            </w:r>
          </w:p>
        </w:tc>
        <w:tc>
          <w:tcPr>
            <w:tcW w:w="8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condensed consolidated statements of operations as a percentage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left="893"/>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8</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83</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w:t>
            </w: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13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120</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7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17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gains, net</w:t>
            </w:r>
          </w:p>
        </w:tc>
        <w:tc>
          <w:tcPr>
            <w:tcW w:w="17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r>
      <w:tr>
        <w:trPr>
          <w:trHeight w:val="237"/>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17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27"/>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loss decreased $4.6 million, or 33%, and $7.0 million, or 26%, for the three and six months ended June 30, 2022 compared to the three and six months ended June 30, 2021, respectively. The decreases were attributable to increases of $33.6 million and $72.7 million in revenue, partially offset by increases of $19.9 million and $54.9 million in expenses, primarily driven by increases of $6.2 million and $33.7 million in sales and marketing expense, $6.4 million and $10.6 million in general and administrative expense, and $5.3 million and $10.5 million in research and development expense, as we continued to invest in our business. Additionally, we had income tax provisions of $0.2 million and $1.4 million for the three and six months ended June 30, 2022, as compared to income tax benefits of $7.9 million and $8.6 million for the three and six months ended June 30, 2021.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r>
      <w:tr>
        <w:trPr>
          <w:trHeight w:val="25"/>
        </w:trPr>
        <w:tc>
          <w:tcPr>
            <w:tcW w:w="30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25"/>
        </w:trPr>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97"/>
              </w:rPr>
              <w:t>(8.3)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w w:val="91"/>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6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1"/>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increased $33.6 million, or 37% and $72.7 million, or 40%, for the three and six months ended June 30, 2022 compared to the three and six months ended June 30, 2021, respectively, driven by strong growth in credit cards and other verticals revenues, partially offset by lower loans revenue.</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increased $24.7 million, or 82%, and $47.0 million, or 89%, for the three and six months ended June 30, 2022, respectively, reflecting our ability to capitalize on higher consumer intent through improved user experiences combined with our deep alignment with our financial services partners to deliver quality matches.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Loans revenue decreased $8.3 million, or 26%, and $6.3 million, or 10%, for the three and six months ended June 30, 2022, respectively, primarily due to decreases of 55% and 35% in mortgages revenue driven by increasing macro environment headwinds and higher interest rates, partially offset by increases of 76% and 77% in personal loans revenue reflecting strong consumer demand and more optimized user experience.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verticals revenue increased $17.2 million, or 58%, and $32.0 million, or 50%, for the three and six months ended June 30, 2022, respectively, driven by increases of 159% and 162%, respectively, in SMB products revenue. The increase also included increases of 127% and 87%, respectively, in banking revenue primarily due to the rising interest rate environment, partially offset by decreases of 29% and 22%, respectively, in insurance revenue reflecting inflation-driven profitability pressure on carriers.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r>
      <w:tr>
        <w:trPr>
          <w:trHeight w:val="26"/>
        </w:trPr>
        <w:tc>
          <w:tcPr>
            <w:tcW w:w="3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3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r>
      <w:tr>
        <w:trPr>
          <w:trHeight w:val="26"/>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57"/>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consideration related to earnouts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6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1"/>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$0.9 million, or 12%, and $2.1 million, or 15%, for the three and six months ended June 30, 2022 compared to the three and six months ended June 30, 2021, respectively, attributable to increases of $1.2 million and $2.4 million, respectively, in amortization expense related to capitalized software development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Research and development expenses increased $5.3 million, or 36%, and increased $10.5 million, or 39%, for the three and six months ended June 30, 2022 compared to the three and six months ended June 30, 2021, respectively, primarily attributable to increases of $5.2 million and $9.8 million, respectively, in personnel-related costs for our engineering, data, and product management personnel and contractors to support our continued growth.</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three and six months ended June 30, 2022, our total sales and marketing expense was comprised of approximately 30% and 36% for brand marketing, respectively, and 42% and 39% for performance marketing, respectively, with the remainder for organic &amp; other marketing expenses. For the three and six months ended June 30, 2021, our total sales and marketing expense was comprised of approximately 42% and 43% for brand marketing, respectively, and 36% and 33% for performance marketing, respectively, with the remainder for organic &amp; other marketing expenses. We are able to adjust our marketing spend to reflect changes in external factors and consumer behavior.</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increased $6.2 million, or 8%, and $33.7 million, or 22%, for the three and six months ended June 30, 2022 compared to the three and six months ended June 30, 2021, respectively, primarily attributable to increases of $7.6 million and $20.8 million, respectively, in performance marketing expenses, and $6.1 million and $10.9 million, respectively, in organic &amp; other marketing expenses primarily due to higher personnel-related costs due to our efforts to grow and increase our user base. Brand marketing expenses decreased $7.5 million and increased $2.0 million for the three and six months ended June 30, 2022, respectively.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expenses increased $6.4 million, or 72%, and $10.6 million, or 59%, for the three and six months ended June 30, 2022 compared to the three and six months ended June 30, 2021, respectively, primarily attributable to increases of $3.2 million and $5.1 million, respectively, in personnel-related costs mainly due to higher stock-based compensation and increased headcount, and $1.1 million and $2.2 million, respectively, in director and officer liability insurance costs. Additionally, acquisition-related costs increased and $2.2 million and $2.1 million for the three and six months ended June 30, 2022, respectively, primarily due to costs related to our acquisition of On the Barrelhead, Inc.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contingent consideration relates to our acquisitions of Fundera, Inc. (Fundera) and Know Your Money (KYM) in 2020. The fair value of the estimated contingent considerations is subject to remeasurement at each reporting date until the payments are made. See Note 3 – Fair Value Measurements in the notes to our condensed consolidated financial statements for further discussion regarding how we estimated the fair value of these contingent considerations.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r>
      <w:tr>
        <w:trPr>
          <w:trHeight w:val="26"/>
        </w:trPr>
        <w:tc>
          <w:tcPr>
            <w:tcW w:w="30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26"/>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87"/>
              </w:rPr>
              <w:t>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136"/>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center"/>
              <w:ind w:left="136"/>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96"/>
              <w:spacing w:after="0"/>
              <w:rPr>
                <w:sz w:val="20"/>
                <w:szCs w:val="20"/>
                <w:color w:val="auto"/>
              </w:rPr>
            </w:pPr>
            <w:r>
              <w:rPr>
                <w:rFonts w:ascii="Arial" w:cs="Arial" w:eastAsia="Arial" w:hAnsi="Arial"/>
                <w:sz w:val="18"/>
                <w:szCs w:val="18"/>
                <w:color w:val="auto"/>
                <w:w w:val="91"/>
              </w:rPr>
              <w:t>(1.3)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ind w:left="116"/>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96"/>
              <w:spacing w:after="0"/>
              <w:rPr>
                <w:sz w:val="20"/>
                <w:szCs w:val="20"/>
                <w:color w:val="auto"/>
              </w:rPr>
            </w:pPr>
            <w:r>
              <w:rPr>
                <w:rFonts w:ascii="Arial" w:cs="Arial" w:eastAsia="Arial" w:hAnsi="Arial"/>
                <w:sz w:val="18"/>
                <w:szCs w:val="18"/>
                <w:color w:val="auto"/>
                <w:w w:val="91"/>
              </w:rPr>
              <w:t>(1.0)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center"/>
              <w:ind w:left="116"/>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other expense, net of $0.1 million and $0.3 million for the three and six months ended June 30, 2022, respectively, as compared to other income, net of $0.9 million and $0.5 million for the three and six months ended June 30, 2021, respectively, with the change primarily due to a $1.3 million nonrecurring gain in the three and six months ended June 30, 2021 which was partially offset by lower interest expense.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had an income tax provision of $0.2 million and $1.4 million for the three and six months ended June 30, 2022, respectively, as compared to an income tax benefit of $7.9 million and $8.6 million for the three and six months ended June 30, 2021, respectively. Our effective tax rate was (1.8%) and (7.7%) for the three and six months ended June 30, 2022, and 36.4% and 24.2% for the three and six months ended June 30, 2021, respectively. Our effective tax rate for the three and six months ended June 30, 2022 was lower than the U.S. federal statutory income tax rate of 21% primarily due to higher capitalization of research and development expenses under new tax regulations effective in 2022 and a full valuation allowance recorded against our net U.S. deferred tax assets. Our effective tax rate for the three and six months ended June 30, 2021 was lower than the U.S. federal statutory income tax rate of 21% primarily due to excess tax benefits related to stock-based compensation, and research and development credits, partially offset by non-deductible contingent consideration related to earnouts.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compensate for these limitations by reconciling Adjusted EBITDA to net loss, the most comparable GAAP financial measure,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6"/>
        </w:trPr>
        <w:tc>
          <w:tcPr>
            <w:tcW w:w="5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5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431"/>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(26.8)</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12.8</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0.7</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(8.6)</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Loss on impairment and on disposal of assets</w:t>
            </w:r>
          </w:p>
        </w:tc>
        <w:tc>
          <w:tcPr>
            <w:tcW w:w="32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0.3</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7.7</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0.9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6.5</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0.1</w:t>
            </w: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312"/>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(4 %)</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5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Adjusted EBITDA as a percentage of revenue.</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 Results of Operations” for a discussion of the decrease in net loss for the three and six months ended June 30, 2022 compared to the three and six months ended June 30, 2021.</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increased $23.5 million and $29.2 million for the three and six months ended June 30, 2022 compared to the three and six months ended June 30, 2021, respectively. The increases were attributable to decreases of $4.6 million and $7.0 million in net loss and increases in adjustments to reconcile Adjusted EBITDA to net loss, including $8.1 million and $10.0 million for income taxes, $5.5 million and $9.7 million for stock-based compensation, and $2.2 million and $2.1 million for acquisition-related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principal sources of liquidity to meet our business requirements and plans, both in the short-term (i.e., the next twelve months from June 30, 2022) and long-term (i.e., beyond the next twelve months), have historically been cash generated from operations and, more recently, sales of our common stock, and borrowings under our credit facilities. Our primary liquidity needs are related to the funding of general corporate requirements, including working capital, research and development, and capital expenditures, as well as other liquidity requirements including, but not limited to, business combinations.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and December 31, 2021, we had cash and cash equivalents of $125.8 million and $167.8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Known Contractual and Other Obligations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description of contractual commitments as of June 30, 2022 is included in Note 5 – Commitments and Contingencies in the notes to our condensed consolidated financial statements.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six months ended June 30, 2022, there have been no material changes in our purchase obligations as disclosed in “Management’s Discussion and Analysis of Financial Condition and Results of Operations – Liquidity and Capital Resources” in our Annual Report on Form 10-K for the year ended December 31, 2021.</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as part of the acquisitions of KYM and Fundera, both in 2020, we committed to pay additional amounts of up to $11 million and $66 million, respectively, related to contingent earnout consideration over the succeeding years based, in part, on the achievement of certain financial metrics related to 2021 and 2022 performance. During the six months ended June 30, 2022, we paid $32.5 million for the 2021 performance period, consisting of $30.5 million of contingent consideration and the remainder for deferred compensation related to earnouts. The remaining commitment for the 2022 performance period is expected to be settled over the next twelve months. Based on fair value measurements for contingent consideration liabilities (see Note 3 – Fair Value Measurements in the notes to our condensed consolidated financial statements), $29.9 million was recorded for contingent consideration as of June 30, 2022.</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Uncertainties and Anticipated Sources of Funds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grow our business, we expect to increase our personnel and related expenses and to make significant investments in our business. The timing and amount of these investments will vary based on our financial condition, the rate at which we add new personnel and the scale of our growth, as well as the extent and duration of various forces impacting the macroeconomic environment, including market volatility, inflation, and rising interest rates.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or access to our credit facility to satisfy those needs.</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believe our current cash and cash equivalents, future cash flow from operations, and access to our credit facility will be sufficient to meet our ongoing working capital, capital expenditure and other liquidity requirements for at least twelve months from the date of this filing. If necessary, we may have borrowed up to $100 million under our credit facility with Silicon Valley Bank and certain other lenders, subject to customary borrowing conditions, as of June 30, 2022 or December 31, 2021. We had no outstanding balance on our credit facility as of June 30, 2022 or December 31, 2021. Our credit facility contains certain customary financial and non-financial covenants. We were in compliance with all covenants as of June 30, 2022 and December 31, 2021. On July 7, 2022, we borrowed $70.0 million under our credit facility to finance the cash portion of the Purchase Price for the acquisition of OTB. See Note 9 </w:t>
      </w:r>
      <w:r>
        <w:rPr>
          <w:rFonts w:ascii="Arial" w:cs="Arial" w:eastAsia="Arial" w:hAnsi="Arial"/>
          <w:sz w:val="17"/>
          <w:szCs w:val="17"/>
          <w:b w:val="1"/>
          <w:bCs w:val="1"/>
          <w:color w:val="auto"/>
        </w:rPr>
        <w:t>—</w:t>
      </w:r>
      <w:r>
        <w:rPr>
          <w:rFonts w:ascii="Arial" w:cs="Arial" w:eastAsia="Arial" w:hAnsi="Arial"/>
          <w:sz w:val="17"/>
          <w:szCs w:val="17"/>
          <w:color w:val="auto"/>
        </w:rPr>
        <w:t xml:space="preserve"> Subsequent Event in the notes to our condensed consolidated financial statements for further discussion.</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25" w:right="339" w:bottom="1440" w:gutter="0" w:footer="0" w:header="0"/>
        </w:sectPr>
      </w:pP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1586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5"/>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500"/>
          </w:cols>
          <w:pgMar w:left="320" w:top="12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decreased $3.7 million in the six months ended June 30, 2022 compared to the six months ended June 30, 2021, due to a $7.0 million decrease in net loss, a $20.0 million increase in net cash outflow from changes in operating assets and liabilities, and a $16.7 million increase in non-cash charges. The increase in net cash outflow from changes in operating assets and liabilities was primarily due to a $11.8 million decrease in accrued expenses and other current liabilities and a $11.5 million payment for contingent consideration in excess of the amount recorded at the acquisition date, partially offset by a $3.3 million increase related to operating lease liabilities. The increase in non-cash charges was primarily due to increases of $9.7 million in stock-based compensation, $2.0 million in depreciation and amortization, and $7.9 million in deferred taxes. These increases were partially offset by decreases of $2.0 million in the change in fair value of contingent consideration related to earnouts and $2.5 million in non-cash lease costs.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cash used in investing activities increased $5.1 million in the six months ended June 30, 2022 compared to the six months ended June 30, 2021, due to increases of $2.5 million in purchases of property and equipment and $2.6 million in capitalized software development costs.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financing activities decreased $2.0 million in the six months ended June 30, 2022 compared to the six months ended June 30, 2021, primarily due to cash outflows in the prior-year period for repurchases of $12.4 million for Class F common stock, $2.1 million for Series A redeemable convertible preferred stock, and $1.4 million for stock options, as well as $1.9 million of payments of offering costs related to our initial public offering. Additionally, we had $3.2 million of proceeds from the issuance of Class A common stock under our Employee Stock Purchase Plan during the six months ended June 30, 2022. These decreases in cash used in financing activities were substantially offset by a $19.0 million payment for contingent consideration recorded at the acquisition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2022, there have been no material changes in our critical accounting policies as disclosed in “Management’s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in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on recent accounting pronouncements, see Note 1 – The Company and Basis of Presentation in the notes to our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2022, there were no material changes from the market risk disclosures in our Annual Report on Form 10-K for the year ended December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June 30, 2022. Based on that evaluation, the Chief Executive Officer and the Chief Financial Officer concluded that these disclosure controls and procedures were effective as of June 30,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Rules 13a-15(d) and 15d-15(d) of the Exchange Act that occurred during the quarter ended June 30, 2022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 – Commitments and Contingencies in the notes to condensed consolidated financial statements in Item 1 of Part I of this Quarterly Report on Form 10-Q.</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2021 and in our subsequent periodic filings with the SEC.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9960"/>
        <w:spacing w:after="0"/>
        <w:rPr>
          <w:sz w:val="20"/>
          <w:szCs w:val="20"/>
          <w:color w:val="auto"/>
        </w:rPr>
      </w:pPr>
      <w:r>
        <w:rPr>
          <w:rFonts w:ascii="Arial" w:cs="Arial" w:eastAsia="Arial" w:hAnsi="Arial"/>
          <w:sz w:val="16"/>
          <w:szCs w:val="16"/>
          <w:b w:val="1"/>
          <w:bCs w:val="1"/>
          <w:color w:val="auto"/>
        </w:rPr>
        <w:t>Item 6. Exhibits.</w:t>
      </w:r>
    </w:p>
    <w:p>
      <w:pPr>
        <w:spacing w:after="0" w:line="144" w:lineRule="exact"/>
        <w:rPr>
          <w:sz w:val="20"/>
          <w:szCs w:val="20"/>
          <w:color w:val="auto"/>
        </w:rPr>
      </w:pPr>
    </w:p>
    <w:p>
      <w:pPr>
        <w:jc w:val="right"/>
        <w:ind w:right="1002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86"/>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11"/>
          </w:tcPr>
          <w:p>
            <w:pPr>
              <w:ind w:left="1420"/>
              <w:spacing w:after="0"/>
              <w:rPr>
                <w:sz w:val="20"/>
                <w:szCs w:val="20"/>
                <w:color w:val="auto"/>
              </w:rPr>
            </w:pPr>
            <w:r>
              <w:rPr>
                <w:rFonts w:ascii="Arial" w:cs="Arial" w:eastAsia="Arial" w:hAnsi="Arial"/>
                <w:sz w:val="14"/>
                <w:szCs w:val="14"/>
                <w:b w:val="1"/>
                <w:bCs w:val="1"/>
                <w:color w:val="auto"/>
              </w:rPr>
              <w:t>Description of Exhibit</w:t>
            </w:r>
          </w:p>
        </w:tc>
        <w:tc>
          <w:tcPr>
            <w:tcW w:w="4080" w:type="dxa"/>
            <w:vAlign w:val="bottom"/>
          </w:tcPr>
          <w:p>
            <w:pPr>
              <w:ind w:left="1760"/>
              <w:spacing w:after="0"/>
              <w:rPr>
                <w:sz w:val="20"/>
                <w:szCs w:val="20"/>
                <w:color w:val="auto"/>
              </w:rPr>
            </w:pPr>
            <w:r>
              <w:rPr>
                <w:rFonts w:ascii="Arial" w:cs="Arial" w:eastAsia="Arial" w:hAnsi="Arial"/>
                <w:sz w:val="14"/>
                <w:szCs w:val="14"/>
                <w:b w:val="1"/>
                <w:bCs w:val="1"/>
                <w:color w:val="auto"/>
              </w:rPr>
              <w:t>Location</w:t>
            </w:r>
          </w:p>
        </w:tc>
      </w:tr>
      <w:tr>
        <w:trPr>
          <w:trHeight w:val="26"/>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Agreement and Plan of Merger and Reorganization, dated as of June 23, 2022, by</w:t>
              </w:r>
            </w:hyperlink>
          </w:p>
        </w:tc>
        <w:tc>
          <w:tcPr>
            <w:tcW w:w="4080" w:type="dxa"/>
            <w:vAlign w:val="bottom"/>
          </w:tcPr>
          <w:p>
            <w:pPr>
              <w:ind w:left="20"/>
              <w:spacing w:after="0" w:line="196" w:lineRule="exact"/>
              <w:rPr>
                <w:sz w:val="20"/>
                <w:szCs w:val="20"/>
                <w:color w:val="auto"/>
              </w:rPr>
            </w:pPr>
            <w:r>
              <w:rPr>
                <w:rFonts w:ascii="Arial" w:cs="Arial" w:eastAsia="Arial" w:hAnsi="Arial"/>
                <w:sz w:val="18"/>
                <w:szCs w:val="18"/>
                <w:color w:val="auto"/>
              </w:rPr>
              <w:t>Exhibit 2.1 to the Registrant’s Current Report on</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and among NerdWallet, Inc., On the Barrelhead, Inc., Bighorn Merger Sub Corp.,</w:t>
              </w:r>
            </w:hyperlink>
          </w:p>
        </w:tc>
        <w:tc>
          <w:tcPr>
            <w:tcW w:w="4080" w:type="dxa"/>
            <w:vAlign w:val="bottom"/>
          </w:tcPr>
          <w:p>
            <w:pPr>
              <w:ind w:left="20"/>
              <w:spacing w:after="0" w:line="196" w:lineRule="exact"/>
              <w:rPr>
                <w:sz w:val="20"/>
                <w:szCs w:val="20"/>
                <w:color w:val="auto"/>
              </w:rPr>
            </w:pPr>
            <w:r>
              <w:rPr>
                <w:rFonts w:ascii="Arial" w:cs="Arial" w:eastAsia="Arial" w:hAnsi="Arial"/>
                <w:sz w:val="18"/>
                <w:szCs w:val="18"/>
                <w:color w:val="auto"/>
              </w:rPr>
              <w:t>Form 8-K filed June 24, 2022</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19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Bighorn Merger Sub 2, LLC, NerdWallet Compare, Inc. and Fortis Advisors LLC,</w:t>
              </w:r>
            </w:hyperlink>
          </w:p>
        </w:tc>
        <w:tc>
          <w:tcPr>
            <w:tcW w:w="40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81">
              <w:r>
                <w:rPr>
                  <w:rFonts w:ascii="Arial" w:cs="Arial" w:eastAsia="Arial" w:hAnsi="Arial"/>
                  <w:sz w:val="18"/>
                  <w:szCs w:val="18"/>
                  <w:color w:val="0000FF"/>
                  <w:w w:val="88"/>
                </w:rPr>
                <w:t>as the stockholder representative.*</w:t>
              </w:r>
            </w:hyperlink>
          </w:p>
        </w:tc>
        <w:tc>
          <w:tcPr>
            <w:tcW w:w="3440" w:type="dxa"/>
            <w:vAlign w:val="bottom"/>
            <w:tcBorders>
              <w:top w:val="single" w:sz="8" w:color="0000FF"/>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c>
          <w:tcPr>
            <w:tcW w:w="4080" w:type="dxa"/>
            <w:vAlign w:val="bottom"/>
          </w:tcPr>
          <w:p>
            <w:pPr>
              <w:spacing w:after="0"/>
              <w:rPr>
                <w:sz w:val="17"/>
                <w:szCs w:val="17"/>
                <w:color w:val="auto"/>
              </w:rPr>
            </w:pPr>
          </w:p>
        </w:tc>
      </w:tr>
      <w:tr>
        <w:trPr>
          <w:trHeight w:val="250"/>
        </w:trPr>
        <w:tc>
          <w:tcPr>
            <w:tcW w:w="94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rFonts w:ascii="Arial" w:cs="Arial" w:eastAsia="Arial" w:hAnsi="Arial"/>
                <w:sz w:val="18"/>
                <w:szCs w:val="18"/>
                <w:color w:val="0000FF"/>
              </w:rPr>
            </w:pPr>
            <w:hyperlink r:id="rId82">
              <w:r>
                <w:rPr>
                  <w:rFonts w:ascii="Arial" w:cs="Arial" w:eastAsia="Arial" w:hAnsi="Arial"/>
                  <w:sz w:val="18"/>
                  <w:szCs w:val="18"/>
                  <w:color w:val="0000FF"/>
                </w:rPr>
                <w:t>NerdWallet, Inc. 2021 Equity Incentive Plan, as amended.</w:t>
              </w:r>
            </w:hyperlink>
          </w:p>
        </w:tc>
        <w:tc>
          <w:tcPr>
            <w:tcW w:w="4080" w:type="dxa"/>
            <w:vAlign w:val="bottom"/>
          </w:tcPr>
          <w:p>
            <w:pPr>
              <w:ind w:left="20"/>
              <w:spacing w:after="0"/>
              <w:rPr>
                <w:sz w:val="20"/>
                <w:szCs w:val="20"/>
                <w:color w:val="auto"/>
              </w:rPr>
            </w:pPr>
            <w:r>
              <w:rPr>
                <w:rFonts w:ascii="Arial" w:cs="Arial" w:eastAsia="Arial" w:hAnsi="Arial"/>
                <w:sz w:val="18"/>
                <w:szCs w:val="18"/>
                <w:color w:val="auto"/>
                <w:w w:val="93"/>
              </w:rPr>
              <w:t>Exhibit 99.1 to the Registrant’s Registration Statement</w:t>
            </w:r>
          </w:p>
        </w:tc>
      </w:tr>
      <w:tr>
        <w:trPr>
          <w:trHeight w:val="237"/>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1580" w:type="dxa"/>
            <w:vAlign w:val="bottom"/>
            <w:tcBorders>
              <w:top w:val="single" w:sz="8" w:color="0000FF"/>
            </w:tcBorders>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on Form S-8 (No. 333-265197) filed May 25, 2022</w:t>
            </w:r>
          </w:p>
        </w:tc>
      </w:tr>
      <w:tr>
        <w:trPr>
          <w:trHeight w:val="229"/>
        </w:trPr>
        <w:tc>
          <w:tcPr>
            <w:tcW w:w="9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12"/>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Certification of Principal Executive Officer pursuant to Exchange Act Rules 13a-</w:t>
              </w:r>
            </w:hyperlink>
          </w:p>
        </w:tc>
        <w:tc>
          <w:tcPr>
            <w:tcW w:w="40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top w:val="single" w:sz="8" w:color="0000FF"/>
            </w:tcBorders>
            <w:gridSpan w:val="7"/>
          </w:tcPr>
          <w:p>
            <w:pPr>
              <w:spacing w:after="0" w:line="196" w:lineRule="exact"/>
              <w:rPr>
                <w:rFonts w:ascii="Arial" w:cs="Arial" w:eastAsia="Arial" w:hAnsi="Arial"/>
                <w:sz w:val="18"/>
                <w:szCs w:val="18"/>
                <w:color w:val="0000FF"/>
                <w:w w:val="91"/>
              </w:rPr>
            </w:pPr>
            <w:hyperlink w:anchor="page30">
              <w:r>
                <w:rPr>
                  <w:rFonts w:ascii="Arial" w:cs="Arial" w:eastAsia="Arial" w:hAnsi="Arial"/>
                  <w:sz w:val="18"/>
                  <w:szCs w:val="18"/>
                  <w:color w:val="0000FF"/>
                  <w:w w:val="91"/>
                </w:rPr>
                <w:t>14(a) and 15d-14(a), as adopted pursuant to Section 302 of the Sarbanes-Oxley</w:t>
              </w:r>
            </w:hyperlink>
          </w:p>
        </w:tc>
        <w:tc>
          <w:tcPr>
            <w:tcW w:w="240" w:type="dxa"/>
            <w:vAlign w:val="bottom"/>
            <w:gridSpan w:val="5"/>
          </w:tcPr>
          <w:p>
            <w:pPr>
              <w:spacing w:after="0"/>
              <w:rPr>
                <w:sz w:val="17"/>
                <w:szCs w:val="17"/>
                <w:color w:val="auto"/>
              </w:rPr>
            </w:pPr>
          </w:p>
        </w:tc>
        <w:tc>
          <w:tcPr>
            <w:tcW w:w="40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30">
              <w:r>
                <w:rPr>
                  <w:rFonts w:ascii="Arial" w:cs="Arial" w:eastAsia="Arial" w:hAnsi="Arial"/>
                  <w:sz w:val="18"/>
                  <w:szCs w:val="18"/>
                  <w:color w:val="0000FF"/>
                  <w:w w:val="91"/>
                </w:rPr>
                <w:t>Act of 2002.</w:t>
              </w:r>
            </w:hyperlink>
          </w:p>
        </w:tc>
        <w:tc>
          <w:tcPr>
            <w:tcW w:w="4780" w:type="dxa"/>
            <w:vAlign w:val="bottom"/>
            <w:tcBorders>
              <w:top w:val="single" w:sz="8" w:color="0000FF"/>
            </w:tcBorders>
            <w:gridSpan w:val="4"/>
          </w:tcPr>
          <w:p>
            <w:pPr>
              <w:spacing w:after="0"/>
              <w:rPr>
                <w:sz w:val="17"/>
                <w:szCs w:val="17"/>
                <w:color w:val="auto"/>
              </w:rPr>
            </w:pPr>
          </w:p>
        </w:tc>
        <w:tc>
          <w:tcPr>
            <w:tcW w:w="420" w:type="dxa"/>
            <w:vAlign w:val="bottom"/>
            <w:gridSpan w:val="7"/>
          </w:tcPr>
          <w:p>
            <w:pPr>
              <w:spacing w:after="0"/>
              <w:rPr>
                <w:sz w:val="17"/>
                <w:szCs w:val="17"/>
                <w:color w:val="auto"/>
              </w:rPr>
            </w:pPr>
          </w:p>
        </w:tc>
        <w:tc>
          <w:tcPr>
            <w:tcW w:w="4080" w:type="dxa"/>
            <w:vAlign w:val="bottom"/>
          </w:tcPr>
          <w:p>
            <w:pPr>
              <w:spacing w:after="0"/>
              <w:rPr>
                <w:sz w:val="17"/>
                <w:szCs w:val="17"/>
                <w:color w:val="auto"/>
              </w:rPr>
            </w:pPr>
          </w:p>
        </w:tc>
      </w:tr>
      <w:tr>
        <w:trPr>
          <w:trHeight w:val="250"/>
        </w:trPr>
        <w:tc>
          <w:tcPr>
            <w:tcW w:w="9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Certification of Principal Financial Officer pursuant to Exchange Act Rules 13a-</w:t>
              </w:r>
            </w:hyperlink>
          </w:p>
        </w:tc>
        <w:tc>
          <w:tcPr>
            <w:tcW w:w="408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6"/>
          </w:tcPr>
          <w:p>
            <w:pPr>
              <w:spacing w:after="0" w:line="182"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14(a) and 15d-14(a), as adopted pursuant to Section 302 of the Sarbanes-Oxley</w:t>
              </w:r>
            </w:hyperlink>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Act of 2002.</w:t>
              </w:r>
            </w:hyperlink>
          </w:p>
        </w:tc>
        <w:tc>
          <w:tcPr>
            <w:tcW w:w="4780" w:type="dxa"/>
            <w:vAlign w:val="bottom"/>
            <w:tcBorders>
              <w:top w:val="single" w:sz="8" w:color="0000FF"/>
            </w:tcBorders>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36"/>
        </w:trPr>
        <w:tc>
          <w:tcPr>
            <w:tcW w:w="94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Certification of Principal Executive Officer pursuant to 18 U.S.C. Section 1350, as</w:t>
              </w:r>
            </w:hyperlink>
          </w:p>
        </w:tc>
        <w:tc>
          <w:tcPr>
            <w:tcW w:w="408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adopted pursuant to Section 906 of the Sarbanes-Oxley Act of 2002.</w:t>
              </w:r>
            </w:hyperlink>
          </w:p>
        </w:tc>
        <w:tc>
          <w:tcPr>
            <w:tcW w:w="1020" w:type="dxa"/>
            <w:vAlign w:val="bottom"/>
            <w:tcBorders>
              <w:top w:val="single" w:sz="8" w:color="0000FF"/>
            </w:tcBorders>
            <w:gridSpan w:val="6"/>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37"/>
        </w:trPr>
        <w:tc>
          <w:tcPr>
            <w:tcW w:w="94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Certification of Principal Financial Officer pursuant to 18 U.S.C. Section 1350, as</w:t>
              </w:r>
            </w:hyperlink>
          </w:p>
        </w:tc>
        <w:tc>
          <w:tcPr>
            <w:tcW w:w="408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adopted pursuant to Section 906 of the Sarbanes-Oxley Act of 2002.</w:t>
              </w:r>
            </w:hyperlink>
          </w:p>
        </w:tc>
        <w:tc>
          <w:tcPr>
            <w:tcW w:w="980" w:type="dxa"/>
            <w:vAlign w:val="bottom"/>
            <w:tcBorders>
              <w:top w:val="single" w:sz="8" w:color="0000FF"/>
            </w:tcBorders>
            <w:gridSpan w:val="4"/>
          </w:tcPr>
          <w:p>
            <w:pPr>
              <w:spacing w:after="0"/>
              <w:rPr>
                <w:sz w:val="15"/>
                <w:szCs w:val="15"/>
                <w:color w:val="auto"/>
              </w:rPr>
            </w:pPr>
          </w:p>
        </w:tc>
        <w:tc>
          <w:tcPr>
            <w:tcW w:w="200" w:type="dxa"/>
            <w:vAlign w:val="bottom"/>
            <w:gridSpan w:val="4"/>
          </w:tcPr>
          <w:p>
            <w:pPr>
              <w:spacing w:after="0"/>
              <w:rPr>
                <w:sz w:val="15"/>
                <w:szCs w:val="15"/>
                <w:color w:val="auto"/>
              </w:rPr>
            </w:pPr>
          </w:p>
        </w:tc>
        <w:tc>
          <w:tcPr>
            <w:tcW w:w="4080" w:type="dxa"/>
            <w:vAlign w:val="bottom"/>
          </w:tcPr>
          <w:p>
            <w:pPr>
              <w:spacing w:after="0"/>
              <w:rPr>
                <w:sz w:val="15"/>
                <w:szCs w:val="15"/>
                <w:color w:val="auto"/>
              </w:rPr>
            </w:pPr>
          </w:p>
        </w:tc>
      </w:tr>
      <w:tr>
        <w:trPr>
          <w:trHeight w:val="249"/>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w w:val="96"/>
              </w:rPr>
              <w:t>Inline XBRL Instance Document.(the instance document does not appear in the</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202" w:lineRule="exact"/>
              <w:rPr>
                <w:sz w:val="20"/>
                <w:szCs w:val="20"/>
                <w:color w:val="auto"/>
              </w:rPr>
            </w:pPr>
            <w:r>
              <w:rPr>
                <w:rFonts w:ascii="Arial" w:cs="Arial" w:eastAsia="Arial" w:hAnsi="Arial"/>
                <w:sz w:val="18"/>
                <w:szCs w:val="18"/>
                <w:color w:val="auto"/>
                <w:w w:val="93"/>
              </w:rPr>
              <w:t>Interactive Data File because its XBRL tags are embedded within the Inline XBRL</w:t>
            </w:r>
          </w:p>
        </w:tc>
        <w:tc>
          <w:tcPr>
            <w:tcW w:w="4080" w:type="dxa"/>
            <w:vAlign w:val="bottom"/>
          </w:tcPr>
          <w:p>
            <w:pPr>
              <w:spacing w:after="0"/>
              <w:rPr>
                <w:sz w:val="17"/>
                <w:szCs w:val="17"/>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2"/>
                <w:szCs w:val="22"/>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42"/>
        </w:trPr>
        <w:tc>
          <w:tcPr>
            <w:tcW w:w="9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40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40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3" w:lineRule="exact"/>
        <w:rPr>
          <w:sz w:val="20"/>
          <w:szCs w:val="20"/>
          <w:color w:val="auto"/>
        </w:rPr>
      </w:pPr>
    </w:p>
    <w:p>
      <w:pPr>
        <w:ind w:left="340" w:hanging="332"/>
        <w:spacing w:after="0" w:line="273" w:lineRule="auto"/>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The Company agrees to furnish supplementally to the SEC a copy of any omitted schedule or exhibit upon request.</w:t>
      </w:r>
    </w:p>
    <w:p>
      <w:pPr>
        <w:spacing w:after="0" w:line="12" w:lineRule="exact"/>
        <w:rPr>
          <w:sz w:val="20"/>
          <w:szCs w:val="20"/>
          <w:color w:val="auto"/>
        </w:rPr>
      </w:pPr>
    </w:p>
    <w:p>
      <w:pPr>
        <w:jc w:val="both"/>
        <w:ind w:left="340" w:hanging="332"/>
        <w:spacing w:after="0" w:line="257" w:lineRule="auto"/>
        <w:tabs>
          <w:tab w:leader="none" w:pos="31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2" w:lineRule="exact"/>
        <w:rPr>
          <w:rFonts w:ascii="Arial" w:cs="Arial" w:eastAsia="Arial" w:hAnsi="Arial"/>
          <w:sz w:val="14"/>
          <w:szCs w:val="14"/>
          <w:color w:val="auto"/>
        </w:rPr>
      </w:pPr>
    </w:p>
    <w:p>
      <w:pPr>
        <w:jc w:val="both"/>
        <w:ind w:left="340" w:hanging="332"/>
        <w:spacing w:after="0" w:line="257" w:lineRule="auto"/>
        <w:tabs>
          <w:tab w:leader="none" w:pos="417"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06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NERDWALLET, INC.</w:t>
            </w:r>
          </w:p>
        </w:tc>
      </w:tr>
      <w:tr>
        <w:trPr>
          <w:trHeight w:val="527"/>
        </w:trPr>
        <w:tc>
          <w:tcPr>
            <w:tcW w:w="3160" w:type="dxa"/>
            <w:vAlign w:val="bottom"/>
          </w:tcPr>
          <w:p>
            <w:pPr>
              <w:spacing w:after="0"/>
              <w:rPr>
                <w:sz w:val="20"/>
                <w:szCs w:val="20"/>
                <w:color w:val="auto"/>
              </w:rPr>
            </w:pPr>
            <w:r>
              <w:rPr>
                <w:rFonts w:ascii="Arial" w:cs="Arial" w:eastAsia="Arial" w:hAnsi="Arial"/>
                <w:sz w:val="18"/>
                <w:szCs w:val="18"/>
                <w:color w:val="auto"/>
              </w:rPr>
              <w:t>Date:   August 4, 2022</w:t>
            </w:r>
          </w:p>
        </w:tc>
        <w:tc>
          <w:tcPr>
            <w:tcW w:w="6060" w:type="dxa"/>
            <w:vAlign w:val="bottom"/>
            <w:gridSpan w:val="2"/>
          </w:tcPr>
          <w:p>
            <w:pPr>
              <w:ind w:left="1460"/>
              <w:spacing w:after="0"/>
              <w:rPr>
                <w:sz w:val="20"/>
                <w:szCs w:val="20"/>
                <w:color w:val="auto"/>
              </w:rPr>
            </w:pPr>
            <w:r>
              <w:rPr>
                <w:rFonts w:ascii="Arial" w:cs="Arial" w:eastAsia="Arial" w:hAnsi="Arial"/>
                <w:sz w:val="18"/>
                <w:szCs w:val="18"/>
                <w:color w:val="auto"/>
              </w:rPr>
              <w:t>By:   /s/ Lauren StClair</w:t>
            </w:r>
          </w:p>
        </w:tc>
      </w:tr>
      <w:tr>
        <w:trPr>
          <w:trHeight w:val="27"/>
        </w:trPr>
        <w:tc>
          <w:tcPr>
            <w:tcW w:w="3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Lauren StClair</w:t>
            </w:r>
          </w:p>
        </w:tc>
      </w:tr>
      <w:tr>
        <w:trPr>
          <w:trHeight w:val="270"/>
        </w:trPr>
        <w:tc>
          <w:tcPr>
            <w:tcW w:w="31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36"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36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76"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36"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emdash "/>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1" Type="http://schemas.openxmlformats.org/officeDocument/2006/relationships/hyperlink" Target="https://www.sec.gov/Archives/edgar/data/0001625278/000162527822000089/exhibit21-mergeragreement.htm" TargetMode="External"/><Relationship Id="rId82" Type="http://schemas.openxmlformats.org/officeDocument/2006/relationships/hyperlink" Target="https://www.sec.gov/Archives/edgar/data/0001625278/000162527822000065/exhibit991-sx8525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2022-08-05T05:27:27Z</dcterms:created>
  <dcterms:modified xsi:type="dcterms:W3CDTF">2022-08-05T05:27:27Z</dcterms:modified>
</cp:coreProperties>
</file>