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5"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2021</w:t>
      </w:r>
    </w:p>
    <w:p>
      <w:pPr>
        <w:sectPr>
          <w:pgSz w:w="11900" w:h="16838" w:orient="portrait"/>
          <w:cols w:equalWidth="0" w:num="1">
            <w:col w:w="11240"/>
          </w:cols>
          <w:pgMar w:left="320" w:top="1386" w:right="339" w:bottom="1440" w:gutter="0" w:footer="0" w:header="0"/>
        </w:sectPr>
      </w:pPr>
    </w:p>
    <w:p>
      <w:pPr>
        <w:spacing w:after="0" w:line="38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OR</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77" w:lineRule="exact"/>
        <w:rPr>
          <w:sz w:val="24"/>
          <w:szCs w:val="24"/>
          <w:color w:val="auto"/>
        </w:rPr>
      </w:pPr>
    </w:p>
    <w:p>
      <w:pPr>
        <w:sectPr>
          <w:pgSz w:w="11900" w:h="16838" w:orient="portrait"/>
          <w:cols w:equalWidth="0" w:num="2">
            <w:col w:w="180" w:space="400"/>
            <w:col w:w="10660"/>
          </w:cols>
          <w:pgMar w:left="320" w:top="1386" w:right="3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001-40994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NerdWallet,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8" w:lineRule="exact"/>
        <w:rPr>
          <w:sz w:val="24"/>
          <w:szCs w:val="24"/>
          <w:color w:val="auto"/>
        </w:rPr>
      </w:pPr>
    </w:p>
    <w:p>
      <w:pPr>
        <w:ind w:left="2480"/>
        <w:spacing w:after="0"/>
        <w:rPr>
          <w:sz w:val="20"/>
          <w:szCs w:val="20"/>
          <w:color w:val="auto"/>
        </w:rPr>
      </w:pPr>
      <w:r>
        <w:rPr>
          <w:rFonts w:ascii="Arial" w:cs="Arial" w:eastAsia="Arial" w:hAnsi="Arial"/>
          <w:sz w:val="17"/>
          <w:szCs w:val="17"/>
          <w:b w:val="1"/>
          <w:bCs w:val="1"/>
          <w:color w:val="auto"/>
        </w:rPr>
        <w:t>Delaware</w:t>
      </w:r>
    </w:p>
    <w:p>
      <w:pPr>
        <w:ind w:left="8040"/>
        <w:spacing w:after="0"/>
        <w:rPr>
          <w:sz w:val="20"/>
          <w:szCs w:val="20"/>
          <w:color w:val="auto"/>
        </w:rPr>
      </w:pPr>
      <w:r>
        <w:rPr>
          <w:rFonts w:ascii="Arial" w:cs="Arial" w:eastAsia="Arial" w:hAnsi="Arial"/>
          <w:sz w:val="17"/>
          <w:szCs w:val="17"/>
          <w:b w:val="1"/>
          <w:bCs w:val="1"/>
          <w:color w:val="auto"/>
        </w:rPr>
        <w:t>45-4180440</w:t>
      </w:r>
    </w:p>
    <w:p>
      <w:pPr>
        <w:spacing w:after="0" w:line="47" w:lineRule="exact"/>
        <w:rPr>
          <w:sz w:val="24"/>
          <w:szCs w:val="24"/>
          <w:color w:val="auto"/>
        </w:rPr>
      </w:pPr>
    </w:p>
    <w:p>
      <w:pPr>
        <w:ind w:left="760"/>
        <w:spacing w:after="0"/>
        <w:tabs>
          <w:tab w:leader="none" w:pos="7200" w:val="left"/>
        </w:tabs>
        <w:rPr>
          <w:sz w:val="20"/>
          <w:szCs w:val="20"/>
          <w:color w:val="auto"/>
        </w:rPr>
      </w:pPr>
      <w:r>
        <w:rPr>
          <w:rFonts w:ascii="Arial" w:cs="Arial" w:eastAsia="Arial" w:hAnsi="Arial"/>
          <w:sz w:val="17"/>
          <w:szCs w:val="17"/>
          <w:i w:val="1"/>
          <w:iCs w:val="1"/>
          <w:color w:val="auto"/>
        </w:rPr>
        <w:t>(State or other jurisdiction of incorporation or organization)</w:t>
      </w:r>
      <w:r>
        <w:rPr>
          <w:sz w:val="20"/>
          <w:szCs w:val="20"/>
          <w:color w:val="auto"/>
        </w:rPr>
        <w:tab/>
      </w:r>
      <w:r>
        <w:rPr>
          <w:rFonts w:ascii="Arial" w:cs="Arial" w:eastAsia="Arial" w:hAnsi="Arial"/>
          <w:sz w:val="15"/>
          <w:szCs w:val="15"/>
          <w:i w:val="1"/>
          <w:iCs w:val="1"/>
          <w:color w:val="auto"/>
        </w:rPr>
        <w:t>(I.R.S. Employer Identification No.)</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55 Hawthorne St., 11th Floor, San Francisco, CA 94105</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(Address of principal executive offices) (Zip code)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(415) 549-8913</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57" w:lineRule="exact"/>
        <w:rPr>
          <w:sz w:val="24"/>
          <w:szCs w:val="24"/>
          <w:color w:val="auto"/>
        </w:rPr>
      </w:pPr>
    </w:p>
    <w:p>
      <w:pPr>
        <w:ind w:left="1340"/>
        <w:spacing w:after="0"/>
        <w:tabs>
          <w:tab w:leader="none" w:pos="4500" w:val="left"/>
          <w:tab w:leader="none" w:pos="7220" w:val="left"/>
        </w:tabs>
        <w:rPr>
          <w:sz w:val="20"/>
          <w:szCs w:val="20"/>
          <w:color w:val="auto"/>
        </w:rPr>
      </w:pPr>
      <w:r>
        <w:rPr>
          <w:rFonts w:ascii="Arial" w:cs="Arial" w:eastAsia="Arial" w:hAnsi="Arial"/>
          <w:sz w:val="17"/>
          <w:szCs w:val="17"/>
          <w:b w:val="1"/>
          <w:bCs w:val="1"/>
          <w:color w:val="auto"/>
        </w:rPr>
        <w:t>Title of each class</w:t>
      </w:r>
      <w:r>
        <w:rPr>
          <w:sz w:val="20"/>
          <w:szCs w:val="20"/>
          <w:color w:val="auto"/>
        </w:rPr>
        <w:tab/>
      </w:r>
      <w:r>
        <w:rPr>
          <w:rFonts w:ascii="Arial" w:cs="Arial" w:eastAsia="Arial" w:hAnsi="Arial"/>
          <w:sz w:val="17"/>
          <w:szCs w:val="17"/>
          <w:b w:val="1"/>
          <w:bCs w:val="1"/>
          <w:color w:val="auto"/>
        </w:rPr>
        <w:t>Trading symbol(s)</w:t>
      </w:r>
      <w:r>
        <w:rPr>
          <w:sz w:val="20"/>
          <w:szCs w:val="20"/>
          <w:color w:val="auto"/>
        </w:rPr>
        <w:tab/>
      </w:r>
      <w:r>
        <w:rPr>
          <w:rFonts w:ascii="Arial" w:cs="Arial" w:eastAsia="Arial" w:hAnsi="Arial"/>
          <w:sz w:val="14"/>
          <w:szCs w:val="14"/>
          <w:b w:val="1"/>
          <w:bCs w:val="1"/>
          <w:color w:val="auto"/>
        </w:rPr>
        <w:t>Name of each exchange on which registered</w:t>
      </w:r>
    </w:p>
    <w:p>
      <w:pPr>
        <w:spacing w:after="0" w:line="65" w:lineRule="exact"/>
        <w:rPr>
          <w:sz w:val="24"/>
          <w:szCs w:val="24"/>
          <w:color w:val="auto"/>
        </w:rPr>
      </w:pPr>
    </w:p>
    <w:p>
      <w:pPr>
        <w:ind w:left="580"/>
        <w:spacing w:after="0"/>
        <w:tabs>
          <w:tab w:leader="none" w:pos="4940" w:val="left"/>
          <w:tab w:leader="none" w:pos="7860" w:val="left"/>
        </w:tabs>
        <w:rPr>
          <w:sz w:val="20"/>
          <w:szCs w:val="20"/>
          <w:color w:val="auto"/>
        </w:rPr>
      </w:pPr>
      <w:r>
        <w:rPr>
          <w:rFonts w:ascii="Arial" w:cs="Arial" w:eastAsia="Arial" w:hAnsi="Arial"/>
          <w:sz w:val="17"/>
          <w:szCs w:val="17"/>
          <w:color w:val="auto"/>
        </w:rPr>
        <w:t>Class A common stock, $.0001 par value</w:t>
      </w:r>
      <w:r>
        <w:rPr>
          <w:sz w:val="20"/>
          <w:szCs w:val="20"/>
          <w:color w:val="auto"/>
        </w:rPr>
        <w:tab/>
      </w:r>
      <w:r>
        <w:rPr>
          <w:rFonts w:ascii="Arial" w:cs="Arial" w:eastAsia="Arial" w:hAnsi="Arial"/>
          <w:sz w:val="17"/>
          <w:szCs w:val="17"/>
          <w:color w:val="auto"/>
        </w:rPr>
        <w:t>NRDS</w:t>
      </w:r>
      <w:r>
        <w:rPr>
          <w:sz w:val="20"/>
          <w:szCs w:val="20"/>
          <w:color w:val="auto"/>
        </w:rPr>
        <w:tab/>
      </w:r>
      <w:r>
        <w:rPr>
          <w:rFonts w:ascii="Arial" w:cs="Arial" w:eastAsia="Arial" w:hAnsi="Arial"/>
          <w:sz w:val="15"/>
          <w:szCs w:val="15"/>
          <w:color w:val="auto"/>
        </w:rPr>
        <w:t>The Nasdaq Global Market</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32" w:lineRule="exact"/>
        <w:rPr>
          <w:sz w:val="24"/>
          <w:szCs w:val="24"/>
          <w:color w:val="auto"/>
        </w:rPr>
      </w:pPr>
    </w:p>
    <w:p>
      <w:pPr>
        <w:ind w:right="2320"/>
        <w:spacing w:after="0" w:line="27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No </w:t>
      </w:r>
      <w:r>
        <w:rPr>
          <w:rFonts w:ascii="MS PGothic" w:cs="MS PGothic" w:eastAsia="MS PGothic" w:hAnsi="MS PGothic"/>
          <w:sz w:val="15"/>
          <w:szCs w:val="15"/>
          <w:color w:val="auto"/>
        </w:rPr>
        <w:t>☒</w:t>
      </w:r>
    </w:p>
    <w:p>
      <w:pPr>
        <w:spacing w:after="0" w:line="17"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42"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4" w:lineRule="exact"/>
        <w:rPr>
          <w:sz w:val="24"/>
          <w:szCs w:val="24"/>
          <w:color w:val="auto"/>
        </w:rPr>
      </w:pPr>
    </w:p>
    <w:tbl>
      <w:tblPr>
        <w:tblLayout w:type="fixed"/>
        <w:tblInd w:w="1080" w:type="dxa"/>
        <w:tblCellMar>
          <w:top w:w="0" w:type="dxa"/>
          <w:left w:w="0" w:type="dxa"/>
          <w:bottom w:w="0" w:type="dxa"/>
          <w:right w:w="0" w:type="dxa"/>
        </w:tblCellMar>
      </w:tblPr>
      <w:tr>
        <w:trPr>
          <w:trHeight w:val="216"/>
        </w:trPr>
        <w:tc>
          <w:tcPr>
            <w:tcW w:w="228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1520" w:type="dxa"/>
            <w:vAlign w:val="bottom"/>
            <w:vMerge w:val="restart"/>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7"/>
                <w:szCs w:val="17"/>
                <w:color w:val="auto"/>
              </w:rPr>
              <w:t>Accelerated filer</w:t>
            </w:r>
          </w:p>
        </w:tc>
        <w:tc>
          <w:tcPr>
            <w:tcW w:w="100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3"/>
        </w:trPr>
        <w:tc>
          <w:tcPr>
            <w:tcW w:w="22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3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0"/>
                <w:szCs w:val="20"/>
                <w:color w:val="auto"/>
              </w:rPr>
            </w:pPr>
            <w:r>
              <w:rPr>
                <w:rFonts w:ascii="Arial" w:cs="Arial" w:eastAsia="Arial" w:hAnsi="Arial"/>
                <w:sz w:val="17"/>
                <w:szCs w:val="17"/>
                <w:color w:val="auto"/>
              </w:rPr>
              <w:t>Non-accelerated filer</w:t>
            </w:r>
          </w:p>
        </w:tc>
        <w:tc>
          <w:tcPr>
            <w:tcW w:w="15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7"/>
                <w:szCs w:val="17"/>
                <w:color w:val="auto"/>
              </w:rPr>
              <w:t>Smaller reporting company</w:t>
            </w:r>
          </w:p>
        </w:tc>
        <w:tc>
          <w:tcPr>
            <w:tcW w:w="1000" w:type="dxa"/>
            <w:vAlign w:val="bottom"/>
            <w:vMerge w:val="restart"/>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7"/>
                <w:szCs w:val="17"/>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46"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4"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The registrant was not a public company as of June 30, 2021 (the last business day of registrant’s most recently completed second fiscal quarter), and therefore cannot calculate the aggregate market value of its voting common stock held by non-affiliates as of such date. The registrant’s Class A common stock began trading on the Nasdaq Global Market on November 4, 2021.</w:t>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The registrant had outstanding 35,383,794 shares of Class A common stock and 31,685,652 shares of Class B common stock as of March 15, 2022.</w:t>
      </w:r>
    </w:p>
    <w:p>
      <w:pPr>
        <w:spacing w:after="0" w:line="21" w:lineRule="exact"/>
        <w:rPr>
          <w:sz w:val="24"/>
          <w:szCs w:val="24"/>
          <w:color w:val="auto"/>
        </w:rPr>
      </w:pPr>
    </w:p>
    <w:p>
      <w:pPr>
        <w:ind w:left="3660"/>
        <w:spacing w:after="0"/>
        <w:rPr>
          <w:sz w:val="20"/>
          <w:szCs w:val="20"/>
          <w:color w:val="auto"/>
        </w:rPr>
      </w:pPr>
      <w:r>
        <w:rPr>
          <w:rFonts w:ascii="Arial" w:cs="Arial" w:eastAsia="Arial" w:hAnsi="Arial"/>
          <w:sz w:val="17"/>
          <w:szCs w:val="17"/>
          <w:b w:val="1"/>
          <w:bCs w:val="1"/>
          <w:color w:val="auto"/>
        </w:rPr>
        <w:t>DOCUMENTS INCORPORATED BY REFERENCE</w:t>
      </w:r>
    </w:p>
    <w:p>
      <w:pPr>
        <w:spacing w:after="0" w:line="7" w:lineRule="exact"/>
        <w:rPr>
          <w:sz w:val="24"/>
          <w:szCs w:val="24"/>
          <w:color w:val="auto"/>
        </w:rPr>
      </w:pPr>
    </w:p>
    <w:p>
      <w:pPr>
        <w:jc w:val="both"/>
        <w:spacing w:after="0" w:line="252" w:lineRule="auto"/>
        <w:rPr>
          <w:sz w:val="20"/>
          <w:szCs w:val="20"/>
          <w:color w:val="auto"/>
        </w:rPr>
      </w:pPr>
      <w:r>
        <w:rPr>
          <w:rFonts w:ascii="Arial" w:cs="Arial" w:eastAsia="Arial" w:hAnsi="Arial"/>
          <w:sz w:val="17"/>
          <w:szCs w:val="17"/>
          <w:color w:val="auto"/>
        </w:rPr>
        <w:t>Portions of the registrant’s definitive proxy statement for its 2022 Annual Meeting of Stockholders (the “Proxy Statement”), to be filed within 120 days of the registrant’s fiscal year ended December 31, 2021, are incorporated by reference in Part III of this Report on Form 10-K.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jc w:val="center"/>
              <w:ind w:left="890"/>
              <w:spacing w:after="0"/>
              <w:rPr>
                <w:rFonts w:ascii="Arial" w:cs="Arial" w:eastAsia="Arial" w:hAnsi="Arial"/>
                <w:sz w:val="18"/>
                <w:szCs w:val="18"/>
                <w:b w:val="1"/>
                <w:bCs w:val="1"/>
                <w:color w:val="auto"/>
                <w:w w:val="97"/>
              </w:rPr>
            </w:pPr>
            <w:hyperlink w:anchor="page4">
              <w:r>
                <w:rPr>
                  <w:rFonts w:ascii="Arial" w:cs="Arial" w:eastAsia="Arial" w:hAnsi="Arial"/>
                  <w:sz w:val="18"/>
                  <w:szCs w:val="18"/>
                  <w:b w:val="1"/>
                  <w:bCs w:val="1"/>
                  <w:color w:val="auto"/>
                  <w:w w:val="97"/>
                </w:rPr>
                <w:t>Part I</w:t>
              </w:r>
            </w:hyperlink>
          </w:p>
        </w:tc>
        <w:tc>
          <w:tcPr>
            <w:tcW w:w="1460" w:type="dxa"/>
            <w:vAlign w:val="bottom"/>
          </w:tcPr>
          <w:p>
            <w:pPr>
              <w:jc w:val="center"/>
              <w:ind w:right="930"/>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5">
              <w:r>
                <w:rPr>
                  <w:rFonts w:ascii="Arial" w:cs="Arial" w:eastAsia="Arial" w:hAnsi="Arial"/>
                  <w:sz w:val="18"/>
                  <w:szCs w:val="18"/>
                  <w:color w:val="auto"/>
                </w:rPr>
                <w:t>Item 1. Business</w:t>
              </w:r>
            </w:hyperlink>
          </w:p>
        </w:tc>
        <w:tc>
          <w:tcPr>
            <w:tcW w:w="1460" w:type="dxa"/>
            <w:vAlign w:val="bottom"/>
          </w:tcPr>
          <w:p>
            <w:pPr>
              <w:jc w:val="center"/>
              <w:ind w:right="930"/>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16">
              <w:r>
                <w:rPr>
                  <w:rFonts w:ascii="Arial" w:cs="Arial" w:eastAsia="Arial" w:hAnsi="Arial"/>
                  <w:sz w:val="18"/>
                  <w:szCs w:val="18"/>
                  <w:color w:val="auto"/>
                </w:rPr>
                <w:t>Item 1A. Risk Factors</w:t>
              </w:r>
            </w:hyperlink>
          </w:p>
        </w:tc>
        <w:tc>
          <w:tcPr>
            <w:tcW w:w="1460" w:type="dxa"/>
            <w:vAlign w:val="bottom"/>
          </w:tcPr>
          <w:p>
            <w:pPr>
              <w:jc w:val="center"/>
              <w:ind w:right="950"/>
              <w:spacing w:after="0"/>
              <w:rPr>
                <w:rFonts w:ascii="Arial" w:cs="Arial" w:eastAsia="Arial" w:hAnsi="Arial"/>
                <w:sz w:val="18"/>
                <w:szCs w:val="18"/>
                <w:color w:val="auto"/>
                <w:w w:val="89"/>
              </w:rPr>
            </w:pPr>
            <w:hyperlink w:anchor="page16">
              <w:r>
                <w:rPr>
                  <w:rFonts w:ascii="Arial" w:cs="Arial" w:eastAsia="Arial" w:hAnsi="Arial"/>
                  <w:sz w:val="18"/>
                  <w:szCs w:val="18"/>
                  <w:color w:val="auto"/>
                  <w:w w:val="89"/>
                </w:rPr>
                <w:t>14</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40">
              <w:r>
                <w:rPr>
                  <w:rFonts w:ascii="Arial" w:cs="Arial" w:eastAsia="Arial" w:hAnsi="Arial"/>
                  <w:sz w:val="18"/>
                  <w:szCs w:val="18"/>
                  <w:color w:val="auto"/>
                </w:rPr>
                <w:t>Item 1B. Unresolved Staff Comments</w:t>
              </w:r>
            </w:hyperlink>
          </w:p>
        </w:tc>
        <w:tc>
          <w:tcPr>
            <w:tcW w:w="1460" w:type="dxa"/>
            <w:vAlign w:val="bottom"/>
          </w:tcPr>
          <w:p>
            <w:pPr>
              <w:jc w:val="center"/>
              <w:ind w:right="950"/>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40">
              <w:r>
                <w:rPr>
                  <w:rFonts w:ascii="Arial" w:cs="Arial" w:eastAsia="Arial" w:hAnsi="Arial"/>
                  <w:sz w:val="18"/>
                  <w:szCs w:val="18"/>
                  <w:color w:val="auto"/>
                </w:rPr>
                <w:t>Item 2. Properties</w:t>
              </w:r>
            </w:hyperlink>
          </w:p>
        </w:tc>
        <w:tc>
          <w:tcPr>
            <w:tcW w:w="1460" w:type="dxa"/>
            <w:vAlign w:val="bottom"/>
          </w:tcPr>
          <w:p>
            <w:pPr>
              <w:jc w:val="center"/>
              <w:ind w:right="950"/>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40">
              <w:r>
                <w:rPr>
                  <w:rFonts w:ascii="Arial" w:cs="Arial" w:eastAsia="Arial" w:hAnsi="Arial"/>
                  <w:sz w:val="18"/>
                  <w:szCs w:val="18"/>
                  <w:color w:val="auto"/>
                </w:rPr>
                <w:t>Item 3. Legal Proceedings</w:t>
              </w:r>
            </w:hyperlink>
          </w:p>
        </w:tc>
        <w:tc>
          <w:tcPr>
            <w:tcW w:w="1460" w:type="dxa"/>
            <w:vAlign w:val="bottom"/>
          </w:tcPr>
          <w:p>
            <w:pPr>
              <w:jc w:val="center"/>
              <w:ind w:right="950"/>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40">
              <w:r>
                <w:rPr>
                  <w:rFonts w:ascii="Arial" w:cs="Arial" w:eastAsia="Arial" w:hAnsi="Arial"/>
                  <w:sz w:val="18"/>
                  <w:szCs w:val="18"/>
                  <w:color w:val="auto"/>
                </w:rPr>
                <w:t>Item 4. Mine Safety Disclosures</w:t>
              </w:r>
            </w:hyperlink>
          </w:p>
        </w:tc>
        <w:tc>
          <w:tcPr>
            <w:tcW w:w="1460" w:type="dxa"/>
            <w:vAlign w:val="bottom"/>
          </w:tcPr>
          <w:p>
            <w:pPr>
              <w:jc w:val="center"/>
              <w:ind w:right="950"/>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38</w:t>
              </w:r>
            </w:hyperlink>
          </w:p>
        </w:tc>
      </w:tr>
      <w:tr>
        <w:trPr>
          <w:trHeight w:val="432"/>
        </w:trPr>
        <w:tc>
          <w:tcPr>
            <w:tcW w:w="9780" w:type="dxa"/>
            <w:vAlign w:val="bottom"/>
          </w:tcPr>
          <w:p>
            <w:pPr>
              <w:jc w:val="center"/>
              <w:ind w:left="890"/>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Part II</w:t>
              </w:r>
            </w:hyperlink>
          </w:p>
        </w:tc>
        <w:tc>
          <w:tcPr>
            <w:tcW w:w="1460" w:type="dxa"/>
            <w:vAlign w:val="bottom"/>
          </w:tcPr>
          <w:p>
            <w:pPr>
              <w:jc w:val="center"/>
              <w:ind w:right="950"/>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39</w:t>
              </w:r>
            </w:hyperlink>
          </w:p>
        </w:tc>
      </w:tr>
      <w:tr>
        <w:trPr>
          <w:trHeight w:val="432"/>
        </w:trPr>
        <w:tc>
          <w:tcPr>
            <w:tcW w:w="9780" w:type="dxa"/>
            <w:vAlign w:val="bottom"/>
          </w:tcPr>
          <w:p>
            <w:pPr>
              <w:ind w:left="1020"/>
              <w:spacing w:after="0"/>
              <w:rPr>
                <w:rFonts w:ascii="Arial" w:cs="Arial" w:eastAsia="Arial" w:hAnsi="Arial"/>
                <w:sz w:val="18"/>
                <w:szCs w:val="18"/>
                <w:color w:val="auto"/>
                <w:w w:val="92"/>
              </w:rPr>
            </w:pPr>
            <w:hyperlink w:anchor="page41">
              <w:r>
                <w:rPr>
                  <w:rFonts w:ascii="Arial" w:cs="Arial" w:eastAsia="Arial" w:hAnsi="Arial"/>
                  <w:sz w:val="18"/>
                  <w:szCs w:val="18"/>
                  <w:color w:val="auto"/>
                  <w:w w:val="92"/>
                </w:rPr>
                <w:t>Item 5. Market for Registrant's Common Equity, Related Stockholder Matters and Issuer Purchases of Equity Securities</w:t>
              </w:r>
            </w:hyperlink>
          </w:p>
        </w:tc>
        <w:tc>
          <w:tcPr>
            <w:tcW w:w="1460" w:type="dxa"/>
            <w:vAlign w:val="bottom"/>
          </w:tcPr>
          <w:p>
            <w:pPr>
              <w:jc w:val="center"/>
              <w:ind w:right="950"/>
              <w:spacing w:after="0"/>
              <w:rPr>
                <w:rFonts w:ascii="Arial" w:cs="Arial" w:eastAsia="Arial" w:hAnsi="Arial"/>
                <w:sz w:val="18"/>
                <w:szCs w:val="18"/>
                <w:color w:val="auto"/>
                <w:w w:val="89"/>
              </w:rPr>
            </w:pPr>
            <w:hyperlink w:anchor="page41">
              <w:r>
                <w:rPr>
                  <w:rFonts w:ascii="Arial" w:cs="Arial" w:eastAsia="Arial" w:hAnsi="Arial"/>
                  <w:sz w:val="18"/>
                  <w:szCs w:val="18"/>
                  <w:color w:val="auto"/>
                  <w:w w:val="89"/>
                </w:rPr>
                <w:t>39</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42">
              <w:r>
                <w:rPr>
                  <w:rFonts w:ascii="Arial" w:cs="Arial" w:eastAsia="Arial" w:hAnsi="Arial"/>
                  <w:sz w:val="18"/>
                  <w:szCs w:val="18"/>
                  <w:color w:val="auto"/>
                </w:rPr>
                <w:t>Item 6. [Reserved]</w:t>
              </w:r>
            </w:hyperlink>
          </w:p>
        </w:tc>
        <w:tc>
          <w:tcPr>
            <w:tcW w:w="1460" w:type="dxa"/>
            <w:vAlign w:val="bottom"/>
          </w:tcPr>
          <w:p>
            <w:pPr>
              <w:jc w:val="center"/>
              <w:ind w:right="950"/>
              <w:spacing w:after="0"/>
              <w:rPr>
                <w:rFonts w:ascii="Arial" w:cs="Arial" w:eastAsia="Arial" w:hAnsi="Arial"/>
                <w:sz w:val="18"/>
                <w:szCs w:val="18"/>
                <w:color w:val="auto"/>
                <w:w w:val="89"/>
              </w:rPr>
            </w:pPr>
            <w:hyperlink w:anchor="page42">
              <w:r>
                <w:rPr>
                  <w:rFonts w:ascii="Arial" w:cs="Arial" w:eastAsia="Arial" w:hAnsi="Arial"/>
                  <w:sz w:val="18"/>
                  <w:szCs w:val="18"/>
                  <w:color w:val="auto"/>
                  <w:w w:val="89"/>
                </w:rPr>
                <w:t>41</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43">
              <w:r>
                <w:rPr>
                  <w:rFonts w:ascii="Arial" w:cs="Arial" w:eastAsia="Arial" w:hAnsi="Arial"/>
                  <w:sz w:val="18"/>
                  <w:szCs w:val="18"/>
                  <w:color w:val="auto"/>
                </w:rPr>
                <w:t>Item 7. Management's Discussion and Analysis of Financial Condition and Results of Operations</w:t>
              </w:r>
            </w:hyperlink>
          </w:p>
        </w:tc>
        <w:tc>
          <w:tcPr>
            <w:tcW w:w="1460" w:type="dxa"/>
            <w:vAlign w:val="bottom"/>
          </w:tcPr>
          <w:p>
            <w:pPr>
              <w:jc w:val="center"/>
              <w:ind w:right="950"/>
              <w:spacing w:after="0"/>
              <w:rPr>
                <w:rFonts w:ascii="Arial" w:cs="Arial" w:eastAsia="Arial" w:hAnsi="Arial"/>
                <w:sz w:val="18"/>
                <w:szCs w:val="18"/>
                <w:color w:val="auto"/>
                <w:w w:val="89"/>
              </w:rPr>
            </w:pPr>
            <w:hyperlink w:anchor="page43">
              <w:r>
                <w:rPr>
                  <w:rFonts w:ascii="Arial" w:cs="Arial" w:eastAsia="Arial" w:hAnsi="Arial"/>
                  <w:sz w:val="18"/>
                  <w:szCs w:val="18"/>
                  <w:color w:val="auto"/>
                  <w:w w:val="89"/>
                </w:rPr>
                <w:t>41</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58">
              <w:r>
                <w:rPr>
                  <w:rFonts w:ascii="Arial" w:cs="Arial" w:eastAsia="Arial" w:hAnsi="Arial"/>
                  <w:sz w:val="18"/>
                  <w:szCs w:val="18"/>
                  <w:color w:val="auto"/>
                </w:rPr>
                <w:t>Item 7A. Quantitative and Qualitative Disclosures About Market Risk</w:t>
              </w:r>
            </w:hyperlink>
          </w:p>
        </w:tc>
        <w:tc>
          <w:tcPr>
            <w:tcW w:w="1460" w:type="dxa"/>
            <w:vAlign w:val="bottom"/>
          </w:tcPr>
          <w:p>
            <w:pPr>
              <w:jc w:val="center"/>
              <w:ind w:right="950"/>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56</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58">
              <w:r>
                <w:rPr>
                  <w:rFonts w:ascii="Arial" w:cs="Arial" w:eastAsia="Arial" w:hAnsi="Arial"/>
                  <w:sz w:val="18"/>
                  <w:szCs w:val="18"/>
                  <w:color w:val="auto"/>
                </w:rPr>
                <w:t>Item 8. Financial Statements and Supplementary Data</w:t>
              </w:r>
            </w:hyperlink>
          </w:p>
        </w:tc>
        <w:tc>
          <w:tcPr>
            <w:tcW w:w="1460" w:type="dxa"/>
            <w:vAlign w:val="bottom"/>
          </w:tcPr>
          <w:p>
            <w:pPr>
              <w:jc w:val="center"/>
              <w:ind w:right="950"/>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57</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3">
              <w:r>
                <w:rPr>
                  <w:rFonts w:ascii="Arial" w:cs="Arial" w:eastAsia="Arial" w:hAnsi="Arial"/>
                  <w:sz w:val="18"/>
                  <w:szCs w:val="18"/>
                  <w:color w:val="auto"/>
                </w:rPr>
                <w:t>Item 9. Changes in and Disagreements With Accountants on Accounting and Financial Disclosure</w:t>
              </w:r>
            </w:hyperlink>
          </w:p>
        </w:tc>
        <w:tc>
          <w:tcPr>
            <w:tcW w:w="1460" w:type="dxa"/>
            <w:vAlign w:val="bottom"/>
          </w:tcPr>
          <w:p>
            <w:pPr>
              <w:jc w:val="center"/>
              <w:ind w:right="950"/>
              <w:spacing w:after="0"/>
              <w:rPr>
                <w:rFonts w:ascii="Arial" w:cs="Arial" w:eastAsia="Arial" w:hAnsi="Arial"/>
                <w:sz w:val="18"/>
                <w:szCs w:val="18"/>
                <w:color w:val="auto"/>
                <w:w w:val="89"/>
              </w:rPr>
            </w:pPr>
            <w:hyperlink w:anchor="page93">
              <w:r>
                <w:rPr>
                  <w:rFonts w:ascii="Arial" w:cs="Arial" w:eastAsia="Arial" w:hAnsi="Arial"/>
                  <w:sz w:val="18"/>
                  <w:szCs w:val="18"/>
                  <w:color w:val="auto"/>
                  <w:w w:val="89"/>
                </w:rPr>
                <w:t>92</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4">
              <w:r>
                <w:rPr>
                  <w:rFonts w:ascii="Arial" w:cs="Arial" w:eastAsia="Arial" w:hAnsi="Arial"/>
                  <w:sz w:val="18"/>
                  <w:szCs w:val="18"/>
                  <w:color w:val="auto"/>
                </w:rPr>
                <w:t>Item 9A. Controls and Procedures</w:t>
              </w:r>
            </w:hyperlink>
          </w:p>
        </w:tc>
        <w:tc>
          <w:tcPr>
            <w:tcW w:w="1460" w:type="dxa"/>
            <w:vAlign w:val="bottom"/>
          </w:tcPr>
          <w:p>
            <w:pPr>
              <w:jc w:val="center"/>
              <w:ind w:right="950"/>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92</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4">
              <w:r>
                <w:rPr>
                  <w:rFonts w:ascii="Arial" w:cs="Arial" w:eastAsia="Arial" w:hAnsi="Arial"/>
                  <w:sz w:val="18"/>
                  <w:szCs w:val="18"/>
                  <w:color w:val="auto"/>
                </w:rPr>
                <w:t>Item 9B. Other Information</w:t>
              </w:r>
            </w:hyperlink>
          </w:p>
        </w:tc>
        <w:tc>
          <w:tcPr>
            <w:tcW w:w="1460" w:type="dxa"/>
            <w:vAlign w:val="bottom"/>
          </w:tcPr>
          <w:p>
            <w:pPr>
              <w:jc w:val="center"/>
              <w:ind w:right="950"/>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92</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4">
              <w:r>
                <w:rPr>
                  <w:rFonts w:ascii="Arial" w:cs="Arial" w:eastAsia="Arial" w:hAnsi="Arial"/>
                  <w:sz w:val="18"/>
                  <w:szCs w:val="18"/>
                  <w:color w:val="auto"/>
                </w:rPr>
                <w:t>Item 9C. Disclosure Regarding Foreign Jurisdictions that Prevent Inspections</w:t>
              </w:r>
            </w:hyperlink>
          </w:p>
        </w:tc>
        <w:tc>
          <w:tcPr>
            <w:tcW w:w="1460" w:type="dxa"/>
            <w:vAlign w:val="bottom"/>
          </w:tcPr>
          <w:p>
            <w:pPr>
              <w:jc w:val="center"/>
              <w:ind w:right="950"/>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92</w:t>
              </w:r>
            </w:hyperlink>
          </w:p>
        </w:tc>
      </w:tr>
      <w:tr>
        <w:trPr>
          <w:trHeight w:val="432"/>
        </w:trPr>
        <w:tc>
          <w:tcPr>
            <w:tcW w:w="9780" w:type="dxa"/>
            <w:vAlign w:val="bottom"/>
          </w:tcPr>
          <w:p>
            <w:pPr>
              <w:jc w:val="center"/>
              <w:ind w:left="890"/>
              <w:spacing w:after="0"/>
              <w:rPr>
                <w:rFonts w:ascii="Arial" w:cs="Arial" w:eastAsia="Arial" w:hAnsi="Arial"/>
                <w:sz w:val="18"/>
                <w:szCs w:val="18"/>
                <w:b w:val="1"/>
                <w:bCs w:val="1"/>
                <w:color w:val="auto"/>
              </w:rPr>
            </w:pPr>
            <w:hyperlink w:anchor="page94">
              <w:r>
                <w:rPr>
                  <w:rFonts w:ascii="Arial" w:cs="Arial" w:eastAsia="Arial" w:hAnsi="Arial"/>
                  <w:sz w:val="18"/>
                  <w:szCs w:val="18"/>
                  <w:b w:val="1"/>
                  <w:bCs w:val="1"/>
                  <w:color w:val="auto"/>
                </w:rPr>
                <w:t>Part III</w:t>
              </w:r>
            </w:hyperlink>
          </w:p>
        </w:tc>
        <w:tc>
          <w:tcPr>
            <w:tcW w:w="1460" w:type="dxa"/>
            <w:vAlign w:val="bottom"/>
          </w:tcPr>
          <w:p>
            <w:pPr>
              <w:jc w:val="center"/>
              <w:ind w:right="950"/>
              <w:spacing w:after="0"/>
              <w:rPr>
                <w:rFonts w:ascii="Arial" w:cs="Arial" w:eastAsia="Arial" w:hAnsi="Arial"/>
                <w:sz w:val="18"/>
                <w:szCs w:val="18"/>
                <w:color w:val="auto"/>
                <w:w w:val="89"/>
              </w:rPr>
            </w:pPr>
            <w:hyperlink w:anchor="page94">
              <w:r>
                <w:rPr>
                  <w:rFonts w:ascii="Arial" w:cs="Arial" w:eastAsia="Arial" w:hAnsi="Arial"/>
                  <w:sz w:val="18"/>
                  <w:szCs w:val="18"/>
                  <w:color w:val="auto"/>
                  <w:w w:val="89"/>
                </w:rPr>
                <w:t>93</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5">
              <w:r>
                <w:rPr>
                  <w:rFonts w:ascii="Arial" w:cs="Arial" w:eastAsia="Arial" w:hAnsi="Arial"/>
                  <w:sz w:val="18"/>
                  <w:szCs w:val="18"/>
                  <w:color w:val="auto"/>
                </w:rPr>
                <w:t>Item 10. Directors, Executive Officers and Corporate Governance</w:t>
              </w:r>
            </w:hyperlink>
          </w:p>
        </w:tc>
        <w:tc>
          <w:tcPr>
            <w:tcW w:w="1460" w:type="dxa"/>
            <w:vAlign w:val="bottom"/>
          </w:tcPr>
          <w:p>
            <w:pPr>
              <w:jc w:val="center"/>
              <w:ind w:right="950"/>
              <w:spacing w:after="0"/>
              <w:rPr>
                <w:rFonts w:ascii="Arial" w:cs="Arial" w:eastAsia="Arial" w:hAnsi="Arial"/>
                <w:sz w:val="18"/>
                <w:szCs w:val="18"/>
                <w:color w:val="auto"/>
                <w:w w:val="89"/>
              </w:rPr>
            </w:pPr>
            <w:hyperlink w:anchor="page95">
              <w:r>
                <w:rPr>
                  <w:rFonts w:ascii="Arial" w:cs="Arial" w:eastAsia="Arial" w:hAnsi="Arial"/>
                  <w:sz w:val="18"/>
                  <w:szCs w:val="18"/>
                  <w:color w:val="auto"/>
                  <w:w w:val="89"/>
                </w:rPr>
                <w:t>93</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5">
              <w:r>
                <w:rPr>
                  <w:rFonts w:ascii="Arial" w:cs="Arial" w:eastAsia="Arial" w:hAnsi="Arial"/>
                  <w:sz w:val="18"/>
                  <w:szCs w:val="18"/>
                  <w:color w:val="auto"/>
                </w:rPr>
                <w:t>Item 11. Executive Compensation</w:t>
              </w:r>
            </w:hyperlink>
          </w:p>
        </w:tc>
        <w:tc>
          <w:tcPr>
            <w:tcW w:w="1460" w:type="dxa"/>
            <w:vAlign w:val="bottom"/>
          </w:tcPr>
          <w:p>
            <w:pPr>
              <w:jc w:val="center"/>
              <w:ind w:right="950"/>
              <w:spacing w:after="0"/>
              <w:rPr>
                <w:rFonts w:ascii="Arial" w:cs="Arial" w:eastAsia="Arial" w:hAnsi="Arial"/>
                <w:sz w:val="18"/>
                <w:szCs w:val="18"/>
                <w:color w:val="auto"/>
                <w:w w:val="89"/>
              </w:rPr>
            </w:pPr>
            <w:hyperlink w:anchor="page95">
              <w:r>
                <w:rPr>
                  <w:rFonts w:ascii="Arial" w:cs="Arial" w:eastAsia="Arial" w:hAnsi="Arial"/>
                  <w:sz w:val="18"/>
                  <w:szCs w:val="18"/>
                  <w:color w:val="auto"/>
                  <w:w w:val="89"/>
                </w:rPr>
                <w:t>93</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5">
              <w:r>
                <w:rPr>
                  <w:rFonts w:ascii="Arial" w:cs="Arial" w:eastAsia="Arial" w:hAnsi="Arial"/>
                  <w:sz w:val="18"/>
                  <w:szCs w:val="18"/>
                  <w:color w:val="auto"/>
                </w:rPr>
                <w:t>Item 12. Security Ownership of Certain Beneficial Owners and Management and Related Stockholder Matters</w:t>
              </w:r>
            </w:hyperlink>
          </w:p>
        </w:tc>
        <w:tc>
          <w:tcPr>
            <w:tcW w:w="1460" w:type="dxa"/>
            <w:vAlign w:val="bottom"/>
          </w:tcPr>
          <w:p>
            <w:pPr>
              <w:jc w:val="center"/>
              <w:ind w:right="950"/>
              <w:spacing w:after="0"/>
              <w:rPr>
                <w:rFonts w:ascii="Arial" w:cs="Arial" w:eastAsia="Arial" w:hAnsi="Arial"/>
                <w:sz w:val="18"/>
                <w:szCs w:val="18"/>
                <w:color w:val="auto"/>
                <w:w w:val="89"/>
              </w:rPr>
            </w:pPr>
            <w:hyperlink w:anchor="page95">
              <w:r>
                <w:rPr>
                  <w:rFonts w:ascii="Arial" w:cs="Arial" w:eastAsia="Arial" w:hAnsi="Arial"/>
                  <w:sz w:val="18"/>
                  <w:szCs w:val="18"/>
                  <w:color w:val="auto"/>
                  <w:w w:val="89"/>
                </w:rPr>
                <w:t>93</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5">
              <w:r>
                <w:rPr>
                  <w:rFonts w:ascii="Arial" w:cs="Arial" w:eastAsia="Arial" w:hAnsi="Arial"/>
                  <w:sz w:val="18"/>
                  <w:szCs w:val="18"/>
                  <w:color w:val="auto"/>
                </w:rPr>
                <w:t>Item 13. Certain Relationships and Related Transactions, and Director Independence</w:t>
              </w:r>
            </w:hyperlink>
          </w:p>
        </w:tc>
        <w:tc>
          <w:tcPr>
            <w:tcW w:w="1460" w:type="dxa"/>
            <w:vAlign w:val="bottom"/>
          </w:tcPr>
          <w:p>
            <w:pPr>
              <w:jc w:val="center"/>
              <w:ind w:right="950"/>
              <w:spacing w:after="0"/>
              <w:rPr>
                <w:rFonts w:ascii="Arial" w:cs="Arial" w:eastAsia="Arial" w:hAnsi="Arial"/>
                <w:sz w:val="18"/>
                <w:szCs w:val="18"/>
                <w:color w:val="auto"/>
                <w:w w:val="89"/>
              </w:rPr>
            </w:pPr>
            <w:hyperlink w:anchor="page95">
              <w:r>
                <w:rPr>
                  <w:rFonts w:ascii="Arial" w:cs="Arial" w:eastAsia="Arial" w:hAnsi="Arial"/>
                  <w:sz w:val="18"/>
                  <w:szCs w:val="18"/>
                  <w:color w:val="auto"/>
                  <w:w w:val="89"/>
                </w:rPr>
                <w:t>93</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5">
              <w:r>
                <w:rPr>
                  <w:rFonts w:ascii="Arial" w:cs="Arial" w:eastAsia="Arial" w:hAnsi="Arial"/>
                  <w:sz w:val="18"/>
                  <w:szCs w:val="18"/>
                  <w:color w:val="auto"/>
                </w:rPr>
                <w:t>Item 14. Principal Accountant Fees and Services</w:t>
              </w:r>
            </w:hyperlink>
          </w:p>
        </w:tc>
        <w:tc>
          <w:tcPr>
            <w:tcW w:w="1460" w:type="dxa"/>
            <w:vAlign w:val="bottom"/>
          </w:tcPr>
          <w:p>
            <w:pPr>
              <w:jc w:val="center"/>
              <w:ind w:right="950"/>
              <w:spacing w:after="0"/>
              <w:rPr>
                <w:rFonts w:ascii="Arial" w:cs="Arial" w:eastAsia="Arial" w:hAnsi="Arial"/>
                <w:sz w:val="18"/>
                <w:szCs w:val="18"/>
                <w:color w:val="auto"/>
                <w:w w:val="89"/>
              </w:rPr>
            </w:pPr>
            <w:hyperlink w:anchor="page95">
              <w:r>
                <w:rPr>
                  <w:rFonts w:ascii="Arial" w:cs="Arial" w:eastAsia="Arial" w:hAnsi="Arial"/>
                  <w:sz w:val="18"/>
                  <w:szCs w:val="18"/>
                  <w:color w:val="auto"/>
                  <w:w w:val="89"/>
                </w:rPr>
                <w:t>93</w:t>
              </w:r>
            </w:hyperlink>
          </w:p>
        </w:tc>
      </w:tr>
      <w:tr>
        <w:trPr>
          <w:trHeight w:val="432"/>
        </w:trPr>
        <w:tc>
          <w:tcPr>
            <w:tcW w:w="9780" w:type="dxa"/>
            <w:vAlign w:val="bottom"/>
          </w:tcPr>
          <w:p>
            <w:pPr>
              <w:jc w:val="center"/>
              <w:ind w:left="890"/>
              <w:spacing w:after="0"/>
              <w:rPr>
                <w:rFonts w:ascii="Arial" w:cs="Arial" w:eastAsia="Arial" w:hAnsi="Arial"/>
                <w:sz w:val="18"/>
                <w:szCs w:val="18"/>
                <w:b w:val="1"/>
                <w:bCs w:val="1"/>
                <w:color w:val="auto"/>
              </w:rPr>
            </w:pPr>
            <w:hyperlink w:anchor="page95">
              <w:r>
                <w:rPr>
                  <w:rFonts w:ascii="Arial" w:cs="Arial" w:eastAsia="Arial" w:hAnsi="Arial"/>
                  <w:sz w:val="18"/>
                  <w:szCs w:val="18"/>
                  <w:b w:val="1"/>
                  <w:bCs w:val="1"/>
                  <w:color w:val="auto"/>
                </w:rPr>
                <w:t>Part IV</w:t>
              </w:r>
            </w:hyperlink>
          </w:p>
        </w:tc>
        <w:tc>
          <w:tcPr>
            <w:tcW w:w="1460" w:type="dxa"/>
            <w:vAlign w:val="bottom"/>
          </w:tcPr>
          <w:p>
            <w:pPr>
              <w:jc w:val="center"/>
              <w:ind w:right="950"/>
              <w:spacing w:after="0"/>
              <w:rPr>
                <w:rFonts w:ascii="Arial" w:cs="Arial" w:eastAsia="Arial" w:hAnsi="Arial"/>
                <w:sz w:val="18"/>
                <w:szCs w:val="18"/>
                <w:color w:val="auto"/>
                <w:w w:val="89"/>
              </w:rPr>
            </w:pPr>
            <w:hyperlink w:anchor="page95">
              <w:r>
                <w:rPr>
                  <w:rFonts w:ascii="Arial" w:cs="Arial" w:eastAsia="Arial" w:hAnsi="Arial"/>
                  <w:sz w:val="18"/>
                  <w:szCs w:val="18"/>
                  <w:color w:val="auto"/>
                  <w:w w:val="89"/>
                </w:rPr>
                <w:t>94</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6">
              <w:r>
                <w:rPr>
                  <w:rFonts w:ascii="Arial" w:cs="Arial" w:eastAsia="Arial" w:hAnsi="Arial"/>
                  <w:sz w:val="18"/>
                  <w:szCs w:val="18"/>
                  <w:color w:val="auto"/>
                </w:rPr>
                <w:t>Item 15. Exhibits and Financial Statement Schedules</w:t>
              </w:r>
            </w:hyperlink>
          </w:p>
        </w:tc>
        <w:tc>
          <w:tcPr>
            <w:tcW w:w="1460" w:type="dxa"/>
            <w:vAlign w:val="bottom"/>
          </w:tcPr>
          <w:p>
            <w:pPr>
              <w:jc w:val="center"/>
              <w:ind w:right="950"/>
              <w:spacing w:after="0"/>
              <w:rPr>
                <w:rFonts w:ascii="Arial" w:cs="Arial" w:eastAsia="Arial" w:hAnsi="Arial"/>
                <w:sz w:val="18"/>
                <w:szCs w:val="18"/>
                <w:color w:val="auto"/>
                <w:w w:val="89"/>
              </w:rPr>
            </w:pPr>
            <w:hyperlink w:anchor="page96">
              <w:r>
                <w:rPr>
                  <w:rFonts w:ascii="Arial" w:cs="Arial" w:eastAsia="Arial" w:hAnsi="Arial"/>
                  <w:sz w:val="18"/>
                  <w:szCs w:val="18"/>
                  <w:color w:val="auto"/>
                  <w:w w:val="89"/>
                </w:rPr>
                <w:t>94</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8">
              <w:r>
                <w:rPr>
                  <w:rFonts w:ascii="Arial" w:cs="Arial" w:eastAsia="Arial" w:hAnsi="Arial"/>
                  <w:sz w:val="18"/>
                  <w:szCs w:val="18"/>
                  <w:color w:val="auto"/>
                </w:rPr>
                <w:t>Item 16. Form 10-K Summary</w:t>
              </w:r>
            </w:hyperlink>
          </w:p>
        </w:tc>
        <w:tc>
          <w:tcPr>
            <w:tcW w:w="1460" w:type="dxa"/>
            <w:vAlign w:val="bottom"/>
          </w:tcPr>
          <w:p>
            <w:pPr>
              <w:jc w:val="center"/>
              <w:ind w:right="950"/>
              <w:spacing w:after="0"/>
              <w:rPr>
                <w:rFonts w:ascii="Arial" w:cs="Arial" w:eastAsia="Arial" w:hAnsi="Arial"/>
                <w:sz w:val="18"/>
                <w:szCs w:val="18"/>
                <w:color w:val="auto"/>
                <w:w w:val="89"/>
              </w:rPr>
            </w:pPr>
            <w:hyperlink w:anchor="page98">
              <w:r>
                <w:rPr>
                  <w:rFonts w:ascii="Arial" w:cs="Arial" w:eastAsia="Arial" w:hAnsi="Arial"/>
                  <w:sz w:val="18"/>
                  <w:szCs w:val="18"/>
                  <w:color w:val="auto"/>
                  <w:w w:val="89"/>
                </w:rPr>
                <w:t>96</w:t>
              </w:r>
            </w:hyperlink>
          </w:p>
        </w:tc>
      </w:tr>
      <w:tr>
        <w:trPr>
          <w:trHeight w:val="432"/>
        </w:trPr>
        <w:tc>
          <w:tcPr>
            <w:tcW w:w="9780" w:type="dxa"/>
            <w:vAlign w:val="bottom"/>
          </w:tcPr>
          <w:p>
            <w:pPr>
              <w:ind w:left="1020"/>
              <w:spacing w:after="0"/>
              <w:rPr>
                <w:rFonts w:ascii="Arial" w:cs="Arial" w:eastAsia="Arial" w:hAnsi="Arial"/>
                <w:sz w:val="18"/>
                <w:szCs w:val="18"/>
                <w:color w:val="auto"/>
              </w:rPr>
            </w:pPr>
            <w:hyperlink w:anchor="page98">
              <w:r>
                <w:rPr>
                  <w:rFonts w:ascii="Arial" w:cs="Arial" w:eastAsia="Arial" w:hAnsi="Arial"/>
                  <w:sz w:val="18"/>
                  <w:szCs w:val="18"/>
                  <w:color w:val="auto"/>
                </w:rPr>
                <w:t>Signatures</w:t>
              </w:r>
            </w:hyperlink>
          </w:p>
        </w:tc>
        <w:tc>
          <w:tcPr>
            <w:tcW w:w="1460" w:type="dxa"/>
            <w:vAlign w:val="bottom"/>
          </w:tcPr>
          <w:p>
            <w:pPr>
              <w:jc w:val="center"/>
              <w:ind w:right="950"/>
              <w:spacing w:after="0"/>
              <w:rPr>
                <w:rFonts w:ascii="Arial" w:cs="Arial" w:eastAsia="Arial" w:hAnsi="Arial"/>
                <w:sz w:val="18"/>
                <w:szCs w:val="18"/>
                <w:color w:val="auto"/>
                <w:w w:val="89"/>
              </w:rPr>
            </w:pPr>
            <w:hyperlink w:anchor="page98">
              <w:r>
                <w:rPr>
                  <w:rFonts w:ascii="Arial" w:cs="Arial" w:eastAsia="Arial" w:hAnsi="Arial"/>
                  <w:sz w:val="18"/>
                  <w:szCs w:val="18"/>
                  <w:color w:val="auto"/>
                  <w:w w:val="89"/>
                </w:rPr>
                <w:t>97</w:t>
              </w:r>
            </w:hyperlink>
          </w:p>
        </w:tc>
      </w:tr>
      <w:tr>
        <w:trPr>
          <w:trHeight w:val="1330"/>
        </w:trPr>
        <w:tc>
          <w:tcPr>
            <w:tcW w:w="97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Annual Report on Form 10-K contains forward-looking statements about us and our industry that involve substantial risks and uncertainties. All statements other than statements of historical facts contained in this Annual Report on Form 10-K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of the ongoing COVID-19 pandemic on our business, results of operations, financial condition, and stock price;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future financial performance, including total revenue, cost of revenue, Adjusted EBITDA and Monthly Unique Users;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traffic and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returns on marketing investments and brand campaigns;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about consumer demand for the products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convert users into Registered Users and improve repeat user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convert consumers into matches with financial services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within existing and new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geographically;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maintain and expand our relationships with our existing financial services partners and to identify new financial services partners;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build efficient and scalable technical capabilities to deliver personalized guidance and nudge users;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enhance our brand awareness and consumer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high quality, engaging consumer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adapt to the evolving financial interests of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 verticals;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attract and retain highly skilled, diverse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You should not rely on forward-looking statements as predictions or guarantees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be achieved or occur, and actual results, events or circumstances could differ materially from those described in the forward-looking statements.</w:t>
      </w:r>
    </w:p>
    <w:p>
      <w:pPr>
        <w:spacing w:after="0" w:line="18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forward-looking statements made in this Annual Report on Form 10-K relate only to events as of the date hereof.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Our forward-looking statements do not reflect the potential impact of any future acquisitions, mergers, dispositions, joint ventures or investments.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NerdWallet provides trustworthy financial guidance to consumers and small and mid-sized businesses (SMBs).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NerdWallet, we empower consumers — both individual consumers and SMBs — to make smarter financial decisions with confidence via our digital platform. Technology has changed the way consumers manage their financial lives, making them more comfortable with comparing and shopping for financial products online. This change has accelerated with the dramatic growth in companies offering innovative financial products. At NerdWallet, we are leveraging this transformation to democratize access to trustworthy financial guidance — ultimately helping to improve the financial well-being of consumers and the financial services industry as a whole. As the financial services industry becomes more fragmented and complex, we believe our value proposition as a trusted, independent platform for consumers increases.</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deliver guidance to consumers through educational content, tools and calculators, product marketplaces and the NerdWallet app. Our platform delivers unique value across many financial products, including credit cards, mortgages, insurance, SMB products, personal loans, banking, investing and student loans, and has grown to include the United Kingdom (UK) and Canadian markets, with plans for further international expansion. Across every touchpoint, the cornerstone of our platform is our consumers’ trust in the independent, objective and relevant guidance we provide, free of charge.</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trusted guidance has helped us build a large, loyal and well-informed audience of consumers who turn to us as a resource for many of their money questions and to shop for the best financial products for them. We then use machine learning to present personalized options using aggregated and scalable information. As a result, we have become an attractive partner for financial services providers wanting access to high-value consumers — consumers who might not otherwise trust these financial services providers’ recommendations because their guidance is inherently biased toward their own products.</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By operating at the intersection of consumers and financial services providers, NerdWallet drives value for both. Through our platform, our financial services partners can reach a substantial audience — we had 19 million Monthly Unique Users (MUUs) per month on average in 2021. After doing research on our platform, these consumers are better informed about the financial decision they’re about to make and often primed and ready to transact. When consumers are more informed about their financial options, they make the appropriate decisions for their needs with confidence, increasing their lifetime value to financial services providers as customers. We have also received feedback from our financial services partners that our users’ approval rates can be significantly higher than those applying through other channels. Plus, as consumers’ smart money moves expand their options, they are eager to explore additional opportunities and products they are now eligible for, driving further demand for NerdWallet’s financial services partners. To meet the standards of more informed consumers, financial services providers in turn must engage in healthy competition for consumer mindshare and develop better financial products, further improving the outcomes for consumers.</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NerdWallet’s ability to serve consumers and financial services providers hinges on our position as an independent, unbiased resource. The core strength of our platform is the trust that we build with consumers and the tailored and personalized recommendations we deliver via our data science models. Our consumer-first values and consumer-centric mission permeate everything we do and have been key to building and maintaining trust — it’s the “consumer, company, team, self” value that guides our decision making and product development. Across the company, Nerds engage every day with our values and mission to democratize trusted, accessible guidance and tools, leveling the playing field for everyone.</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these values will benefit us over the long-term as we build on our leadership as the place consumers turn to first for financial guidance. We have already achieved massive, top-of-funnel reach. By adhering to our consumer-first value, we will not only empower consumers to make better financial decisions, but also help our financial services partners more effectively find new customers well-suited to their products.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 was $379.6 million and $245.3 million for 2021 and 2020, respectively, representing year-over-year growth of 55%. We generated a net loss of $42.5 million for 2021, as compared to net income of $5.3 million for 2020.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in Our Favor</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Many trends are transforming the way consumers and SMBs manage their finances and several of these trends accelerated during the COVID-19 pandemic, creating tailwinds in our industry.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Consumers Manage Their Lives Digitally, and Financial Wellness is at the Forefront of This Change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Increasingly, consumers use a digital-first approach to managing their lives: they manage appointments, book vacations, plan events and shop using apps and this has been especially true in the wake of the COVID-19 pandemic. During the past several years, this digital-first approach has also permeated personal finance with consumers expecting to have the ability to manage all aspects of their financial wellness online. To meet this consumer demand, traditional financial services providers have established digital interfaces and are continually adding new functionality. At the same time, successful fintech companies are proliferating and setting new standards for digital experiences. These new players are responding to changing consumer expectations by disrupting nearly every aspect of personal finance and offering a wide range of faster, better and cheaper digital services, continually altering the competitive landscape. By focusing on distinct personal financial products, fintech companies have unbundled personal finance and have provided value that conventional financial services providers cannot, often improving and expanding consumers’ choices and therefore, overall financial wellness.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Consumers Are Inundated With Choice and Complexity, but Unbiased Financial Guidance is Difficult to Find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digital access and an increasing number of fintech companies are making it easier to invest, make payments and even take out a loan, the explosion of market participants also makes it increasingly difficult and time consuming for consumers to sift through all of the options to determine which product is best suited to their personal financial needs.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products and services are complex and consumers are seeking ways to compare and better understand their options. Many consumers do not have a trusted financial advisor to help them navigate this complexity and instead seek advice online. Unfortunately, finding trustworthy financial guidance online can be challenging. Fees are not always transparent, there is not a standard route to achieve financial literacy and creative marketing can leave consumers feeling overwhelmed.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Consumers Want to Know They’ve Made the Right Choice in Their Financial Lives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Consumers want to take control of their financial well-being, ensure they’re getting the right deal, understand exactly what they’re signing up for and have confidence in their decisions. This desire to understand and feel well-informed about finances is prevalent across all generations. Even among the newest Gen Z consumers, many of whom may not have much experience with personal finance or even own a credit card, 89% surveyed in a 2021 Tallo study said that it’s a priority for them to learn about personal finance and 75% are interested in taking personal finance classes.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Platform</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developed a consumer-first platform that empowers consumers and SMBs to make well-informed financial decisions at the right time and with confidence. The cornerstone of our platform is consumer trust in the independent, objective, and relevant guidance we provide, free of charge. Given it is incredibly difficult for any one person to be deeply knowledgeable across all areas of personal finance, we have a 100+ person editorial team that functions as the “brains” behind our guidance. Our writers and editors, many of whom have joined us from notable publications, cover specific verticals day in and day out, and, as a result, are deeply knowledgeable about the financial areas they cover, producing high-quality and award-winning guidance. The work of our editorial team as a whole is not only a key reason consumers trust our brand and turn to us for many of their financial questions, it is also the foundation of our personalized guidance and our “nudges.” The guidance developed by our editorial team is codified by our product team to create the insights surfaced across our platform. It’s through this unique combination of human-powered guidance and machine learning capabilities, that we can provide consumers with high-quality and personalized insights.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trusted guidance has enabled us to build a large, well-informed audience, many of whom are ready to transact. Accordingly, we have become an attractive partner for financial services providers wanting to reach these high value consumers. Today, our platform stretches across many financial products, including credit cards, mortgages, insurance, SMB products, personal loans, banking, investing and student loans.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platform aligns the interests of consumers and SMBs seeking financial guidance and products with the financial services providers that offer these products. A successful initial experience often leads to follow-up activity on our platform and we believe it also leads to higher customer lifetime value for the financial services providers. This alignment of interests, enabled by our unbiased and trusted guidance, benefits consumers, the financial services partners and NerdWallet.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built NerdWallet with the following key assumptions:</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Everything starts with trust;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Consumers have an unmet need for unbiased guidance to inform their financial decisions;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is a compelling opportunity to use data to personalize and automate guidance at scale.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Starting with these assumptions, we offer the following benefits to consumers and to our financial services partners.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of Our Platform for Consumers and SMBs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platform is designed to empower consumers and SMBs to gain clarity about their financial decisions, help them make optimal decisions and instill them with a sense of confidence in their choices. We accomplish this by:</w:t>
      </w:r>
    </w:p>
    <w:p>
      <w:pPr>
        <w:spacing w:after="0" w:line="62" w:lineRule="exact"/>
        <w:rPr>
          <w:sz w:val="20"/>
          <w:szCs w:val="20"/>
          <w:color w:val="auto"/>
        </w:rPr>
      </w:pPr>
    </w:p>
    <w:p>
      <w:pPr>
        <w:jc w:val="both"/>
        <w:ind w:left="66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Providing Comprehensive Guidance with an Independent, Unbiased Editorial Team. </w:t>
      </w:r>
      <w:r>
        <w:rPr>
          <w:rFonts w:ascii="Arial" w:cs="Arial" w:eastAsia="Arial" w:hAnsi="Arial"/>
          <w:sz w:val="18"/>
          <w:szCs w:val="18"/>
          <w:color w:val="auto"/>
        </w:rPr>
        <w:t>We build trust by offering guidance that is credible,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and grounded in our consumer-first values. We establish credibility with financial product reviews and content that cover a myriad of topics, developed by our editorial team which is not influenced by monetization. One of our core values is “consumer, company, team, self.” Consistent with that value, we uphold rigorous editorial standards, and all of our articles, reviews and recommendations are written by our independent editorial team. The value of our brand and long-term relationships with consumers are more important to us than any short-term benefit we may derive from any transaction conducted on our platform. We believe that the result of this approach is the direct, ongoing, trusted relationship we have with our users.</w:t>
      </w:r>
    </w:p>
    <w:p>
      <w:pPr>
        <w:spacing w:after="0" w:line="140"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Using Simplicity and Transparency to Enable Well-Informed Decisions. </w:t>
      </w:r>
      <w:r>
        <w:rPr>
          <w:rFonts w:ascii="Arial" w:cs="Arial" w:eastAsia="Arial" w:hAnsi="Arial"/>
          <w:sz w:val="17"/>
          <w:szCs w:val="17"/>
          <w:color w:val="auto"/>
        </w:rPr>
        <w:t>We write our articles to appeal to everyone, ranging from the casual reader</w:t>
      </w:r>
      <w:r>
        <w:rPr>
          <w:rFonts w:ascii="Arial" w:cs="Arial" w:eastAsia="Arial" w:hAnsi="Arial"/>
          <w:sz w:val="17"/>
          <w:szCs w:val="17"/>
          <w:i w:val="1"/>
          <w:iCs w:val="1"/>
          <w:color w:val="auto"/>
        </w:rPr>
        <w:t xml:space="preserve"> </w:t>
      </w:r>
      <w:r>
        <w:rPr>
          <w:rFonts w:ascii="Arial" w:cs="Arial" w:eastAsia="Arial" w:hAnsi="Arial"/>
          <w:sz w:val="17"/>
          <w:szCs w:val="17"/>
          <w:color w:val="auto"/>
        </w:rPr>
        <w:t>to someone looking to understand more complex details on a topic. Regardless of the consumer need, we bring a level of clarity to help consumers make sense of even the most complex financial topics. Our content is delivered in a variety of digestible formats, and our comparisons provide transparency on both price and features, given that a particular financial product may appeal to different consumers for different reasons. For example, while some consumers may be looking for the lowest interest rate on a credit card, others may never plan to carry a balance and instead may be looking for the best cash back or rewards offering.</w:t>
      </w:r>
    </w:p>
    <w:p>
      <w:pPr>
        <w:spacing w:after="0" w:line="123"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Acting as a Trusted Guide and Navigator, Providing Personalized Guidance. </w:t>
      </w:r>
      <w:r>
        <w:rPr>
          <w:rFonts w:ascii="Arial" w:cs="Arial" w:eastAsia="Arial" w:hAnsi="Arial"/>
          <w:sz w:val="17"/>
          <w:szCs w:val="17"/>
          <w:color w:val="auto"/>
        </w:rPr>
        <w:t>Democratizing access to financial guidance is only half of our vision;</w:t>
      </w:r>
      <w:r>
        <w:rPr>
          <w:rFonts w:ascii="Arial" w:cs="Arial" w:eastAsia="Arial" w:hAnsi="Arial"/>
          <w:sz w:val="17"/>
          <w:szCs w:val="17"/>
          <w:i w:val="1"/>
          <w:iCs w:val="1"/>
          <w:color w:val="auto"/>
        </w:rPr>
        <w:t xml:space="preserve"> </w:t>
      </w:r>
      <w:r>
        <w:rPr>
          <w:rFonts w:ascii="Arial" w:cs="Arial" w:eastAsia="Arial" w:hAnsi="Arial"/>
          <w:sz w:val="17"/>
          <w:szCs w:val="17"/>
          <w:color w:val="auto"/>
        </w:rPr>
        <w:t>the other half is to make it frictionless for consumers to make financial decisions. We built our platform to appeal to both consumers looking to “do it themselves,” as well as those looking for more support managing their financial well-being. We make it easy for our Registered Users to stay on top of their money by centralizing many of their product decisions in one place. Consumers can get a holistic view of their finances, and hone in on specific details about their spending and saving patterns across accounts. By combining insights from our award-winning editorial team with our machine learning capabilities, we are able to recommend smart money moves via contextual “nudges.” As a result, we have become a one-stop-shop for consumers to track, manage and plan their financial futures.</w:t>
      </w:r>
    </w:p>
    <w:p>
      <w:pPr>
        <w:spacing w:after="0" w:line="123" w:lineRule="exact"/>
        <w:rPr>
          <w:rFonts w:ascii="Arial" w:cs="Arial" w:eastAsia="Arial" w:hAnsi="Arial"/>
          <w:sz w:val="17"/>
          <w:szCs w:val="17"/>
          <w:color w:val="auto"/>
        </w:rPr>
      </w:pPr>
    </w:p>
    <w:p>
      <w:pPr>
        <w:jc w:val="both"/>
        <w:ind w:left="660" w:hanging="328"/>
        <w:spacing w:after="0" w:line="269"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Providing Comprehensive Coverage Across Major Financial Verticals. </w:t>
      </w:r>
      <w:r>
        <w:rPr>
          <w:rFonts w:ascii="Arial" w:cs="Arial" w:eastAsia="Arial" w:hAnsi="Arial"/>
          <w:sz w:val="17"/>
          <w:szCs w:val="17"/>
          <w:color w:val="auto"/>
        </w:rPr>
        <w:t>Today, we have financial services partners in eight financial verticals:</w:t>
      </w:r>
      <w:r>
        <w:rPr>
          <w:rFonts w:ascii="Arial" w:cs="Arial" w:eastAsia="Arial" w:hAnsi="Arial"/>
          <w:sz w:val="17"/>
          <w:szCs w:val="17"/>
          <w:i w:val="1"/>
          <w:iCs w:val="1"/>
          <w:color w:val="auto"/>
        </w:rPr>
        <w:t xml:space="preserve"> </w:t>
      </w:r>
      <w:r>
        <w:rPr>
          <w:rFonts w:ascii="Arial" w:cs="Arial" w:eastAsia="Arial" w:hAnsi="Arial"/>
          <w:sz w:val="17"/>
          <w:szCs w:val="17"/>
          <w:color w:val="auto"/>
        </w:rPr>
        <w:t>credit cards, mortgages, insurance, SMB products, personal loans, banking, investing and student loans. We partner with over 400 organizations, ranging from the largest financial services providers to the most disruptive startups. This comprehensive coverage shows consumers who may be seeking guidance in one area, such as credit cards, the expertise that we provide in other relevant verticals like renters insurance and deposit accounts. Our guidance, however, is not limited to areas with existing partner relationships or those that we monetize. We quickly adapt to the evolving financial interests of consumers and can easily add coverage in new areas. At the beginning of the COVID-19 pandemic, we added a COVID hub that covered topics such as the Paycheck Protection Program (PPP) loans and their forgiveness, unemployment benefits, coverage of debt relief packages (e.g. student loan forbearance), life insurance and personal loans. Throughout 2021, we augmented our coverage to address the evolving circumstances around student loan forbearance and forgiveness, the re-emergence of travel, and expanding digital investment categories such as non-fungible tokens.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of Our Platform for Our Partners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bring our financial services partners well-matched and well-informed consumers. These consumers also frequently have desirable characteristics</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they have higher credit scores and maintain higher levels of investable assets — making them highly attractive for our financial services partners. We have received feedback from financial services partners that our users’ approval rates can be significantly higher than those applying through other channels. Benefits that we provide to our financial services partners include:</w:t>
      </w:r>
    </w:p>
    <w:p>
      <w:pPr>
        <w:spacing w:after="0" w:line="135" w:lineRule="exact"/>
        <w:rPr>
          <w:sz w:val="20"/>
          <w:szCs w:val="20"/>
          <w:color w:val="auto"/>
        </w:rPr>
      </w:pPr>
    </w:p>
    <w:p>
      <w:pPr>
        <w:jc w:val="both"/>
        <w:ind w:left="660" w:hanging="328"/>
        <w:spacing w:after="0" w:line="271" w:lineRule="auto"/>
        <w:tabs>
          <w:tab w:leader="none" w:pos="655" w:val="left"/>
        </w:tabs>
        <w:numPr>
          <w:ilvl w:val="1"/>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Huge Audience and Reach, with an Average of 19 million Consumers Turning to the Nerds This Year. </w:t>
      </w:r>
      <w:r>
        <w:rPr>
          <w:rFonts w:ascii="Arial" w:cs="Arial" w:eastAsia="Arial" w:hAnsi="Arial"/>
          <w:sz w:val="17"/>
          <w:szCs w:val="17"/>
          <w:color w:val="auto"/>
        </w:rPr>
        <w:t>During 2021, we averaged 19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MUUs, up 23% from 2020. We also over-index on attracting consumers with high credit scores who are inundated with choices and seek an independent third party to help them find the right product for their distinct needs. These individuals receive many offers for financial products because they are often the most attractive customers for financial services providers as they tend to drive long-term value. We believe we drive strong conversion both on and off our platform. For example, tracking tests with our financial partners in our credit cards vertical have shown that on average, for every transaction that happens through NerdWallet, one or more additional transactions with a user occur with the partner as a result of the user previously engaging with our platform. This encourages our financial services partners to continue promoting their products through NerdWallet, as we are a channel for them to acquire attractive customers.</w:t>
      </w:r>
    </w:p>
    <w:p>
      <w:pPr>
        <w:spacing w:after="0" w:line="124" w:lineRule="exact"/>
        <w:rPr>
          <w:rFonts w:ascii="Arial" w:cs="Arial" w:eastAsia="Arial" w:hAnsi="Arial"/>
          <w:sz w:val="17"/>
          <w:szCs w:val="17"/>
          <w:b w:val="1"/>
          <w:bCs w:val="1"/>
          <w:color w:val="auto"/>
        </w:rPr>
      </w:pPr>
    </w:p>
    <w:p>
      <w:pPr>
        <w:jc w:val="both"/>
        <w:ind w:left="660" w:hanging="328"/>
        <w:spacing w:after="0" w:line="293" w:lineRule="auto"/>
        <w:tabs>
          <w:tab w:leader="none" w:pos="655"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Access to Consumers Who Are Ready to Transact. </w:t>
      </w:r>
      <w:r>
        <w:rPr>
          <w:rFonts w:ascii="Arial" w:cs="Arial" w:eastAsia="Arial" w:hAnsi="Arial"/>
          <w:sz w:val="16"/>
          <w:szCs w:val="16"/>
          <w:color w:val="auto"/>
        </w:rPr>
        <w:t>While our expertise and personalized guidance is helpful for consumers at all stages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decision-making process, many of the consumers that use NerdWallet are already poised to make a transaction, using NerdWallet as the final check. For our financial services partners, this leads to more engaged potential customers, who have a better understanding of our partners’ products than the average customer. We believe that these high-quality matches can result in higher customer lifetime values for our partners. In addition to providing our financial services partners with attractive potential customers, we do so just as consumers’ purchase intent is the highest. Because of this, some financial services partners choose to market special or unique offers first or only through NerdWallet.</w:t>
      </w:r>
    </w:p>
    <w:p>
      <w:pPr>
        <w:spacing w:after="0" w:line="110" w:lineRule="exact"/>
        <w:rPr>
          <w:rFonts w:ascii="Arial" w:cs="Arial" w:eastAsia="Arial" w:hAnsi="Arial"/>
          <w:sz w:val="16"/>
          <w:szCs w:val="16"/>
          <w:color w:val="auto"/>
        </w:rPr>
      </w:pPr>
    </w:p>
    <w:p>
      <w:pPr>
        <w:jc w:val="both"/>
        <w:ind w:left="660" w:hanging="328"/>
        <w:spacing w:after="0" w:line="301" w:lineRule="auto"/>
        <w:tabs>
          <w:tab w:leader="none" w:pos="655"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Positive Brand Association. </w:t>
      </w:r>
      <w:r>
        <w:rPr>
          <w:rFonts w:ascii="Arial" w:cs="Arial" w:eastAsia="Arial" w:hAnsi="Arial"/>
          <w:sz w:val="16"/>
          <w:szCs w:val="16"/>
          <w:color w:val="auto"/>
        </w:rPr>
        <w:t>All of our articles, reviews and recommendations are written by our independent editorial team, and because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consumers trust our assessment of the financial services and products offered on our platform. As a result, we believe that our financial services partners greatly benefit from placement on our Best-of Awards lists, in our reviews and within other NerdWallet content. In fact, over 60% of the financial services providers who won a 2021 Best-of Award promoted their designation in their own marketing efforts.</w:t>
      </w:r>
    </w:p>
    <w:p>
      <w:pPr>
        <w:spacing w:after="0" w:line="103"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Exposure to Consumers Seeking a Broader Range of Financial Products. </w:t>
      </w:r>
      <w:r>
        <w:rPr>
          <w:rFonts w:ascii="Arial" w:cs="Arial" w:eastAsia="Arial" w:hAnsi="Arial"/>
          <w:sz w:val="18"/>
          <w:szCs w:val="18"/>
          <w:color w:val="auto"/>
        </w:rPr>
        <w:t>Given the breadth of our expertise, consumers are able to use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multiple facets of their financial well-being beyond their initial transactions. Through the wide range of guidance that we offer, consumers are exposed to relevant products outside of the one they are researching at a given time. For example, a consumer researching credit cards may see a relevant article regarding mortgages, then remember that article when they are in the market for a mortgage at a later date. As a result, consumers are exposed to our financial services partners’ products at various points in their financial journey, increasing the value of our platform both to consumers and financial services partners.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Strengths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five core strengths that provide us with a competitive advantage:</w:t>
      </w:r>
    </w:p>
    <w:p>
      <w:pPr>
        <w:spacing w:after="0" w:line="113" w:lineRule="exact"/>
        <w:rPr>
          <w:sz w:val="20"/>
          <w:szCs w:val="20"/>
          <w:color w:val="auto"/>
        </w:rPr>
      </w:pPr>
    </w:p>
    <w:p>
      <w:pPr>
        <w:jc w:val="both"/>
        <w:ind w:left="660" w:hanging="328"/>
        <w:spacing w:after="0" w:line="277"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Trusted Platform for Consumer and SMB Financial Guidance. </w:t>
      </w:r>
      <w:r>
        <w:rPr>
          <w:rFonts w:ascii="Arial" w:cs="Arial" w:eastAsia="Arial" w:hAnsi="Arial"/>
          <w:sz w:val="17"/>
          <w:szCs w:val="17"/>
          <w:color w:val="auto"/>
        </w:rPr>
        <w:t>We believe our strategy of optimizing guidance for the consumer, as opposed</w:t>
      </w:r>
      <w:r>
        <w:rPr>
          <w:rFonts w:ascii="Arial" w:cs="Arial" w:eastAsia="Arial" w:hAnsi="Arial"/>
          <w:sz w:val="17"/>
          <w:szCs w:val="17"/>
          <w:b w:val="1"/>
          <w:bCs w:val="1"/>
          <w:color w:val="auto"/>
        </w:rPr>
        <w:t xml:space="preserve"> </w:t>
      </w:r>
      <w:r>
        <w:rPr>
          <w:rFonts w:ascii="Arial" w:cs="Arial" w:eastAsia="Arial" w:hAnsi="Arial"/>
          <w:sz w:val="17"/>
          <w:szCs w:val="17"/>
          <w:color w:val="auto"/>
        </w:rPr>
        <w:t>to transactions per consumer, will benefit us over the long-term as we build on our leadership as the go-to destination platform for financial guidance. We have maintained an unwavering commitment to providing consumers with free and trusted financial guidance for over a decade, including unbiased recommendations and decision-making tools. Additionally, over 70% of all traffic to NerdWallet in 2021 came from direct or unpaid traffic sources, further demonstrating the value of our brand, organic marketing efforts and strategy.</w:t>
      </w:r>
    </w:p>
    <w:p>
      <w:pPr>
        <w:spacing w:after="0" w:line="113" w:lineRule="exact"/>
        <w:rPr>
          <w:rFonts w:ascii="Arial" w:cs="Arial" w:eastAsia="Arial" w:hAnsi="Arial"/>
          <w:sz w:val="17"/>
          <w:szCs w:val="17"/>
          <w:color w:val="auto"/>
        </w:rPr>
      </w:pPr>
    </w:p>
    <w:p>
      <w:pPr>
        <w:jc w:val="both"/>
        <w:ind w:left="660" w:hanging="328"/>
        <w:spacing w:after="0" w:line="258" w:lineRule="auto"/>
        <w:tabs>
          <w:tab w:leader="none" w:pos="6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Massive Top-of-the-Funnel Reach. </w:t>
      </w:r>
      <w:r>
        <w:rPr>
          <w:rFonts w:ascii="Arial" w:cs="Arial" w:eastAsia="Arial" w:hAnsi="Arial"/>
          <w:sz w:val="18"/>
          <w:szCs w:val="18"/>
          <w:color w:val="auto"/>
        </w:rPr>
        <w:t>The foundation of our platform is a direct, consumer-first approach, combined with deep domain expertise.</w:t>
      </w:r>
      <w:r>
        <w:rPr>
          <w:rFonts w:ascii="Arial" w:cs="Arial" w:eastAsia="Arial" w:hAnsi="Arial"/>
          <w:sz w:val="18"/>
          <w:szCs w:val="18"/>
          <w:b w:val="1"/>
          <w:bCs w:val="1"/>
          <w:color w:val="auto"/>
        </w:rPr>
        <w:t xml:space="preserve"> </w:t>
      </w:r>
      <w:r>
        <w:rPr>
          <w:rFonts w:ascii="Arial" w:cs="Arial" w:eastAsia="Arial" w:hAnsi="Arial"/>
          <w:sz w:val="18"/>
          <w:szCs w:val="18"/>
          <w:color w:val="auto"/>
        </w:rPr>
        <w:t>This drives superior brand awareness and traffic to our platform. During 2021, we hosted an audience comprised of an average of 19 million MUUs, up 23% from 2020. Our platform delivers financial product reviews and decision-making tools across a broad range of topics to consumers, free of charge. This approach powers large-scale traffic acquisition capabilities at the top of the funnel in both unpaid and paid channels.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Unique Breadth of Financial Offerings Under One Brand. </w:t>
      </w:r>
      <w:r>
        <w:rPr>
          <w:rFonts w:ascii="Arial" w:cs="Arial" w:eastAsia="Arial" w:hAnsi="Arial"/>
          <w:sz w:val="18"/>
          <w:szCs w:val="18"/>
          <w:color w:val="auto"/>
        </w:rPr>
        <w:t>We are a one-stop destination for consumer and SMB financial guidance,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cards, mortgages, insurance, SMB products, personal loans, banking, investing and student loans. This makes it easy for consumers to compare solutions from a wide array of providers across multiple products to meet their diverse needs. As a result, we experience a high level of engagement and repeat activity on our platform. We do not offer our own financial products, but instead surface offers from hundreds of top-quality financial services providers. Therefore, we remain a trusted source of information and insight for consumers and are complementary, not competitive, with our financial services partners.</w:t>
      </w:r>
    </w:p>
    <w:p>
      <w:pPr>
        <w:spacing w:after="0" w:line="133" w:lineRule="exact"/>
        <w:rPr>
          <w:rFonts w:ascii="Arial" w:cs="Arial" w:eastAsia="Arial" w:hAnsi="Arial"/>
          <w:sz w:val="18"/>
          <w:szCs w:val="18"/>
          <w:color w:val="auto"/>
        </w:rPr>
      </w:pPr>
    </w:p>
    <w:p>
      <w:pPr>
        <w:jc w:val="both"/>
        <w:ind w:left="660" w:hanging="328"/>
        <w:spacing w:after="0" w:line="303"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Founder-Led Management Team Focused on Continual Innovation. </w:t>
      </w:r>
      <w:r>
        <w:rPr>
          <w:rFonts w:ascii="Arial" w:cs="Arial" w:eastAsia="Arial" w:hAnsi="Arial"/>
          <w:sz w:val="16"/>
          <w:szCs w:val="16"/>
          <w:color w:val="auto"/>
        </w:rPr>
        <w:t>Our co-founder, Chief Executive Officer and Chairman of our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Tim Chen, started NerdWallet in 2009 to bring clarity to all of life’s financial decisions. We grew to approximately $44 million of revenue in 2014 with no outside equity capital. Subsequently, we have increased revenue at a compound annual growth rate (CAGR) of 36% per year from 2014 to 2021. Today, we continue to maintain a mindset of capital and financial discipline balanced with growth-oriented investing.</w:t>
      </w:r>
    </w:p>
    <w:p>
      <w:pPr>
        <w:spacing w:after="0" w:line="96"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Platform That Drives and Benefits from Strong Network Effects. </w:t>
      </w:r>
      <w:r>
        <w:rPr>
          <w:rFonts w:ascii="Arial" w:cs="Arial" w:eastAsia="Arial" w:hAnsi="Arial"/>
          <w:sz w:val="18"/>
          <w:szCs w:val="18"/>
          <w:color w:val="auto"/>
        </w:rPr>
        <w:t>As more consumers use our platform and engage with our extensive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and tools, our consumer and transaction database grows and our product recommendations yield higher success rates. This increases user satisfaction, converting more users into Registered Users and improving repeat user rates. As we apply machine learning to match more high-quality consumers with products and services, our platform becomes increasingly valuable to financial services partners, too. This, in turn, attracts new partners and new financial products to the platform. More partners and more products serve to further increase the success rates of consumers using our platform, all of which drives our growth. This creates a unique value proposition for all constituents in our ecosystem, making our platform more valuable.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Growth Strategies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investing in and leveraging our key strengths to expand our business:</w:t>
      </w:r>
    </w:p>
    <w:p>
      <w:pPr>
        <w:spacing w:after="0" w:line="113" w:lineRule="exact"/>
        <w:rPr>
          <w:sz w:val="20"/>
          <w:szCs w:val="20"/>
          <w:color w:val="auto"/>
        </w:rPr>
      </w:pPr>
    </w:p>
    <w:p>
      <w:pPr>
        <w:jc w:val="both"/>
        <w:ind w:left="660" w:hanging="328"/>
        <w:spacing w:after="0" w:line="291" w:lineRule="auto"/>
        <w:tabs>
          <w:tab w:leader="none" w:pos="65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Grow Our Traffic and Increase Engagement. </w:t>
      </w:r>
      <w:r>
        <w:rPr>
          <w:rFonts w:ascii="Arial" w:cs="Arial" w:eastAsia="Arial" w:hAnsi="Arial"/>
          <w:sz w:val="16"/>
          <w:szCs w:val="16"/>
          <w:color w:val="auto"/>
        </w:rPr>
        <w:t>We are focused on growing the traffic and engagement on our platform, as well as increasing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Registered Users, who have a lifetime revenue value five times greater than our non-registered users and more than twice the transactions and sessions, on average. In 2021, we had an average of 19 million MUUs, an increase of 23% compared to 2020. Since 2016, we have started converting unique users into Registered Users that utilize our consumer decisioning tools and increased machine learning functionality. We had over 5.5 million Registered Users as of December 31, 2019, 8 million Registered Users as of December 31, 2020 and over 10 million Registered Users as of December 31, 2021. We will continue to invest in building efficient and scalable technical capabilities to deliver personalized guidance and nudge consumers, at the right time, to take action based on our advice. With better machine learning, we believe our recommendations and contextual nudges will encourage repeat engagement and user registration on our platform.</w:t>
      </w:r>
    </w:p>
    <w:p>
      <w:pPr>
        <w:spacing w:after="0" w:line="105" w:lineRule="exact"/>
        <w:rPr>
          <w:rFonts w:ascii="Arial" w:cs="Arial" w:eastAsia="Arial" w:hAnsi="Arial"/>
          <w:sz w:val="16"/>
          <w:szCs w:val="16"/>
          <w:b w:val="1"/>
          <w:bCs w:val="1"/>
          <w:color w:val="auto"/>
        </w:rPr>
      </w:pPr>
    </w:p>
    <w:p>
      <w:pPr>
        <w:jc w:val="both"/>
        <w:ind w:left="660" w:hanging="328"/>
        <w:spacing w:after="0" w:line="270"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Grow Within Existing and New Verticals</w:t>
      </w:r>
      <w:r>
        <w:rPr>
          <w:rFonts w:ascii="Arial" w:cs="Arial" w:eastAsia="Arial" w:hAnsi="Arial"/>
          <w:sz w:val="17"/>
          <w:szCs w:val="17"/>
          <w:color w:val="auto"/>
        </w:rPr>
        <w:t>. Our brand is a natural extension as we land and expand by adding capabilities within our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verticals and by entering new verticals to provide a broad range of tools for consumers. By improving the quality of our guidance within existing verticals, we believe we can enhance the experience for our users and continue to build recurring revenue streams. For example, in the fourth quarter of 2020, we acquired Fundera, which allows us to both improve our offering for SMBs by providing a human touch during one of their biggest financial decisions and build a deeper relationship to anticipate future needs. Upon integration, we combined NerdWallet's top-of-funnel strength to increase organic SMB traffic with Fundera’s monetization strategy, which added a recurring revenue tail. We can apply this playbook to other existing verticals that have relationship-driven or renewal revenue models. Our approach for new vertical expansion is well-defined — provide trusted content and tools to attract organic traffic, then leverage our brand and marketing expertise to accelerate growth. Expansion to new verticals allows us to address more of our consumers’ needs and increases our potential for cross-selling, thereby making existing verticals and marketing channels more efficient.</w:t>
      </w:r>
    </w:p>
    <w:p>
      <w:pPr>
        <w:spacing w:after="0" w:line="122" w:lineRule="exact"/>
        <w:rPr>
          <w:rFonts w:ascii="Arial" w:cs="Arial" w:eastAsia="Arial" w:hAnsi="Arial"/>
          <w:sz w:val="17"/>
          <w:szCs w:val="17"/>
          <w:color w:val="auto"/>
        </w:rPr>
      </w:pPr>
    </w:p>
    <w:p>
      <w:pPr>
        <w:jc w:val="both"/>
        <w:ind w:left="66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Expand Geographically. </w:t>
      </w:r>
      <w:r>
        <w:rPr>
          <w:rFonts w:ascii="Arial" w:cs="Arial" w:eastAsia="Arial" w:hAnsi="Arial"/>
          <w:sz w:val="18"/>
          <w:szCs w:val="18"/>
          <w:color w:val="auto"/>
        </w:rPr>
        <w:t>We believe there is significant potential for us to grow the global reach of our platform. Our success in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strong brand give us a solid foundation to expand into other geographies. Following our 2020 acquisition of Know Your Money (KYM), an online provider of financial guidance and tools in the UK, KYM was rebranded as NerdWallet UK. By deploying our playbook, organic traffic to the NerdWallet UK site increased from approximately 10,000 monthly sessions pre-acquisition to approximately 130,000 monthly sessions within one year of acquisition. This early proof point has encouraged us to invest in further global expansion, and we expanded organically into Canada during 2021.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60" w:hanging="328"/>
        <w:spacing w:after="0" w:line="303"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Broaden and Deepen our Partnerships with Financial Services Providers. </w:t>
      </w:r>
      <w:r>
        <w:rPr>
          <w:rFonts w:ascii="Arial" w:cs="Arial" w:eastAsia="Arial" w:hAnsi="Arial"/>
          <w:sz w:val="16"/>
          <w:szCs w:val="16"/>
          <w:color w:val="auto"/>
        </w:rPr>
        <w:t>We partner with banks, insurance agencies, financial advisors, loan</w:t>
      </w:r>
      <w:r>
        <w:rPr>
          <w:rFonts w:ascii="Arial" w:cs="Arial" w:eastAsia="Arial" w:hAnsi="Arial"/>
          <w:sz w:val="16"/>
          <w:szCs w:val="16"/>
          <w:b w:val="1"/>
          <w:bCs w:val="1"/>
          <w:color w:val="auto"/>
        </w:rPr>
        <w:t xml:space="preserve"> </w:t>
      </w:r>
      <w:r>
        <w:rPr>
          <w:rFonts w:ascii="Arial" w:cs="Arial" w:eastAsia="Arial" w:hAnsi="Arial"/>
          <w:sz w:val="16"/>
          <w:szCs w:val="16"/>
          <w:color w:val="auto"/>
        </w:rPr>
        <w:t>brokers and other financial services providers. As we deepen our relationships with our financial services partners, our pricing often increases as they see greater value in being matched with the well-informed consumers who use our platform. We will continue to identify new financial services partners, as well as vertical expansion opportunities with existing financial services partners to optimize our platform for consumers.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Market Opportunity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 substantial market opportunity in the growing global market for financial services. Our comprehensive platform serves a broad set of financial verticals, including credit cards, mortgages, insurance, SMB products, personal loans, banking, investing and student loans.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and primary addressable market opportunity is U.S. financial services digital advertising spend, which is expected to be more than $23 billion in 2021 and has been growing at double digit rates annually, according to eMarketer. Additionally, IDC estimates global financial services advertising spend to be approximately $73 billion in 2021, and we believe that we will be able to increasingly address this global spend as we grow internationally. As digital advertising spend continues to increase as a percentage of overall advertising spend, we expect our addressable market opportunity to grow along with it.</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the services provided by financial advisors, insurance agencies, loan brokers and others will increasingly transition online in the coming years, which will expand our addressable market. As a result of this offline-to-online shift, offline sales commission dollars will be reallocated to better align with the growth and importance of digital channels. To illustrate the growth potential of our addressable market, for example, the life insurance industry in 2019 spent $9 billion on advertising, of which $2 billion was digital advertising — yet, $13-$15 billion in commissions were still paid to agencies. As financial services providers modernize their approach to sales commissions and related compensation, we expect that our addressable market opportunity will continue to grow.</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Product Offerings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NerdWallet platform is designed to empower consumers at every stage of their financial journey through our personalized offerings. Whether consumers have a specific money question, are shopping for the “best” financial product or want to proactively stay on top of their finances, we provide financial guidance to meet their varied needs. We offer guidance across eight verticals: credit cards, mortgages, insurance, SMB products, personal loans, banking, investing and student loans.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our unbiased and comprehensive approach to financial guidance and personalized insights provides a competitive advantage for NerdWallet. This advantage will compound as we further expand our product offerings and as we continue to apply the power of machine learning to further refine our personalized insights. To ensure we are able to meet distinct consumer needs and preferences, our financial guidance is delivered in a variety of ways, organized in the following core categories: Learn, Shop and Manage.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Learn</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mission is to provide clarity for all of life’s financial decisions, and we provide resources that make even the most complicated financial questions and topics simple to understand. The resources consumers can access on our platform include articles, calculators, videos and podcasts. We do this with our award-winning editorial team of Nerds who create and curate NerdWallet’s house views on a wide variety of personal finance topics. Our writers and editors, many of whom have joined us from notable publications, cover specific verticals day in and day out, and, as a result, are deeply knowledgeable about the financial areas they cover, producing high-quality and award-winning guidance. This trusted guidance has enabled us to build a large, well-informed audience, many of whom are ready to transact. Accordingly, we have become an attractive partner for financial services providers wanting to reach these high value consumers. Today, our platform stretches across many verticals, including credit cards, mortgages, insurance, SMB products, personal loans, banking, investing and student loans. These capabilities help consumers make educated decisions about financial products, while allowing us to provide our financial services partners with informed consumers ready to transact.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Shop</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NerdWallet’s platform and intuitive user interface help consumers find the products that best match their searches, instilling confidence in their financial decisions. Consumers can easily explore available products, filter results according to their specific needs, sort by NerdWallet rating and narrow down their options with the help of various tools, including side-by-side comparisons, “Best-of” lists and financial product reviews. In our credit card and loans verticals, we also offer the ability to personalize our recommendations by matching consumers to the appropriate lender for their unique needs.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Manage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NerdWallet makes it easy for our Registered Users to stay on top of their money by centralizing many of their financial decisions in one place. Consumers can get a holistic view of their finances, and hone in on specific details about their spending and saving patterns across accounts. By codifying insights from our award-winning editorial team, we are able to recommend smart money moves via contextual “nudges” for example, letting consumers know that the improvement in their credit score means that they could qualify for lower auto insurance rates. As a result, NerdWallet has become a one-stop-shop for consumers to track, manage and plan their financial futures.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Technology</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built our scalable technology platform to serve both the growing number of consumers searching for financial products digitally and the increasing number of financial service providers looking to reach consumers with the right characteristics for any given product. Additionally, beyond enabling all elements of our consumer “Learn, Shop, Manage” product experience, our technology is key to keeping our platform secure and compliant. The key capabilities and features of our platform include Content Management, Partner Access, Recommendation Engine and Personal Financial Management.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Content Management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content management platform leverages structured data components to showcase our financial guidance to consumers at scale. By codifying our editorial team’s house views, we are able to dynamically recommend relevant content using machine learning for consumers seeking guidance and thus increase product matches. Our personalized article recommendations lead to higher click-through rates, ultimately increasing transactions on our platform.</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Partner Access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platform manages over 400 financial services partners across eight verticals. We have a team focused on ingesting and aggregating data from our financial services partners across our verticals and financial products to surface and apply product details and attributes for matching with consumers. Our partner data ingestion, quality and compliance processes ensures accuracy and scalability across our platform. We are able to onboard new partners quickly with significantly lower partner marketing compliance risk — for example, inaccurate displays of rewards, fees, or interest rates. Our partner platform also includes the ability to integrate prequalification experiences and targeting engines.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Recommendation Engine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proprietary recommendation engine uses machine learning to match consumers to financial products and partners that meet their unique needs.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Examples include, but are not limited to:</w:t>
      </w:r>
    </w:p>
    <w:p>
      <w:pPr>
        <w:spacing w:after="0" w:line="103" w:lineRule="exact"/>
        <w:rPr>
          <w:sz w:val="20"/>
          <w:szCs w:val="20"/>
          <w:color w:val="auto"/>
        </w:rPr>
      </w:pPr>
    </w:p>
    <w:p>
      <w:pPr>
        <w:ind w:left="66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credit card products, our approval odds model determines a consumer's likelihood of getting approved, which ultimately saves them time, enables users to avoid unnecessary hard credit checks, and drives stronger conversion rates for our financial services partners.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some loans products, we operate a prequalification system that assists consumers through the underwriting process.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technology is flexible enough to engage with financial services partners in ways that align with each industry’s unique requirements and business practices.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Personal Financial Management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logged-in experience for Registered Users serves as a one-stop shop for consumers to track, manage and maximize their finances, all in one place. We analyze first-party data, third-party data from financial account aggregators and credit reports to understand our users’ unique financial situations. Our recommendation engine surfaces insights and actions that users can take to make smart money moves, such as improving their credit scores, maximizing their credit card rewards or earning a higher savings interest rate. Additionally, our credit score predictive modeling can estimate the impact of financial decisions on consumers’ credit scores, thus enhancing the insights and recommendations that we can provide to them.</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Security and Privacy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consumer-first company that is building a trusted brand, we are both committed and mandated to adhere to the strictest privacy standards. We believe our commitment to data protection and privacy, as well as our superior insights and guidance, are the primary reasons why consumers provide us with personal data on our platform.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practice a security-first approach to product development, with our security team involved in building our products, features, platforms and infrastructure from the beginning. This approach allows us to build with security as a core requirement rather than treating it as an afterthought. Our security team has a wide range of expertise, from corporate security to network security to application security, giving us the ability to design security into everything that we do, from product development to vendor selection to the tools that we use in our day-to-day work as Nerds.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Marketing</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marketing function is a critical way we reach and build trust with consumers and is an important growth lever for our business. Our marketing strategy is diversified across brand marketing, organic and performance marketing, customer relationship management and communications. Importantly, these strategies build on and reinforce one another, optimizing for building consumer trust and managing spend efficiently. Brand marketing campaigns, which encourage consumers to turn to NerdWallet with all of their money questions, increase awareness and drive top-of-funnel interest, while amplifying the effectiveness of our organic and performance marketing channels. All of our marketing programs and channels are measured by a data-driven media mix model to determine results and effectively allocate marketing investments to drive maximum business impact.</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substantial organic and performance marketing presence that drives high-intent traffic. Our organic marketing program leverages our substantial, proprietary body of trusted guidance coupled with expertise in SEO and public relations, to reinforce NerdWallet as a trusted authority in personal finance. Our performance marketing is also highly optimized for profitable revenue growth.</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NerdWallet’s editorial team is made up of writers and editors who are deeply knowledgeable about personal finance. Our editorial team provides well-researched guidance across all areas of personal finance and for various stages of consumers’ financial journeys, from basic information about saving for retirement to timely guidance about applying for unemployment to in-depth product reviews. Our high quality content is distributed by news sites such as The Associated Press, and our writers are frequently featured providing guidance in print, online and broadcast media such as The New York Times and Good Morning America, among others.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communications team oversees the execution of consumer, product and corporate communications to both reinforce NerdWallet as a trusted brand and support our organic growth strategies by generating considerable media and syndication coverage, particularly for NerdWallet’s consumer finance spokespeople.</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believe our marketing strategy will position NerdWallet as the trusted brand of choice in personal finance, improve traffic acquisition at all levels of the funnel, drive engagement with users, and enable us to scale quickly across new consumer finance verticals and geographies.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mission, to provide clarity for all of life’s financial decisions, is rooted in our belief that both individual consumers and SMBs should be empowered to make financial decisions with confidence. As we grow and scale following our entry into the public markets, we are committed to developing an Environmental, Social and Governance (ESG) strategy that reflects our unique position as a trusted brand for personal finance. We look forward to enhancing our disclosures for ESG and engaging with our stakeholders as we continue to make progress on this crucial initiative.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NerdWallet is defined by its vision, a world where everyone makes financial decisions with confidence. We attract people who are passionate about bringing our mission to life and inspired by the possibility of making real change — to brighten futures, ask hard questions, usher in solutions and provide our consumers with clarity and confidence. As of December 31, 2021, we had over 675 full</w:t>
      </w:r>
      <w:r>
        <w:rPr>
          <w:rFonts w:ascii="MS PGothic" w:cs="MS PGothic" w:eastAsia="MS PGothic" w:hAnsi="MS PGothic"/>
          <w:sz w:val="17"/>
          <w:szCs w:val="17"/>
          <w:color w:val="auto"/>
        </w:rPr>
        <w:t>‑</w:t>
      </w:r>
      <w:r>
        <w:rPr>
          <w:rFonts w:ascii="Arial" w:cs="Arial" w:eastAsia="Arial" w:hAnsi="Arial"/>
          <w:sz w:val="17"/>
          <w:szCs w:val="17"/>
          <w:color w:val="auto"/>
        </w:rPr>
        <w:t>time employees, of which approximately 93% are located throughout the United States and 7% are located internationally. None of our employees are represented by a labor union or covered by collective bargaining agreements. We consider our relationship with our employees to be good and have not experienced any work stoppages.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Culture and Engagement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Nerds are the key to our success and the reason we believe we will achieve our mission; they are also one of our most crucial areas of investment. At the core of our Nerdy culture are our values. They’re not just words written on a wall or printed on t-shirts, but lived and breathed every day by every Nerd: (1) Consumer, Company, Team, Self; (2) Relentless Self-Improvement; (3) Ownership; (4) Informed Risk-Taking; and (5) Open, Candid and Constructive. We measure employee performance against these company values and measure employee engagement through surveys, and participation at all-hands and town hall style meetings with leadership. We’re consistently recognized as a Fortune “Best Place to Work” due to our competitive employee benefits, commitment to employee growth and empowerment, and our flexible workplace environment.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Response to COVID-19 and Employee Safety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the outset of the COVID-19 pandemic in the first quarter of 2020, we closed our San Francisco office and transitioned all of our employees to a remote work environment in order to mitigate the spread of COVID-19 and comply with local shelter-in-place policies. Subsequently, in December 2020, we adopted a remote-first policy that allows for almost all roles to be remote on an ongoing basis. Many of our employees transitioned or were hired into permanent remote status and as of December 31, 2021 are not required to report to an office for work.</w:t>
      </w:r>
    </w:p>
    <w:p>
      <w:pPr>
        <w:spacing w:after="0" w:line="11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While we maintain offices in San Francisco, California, Scottsdale, Arizona, New York, New York and Norwich, UK, we continue to monitor COVID-19 pandemic developments and local conditions to adjust our policies accordingly. For example, in response to the recent surge of COVID-19 cases arising from the spread of the omicron variant, we closed our U.S. offices on a temporary basis while leaving our UK office open, but with reduced capacity.</w:t>
      </w:r>
    </w:p>
    <w:p>
      <w:pPr>
        <w:spacing w:after="0" w:line="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Understanding that our employees may need additional support during the COVID-19 pandemic, we introduced new benefits: access to on-demand mental health support through a third-party service provider and adding mental health days to our company calendar. In addition, we encouraged employees to take advantage of existing flexible time off policies and work with their teams to arrange for a flexible work schedule.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NerdWallet, we aspire to provide people with the confidence they need to live their best lives — however they identify. For our consumers, this means building their financial confidence. For our Nerds, this means fostering an inclusive culture that allows all Nerds to be their authentic selves, grow their skills, contribute, and thrive with the confidence of belonging. Our key initiatives include:</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Offering learning sessions and resources for Nerds and managers to help build an inclusive workplace.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strike w:val="1"/>
        </w:rPr>
      </w:pPr>
      <w:r>
        <w:rPr>
          <w:rFonts w:ascii="Arial" w:cs="Arial" w:eastAsia="Arial" w:hAnsi="Arial"/>
          <w:sz w:val="18"/>
          <w:szCs w:val="18"/>
          <w:color w:val="auto"/>
        </w:rPr>
        <w:t>Supporting 5 employee-led employee resource groups, which provide supportive communities for various employee populations and their allies: NerdOut!, NerdParents, NerdWomen, Nerds of Color and NerdWallet Women in Data &amp; Engineering.</w:t>
      </w:r>
    </w:p>
    <w:p>
      <w:pPr>
        <w:spacing w:after="0" w:line="116" w:lineRule="exact"/>
        <w:rPr>
          <w:rFonts w:ascii="Arial" w:cs="Arial" w:eastAsia="Arial" w:hAnsi="Arial"/>
          <w:sz w:val="18"/>
          <w:szCs w:val="18"/>
          <w:color w:val="auto"/>
          <w:strike w:val="1"/>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to Obtain a Black Equity at Work Certification from Management Leadership for Tomorrow (MLT). The certification is a three-year process and we have developed a data-driven and comprehensive plan to achieve certification.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use a third-party platform to analyze our employee salaries for gaps based on race or gender twice a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Offering Learning and Activism Days to inspire and encourage Nerds to grow and give back to their communities.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Talent Attraction, Recruitment and Retention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remote-first culture allows us to reach, attract and retain more diverse talent across all levels of our organization. Attracting and retaining highly skilled, diverse talent is a key component of our burgeoning diversity, equity and inclusion efforts, and is absolutely critical to our success as a business and to fully realizing NerdWallet’s mission. Once employees are at NerdWallet we invest in their well-being and development offering competitive compensation and benefits and opportunities for career growth.</w:t>
      </w:r>
    </w:p>
    <w:p>
      <w:pPr>
        <w:spacing w:after="0" w:line="133"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Training, Learning and Development </w:t>
      </w:r>
      <w:r>
        <w:rPr>
          <w:rFonts w:ascii="Arial" w:cs="Arial" w:eastAsia="Arial" w:hAnsi="Arial"/>
          <w:sz w:val="18"/>
          <w:szCs w:val="18"/>
          <w:color w:val="auto"/>
        </w:rPr>
        <w:t>- In line with our Relentless Self-Improvement value, we encourage our employees to seek out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opportunities and we provide them with a yearly education stipend. In addition, we provide in-house opportunities for career development, including in-depth training as part of our New Manager Lab.</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 NerdWallet offers market-competitive compensation to attract employees and a pay-for-performance philosophy to engage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retain our employees. We want our employees to feel invested in the future of NerdWallet by offering all full-time employees equity-based compensation upon hire and through annual performance equity grants.</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Healthcare and Other Benefits </w:t>
      </w:r>
      <w:r>
        <w:rPr>
          <w:rFonts w:ascii="Arial" w:cs="Arial" w:eastAsia="Arial" w:hAnsi="Arial"/>
          <w:sz w:val="18"/>
          <w:szCs w:val="18"/>
          <w:color w:val="auto"/>
        </w:rPr>
        <w:t>- In order to attract, engage and retain our employees, we offer a wide array of benefits to help</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life balance:</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Comprehensive healthcare including medical, dental, vision, life and disability insurance plans;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Flexible paid time off and flexible work schedules;</w:t>
      </w:r>
    </w:p>
    <w:p>
      <w:pPr>
        <w:spacing w:after="0" w:line="171" w:lineRule="exact"/>
        <w:rPr>
          <w:rFonts w:ascii="Arial" w:cs="Arial" w:eastAsia="Arial" w:hAnsi="Arial"/>
          <w:sz w:val="18"/>
          <w:szCs w:val="18"/>
          <w:color w:val="auto"/>
        </w:rPr>
      </w:pPr>
    </w:p>
    <w:p>
      <w:pPr>
        <w:ind w:left="1300" w:hanging="320"/>
        <w:spacing w:after="0" w:line="277" w:lineRule="auto"/>
        <w:tabs>
          <w:tab w:leader="none" w:pos="13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Mental health benefits and Company mental health days off in addition to an annual week-long Company shutdown at the end of the calendar year;</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Remote-first work environment;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Generous parental leave;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Country-specific retirement or pension plans, with a match for U.S. 401(k) plan contributions;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Employee Stock Purchase Plan (ESPP);</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Access to certified financial planners;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Referral bonus program for recruiting new Nerds;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Charitable matching program, matching of up to $1,000 of employee donations per calendar year;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Access to online and automated legal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built a scaled and highly differentiated online platform. We face competition from both online and offline financial guidance providers in four primary categories:</w:t>
      </w:r>
    </w:p>
    <w:p>
      <w:pPr>
        <w:spacing w:after="0" w:line="16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Financial advisors, agents, and brokers </w:t>
      </w:r>
      <w:r>
        <w:rPr>
          <w:rFonts w:ascii="Arial" w:cs="Arial" w:eastAsia="Arial" w:hAnsi="Arial"/>
          <w:sz w:val="18"/>
          <w:szCs w:val="18"/>
          <w:color w:val="auto"/>
        </w:rPr>
        <w:t>who provide guidance and expertise as part of their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Traditional media </w:t>
      </w:r>
      <w:r>
        <w:rPr>
          <w:rFonts w:ascii="Arial" w:cs="Arial" w:eastAsia="Arial" w:hAnsi="Arial"/>
          <w:sz w:val="18"/>
          <w:szCs w:val="18"/>
          <w:color w:val="auto"/>
        </w:rPr>
        <w:t>such as the New York Times, U.S. News &amp; World Report and other print and broadcast media;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Friends and family</w:t>
      </w:r>
      <w:r>
        <w:rPr>
          <w:rFonts w:ascii="Arial" w:cs="Arial" w:eastAsia="Arial" w:hAnsi="Arial"/>
          <w:sz w:val="18"/>
          <w:szCs w:val="18"/>
          <w:color w:val="auto"/>
        </w:rPr>
        <w:t>, as many consumers consult friends and family for financial guidance;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Influencers on social media platforms.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compete with the following for advertising budgets designated for financial products:</w:t>
      </w:r>
    </w:p>
    <w:p>
      <w:pPr>
        <w:spacing w:after="0" w:line="167" w:lineRule="exact"/>
        <w:rPr>
          <w:sz w:val="20"/>
          <w:szCs w:val="20"/>
          <w:color w:val="auto"/>
        </w:rPr>
      </w:pPr>
    </w:p>
    <w:p>
      <w:pPr>
        <w:ind w:left="660" w:hanging="328"/>
        <w:spacing w:after="0" w:line="28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Financial services providers’ own marketing</w:t>
      </w:r>
      <w:r>
        <w:rPr>
          <w:rFonts w:ascii="Arial" w:cs="Arial" w:eastAsia="Arial" w:hAnsi="Arial"/>
          <w:sz w:val="18"/>
          <w:szCs w:val="18"/>
          <w:color w:val="auto"/>
        </w:rPr>
        <w:t>: Financial services providers connect directly through many different channels, digitally (in-app,</w:t>
      </w:r>
      <w:r>
        <w:rPr>
          <w:rFonts w:ascii="Arial" w:cs="Arial" w:eastAsia="Arial" w:hAnsi="Arial"/>
          <w:sz w:val="18"/>
          <w:szCs w:val="18"/>
          <w:b w:val="1"/>
          <w:bCs w:val="1"/>
          <w:color w:val="auto"/>
        </w:rPr>
        <w:t xml:space="preserve"> </w:t>
      </w:r>
      <w:r>
        <w:rPr>
          <w:rFonts w:ascii="Arial" w:cs="Arial" w:eastAsia="Arial" w:hAnsi="Arial"/>
          <w:sz w:val="18"/>
          <w:szCs w:val="18"/>
          <w:color w:val="auto"/>
        </w:rPr>
        <w:t>email, etc.) and offline channels (direct mail, printed media, etc.);</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Online search engines</w:t>
      </w:r>
      <w:r>
        <w:rPr>
          <w:rFonts w:ascii="Arial" w:cs="Arial" w:eastAsia="Arial" w:hAnsi="Arial"/>
          <w:sz w:val="18"/>
          <w:szCs w:val="18"/>
          <w:color w:val="auto"/>
        </w:rPr>
        <w:t>: Financial services providers spend advertising budgets with online search engines, primarily Google AdWords, as many</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turn to Google to answer their personal finance questions; and</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Online marketplaces</w:t>
      </w:r>
      <w:r>
        <w:rPr>
          <w:rFonts w:ascii="Arial" w:cs="Arial" w:eastAsia="Arial" w:hAnsi="Arial"/>
          <w:sz w:val="18"/>
          <w:szCs w:val="18"/>
          <w:color w:val="auto"/>
        </w:rPr>
        <w:t>: including Bankrate, Credit Karma, LendingTree and Zillow.</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we compete favorably due to the breadth and depth of our financial guidance, the trust we’ve built with our consumers, and our brand, organic traffic, convenience and simplicity.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our intellectual property rights are valuable and important to our business. We rely on trademarks, copyrights, trade secrets, license agreements, intellectual property assignment agreements, confidentiality procedures, non-disclosure agreements, and employee and contractor non-disclosure and invention assignment agreements to establish and protect our proprietary rights. Though we rely in part upon these legal and contractual protections, we believe that factors such as our skills and the ingenuity of our employees, the quality of our guidance to consumers and the functionality and frequent enhancements to our platform are larger contributors to our success in the marketplace.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marks in the U.S. and many other jurisdictions around the world. We also have registered domain names for websites that we use in our business.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 titled “Risk Factors — Risks Related to Our Technology, Security and Intellectual Property — Failure to protect or enforce our intellectual property rights could harm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market and provide our products and services in heavily regulated industries through a number of different channels across the U.S. and the UK.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aspects of our business are potentially subject to a variety of U.S. and UK laws and regulations, including:</w:t>
      </w:r>
    </w:p>
    <w:p>
      <w:pPr>
        <w:spacing w:after="0" w:line="211" w:lineRule="exact"/>
        <w:rPr>
          <w:sz w:val="20"/>
          <w:szCs w:val="20"/>
          <w:color w:val="auto"/>
        </w:rPr>
      </w:pPr>
    </w:p>
    <w:p>
      <w:pPr>
        <w:jc w:val="both"/>
        <w:ind w:left="660" w:hanging="328"/>
        <w:spacing w:after="0" w:line="279"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Truth-in-Lending Act, the Equal Credit Opportunity Act, the Fair Credit Reporting Act (FCRA), Fair and Accurate Credit Transactions Act of 2003, the Fair Housing Act, the Real Estate Settlement Procedures Act, and similar state laws, all of which place certain restrictions on the manner in which mortgages and other consumer loans are marketed and originated, and some of which impose restrictions on the amount and nature of fees that may be charged to lenders and real estate professionals for providing or obtaining consumer loan requests;</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Dodd-Frank Wall Street Reform and Consumer Protection Act, which imposes, among other things, a broad prohibition on Unfair, Deceptive and Abusive Acts and Practices (UDAAPs) in connection with consumer financial products and services, limitations on fees charged by mortgage lenders, and requirements related to mortgage disclosures and is enforced by the Consumer Financial Protection Bureau and state regulatory authorities;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Trade Commission Act (FTC Act), which, among other things, imposes a broad prohibition on Unfair and Deceptive Acts and Practices in or affecting commerce, and is enforced by the Federal Trade Commission;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 laws that impose prohibitions on Unfair, Deceptive and Abusive Acts and Practices similar to the Dodd-Frank Act and FTC Act’s prohibitions;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licensing laws;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laws, which impose restrictions on activities conducted through telephone, mail, email, mobile device or the Internet, including the Telemarketing Sales Rule, the Telephone Consumer Protection Act, and the Controlling the Assault of Non-Solicited Pornography and Marketing Act of 2003;</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laws relating to offering of credit repair services to consumers, including such laws that impose restrictions on the usage and storage of consumer credit information such as the Credit Repair Organizations Act and the FCRA;</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laws and regulations relating to data privacy and security, such as the Gramm-Leach-Bliley Act and the California Consumer Privacy Act (CCPA), which impact how we collect, use, store, share and otherwise process personal information of consumers and other individuals;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Recent state laws regulating data privacy and security such as the CCPA;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laws and regulations relating to data privacy and security, such as the UK General Data Protection Regulation, the UK Data Protection Act 2018 and the General Data Protection Regulation 2016/679, each of which regulates our collection, processing, disclosure and other use of data relating to identifiable living individuals (personal data).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maintain an investor relations website at the following address: </w:t>
      </w:r>
      <w:r>
        <w:rPr>
          <w:rFonts w:ascii="Arial" w:cs="Arial" w:eastAsia="Arial" w:hAnsi="Arial"/>
          <w:sz w:val="18"/>
          <w:szCs w:val="18"/>
          <w:i w:val="1"/>
          <w:iCs w:val="1"/>
          <w:color w:val="auto"/>
        </w:rPr>
        <w:t>https://investors.nerdwallet.com</w:t>
      </w:r>
      <w:r>
        <w:rPr>
          <w:rFonts w:ascii="Arial" w:cs="Arial" w:eastAsia="Arial" w:hAnsi="Arial"/>
          <w:sz w:val="18"/>
          <w:szCs w:val="18"/>
          <w:color w:val="auto"/>
        </w:rPr>
        <w:t xml:space="preserve">. The information on our investor relations website is not incorporated by reference in this report. We make available on or through our investor relations website certain reports and amendments to those reports that we file with or furnish to the SEC in accordance with the Exchange Act. These include our Annual Reports on Form 10-K, our Quarterly Reports on Form 10-Q and our Current Reports on Form 8-K. We make this information available on our investor relations website free of charge as soon as reasonably practicable after we electronically file the information with, or furnish it to, the SEC. The SEC maintains a website that contains reports, proxy and information statements, and other information regarding issuers that file electronically with the SEC at the following address: </w:t>
      </w:r>
      <w:r>
        <w:rPr>
          <w:rFonts w:ascii="Arial" w:cs="Arial" w:eastAsia="Arial" w:hAnsi="Arial"/>
          <w:sz w:val="18"/>
          <w:szCs w:val="18"/>
          <w:i w:val="1"/>
          <w:iCs w:val="1"/>
          <w:color w:val="auto"/>
        </w:rPr>
        <w:t>https://www.sec.gov</w:t>
      </w:r>
      <w:r>
        <w:rPr>
          <w:rFonts w:ascii="Arial" w:cs="Arial" w:eastAsia="Arial" w:hAnsi="Arial"/>
          <w:sz w:val="18"/>
          <w:szCs w:val="18"/>
          <w:color w:val="auto"/>
        </w:rPr>
        <w:t>.</w:t>
      </w:r>
    </w:p>
    <w:p>
      <w:pPr>
        <w:spacing w:after="0" w:line="2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addition, we routinely post on our investor relations website news releases, announcements and other statements about our business and results of operations, some of which may contain information that may be deemed material to investors. Therefore, we encourage investors to monitor the </w:t>
      </w:r>
      <w:r>
        <w:rPr>
          <w:rFonts w:ascii="Arial" w:cs="Arial" w:eastAsia="Arial" w:hAnsi="Arial"/>
          <w:sz w:val="18"/>
          <w:szCs w:val="18"/>
          <w:i w:val="1"/>
          <w:iCs w:val="1"/>
          <w:color w:val="auto"/>
        </w:rPr>
        <w:t xml:space="preserve">https://investors.nerdwallet.com </w:t>
      </w:r>
      <w:r>
        <w:rPr>
          <w:rFonts w:ascii="Arial" w:cs="Arial" w:eastAsia="Arial" w:hAnsi="Arial"/>
          <w:sz w:val="18"/>
          <w:szCs w:val="18"/>
          <w:color w:val="auto"/>
        </w:rPr>
        <w:t>website and review the information we post on that page.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risks described below and in our subsequent periodic filings with the SEC. The following risk factors should be read in conjunction with “Item 7. Management’s Discussion and Analysis of Financial Condition and Results of Operations” and the consolidated financial statements and related notes in this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the principal risks that could materially adversely affect us and should be read in conjunction with the full disclosure in this “Risk Factors” section:</w:t>
      </w:r>
    </w:p>
    <w:p>
      <w:pPr>
        <w:spacing w:after="0" w:line="130" w:lineRule="exact"/>
        <w:rPr>
          <w:sz w:val="20"/>
          <w:szCs w:val="20"/>
          <w:color w:val="auto"/>
        </w:rPr>
      </w:pPr>
    </w:p>
    <w:p>
      <w:pPr>
        <w:jc w:val="both"/>
        <w:ind w:left="660" w:hanging="328"/>
        <w:spacing w:after="0" w:line="25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152"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If consumers do not find value in our platform or do not like the consumer experience on our platform, the number of matches on our platform may decline, which would harm our business, financial condition and results of operations.</w:t>
      </w:r>
    </w:p>
    <w:p>
      <w:pPr>
        <w:spacing w:after="0" w:line="138" w:lineRule="exact"/>
        <w:rPr>
          <w:rFonts w:ascii="Arial" w:cs="Arial" w:eastAsia="Arial" w:hAnsi="Arial"/>
          <w:sz w:val="20"/>
          <w:szCs w:val="20"/>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dependent on internet search engines, particularly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maintain our reputation and brand recognition and attract and engage users in a cost-effective manner would harm our business, financial condition and results of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make decisions based on the best interests of our users in order to build long-term trust that may result in us forgoing short-term gains.</w:t>
      </w:r>
    </w:p>
    <w:p>
      <w:pPr>
        <w:spacing w:after="0" w:line="207" w:lineRule="exact"/>
        <w:rPr>
          <w:rFonts w:ascii="Arial" w:cs="Arial" w:eastAsia="Arial" w:hAnsi="Arial"/>
          <w:sz w:val="16"/>
          <w:szCs w:val="16"/>
          <w:color w:val="auto"/>
        </w:rPr>
      </w:pPr>
    </w:p>
    <w:p>
      <w:pPr>
        <w:ind w:left="660" w:hanging="328"/>
        <w:spacing w:after="0" w:line="25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We compete in a highly competitive and rapidly evolving market with a number of other companies and we face the possibility of new entrants disrupting our market over time.</w:t>
      </w:r>
    </w:p>
    <w:p>
      <w:pPr>
        <w:spacing w:after="0" w:line="138" w:lineRule="exact"/>
        <w:rPr>
          <w:rFonts w:ascii="Arial" w:cs="Arial" w:eastAsia="Arial" w:hAnsi="Arial"/>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recent international expansion subjects us to additional costs and risks which could harm our business, revenue and financial results, and our continued international expansion may be unsuccessful.</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making substantial investments in new product offerings and technologies, and expect to increase such investments in the future. These new efforts are inherently risky, and we may never realize any expected benefits from them.</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COVID-19 pandemic has negatively impacted our business and our business recovery will depend on future developments, which are uncertain and cannot be predicted, including the scope and duration of the pandemic and actions taken by governmental authorities in response to the pandemic.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conditions in the consumer finance markets, or poor or uncertain macroeconomic conditions, could harm our business, financial condition and results of operations.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Trends in the credit card industry, as well as the impact of the general economy on the ability of users to qualify for credit cards, could harm our business, financial condition and results of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loans markets could harm our business, financial condition and results of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subject to a variety of U.S. financial regulations, many of which are overlapping, ambiguous and still developing, which could subject us to claims or otherwise harm our business.</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our Co-founder, CEO and Chairman of our Board of Directors, Tim Chen, which will limit or preclude your ability to influence corporate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depend on relationships with our financial services partners, and any adverse changes in their financial strength, tightening of their underwriting standards or adverse changes to their online marketing strategy would adversely affect our business, financial condition and results of operations.</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success depends on the financial strength and underwriting standards of credit card issuers, lenders, insurers and other participants on our platform. If our financial services partners experience financial difficulties, they may cease participating on our platform or tighten underwriting standards, which would result in fewer opportunities for us to earn fees from matching consumers with them. In times of financial difficulty, financial services providers may also fail to pay fees when due or drop the quality of their services to consumers. Our partners could also change their online marketing strategies or implement cost-reduction initiatives that decrease spending through our platform. The occurrence of one or more of these events, alone or in combination, with a significant number of financial services partners could harm our business, financial condition and results of operations.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consumers do not find value in our platform or do not like the consumer experience on our platform, the number of matches on our platform may decline, which would harm our business, financial condition and results of operations.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that the growth of our business and revenue depends upon our ability to engage our existing users and to add new users in our current as well as new markets. If we lose users or user engagement diminishes, our business and financial condition will be negatively impacted. If we fail to remain competitive on customer experience, editorial articles and product offerings, our ability to grow our business may also be adversely affected.</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a key part of our business strategy is to engage users in our existing markets, we also intend to expand our operations into new markets. In doing so, we may incur losses or otherwise fail to enter new markets successfully. Our expansion into new markets may place us in unfamiliar competitive environments and involve various risks, including competition, government regulation, the need to invest significant resources and the possibility that returns on such investments will not be achieved for several years or at all. There are many factors that could negatively affect our ability to grow our user base and engagement, including if:</w:t>
      </w:r>
    </w:p>
    <w:p>
      <w:pPr>
        <w:spacing w:after="0" w:line="13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lose users to new market entrants and/or existing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do not obtain regulatory approvals necessary for expansion into new verticals, geographies or to launch new product features and tools;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fail to effectively use search engines, social media platforms, digital app stores, content-based online advertising, and other online sources for generating traffic to our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platform experiences disruptions or outages;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suffer reputational harm to our brand including from negative publicity, whether accurate or inaccurate;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fail to expand geographically;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offer new and competitive products, to provide effective updates to our existing products or to keep pace with technological improvements in our industry;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or other problems frustrate the user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unable to address user concerns regarding the content, privacy, and security of our digital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unable to continue to innovate and improve our platform by generating compelling content and tools;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existing or new financial services providers use incentives to directly cross-sell their products, reducing consumer benefits of using multiple providers;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unable to successfully launch new verticals.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inability to overcome these challenges could impair our ability to engage users, and could harm our business, operating results and financial condition.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dependent on internet search engines, particularly Google, to direct traffic to our websites and refer new users to our platform. If search engines’ algorithms, methodologies, and/or policies are modified or enforced in ways we do not anticipate, or if our search results page rankings decline for other reasons, traffic to our platform or user growth or engagement could decline, any of which would harm our business, financial condition and results of operations.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dependent on internet search engines, primarily Google, to direct traffic to our platform, including our website. Search engines, such as Google, may modify their search algorithms and policies or enforce those policies in ways that are detrimental to us, and without prior notice to us. If that occurs, we may experience significant declines in the organic search ranking of our search results, leading to a decrease in traffic to our platform. We have experienced declines in traffic and user growth as a result of these changes in the past, and anticipate fluctuations as a result of such actions in the future.</w:t>
      </w:r>
    </w:p>
    <w:p>
      <w:pPr>
        <w:spacing w:after="0" w:line="1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Google may take action against websites for behavior that it believes unfairly influences search results. Google does not publish guidelines explaining the types of behavior that may trigger an action. For example, in 2017, Google took action against us which temporarily resulted in lower search rankings and decreased traffic to our website. Our ability to appeal these actions is limited, and we may not be able to revise our content strategies to recover the loss in domain authority, page rankings, traffic or user growth resulting from such actions. Any significant reduction in the number of users directed to our website or mobile application from search engines would harm our business, revenue and financial results.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our reputation and brand recognition and attract and engage users in a cost-effective manner would harm our business, financial condition and results of operations.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order to attract consumers to our platform, convert these consumers into matches with financial services partners and generate repeat visits, we must market our platform and maintain consumer trust. Promoting and maintaining our brand requires the expenditure of considerable money and resources for online and offline marketing and advertising, the continued provision of high-quality products and services that meet user needs, the ability to maintain consumers’ trust, and the ability to successfully differentiate our brand, products and services from those of our competitors.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Brand recognition is a key differentiating factor between us and our competitors. We believe that continuing to build and maintain the recognition of our brand is important to achieving increased demand for the products we provide. Accordingly, we have spent, and expect to continue to spend, significant amounts on, and devote significant resources to, branding, advertising and other marketing initiatives, which may not be successful or cost-effective. Our brand promotion activities may not generate consumer awareness or yield increased revenue, and even if they do, any increased revenue may not offset the expenses we incur in building our brand.</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strength of our brand may be harmed by adverse publicity from many sources. Adverse publicity and the potential corresponding impact on our reputation may be accelerated and amplified by the widespread use of social media platforms. Furthermore, adverse publicity, from legal proceedings against us or our business, including governmental proceedings and consumer class action or other litigation, or the disclosure of information from security breaches or other incidents, could negatively impact our reputation and our brand, which could materially and adversely affect our business and financial condition and results of operations. In addition, the actions of our third-party marketing partners who engage in advertising on our behalf could negatively impact our reputation and our various brands.</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failure of our business to maintain or enhance its reputation and brand recognition and attract and retain consumers in a cost-effective manner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make decisions based on the best interests of our users in order to build long-term trust that may result in us forgoing short-term gains.</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One of our fundamental values is to build our business by making decisions based upon the best interests of our users, which we believe has been essential to our success in building user trust in our platform and increasing our user growth rate and engagement. We believe this best serves the long-term interests of our company and our stockholders. In the past, we have forgone, and we may in the future continue to forgo, certain expansion or short-term revenue opportunities that we do not believe are in the best interests of our platform and our users, even if such decisions adversely affect our results of operations in the short term. For example, we do not use impression-based advertising on our platform (i.e., where payment is based on digital views or engagement); we publish editorial content on topics that do not generate revenue for us, and our editorial team maintains editorial independence from our business teams. Reviews and ratings of financial services products are neither influenced by whether a product is offered on our platform nor by the pricing we may have with a financial services partner. However, this strategy of focusing on building long-term trust instead of short-term revenue opportunities may not result in the long-term benefits that we expect, in which case our user traffic and engagement, business, financial condition and results of operations could be harmed.</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in a highly competitive and rapidly evolving market with a number of other companies and we face the possibility of new entrants disrupting our market over time.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currently compete with a number of companies that market financial services online, as well as with more traditional sources of financial information, and with financial institutions offering their products directly, and we expect that competition will intensify. Our online competitors include marketplaces such as Bankrate, Credit Karma, LendingTree, and Zillow, and we also face direct or indirect competition from providers of consumer personal finance guidance and online search engines. Some of these existing competitors may have more capital or complementary products or services than we do, and they may leverage their greater capital or diversification in a manner that adversely affects our competitive position, including by making strategic acquisitions. In addition, we also face the possibility of new competitors. New competitors may enter the market and may be able to innovate and bring products and services to market faster, or anticipate and meet consumer or financial services partner demand before we do. Other newcomers, including major search engines and content aggregators, may be able to leverage their existing products and services or access to data to our disadvantage. We may be forced to expend significant resources to remain competitive with current and potential competitors. If any of our competitors are more successful than we are at attracting and engaging users or financial services partners, our business, financial condition and results of operations could be materially and adversely affected.</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recent international expansion subjects us to additional costs and risks which could harm our business, revenue and financial results, and our continued international expansion may be unsuccessful.</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Historically, all of our business has been generated in the U.S. and we have little experience operating internationally. In 2020, we entered the UK market with our acquisition of Notice Media Ltd. (doing business as Know Your Money), an online provider of financial guidance and tools based in the UK. We entered the Canadian market organically in the third quarter of 2021. We believe our growth strategy depends, in part, on our continued international expansion. We continue to adapt to and develop strategies to address international markets, but there is no guarantee that such efforts will be successful. Our existing international operations and further international expansion are subject to a number of difficulties and risks, including:</w:t>
      </w:r>
    </w:p>
    <w:p>
      <w:pPr>
        <w:spacing w:after="0" w:line="107" w:lineRule="exact"/>
        <w:rPr>
          <w:sz w:val="20"/>
          <w:szCs w:val="20"/>
          <w:color w:val="auto"/>
        </w:rPr>
      </w:pPr>
    </w:p>
    <w:p>
      <w:pPr>
        <w:ind w:left="66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challenges inherent to efficiently recruiting and retaining talented and capable employees in foreign countries and maintaining our company culture and employee programs across all of our offices, including those resulting from cultural differences and geographic dispersion;</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and the UK Bribery Act of 2010 and other anti-corruption laws;</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 and other governmental entities;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difficulties identifying, obtaining, and maintaining the government approvals or licensures required to conduct our business in foreign markets;</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and the impact of local and regional financial crises on demand and payment for our products;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obtaining intellectual property protection, enforcing our intellectual property rights, and defending against third-party intellectual property infringement claims;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successfully addressing novel sources of competition, including in the context of foreign laws and business practices that may favor local companies;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managing fluctuations in currency exchange rates and foreign exchange controls;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including multiple and possibly overlapping tax regimes, the complexities of foreign value-added tax systems, and changes in tax rates.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we continue to expand our international operations, our success will depend in large part on our ability to anticipate and effectively manage these risks, which in turn will require significant management attention and financial resources. In addition, certain international markets are subject to significant political and economic uncertainty. Significant political and economic developments in international markets where we intend to operate, or the perception that any of them could occur, creates further challenges for operating in these markets. If we are unable to successfully manage any of these risks, our existing international operations and any future international expansion could be compromised, which could harm our business, financial condition and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making substantial investments in new product offerings and technologies, and expect to increase such investments in the future. These efforts are inherently risky, and we may never realize any expected benefits from them.</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made substantial investments to develop new product offerings and technologies, including our mobile application, personal finance management tools, our data infrastructure and our recommendation engine, and we intend to continue investing significant resources in developing new technologies, tools, features, services, products and product offerings. We expect to increase our investments in these new initiatives in the near term which may result in lower margins. Additionally, following our acquisition of Fundera in 2020, we plan to invest significant resources to integrate, develop and expand new offerings and technologies in SMB markets. We also expect to spend substantial amounts as we seek to grow the verticals in which we operate our platform and increase our scale, and to expand our offerings to additional geographic markets. If we do not spend our development budget efficiently or effectively on commercially successful and innovative technologies, we may not realize the expected benefits of our strategy. Our new initiatives also have a high degree of risk, as each involves strategies, technologies and regulatory requirements with which we have limited or no prior development or operating experience. There can be no assurance that consumer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product offerings developed by others will render our product offerings noncompetitive or obsolete. Further, our development efforts with respect to new product offerings and technologies could distract management from current operations, and will divert capital and other resources from our more established product offerings and technologies. Even if we are successful in developing new product offerings or technologies, regulatory authorities may subject us to new rules or restrictions in response to our innovations that could increase our expenses or prevent us from successfully commercializing new product offerings or technologies. If we do not realize the expected benefits of our investments, our business, financial condition and operating results may be harmed.</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performance is dependent on our ability to successfully refer users to financial services partners, and these partners are not precluded from offering products and services outside of our platform.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earn revenue is dependent on referring users of our site to our financial services partners and our users seeking to transact with such partners. However, having obtained the information they were looking for in our editorial articles, tools and other product offerings, users may leave our platform and transact directly with a financial services partner or with another party. When users transact directly with financial services partners or another party, we are not able to earn revenue on these users’ transactions, limiting our ability to realize a return on our investments in product features and editorial articles which could harm our business, revenue and financial results.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we do not have exclusive relationships with our financial services partners, users may obtain financial products without having to use our platform. Our financial services partners may offer and market their products to prospective customers online directly through their own marketing campaigns or via other methods of distribution, including through our competitors. If a significant number of users seek financial products and services directly from our financial services partners or from our online competitors, as opposed to through our platform,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the quality of our products, expand our product offerings or continue technological innovation and improvements, our prospects for future growth may be harmed.</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our success depends on users finding our product offerings to be of value to them. Our ability to attract and engage users depends, in part, on our ability to successfully expand our product offerings and editorial articles. For example, we initially built our content and began matching consumers with financial services providers in the credit card market, we later expanded into loan products and have continued to add other verticals since then. To penetrate new verticals,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government regulation could limit our ability to introduce new product offerings. If we fail to penetrate new verticals successfully, our revenue may grow at a slower rate than we anticipate, and our business, financial condition and results of operations could be materially adversely affected. We must also continue to innovate and improve on our technology and product offerings in order to continue future growth and successfully compete with other companies in our markets, or our brand and future growth could be materially adversely affected.</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market for financial services products is rapidly evolving, fragmented and highly competitive. Competition in this market has intensified, and we expect this trend to continue as the list of financial services providers grows. There are many established and emerging technology centric financial services providers offering a multitude of products to consumers across all financial verticals. If we fail to successfully anticipate and identify new trends, products and emerging financial services providers, and provide up-to-date educational content, tools and other relevant resources timely, our ability to engage consumers and financial services providers may suffer, which would harm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lack of geographic diversity exposes us to risk.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operations are geographically limited and primarily dependent upon consumers and economic conditions in the U.S. As a result of this geographical concentration, we are more vulnerable to downturns or other conditions that affect the U.S. economy. Any downturn or other adverse conditions in the U.S. economy could harm our business and financial results.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our acquisition of Know Your Money (KYM), we entered the UK market, and we believe our growth strategy depends, in part, on our continued international expansion. As we expand in the UK and internationally, we will be vulnerable to economic downturns or other conditions that affect the economy in the UK and in other countries where we expand. However, until our international operations expand significantly, we will continue to be primarily dependent on U.S. consumers and U.S. economic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less experience operating in some of the newer market verticals to which we have expanded.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expanded to new verticals over the last several years, including SMB products and insurance products. We do not have as much experience with these newer verticals as we do with the other more established verticals on our platform. Accordingly, newer verticals may be subject to greater risks than the more established verticals on our platform.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our entry into new verticals will depend on a number of factors, including:</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Implementing in a cost effective manner product features expected by consumers and financial services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an intermediary by consumers and financial services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Offerings by current and future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and retain management and other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collect amounts owed to us from our financial services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successful and cost-effective marketing campaigns;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timely adjust marketing expenditures in relation to changes in demand for the underlying products and services offered by our financial services partners in these newer verticals.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results of operations may suffer if we fail to successfully anticipate and manage these issues associated with expansion into new verticals.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the data provided to us by users and third parties to operate and improve our product offerings, and if we are unable to maintain and grow the use of such data, we may be unable to provide users with a platform experience that is relevant and effective, which would harm our business, financial condition and results of operations.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analyze first-party data from users, third-party data from financial account aggregators and credit reports to understand our users’ unique financial situations. The large amount of information we use in operating and improving our platform is critical to the experience we provide for our users. If we are unable to maintain, grow and efficiently handle the data provided to us, the value that we provide to consumers and the quality of matches with financial services partners may be limited. In addition, if we do not maintain the quality, accuracy and timeliness of this information, user experience may suffer, which would harm our business, financial condition and results of operations.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track certain operational metrics, which are subject to inherent challenges in measurement, and real or perceived inaccuracies in such metrics may harm our reputation and adversely affect our stock price, business, results of operations, and financial condition.</w:t>
      </w:r>
    </w:p>
    <w:p>
      <w:pPr>
        <w:spacing w:after="0" w:line="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track certain operational metrics, including metrics such as Monthly Unique Users (MUUs), which may differ from estimates or similar metrics published by third parties due to differences in sources, methodologies, or the assumptions on which we rely. Our internal systems and tools are subject to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For example, the number of MUUs on our platform is based on activity associated with a unique device identifier during a certain time period. Certain individuals may have more than one device and therefore may be counted more than once in our count of Monthly Unique Users. Limitations or errors with respect to how we measure data or with respect to the data that we measure may affect our understanding of certain details of our business, which could affect our long-term strategies.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financial results and results of operations could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the Consumer Finance Economy</w:t>
      </w:r>
    </w:p>
    <w:p>
      <w:pPr>
        <w:spacing w:after="0" w:line="17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COVID-19 pandemic has negatively impacted our business and our business recovery will depend on future developments, which are uncertain and cannot be predicted, including the scope and duration of the pandemic and actions taken by governmental authorities in response to the pandemic.</w:t>
      </w:r>
    </w:p>
    <w:p>
      <w:pPr>
        <w:spacing w:after="0" w:line="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COVID-19 pandemic has negatively impacted the global economy and led to temporary closures of businesses and increased unemployment. In addition, the institution of social distancing and sheltering in place has adversely impacted the travel sector which has, in turn, reduced interest in credit cards that have travel-related benefits. The unstable socioeconomic backdrop has impacted consumer finances and caused some financial services providers to tighten underwriting standards. Consumer demand in our verticals has been and may continue to be significantly impacted as new variants of the coronavirus lead to increased hospitalizations and other disruptions to daily life. Demand from our financial services partners may also impact our business if they make changes to their customer acquisition efforts with us in response to macroeconomic uncertainty. In addition, regulatory responses to the COVID-19 pandemic such as student loan forbearance may also impact our business.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extent to which the COVID-19 pandemic will continue to impact our business, financial condition and results of operations depends on future developments, which are highly uncertain and cannot be predicted, including vaccine distribution, vaccine acceptance, the emergence additional coronavirus variants, the scope and duration of the pandemic and actions taken by governmental authorities and other third parties in response to the pandemic.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conditions in the consumer finance markets, or poor or uncertain macroeconomic conditions, could harm our business, financial condition and results of operations.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is dependent on the consumer finance markets and the demand for the products offered by our financial services partners. Both our financial services partners and users may be affected by prevailing economic, political, market, health and social events or conditions. A decline in these conditions could impact our users, and could reduce their demand for credit cards, mortgage loans, personal loans, and other financial service products, which could ultimately impact our revenues. Similarly, during market downturns our financial services partners may tighten underwriting standards, implement cost-reduction initiatives that reduce or eliminate marketing budgets and decrease spending on our platform. Any of these events could adversely affect our business, financial condition and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Trends in the credit card industry, as well as the impact of the general economy on the ability of users to qualify for credit cards, could harm our business, financial condition and results of operations.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card market is an important part of our business. Our participation in this market is subject to particular risks, each of which could negatively affect our traffic and results of operations:</w:t>
      </w:r>
    </w:p>
    <w:p>
      <w:pPr>
        <w:spacing w:after="0" w:line="1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Adverse conditions in the economy may affect credit card issuers and their willingness to issue new credit which would negatively affect revenue;</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Credit losses among credit card issuers may increase beyond normal and budgeted levels which could cause a reduction in credit card issuers’ ability to extend credit;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rate increases may make balance transfer cards less profitable for issuers, decreasing the fees we earn from matching users with such cards;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Credit card issuers may be unwilling to partner with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approval rates by credit card issuers due to tighter underwriting or other factors;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Decreases in consumer interest in credit card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provide competitive service to credit card issuers and to consumers using our platform;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develop new product offerings and enhance existing ones.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loan markets could harm our business, financial condition and results of operations.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loan market, including student loans, mortgages and personal loans, is an important part of our business. Fluctuations and constraints in the loan markets in the past have harmed, and may in the future, harm our business, financial condition and results of operations. Economic factors such as increased interest rates, slow economic growth or recessionary conditions, the pace of home price appreciation or the lack of it, changes in household debt levels, and increased unemployment or stagnant or declining wages can affect the loan markets. National or global events, including but not limited to the COVID-19 pandemic, can also affect such macroeconomic conditions. Such macroeconomic factors can affect the number of loan applications and loan approval rates which can adversely affect our business. For example, increases in interest rates adversely affect the ability of our mortgage partners to close loans due to lower consumer demand, and adverse economic trends may limit the ability of our mortgage partners to offer home loans other than low-margin conforming loans. Decreased consumer demand for mortgage refinancing typically leads to decreased traffic to our platform and results in higher associated marketing costs with generating traffic. In the U.S., policymakers at the Federal Reserve have signaled that several interest rate increases will likely occur in 2022 in attempts to combat inflation. These rate increases could result in lower consumer demand for personal loans, as well as student loans and mortgage refinancings and originations, and thus, could negatively impact our loans vertical.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U.S. financial regulations, many of which are overlapping, ambiguous and still developing, which could subject us to claims or otherwise harm our business.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Aspects of our business are subject to a variety of federal and state financial and other laws, including laws and state licensing requirements relating to matching consumers with financial services providers; the marketing of mortgages, credit cards, personal loans, insurance, and other financial products and services; privacy and data security; investment advisory services; and other laws that are frequently evolving and developing. The scope and interpretation of such laws are often uncertain and may be conflicting or ambiguous. It is difficult to predict how existing laws, some of which were enacted prior to the widespread adoption of the internet and mobile devices, will be applied to our business and the new laws to which we may become subject. In addition, as our business grows into new markets or expands and we collect, use and share more user data internally and with financial services partners, we may become subject to additional laws and regulations. We also anticipate that federal regulators relevant to our business, such as the Federal Trade Commission and the Consumer Financial Protection Bureau, may pursue more enforcement actions due to the recent change in the White House administration. In addition, Congress, federal agencies, state legislatures and state regulators may from time to time enact new laws, regulations or guidance that may harm our business.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we are not able to comply with applicable financial and other laws or regulations or if we become liable under these laws or regulations, we could be directly harmed, and we may be forced to implement new measures to reduce our exposure to this liability. This may require us to expend substantial resources or to discontinue certain products or features, which would negatively affect our business. In addition, negative publicity resulting from regulatory actions against us or others in our industry could harm our reputation or otherwise impact the growth of our business. Any costs incurred to prevent or mitigate this potential liability could also harm our business, financial condition and operating results.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obtain proper business licenses or other documentation, or to otherwise comply with local laws and requirements regarding marketing or matching consumers with financial services providers, may result in civil or criminal penalties and restrictions on our ability to conduct business in that jurisdiction.</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Most states require companies to hold licenses in order to solicit or broker loans secured by residential mortgages, and in many cases require the licensure or registration of individual employees or contractors engaged in aspects of these businesses. States also require licenses to undertake certain insurance brokerage activities and in many cases require the licensure or registration of individual employees or contractors engaged in aspects of these activities. In addition, some states may require licenses to conduct similar activity with respect to commercial loans, credit cards and unsecured personal loans to residents of those states, although the applicability of these requirements to our business varies depending on our products as well as the loan products, terms, and the types of institutions that we partner with. Compliance with these requirements may render it more difficult for us and our financial services partners to operate or may raise our internal costs or the costs of our financial services partners, which may be passed on to us through less favorable commercial arrangements. While we have endeavored to comply with applicable requirements, the application of these requirements to persons operating online is not always clear and the failure to comply with any such applicable requirements may require us to expend significant capital and resources to investigate and remedy the noncompliance and subject us to litigation, regulatory enforcement action, fines, penalties, and other liability, which could adversely affect our business, financial condition and results of operations. Moreover, any of the licenses or rights currently held by us or our employees may be revoked prior to, or may not be renewed upon, their expiration. In addition, we or our employees may not be granted new licenses or rights for which they may be required to apply from time to time in the future.</w:t>
      </w:r>
    </w:p>
    <w:p>
      <w:pPr>
        <w:spacing w:after="0" w:line="13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Regulations promulgated by some states may also impose compliance obligations on directors, executive officers, and any person who acquires a certain percentage (for example, 10% or more) of the equity in a licensed entity, including requiring such persons to periodically file financial and other personal and business information with state regulators. If any such person refuses or fails to comply with these requirements, we may be unable to obtain certain licenses and existing licensing arrangements may be jeopardized. The inability to obtain, or the loss of, required licenses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collect, store use and otherwise process personal information, including financial information and other sensitive data, which subjects us to governmental regulation and other legal obligations related to data privacy and security. Our actual or perceived failure to comply with such obligations could harm our reputation and our business.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collect, store, use and process personal information and other user data, including financial information, credit report information and other sensitive information for our Registered Users. We rely on this data provided to us by users and third parties to offer, improve and innovate our products. If we are unable to maintain and grow such data we may be unable to provide consumers with a platform experience that is relevant, efficient and effective, which could adversely affect our business, financial condition and results of operations.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There are numerous federal, state and local laws and regulations regarding data privacy and the storing, sharing, use, processing, disclosure and protection of personal information and other user data, the scope of which are changing and subject to differing interpretations. In addition, as we continue to expand internationally, we are subject to foreign data privacy and security laws and regulations. These data privacy laws and regulations are complex, continue to evolve, and on occasion may be inconsistent between jurisdictions leading to uncertainty in interpreting such laws. We are also subject to the terms of our privacy policies and privacy-related obligations to third parties, and, given the evolving regulatory environment, we expect a heightened level of scrutiny on the data we handle. It is possible that these laws, regulations, and other obligations may be interpreted and applied in a manner that is inconsistent from one regulatory body to another and may conflict with other rules or our practices.</w:t>
      </w:r>
    </w:p>
    <w:p>
      <w:pPr>
        <w:spacing w:after="0" w:line="12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Most of the jurisdictions in which we operate have established their own data privacy and security legal frameworks. For example, in the U.S., we are subject to the Gramm–Leach–Bliley Act (GLBA) which governs non-public personal information of individuals who obtain financial products or services from financial institutions primarily for personal, family or household purposes, as well as the Fair Credit Reporting Act (FCRA) which generally governs the collection of credit information and access to credit reports. These laws restrict the collection, use, storage and disposal of information about individuals that we may collect during the provision of our products and impose certain disclosure obligations on us. Failure to comply with these laws can result in regulatory fines or penalties. Certain of our products that are not otherwise subject to the GLBA or FCRA may be subject to additional laws and regulations. For example, the California Consumer Privacy Act (CCPA) created new data privacy rights for California-resident users that will be expanded when the California Privacy Rights Act (CPRA), which was approved in November 2020, goes into effect on January 1, 2023. In addition, Virginia and Colorado recently passed their own respective privacy laws, which will go into effect around the same time as CPRA. Many other states are also either considering or in various stages of enacting privacy laws. These laws, as well as any associated regulations, may increase our operating costs and potential liability (particularly in the event of a data breach), delay or impede the development of new products, and have a material adverse effect on our business, including how we use information about individuals, our financial condition and the results of our operations or prospects.</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we expand internationally, we will also be subject to international laws regarding privacy and the storing, sharing, use, processing, disclosure and protection of personal information and other user data. For example, following our expansion into the UK market, we became subject to the privacy, data security, and data protection requirements of the UK’s data protection regime, consisting primarily of the Data Protection Act 2018 and the Data Protection, Privacy and Electronic Communications Regulations 2019 as amended by the Data Protection, Privacy and Electronic Communications Regulations 2020, or the UK GDPR, and other data protection regulations. Among other stringent requirements, the UK GDPR (like its EU counterpart) restricts transfers of data from the UK to third countries deemed to lack adequate privacy protections (such as the U.S.), unless an appropriate safeguard is implemented.</w:t>
      </w:r>
    </w:p>
    <w:p>
      <w:pPr>
        <w:spacing w:after="0" w:line="1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Following the result of a referendum in 2016, the UK left the EU on January 31, 2020, in a withdrawal commonly referred to as Brexit. Brexit has created uncertainty with regard to the regulation of data protection in the UK. Although UK privacy, data protection and data security laws are designed to be consistent with the EU’s GDPR, uncertainty remains regarding how privacy, data protection, information security and data transfers to and from the UK will be regulated notwithstanding Brexit. For example, authorities in the UK may, like their EU counterparts, invalidate use of the EU-U.S. Privacy Shield and raise questions on the viability of the European Commission’s Standard Contractual Clauses. With substantial uncertainty over the interpretation and application of data transfer, privacy, data protection, and information security in the UK, we may face challenges in addressing their requirements and making necessary changes to our policies and practices, and may incur significant costs and expenses in an effort to do so. Any failure or perceived failure by us to comply with applicable laws and regulations or any of our other legal obligations relating to privacy, data protection, or information security may result in governmental investigations or enforcement actions, litigation, claims, or public statements against us. Any of the foregoing could result in significant liability or cause our users to lose trust in us, any of which could have an adverse effect on our reputation, operations, financial performance and business. Furthermore, the costs of compliance with, and other burdens imposed by, the laws, regulations, and policies that are applicable to the businesses of our customers may limit the adoption and use of, and reduce the overall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also subject to and actively taking steps to comply with evolving UK privacy laws on cookies and e-marketing. In the UK, informed consent is required for the placement of certain cookies or similar technologies on a user’s device and for direct electronic marketing and valid consent is tightly defined, including, a prohibition on pre-checked consents and, in the context of cookies, a requirement to obtain separate consents for each type of cookie or similar technology. Strict enforcement of these requirements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negatively impact our efforts to understand users and match them with products.</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users or other third parties, or our privacy-related legal obligations, or any compromise of security that results in the unauthorized release or transfer of personally identifiable information or other user data, may result in governmental enforcement actions, litigation or negative publicity and could cause our users and financial partners to lose trust in us, which would have a material and adverse effect on our business. We may also be subject to remedies that may harm our business, including fines, demands or orders that we modify or cease existing or planned business practices.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economic and trade sanctions laws and regulations of the United States could materially adversely affect our reputation, business, financial condition and results of operations.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Human Capital</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executive team and other key employees to manage the business and the loss of one or more of these employees or an inability to attract and retain highly skilled employees could materially harm our business.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largely upon the continued high performance of our executive team and other key employees. We rely on our executive team for leadership in critical areas of our business, including product development, engineering, marketing, security, business development, and general and administrative functions. The loss of one or more of our executives or key employees would have an adverse effect on our business. From time to time, there may be changes in executives due to hiring or departures, which could disrupt our business. We do not have employment agreements with executives or other key personnel that require them to continue to work for us for any specified period and, therefore, they could terminate their employment at any time.</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depend on our senior management, including Tim Chen, our Co-founder, Chief Executive Officer and Chairman of our Board of Directors, and Lauren StClair, our Chief Financial Officer, as well as other key personnel. We may not be able to retain the services of any of our senior management or other key personnel, as their employment is at-will and they could leave at any time. If we lose the services of one or more of our senior management and other key personnel, we may not be able to successfully manage our business, meet competitive challenges or achieve our growth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stiff competition for qualified personnel and if we fail to attract new personnel or fail to retain and motivate our current personnel, our business, financial condition and results of operations could be materially and adversely affected.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personnel is intense, especially for engineers experienced in designing and developing online and mobile products. We have experienced and we expect to continue to experience difficulty in hiring and retaining employees with appropriate qualifications. To attract and retain top talent, we have had to offer, and we believe we will need to continue to offer competitive compensation and benefits packages. Many of the companies with which we compete for experienced personnel have greater operating histories and resources than we have, which may make them more attractive to candidates.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attrition creates challenges as we must expend significant time and resources to identify, recruit, train and integrate new employees. If we are unable to retain qualified personnel or to effectively manage our hiring needs and successfully integrate new hires, then our efficiency, ability to meet forecasts, employee morale, productivity and retention could suffer, which could adversely affect our business.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transitioned to being a remote-first company, which could result in reduced morale and cohesiveness and increased cybersecurity risk, which could negatively affect our business.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During the onset of the COVID-19 pandemic we transitioned all of our employees to a remote work environment in order to mitigate the spread of COVID-19 and comply with local shelter in place policies. Subsequently we transitioned to being a remote-first company, allowing for almost all roles to be open to remote employees on an ongoing basis. The transition to being a remote-first company may lead to reduced employee morale or cohesiveness among our employees. In addition, our new remote-first employment policy may exacerbate certain risks to our business, including an increased demand for information technology resources, increased risk of phishing and other cybersecurity attacks, increased risk of unauthorized dissemination of sensitive information and increased complexity in coordinating the actions of the organization across various time zones, any of which could adversely affect our business. As a result, our culture, information technology requirements, cybersecurity risk, and business operations could be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Security and Intellectual Property</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Security incidents, or real or perceived errors, failures or bugs in our systems and platform could impair our operations, compromise our confidential information or our users’ personal information, damage our reputation and brand, and harm our business and operating results.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continued success depends on our systems, applications, and software continuing to operate and to meet the changing needs of our customers and users and financial services partners. We rely on our technology and engineering staff and vendors to successfully implement changes to and maintain our systems and services in an efficient and secure manner. Like all information systems and technology, our platform may contain or develop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shutdown of our platform.</w:t>
      </w:r>
    </w:p>
    <w:p>
      <w:pPr>
        <w:spacing w:after="0" w:line="14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Operating our business and products involves the collection, storage, use and transmission of large volumes of sensitive, proprietary and confidential information, including financial and personal information, pertaining to our current, prospective and past users, as well as our staff, contractors, and business partners. The security measures we take to protect this information may be breached as a result of computer malware, viruses, social engineering, ransomware attacks, account takeover attacks, hacking and cyberattacks, including by state-sponsored and other sophisticated organizations. Such incidents have become more prevalent in recent years. Our security measures could also be compromised by our personnel, theft or errors, or be insufficient to prevent exploitation of security vulnerabilities in software or systems on which we rely. Such incidents may in the future result in unauthorized, unlawful or inappropriate use, destruction or disclosure of, access to, or inability to access the sensitive, proprietary and confidential information that we handle. These incidents may remain undetected for extended periods of time allowing malfeasors to use time to their advantage.</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Because there are many different cybercrime and hacking techniques and such techniques continue to evolve, we may be unable to anticipate attempted security breaches, react in a timely manner or implement adequate preventative measures. While we have developed systems and processes designed to protect the integrity, confidentiality and security of our and our users’ confidential and personal information under our control, we cannot assure you that any security measures that we or our third party service providers have implemented will be effective against current or future security threats.</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security breach or other security incident, or the perception that one has occurred, could result in a loss of confidence by both our users and financial services partners and damage our reputation and brand; reduce demand for our products; disrupt normal business operations; require us to expend significant capital and resources to investigate and remedy the incident and prevent recurrence; and subject us to litigation, regulatory enforcement action, fines, penalties, and other liability, which could adversely affect our business, financial condition and results of operations. Even if we take steps that we believe are adequate to protect us from cyber threats, hacking against our competitors or other companies in our industry could create the perception among our users and financial services partners that our digital platform is not safe to use. Security incidents could also damage our IT systems and our ability to make the financial reports and other public disclosures required of public companies. These risks are likely to continue to increase as we continue to grow and process, store and transmit increasingly larger volumes of data.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party service providers to support our platform and information technology systems.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rely on third-party service providers to provide critical services that help us deliver our products and operate our business, including hosting our platform. These providers may support or operate critical business systems for us or store or process the same sensitive, proprietary and confidential information that we handle. We do not have redundant network or rapid disaster recovery capabilities in most cases for the services provided by third-party service providers. These service providers may not have adequate security measures and could experience a security incident that compromises the confidentiality, integrity or availability of the systems they operate for us or the information they process on our behalf. Such occurrences could adversely affect our business to the same degree as if we had experienced these occurrences directly and we may not have recourse to the responsible third-party service providers for the resulting liability we incur.</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significant disruption to the infrastructure of our third-party service providers and/or any changes in our third-party service providers’ service levels may significantly impact our business operations, including making our platform unavailable to our users. A lengthy interruption in the availability of our platform would result in a loss of matches with our financial partners and corresponding revenue, which would impact our operating results and cash flow. In addition, it would negatively impact search engine ranking, user experience and our reputation with our financial partners. Furthermore, in the event that any of our agreements with our third-party service providers are terminated, we may experience significant costs or downtime in connection with the transfer to, or the addition of, new hosting providers. Although alternative providers could host our platform on a substantially similar basis, such transition could potentially be disruptive and we could incur significant costs in connection therewith.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infringed their proprietary technology or other intellectual property rights could harm our business.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Companies in the internet and technology industries are frequently subject to litigation based on allegations of infringement, misappropriation or other violations of intellectual property rights. In addition, certain companies and rights holders seek to enforce and monetize patents or other intellectual property rights they own, have purchased or have otherwise obtained. As we gain an increasingly high public profile, the possibility of intellectual property rights claims against us grows. Third parties have in the past and may in the future assert claims of infringement of intellectual property rights against us. Although we may have meritorious defenses, there can be no assurance that we will be successful in defending against these allegations or in reaching a business resolution that is satisfactory to us. Our competitors and others may now and in the future have patent portfolios that are used against us.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or enforce our intellectual property rights could harm our business, financial condition and results of operations.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strive to protect our intellectual property rights by relying on a combination of federal, state and common law trademark, copyright, and trade secret protection laws, as well as contractual restrictions and business practices. In particular, we must maintain and protect the “NerdWallet” name and related marks and intellectual property and also police copying of our editorial articles. In addition, we typically enter into confidentiality and invention assignment agreements with employees and contractors, and confidentiality agreements with parties with whom we conduct business in order to limit access to, and disclosure and use of, our confidential or proprietary information. However, these contractual arrangements and the other steps we have taken to protect our intellectual property may not prevent the misappropriation or disclosure of our proprietary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nor deter independent development of similar technologies by others. Failure to protect or maintain our intellectual property could harm our business, financial condition and results of operations.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our content, software and other works may be protected under copyright law, we have chosen not to register any copyrights in these works. In order to bring a copyright infringement lawsuit in the United States, the copyright must be registered. Accordingly, the remedies and damages available to us for unauthorized use of our software may be limited.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license third-party software and other intellectual property for use in connection with our platform, including for various third party product integrations with our platform. Our third-party licenses typically limit our use of intellectual property to specific uses and include other contractual obligations with which we must comply. These licenses may need to be renegotiated or renewed from time to time, or we may need to obtain new licenses in the future. Third parties may stop adequately supporting or maintaining their offerings or they or their technology may be acquired by our competitors. If we are unable to obtain licenses to these third-party software and intellectual property on reasonable terms or at all, the functionalities available through our platform may be adversely impacted, which could in turn harm our business. Further, if we or our third-party licensors were to breach any material term of a license, such a breach could, among other things, prompt costly litigation, result in the license being invalidated and/or result in fines and other damages. If any of the following were to occur, it could harm our business, financial results and our reputation.</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infringement claims brought by third parties against our licensors or against us, our ability to provide functionalities through our platform using such intellectual property could be severely limited and our business could be harmed. Furthermore, regardless of outcome, infringement claims may require us to use significant resources and may divert management’s attention.</w:t>
      </w:r>
    </w:p>
    <w:p>
      <w:pPr>
        <w:spacing w:after="0" w:line="13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rely on operating system providers and app stores to support our platform, and any disruption, deterioration or change in their services, policies, practices, guidelines and/or terms of service could have a material adverse effect on our business, financial condition and results of operations.</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success of our platform depends upon the effective operation of certain mobile operating systems, networks and standards that are run by operating system providers and app stores, or Providers. We do not control these Providers and, as a result, we are subject to risks and uncertainties related to the actions taken, or not taken, by these Providers. We largely utilize Android-based and iOS-based technology for our digital application platform. If any Providers, including either Google (for Android) or Apple (for iOS) stop providing us with access to their platform or infrastructure, fail to provide reliable access, cease operations, modify or introduce new systems, change their terms of service, guidelines or policies, or their interpretation of these, or otherwise terminate services, the delay caused by qualifying and switching to other operating systems could be time consuming and costly and could materially and adversely affect our business, financial condition and results of operations. In addition, Providers may limit the use of personal information and other data for advertising purposes or restrict how users can share information on their platform or across other platforms, which could materially and adversely affect our business, financial condition and results of operations or otherwise require us to change the way we conduct our business. Any limitation on or discontinuation of our or our users’ access to any Provider’s platform or app store could materially and adversely affect our business, financial condition, results of operations or otherwise require us to change the way we conduct our business.</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use open source software in our platform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cannot be sure that all of our use of open source software is in a manner that is consistent with our current policies and procedures, or will not subject us to liability. Any of these risks could be difficult to eliminate or manage, and, if not addressed, would have a negative effect on our business, financial condition and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Operations and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certain restrictions that may limit our ability to operate our business.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terms of our existing credit agreement, as amended, and the related collateral documents with Silicon Valley Bank (SVB) as administrative agent contain, and any future indebtedness may contain, a number of restrictive covenants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repurchasing stock, making investments and agreeing to do any of the foregoing, in each case subject to certain exceptions. Our credit agreement also contains financial covenants which require us to maintain a minimum adjusted quick ratio and a minimum consolidated adjusted EBITDA if the adjusted quick ratio falls below a specified level, measured in each case at the end of each fiscal quarter. Our ability to meet those financial covenants can be affected by events beyond our control, and we may not be able to continue to meet those covenants. A breach of any of these covenants or the occurrence of other events (including an event or condition that has had a material adverse effect (as defined in the credit agreement)) specified in the credit agreement and/or the related collateral documents could result in an event of default under the credit agreement. Upon the occurrence of an event of default, SVB and/or our lenders under the credit agreement could elect to declare all amounts outstanding under the credit agreement, if any, to be immediately due and payable and terminate all commitments to extend further credit. If we were unable to repay those amounts, SVB and our lenders could proceed against the collateral granted to them to secure such indebtedness, which consists of all of our assets other than our intellectual property. We have, and certain of our subsidiaries have, pledged substantially all of our respective assets as collateral under the loan documents. If SVB and our lenders accelerate the repayment of borrowings, if any, we may not have sufficient funds to repay our debt.</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existing debt agreement may not be sufficient for our capital needs and we may require additional capital to support business growth, which might not be available on acceptable terms, if at all.</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we may require additional funds to continue to do so. Depending on availability of capital under our existing debt facility, profitability and cash flow,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satisfactory terms when required, our ability to continue to support our business growth and respond to business challenges could be significantly impaired, delayed or abandoned, and our business may be harmed.</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unable to make acquisitions and investments, successfully integrate acquired companies into our business, or our acquisitions and investments may not meet our expectations, any of which could adversely affect our business, financial condition, and results of operations.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acquired KYM and Fundera in the third and fourth quarters of 2020, respectively. We do not have extensive experience acquiring and integrating other businesses and technologies and there are inherent risks in integrating the acquired personnel, operations and technologies and managing the combined business effectively following the acquisition.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in the future acquire or invest in businesses, offerings, technologies, or talent that we believe could complement or expand our existing product offerings, enhance our technical capabilities, or otherwise offer growth opportunities. The pursuit of future potential acquisitions and investments may divert the attention of management and cause us to incur significant expenses related to identifying, investigating, and pursuing suitable acquisitions and investments, whether or not they are consummated. Furthermore, even if we successfully acquire or invest in additional businesses or technologies, we may not achieve the anticipated benefits or synergies due to a number of factors, including, without limitation:</w:t>
      </w:r>
    </w:p>
    <w:p>
      <w:pPr>
        <w:spacing w:after="0" w:line="122" w:lineRule="exact"/>
        <w:rPr>
          <w:sz w:val="20"/>
          <w:szCs w:val="20"/>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 including claims related to the acquired company, its product offerings, or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incurrence of acquisition-related or investment-related expenses, which would be recognized as a current period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maintaining quality and security standards consistent with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identify security vulnerabilities in acquired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achieve anticipated synergies or unanticipated difficulty with integration into our corporate culture;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integrate or implement additional controls, procedures,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caused by distance and cultural differences;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harm to our existing business relationships with business partners as a result of the acquisition or investment;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 diversion of management and employee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complexity in accounting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or the incurrence of debt to consummate the acquisition;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that may arise out of earn-outs, escrows, and other arrangements related to an acquisition of a company.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Acquisitions also increase the risk of unforeseen legal liability, including for potential violations of applicable law or industry rules and regulations, arising from prior or ongoing acts or omissions by the acquired businesses that are not discovered by due diligence during the acquisition process. In addition, our acquisition agreements with KYM and Fundera contain earn-out provisions. Disputes over whether the earn-out targets have been met could lead to litigation, management distraction and significant expense.</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have to pay cash, incur additional debt, or issue equity to pay for any future acquisitions or investments, each of which could adversely affect our financial condition. The sale of equity to finance any future acquisitions or investments could result in dilution to our stockholders. The incurrence of additional indebtedness would result in increased fixed obligations and could also include additional covenants or other restrictions that would impede our ability to manage our operations. Any of the foregoing could adversely affect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agreements contain contingent consideration, the value of which may impact future operating results.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acquisition agreements include contingent earn-out consideration, the fair value of which was estimated as of the acquisition date based on the then-present value of the expected contingent payments as determined using weighted probabilities of possible future payments. These fair value estimates contain unobservable inputs and estimates that could materially differ from the actual future results. The fair value of the contingent earn-out consideration could increase or decrease, up to the contracted limit, as applicable. Changes in the fair value of contingent earn-outs will be reflected in our results of operations in the period in which changes in value occur, the amount of which may be material and cause volatility in our operating results.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or liabilities resulting from litigation could materially adversely affect our results of operations and financial condition.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and may become party to various legal proceedings and other claims that arise in the ordinary course of business, or otherwise in the future. Such matters are subject to many uncertainties and outcomes are not predictable with assurance. In addition, any such claims or litigation may be time-consuming and costly, divert management resources, require us to change our platform or have other adverse effects on our business. While we cannot assure the ultimate outcome of any legal proceeding or contingency in which we are or may become involved, we do not believe that any pending legal claim or proceeding arising in the ordinary course will be resolved in a manner that would have a material adverse effect on our business. However, if one or more of these legal matters resulted in an adverse monetary judgment against us, such a judgment could harm our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at historical rates or achieve or maintain profitability in the future.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not realize sufficient revenue to achieve or maintain profitability. As we grow our business, we expect our revenue growth rates may slow in future periods due to a number of reasons, which may include slowing demand for our service, increasing competition, a decrease in the growth of our overall markets, and our failure to capitalize on growth opportunities or the maturation of our business. Our growth rate may slow for a number of reasons, including a decline in the number of users, increasing competition, and other risks described in these Risk Factors. We may also encounter unforeseen expenses, difficulties, complications and delays and other unknown factors. We expect to continue to make investments in the development and expansion of our business, which may not result in increased or sufficient revenue or growth, as a result of which we may not be able to achieve or maintain sustained profitability.</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made significant estimates and judgments in calculating our income tax provision and other tax assets and liabilities. If these estimates or judgments are incorrect, our operating results and financial condition may be materially affected.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regular review and audit by both domestic and foreign tax authorities. Any adverse outcome of such a review or audit could have a negative effect on our operating results and financial condition. In addition, the determination of our provision for income taxes and other tax assets and liabilities requires significant judgment, and there are many transactions and calculations where the ultimate tax determination is uncertain at the present time. Although we believe our estimates and judgments are reasonable, the ultimate tax outcome may differ from the amounts recorded in our financial statements and may have a material effect on our operating results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Utilization of our net operating loss carryforwards, as well as of our other temporary differences, is dependent upon the generation of sufficient future taxable income during the periods in which those temporary differences become deductible. Management considers projected future taxable income and tax-planning strategies in making this assessment. 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not be realized, and we recorded a valuation allowance against these net U.S. deferred tax assets as of December 31, 2021. Our judgment regarding the likelihood of realization of these deferred tax assets could change in future periods, which could result in a material impact to our income tax provision in the period of change.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our Co-Founder, Chief Executive Officer and Chairman of our Board of Directors, Tim Chen, which will limit or preclude your ability to influence corporate matters.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Tim Chen, our Co-founder, Chief Executive Officer and Chairman of our Board of Directors and his affiliated trusts hold all outstanding shares of Class B common stock, which as of December 31, 2021 constituted approximately 90.0% of the voting power of our outstanding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governance matters, transactions and all matters submitted to a vote of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Future transfers by holders of Class B common stock will generally result in those shares converting to Class A common stock, subject to limited exceptions, such as certain transfers effected for tax or estate planning purposes. In addition, Mr. Chen’s and his affiliated trusts’ shares of Class B common stock will automatically convert into Class A common stock, on a one-to-one basis, upon any sale or transfer of the applicable shares (other than transfers to certain permitted entities) or upon his death. The conversion of Class B common stock to Class A common stock will have the effect, over time, of increasing the relative voting power of those holders of Class B common stock who retain their shares in the long-term. If, for example, Mr. Chen retains a significant portion of his holdings of Class B common stock for an extended period of time, he could, in the future, continue to control a majority of the combined voting power of our Class A common stock and Class B common stock.</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Mr. Chen and his affiliated trusts have the ability to control the outcome of all matters submitted to our stockholders for approval, including the election, removal, and replacement of directors and any merger, consolidation, or sale of all or substantially all of our assets. If Mr. Chen’s employment with us is terminated, he will continue to have the ability to exercise the same significant voting power and potentially control the outcome of all matters submitted to our stockholders for approval. This concentrated control could delay, defer, or prevent a change of control, merger, consolidation, or sale of all or substantially all of our assets that our other stockholders support. Conversely, this concentrated control could allow Mr. Chen to consummate such a transaction that our other stockholders do not support. In addition, Mr. Chen may make long-term strategic investment decisions and take risks that may not be successful and may seriously harm our business.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our Chief Executive Officer, Mr. Chen also has control over our day-to-day management and the implementation of major strategic investments of our company, subject to authorization and oversight by our Board of Directors. As a board member and officer, Mr. Chen owes a fiduciary duty to our stockholders and must act in good faith in a manner he reasonably believes to be in the best interests of our stockholders. As a stockholder, Mr. Chen and his affiliated trusts are entitled to vote their shares, and shares over which they have voting control, in their own interests, which may not always be aligned with the interests of our stockholders generally.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Listing Rules and, as a result, we are exempt from certain corporate governance requirements.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Chen and his affiliated trusts hold capital stock representing a majority of our outstanding voting power. So long as Mr. Chen and his affiliated trusts maintain holdings of more than 50% of the voting power of our capital stock for the election of directors, we will be a “controlled company” within the meaning of the Nasdaq Listing Rules and Nasdaq corporate governance standards. Under these standards, a listed company of which more than 50% of the voting power for the election of directors is held by an individual, group or another company is a “controlled company” and may elect not to comply with certain Nasdaq corporate governance requirements, including:</w:t>
      </w:r>
    </w:p>
    <w:p>
      <w:pPr>
        <w:spacing w:after="0" w:line="13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Nasdaq Listing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or otherwise have director nominees selected by vote of a majority of the independent directors.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availed ourselves of some of these exemptions. As a result, we do not have a nominating and corporate governance committee or an independent nominating function. Our full Board of Directors is directly responsible for nominating members of our board.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Even as a controlled company, we remain subject to the rules of Sarbanes-Oxley as well as the Nasdaq Listing Rules that require us to have an audit committee composed entirely of independent directors, subject to permitted phase-in rules. Our audit committee is comprised of three members, all of whom are independent.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no longer eligible to rely on the “controlled company” exemptions, we will need to comply with all applicable Nasdaq corporate governance requirements, but we will be able to rely on phase-in periods for certain of these requirements in accordance with the Nasdaq Listing Rules. Accordingly, our stockholders may not have the same protections afforded to stockholders of companies that are subject to all Nasdaq corporate governance requirements.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cannot predict whether our dual class structure, combined with the concentrated control of our Co-founder, Chief Executive Officer and Chairman of our Board of Directors, Tim Chen, and his affiliated trusts,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trading price of our Class A common stock could be volatile, and you could lose all or part of your investment. The following factors, in addition to other factors described in this “Risk Factors” section may have a significant impact on the market price of our Class A common stock:</w:t>
      </w:r>
    </w:p>
    <w:p>
      <w:pPr>
        <w:spacing w:after="0" w:line="9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and financial performance, quarterly or annual earnings relative to similar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competitors or our industry, or positive or negative recommendations or withdrawal of research coverage by securities analysts;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business plans or commercial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Class A common stock by us, our directors, executive officers, principal stockholders, or senior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refinance or securities we may issue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Class A common stock;</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capital market risks related to changes in interest rates, realized investment losses, credit spreads, equity prices, and foreign exchange rates;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creditworthiness, financial condition, performance, and prospects;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dividend policy and whether dividends on our Class A common stock have been, and are likely to be, declared and paid from time to time;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our Class A common stock relative to other investment alternatives;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or trends in our industry, geographies 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threatened or actual litigation or government investigations.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harm our business, financial condition, results of operations or prospects. Any adverse determination in litigation could also subject us to significant liabilities.</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on a quarterly and annual basis, which may impact our stock price and make it difficult to predict our future performance.</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users using our platform to apply for or sign up for financial services products as well as fluctuations in the timing and amount of our expenses. Fluctuations and variability across our industry and the general economy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factors that may contribute to the variability of our quarterly and annual results include:</w:t>
      </w:r>
    </w:p>
    <w:p>
      <w:pPr>
        <w:spacing w:after="0" w:line="11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new users and retain existing users, including in a cost-effective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accurately forecast revenue and losses and appropriately plan our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changes in search engine algorithms and prominence of our editorial articles in search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maintain our position in and expand in existing markets as well as successfully enter new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and changes in, governmental or other regulation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protect our existing intellectual property and to create new intellectual property;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associated with defending claims, including accident and coverage claims, intellectual property infringement claims, misclassifications and related judgments or settlements;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internal controls;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for the foreseeable future.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never declared or paid cash dividends on our capital stock, and do not anticipate paying any cash dividends in the foreseeable future. We currently intend to retain future earnings, if any, to fund the development and growth of our business.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Silicon Valley Bank and certain other lenders restrict our ability to pay dividends, and we may enter into additional agreements in the future that could also contain restrictions on payments of cash dividends.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may make our Class A common stock less attractive to investors.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of our initial public offering, although circumstances could cause us to lose that status earlier. We will remain an emerging growth company until the earlier of (1) the last day of the fiscal year (a) following the fifth anniversary of our initial public offering, (b) in which we have total annual gross revenue of at least $1.07 billion or (c) in which we are deemed to be a large accelerated filer, which requires the market value of our Class A common stock that is held by non-affiliates to exceed $700 million as of the prior June 30th, and (2) the date on which we have issued more than $1 billion in non-convertible debt during the prior three-year period.</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If some investors find our Class A common stock less attractive as a result, there may be a less active trading market for our Class A common stock, and our stock price may be more volatile.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are subject to more stringent federal and state law requirements.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the Dodd-Frank Act, the listing requirements of Nasdaq and other applicable securities rules and regulations. Despite reforms made possible by the JOBS Act, compliance with these rules and regulations will nonetheless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disclosure of information in filings required of a public company, our business and financial condition will become more visible, which we believe may result in threatened or actual litigation, including by competitors and other third parties. If such claims are successful, our business, results of operations, financial condition and prospects could be harmed, and even if the claims do not result in litigation or are resolved in our favor, these claims, and the time and resources necessary to resolve them, could divert the resources of our management and adversely affect our brand and reputation, business, results of operations, financial condition and prospects.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investor relations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will need to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Pursuant to Section 404 of the Sarbanes-Oxley Act, we will be required to furnish a report by our management on our internal control over financial reporting, including, after we become an accelerated or large accelerated filer,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 documentation, testing and possible remediation. 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We are currently in the process of hiring additional accounting and finance staff as we grow our business. If we are unable to hire the additional accounting and finance staff necessary to comply with these requirements, we may need to retain additional outside consultants. If we or, if required, our auditors, are unable to conclude that our internal control over financial reporting is effective, investors may lose confidence in our financial reporting and the trading price of our Class A common stock may decline.</w:t>
      </w:r>
    </w:p>
    <w:p>
      <w:pPr>
        <w:spacing w:after="0" w:line="11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in the public market could cause our stock price to fall.</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If our existing stockholders sell, or indicate an intention to sell, substantial amounts of our Class A common stock in the public market after the lock-up entered into in connection with our initial public offering and other legal restrictions on resale lapse, the trading price of our Class A common stock could decline. As of December 31, 2021, we have outstanding 35.0 million shares of Class A common stock and 31.7 million shares of Class B common stock. Of these shares, only the 8.3 million shares of Class A common stock sold in our initial public offering are freely tradable without restriction in the public market. All of our executive officers and directors and the holders of substantially all the shares of our Class A common stock and securities convertible into or exchangeable for our Class A common stock have entered into market standoff agreements with us or have entered into lock-up agreements with the underwriters that restrict their ability to transfer shares of our Class A common stock and securities convertible into or exchangeable for our Class A common stock during the period ending on, and including, the 180th day after November 4, 2021. Morgan Stanley &amp; Co. LLC and KeyBanc Capital Markets Inc. may permit our stockholders who are subject to these lock-up agreements to sell shares prior to the expiration of the lock-up agreements. All of the shares of Class A common stock will become eligible for sale upon expiration of the 180-day lock-up period.</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Shares of Class A common stock that are either subject to outstanding options or restricted stock unit awards have been registered under Form S-8 and will become eligible for sale in the public market to the extent permitted by the provisions of various vesting schedules, the market standoff and lock-up agreements described above and Rule 144. If these additional shares of Class A common stock are sold, or if it is perceived that they will be sold, in the public market, the trading price of our Class A common stock could decline.</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holders of approximately 15.6 million shares of our capital stock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Any sales of securities by these stockholders, or if it is perceived that they will sell, could cause the trading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Securities and industry analysts currently publish research on our company and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the following:</w:t>
      </w:r>
    </w:p>
    <w:p>
      <w:pPr>
        <w:spacing w:after="0" w:line="141" w:lineRule="exact"/>
        <w:rPr>
          <w:sz w:val="20"/>
          <w:szCs w:val="20"/>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 dual class common stock structure, which provides Mr. Chen and his affiliated trusts with the ability to control the outcome of matters requiring stockholder approval, even if he owns significantly less than a majority of the number of shares of our outstanding Class A and Class B common stock;</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only our chairperson, our chief executive officer, a holder of more than 21.0 million shares of Class B common stock (subject to adjustment for stock splits, stock dividends, stock combinations and the like), or a majority of our Board of Directors is authorized to call a special meeting of stockholders;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stockholder approval;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or in which you might otherwise receive a premium for your shares. These provisions may also prevent changes in our management or limit the price that investors are willing to pay for our stock.</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13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1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13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claim or cause of action for breach of a fiduciary duty owed by any of our current or former directors, officers or other employees to us or our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claim or cause of action seeking to interpret, apply, enforce or determine the validity of our certificate of incorporation or our bylaws;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offices in San Francisco, California, New York, New York, Scottsdale, Arizona and Norwich, UK. We lease all of our facilities and do not own any real property. In December 2020, we adopted a remote-first policy that allows for almost all roles to be remote on an ongoing basis. Many of our employees transitioned or were hired into permanent remote status and are not required to report to an office for work. See discussion of our lease commitments in Note 9 – Leases in the notes to consolidated financial statements in Item 8 of Part II of this Annual Report on Form 10-K. We believe our facilities are adequate and suitable for our current needs and that, should it be needed, suitable additional or alternative space will be available to accommodate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See further discussion under “Litigation and Other Legal Matters” in Note 8 – Commitments and Contingencies in the notes to consolidated financial statements in Item 8 of Part II of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391" w:lineRule="exact"/>
        <w:rPr>
          <w:sz w:val="20"/>
          <w:szCs w:val="20"/>
          <w:color w:val="auto"/>
        </w:rPr>
      </w:pPr>
    </w:p>
    <w:p>
      <w:pPr>
        <w:ind w:right="1920"/>
        <w:spacing w:after="0" w:line="440"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Class A common stock has been listed on the Nasdaq Global Market under the symbol “NRDS” since November 4, 2021. Prior to that date, there was no public trading market for our Class A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B common stock is neither listed nor publicly traded.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March 15, 2022, there were 811 stockholders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15, 2022, there were four stockholders of record of our Class B common stock, all of which are trusts affiliated with Tim Chen, our Chief Executive Officer and the Chairman of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The terms of our credit agreement with Silicon Valley Bank and certain other lenders restrict our ability to pay dividends, and we may enter into additional agreements in the future that could also contain restrictions on payments of cash dividends.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Plan-Related Issuances</w:t>
      </w:r>
    </w:p>
    <w:p>
      <w:pPr>
        <w:spacing w:after="0" w:line="171" w:lineRule="exact"/>
        <w:rPr>
          <w:sz w:val="20"/>
          <w:szCs w:val="20"/>
          <w:color w:val="auto"/>
        </w:rPr>
      </w:pPr>
    </w:p>
    <w:p>
      <w:pPr>
        <w:jc w:val="both"/>
        <w:ind w:left="660" w:hanging="328"/>
        <w:spacing w:after="0" w:line="263"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January 1, 2021 through November 5, 2021 (the date of the filing of our registration statement on Form S-8), we granted to certain directors, officers, employees, consultants and other service providers options to purchase an aggregate of 810,346 shares of our Class A common stock under our 2012 Plan at exercise prices ranging from $14.00 to $22.18 per share.</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January 1, 2021 through November 5, 2021 (the date of the filing of our registration statement on Form S-8), we granted to certain directors, officers, employees, consultants and other service providers an aggregate of 3,199,552 RSUs to be settled in shares of our Class A common stock under our 2012 Plan.</w:t>
      </w:r>
    </w:p>
    <w:p>
      <w:pPr>
        <w:spacing w:after="0" w:line="129" w:lineRule="exact"/>
        <w:rPr>
          <w:rFonts w:ascii="Arial" w:cs="Arial" w:eastAsia="Arial" w:hAnsi="Arial"/>
          <w:sz w:val="18"/>
          <w:szCs w:val="18"/>
          <w:color w:val="auto"/>
        </w:rPr>
      </w:pPr>
    </w:p>
    <w:p>
      <w:pPr>
        <w:jc w:val="both"/>
        <w:ind w:left="660" w:right="20" w:hanging="328"/>
        <w:spacing w:after="0" w:line="263" w:lineRule="auto"/>
        <w:tabs>
          <w:tab w:leader="none" w:pos="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January 1, 2021 through November 5, 2021 (the date of the filing of our registration statement on Form S-8), we issued and sold an aggregate of 2,150,296 shares of our Class A common stock upon the exercise of options under our 2012 Plan, at exercise prices ranging from $0.30 to $14.00 per share, for a weighted average exercise price of approximately $4.53 per share.</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November 8, 2021, we completed our initial public offering (the IPO), in which we sold 8.3 million shares of our Class A common stock, which included the exercise in full of the underwriters’ option to purchase 1.1 million shares of Class A common stock, at a public offering price of $18.00 per share. The representatives of the underwriters of our IPO were Morgan Stanley &amp; Co. LLC and KeyBanc Capital Markets Inc. The offer and sale of the shares in the IPO were registered under the Securities Act pursuant to a registration statement on Form S-1 (File No. 333-260134), which was declared effective by the SEC on November 3, 2021. We received net proceeds from the IPO of $140.0 million, after deducting underwriting discounts and commissions of $10.1 million. Additionally, we incurred offering costs of $5.2 million related to the IPO. We used $29.4 million of the net proceeds from the IPO to repay all outstanding principal amounts and accrued interest under certain promissory notes held by family trusts affiliated with Jacob Gibson, one of our co-founders. There has been no material change in the planned use of proceeds described in the prospectus relating to the IPO and we intend to use the remainder of the net proceeds from the IPO for general corporate purposes, including working capital, operating expenses and capital expenditures. We may also use a portion of the net proceeds for acquisitions and/or strategic investments in complementary businesses, products, services or technologies. However, we do not have agreements or commitments to enter into any such acquisitions or investments at this time.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performance graph shall not be deemed “soliciting material” or “filed” with the SEC for purposes of Section 18 of the Exchange Act, and shall not be deemed to be incorporated by reference into any of our filings under the Securities Act or the Securities Exchange Act.</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graph below shows the cumulative total stockholder return on our Class A common stock between November 4, 2021 (the date that our Class A common stock commenced trading on the Nasdaq Global Market) through December 31, 2021 in comparison to the Nasdaq Composite Index and the S&amp;P 500 Index. The graph assumes that $100 was invested in each of our Class A common stock, the Nasdaq Composite Index and the S&amp;P 500 Index at their respective closing prices on November 4, 2021. The graph uses the closing market price on November 4, 2021 of $28.30 per share as the initial value of our Class A common stock. Data for the Nasdaq Composite Index and S&amp;P 500 Index assume reinvestment of dividends. The comparisons shown in the graph are not intended to forecast or be indicative of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53340</wp:posOffset>
            </wp:positionV>
            <wp:extent cx="5254625" cy="3257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reflect our current plans, estimates and beliefs, and involve risks and uncertainties. Our actual results and the timing of certain events could differ materially from those anticipated in these forward-looking statements as a result of various factors, including but not limited to those discussed in the sections titled “Special Note Regarding Forward-Looking Statements” and “Risk Factors” in this Annual Report on Form 10-K.</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Our historical results are not necessarily indicative of the results that may be expected for any period in the future. Except as otherwise noted, all references to 2021 refer to the year ended December 31, 2021, references to 2020 refer to the year ended December 31, 2020, and references to 2019 refer to the year ended December 31, 2019.</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A discussion and analysis of our financial condition and results of operations for the year ended December 31, 2021 compared to the year ended December 31, 2020 is presented below. For a discussion of our financial condition and results of operations for the year ended December 31, 2020 compared to the year ended December 31, 2019, see “Management’s Discussion and Analysis of Financial Condition and Results of Operations” in our final prospectus filed with the SEC on November 5, 2021 pursuant to Rule 424(b)(4) under the Securities Act of 1933, as amended.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provide clarity for all of life’s financial decisions.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vision is a world where everyone makes financial decisions with confidence.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NerdWallet, we empower consumers — both individual consumers and small and mid-sized businesses (SMBs) — to make smarter financial decisions with confidence. Technology, paired with the dramatic growth in innovative financial products, has changed the way consumers manage their financial lives; consumers are more comfortable than ever comparing and shopping for financial products online. At NerdWallet, we are leveraging this transformation to democratize access to trustworthy financial guidance by incorporating our proprietary data science models into our platform — ultimately helping to improve the financial well-being of consumers and the financial services industry as a whole. As the financial industry becomes more fragmented and complex, our value proposition as a trusted, independent and centralized platform for consumers only increases.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deliver guidance to consumers through educational content, tools and calculators, product marketplaces and our app. Our platform delivers unique value across many financial products, including credit cards, mortgages, insurance, SMB products, personal loans, banking, investing and student loans. We expanded our guidance to the UK with our acquisition of Know Your Money (KYM) in 2020, expanded organically into Canada during 2021, and have further plans to expand internationally. Across every touchpoint, the cornerstone of our platform is consumers’ trust in the independent, objective and relevant guidance we provide, free of charge.</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trusted guidance has helped us build a large, loyal and well-informed audience of consumers who turn to us as a resource for many of their money questions and to shop for the best financial products for them. Due to this unique combination of a loyal audience, trusted guidance and tailored recommendations from our underlying machine learning technology, we have become an attractive partner for financial services providers wanting to access these high-value consumers — consumers who might not otherwise trust financial services providers’ recommendations.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By operating at the intersection of consumers and financial services providers, NerdWallet drives value for both. Through our platform, our financial services partners can reach a substantial audience, comprised of 19 million Monthly Unique Users (MUUs) on average in 2021 and 16 million on average in 2020. After doing research on our platform, consumers are better informed about the financial decision they’re about to make, which makes them primed and ready to transact. Consumers who visit NerdWallet tend to share a few other characteristics that make them attractive customers to our financial services partners: we have received feedback from our financial services partners that our users’ approval rates can be significantly higher than those applying through other channels and they are more eager to explore additional opportunities and products, driving demand for NerdWallet’s financial services partners.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Financial Model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built our business to provide unbiased and trusted guidance to consumers. Through this guidance, we attract users to our platform and use data science models to match them with relevant products from our financial services partners.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Given our mission is to provide clarity for all of life’s financial decisions, we take actions that aim to prioritize user experience over revenue per user. We believe that taking a long-term view will increase our revenue and grow our business. In addition, we do not always look to maximize the number of our financial services partners on our platform; we instead aim to have products for consumers available on our platform that enable the best match.</w:t>
      </w:r>
    </w:p>
    <w:p>
      <w:pPr>
        <w:spacing w:after="0" w:line="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seek to increase the number of consumers who come to NerdWallet pursuing our financial content, guidance, and tech-driven recommendations. We generate revenue by successfully matching those consumers with our financial services partners, from whom we generate fees. These fees from which we recognize revenue include revenue per action, revenue per click, revenue per lead, and revenue per funded loan.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Initial Public Offering</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November 8, 2021, we completed our initial public offering (the IPO), in which we sold 8.3 million shares of our Class A common stock, which includes the exercise in full of the underwriters’ option to purchase 1.1 million shares of Class A common stock, at a public offering price of $18.00 per share. We received net proceeds from the IPO of $140.0 million after deducting underwriting discounts and commissions of $10.1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COVID-19 Impact on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world has dramatically changed since the World Health Organization categorized COVID-19 as a global pandemic in March 2020. The pandemic caused millions of people to reevaluate many aspects of their lives, with many choosing to pay closer attention to their personal finances. We benefited from industry-wide tailwinds driven by consumers increasingly managing their money online, but also faced the headwinds related to an unstable socioeconomic backdrop, which impacted consumers’ finances. While consumer demand for many financial services products was high in 2020, for portions of the year some of our financial services partners tightened underwriting criteria or were slower to approve applications for certain products and some reduced advertising budgets given the inherent economic uncertainty.</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Due to these factors, we experienced lower growth in 2020 as compared to our growth rate in 2019, particularly in the second half of the year. In 2020, our revenue increased 7% versus an increase of 32% in 2019. Our 2020 annual growth was bolstered by a strong first quarter, during which revenue grew 64% when compared to the same period a year prior.</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Beginning in the second quarter of 2020, we saw a mix of financial services partner activity across our verticals. Many partners reduced their activity on our platform while others maintained or increased their activity. Credit card approvals slowed during the height of the economic uncertainty and credit card revenue declined 30% compared to 2019. Conversely, revenue from loans and other verticals increased by 44% compared to 2019 as we saw increased demand in investing, mortgages, and insurance. As a result, we benefited from the diversification of the products and providers available on our platform.</w:t>
      </w:r>
    </w:p>
    <w:p>
      <w:pPr>
        <w:spacing w:after="0" w:line="1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seeing revenue trends start to return closer to pre-COVID-19 pandemic levels. However, the full impact of the COVID-19 pandemic on the global economy and the extent to which the COVID-19 pandemic will continue to impact our results of operations and cash flows remains uncertain as different variants of the coronavirus emerge. Our credit cards revenue increased 58% for 2021 compared to 2020, primarily driven by increased activity amid recovery from the economic impacts of the COVID-19 pandemic and higher pricing with our financial services partners. Our credit cards revenue decreased 30% for 2020 compared to 2019, primarily due to lower approval rates in the market due to economic uncertainty resulting from the pandemic and tighter underwriting criteria. Our loans revenue increased 55% for 2021 compared to 2020, and 48% for 2020 compared to 2019. Mortgage loans revenue increased due to a sustained low interest rate environment in 2020 and higher demand from consumers in 2021. Our other verticals revenue increased 51% for 2021 compared to 2020, and 41% for 2020 compared to 2019. The other verticals revenue increase in 2021 was primarily attributable to higher SMB revenue following our acquisition of Fundera, and the increase in 2020 was attributable to higher consumer demand for insurance and investing activities.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Generate High Quality, Engaging Consumer Resources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Delivering financial guidance and resources on a broad set of topics is core to our value proposition. In order to maintain our position as a trusted destination for personal and SMB financial guidance, we produce high-quality financial guidance, which is developed by our independent team of writers and editors. Our editorial and product teams continuously improve our content, tools and resources to ensure that our platform reflects the latest consumer finance trends and related products from our financial services partners. We plan to continue investing in our growing base of high-value content and tools, which enable us to generate more traffic and grow MUUs, enhancing monetizing activities with our financial services partners and ultimately, our financial performance.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Attract and Engage Consumers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ability to increase user engagement, whether by increasing the frequency with which MUUs visit our platform, or the amount of resources they consume on our platform, is critical to the growth of our business. We focus on attracting users to NerdWallet who are interested in multiple financial products that we review and then use machine learning to help them find financial products for their needs. For example, if an individual comes to our platform to learn more about credit cards, we hope to bring that individual back to NerdWallet at a later time to explore other financial products, often via automated contextual “nudges.” Our ability to attract and engage those visitors directly impacts our ability to earn revenue from financial services partners. As such, we plan to continue investing in content, technology and marketing in order to attract and engage consumers.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Deepen Our Relationships with Our Financial Services Partners</w:t>
      </w:r>
    </w:p>
    <w:p>
      <w:pPr>
        <w:spacing w:after="0" w:line="17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We worked with over 400 financial services partners as of December 31, 2021. These companies are essential to helping us serve consumers and grow our business. Having a broad range of financial services partners across all of our verticals is important in offering consumers a wide selection of attractive products. Furthermore, all of our revenue is generated from our financial services partners, and as such, relationships with new and existing financial services partners are critical to the success of our business. We continuously aim to selectively add new financial services partners to our platform and to add coverage for additional verticals from existing partners. That said, maximizing the number of our financial services partners on our platform isn’t our primary focus — our focus is quality, and we aim to offer all of the top financial products on our platform</w:t>
      </w:r>
      <w:r>
        <w:rPr>
          <w:rFonts w:ascii="Arial" w:cs="Arial" w:eastAsia="Arial" w:hAnsi="Arial"/>
          <w:sz w:val="17"/>
          <w:szCs w:val="17"/>
          <w:color w:val="auto"/>
        </w:rPr>
        <w:t>.</w:t>
      </w:r>
      <w:r>
        <w:rPr>
          <w:rFonts w:ascii="Arial" w:cs="Arial" w:eastAsia="Arial" w:hAnsi="Arial"/>
          <w:sz w:val="16"/>
          <w:szCs w:val="16"/>
          <w:color w:val="auto"/>
        </w:rPr>
        <w:t xml:space="preserve"> The success of our relationships with financial services partners is in large part based on our ability to provide them with interested and qualified consumers.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Conditions and the Financial Well-Being of Consumers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business is reliant on economic conditions in the U.S. Any changes in the financial well-being of consumers, including as a result of the COVID-19 pandemic, unemployment, government stimulus, or changes in monetary policy will affect the demand for various financial services products and therefore impact the number of individuals visiting our platform and our ability to earn revenue from matches completed on our platform. In particular, fluctuations in interest rates affect many of the products offered by our financial services partners, especially mortgages, personal loans, and banking products. Typically, when interest rates decline, we see accelerated consumer demand for loans which in turn leads to increased traffic to our platform. Conversely, when interest rates increase, we see slowed consumer demand for loans and accelerated demand for banking products.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marketing strategy leverages multiple channels across brand marketing, performance marketing and organic marketing. Sales and marketing expense consists of: brand marketing, primarily advertising costs to increase brand awareness; performance marketing, primarily costs to drive traffic directly to our platform; and organic and other, primarily personnel-related costs for content and other marketing and sales teams. In 2021, approximately 35% of our total marketing expense was attributable to brand marketing, 36% to performance marketing, and the remainder to organic marketing and other marketing expenses. In 2020, approximately 39% of our total marketing expense was attributable to brand marketing, 34% to performance marketing, and the remainder to organic marketing and other marketing expenses. We evaluate the success of our brand marketing by measuring aided brand awareness, which has grown consistently on an annual basis since 2019.</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able to adjust our marketing spend to reflect changes in external factors and consumer behavior. Performance marketing spend can be adjusted more quickly than brand marketing, which typically involves pre-committing to spend in future periods. During the first and second quarters of 2020, we increased brand marketing by over 100% compared to the same periods in 2019 to increase awareness, but reduced our spend as quickly as possible for the third and fourth quarters by approximately 30% compared to the same periods in 2019 due to the impacts of COVID-19 on our business. We reduced performance marketing earlier in the second, third and fourth quarters of 2020 by approximately 15% compared to the same periods in 2019 in response to fewer financial services partners choosing to market through our platform in certain verticals. As the COVID-19 headwinds subsided in 2021, we increased both brand and performance marketing to again drive more MUUs to our platform. During 2021, we increased sales and marketing expense by 88% compared to 2020.</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2021, over 70% of all traffic to NerdWallet came organically through direct or unpaid channels, reflecting the strength of our brand and organic marketing efforts. Our in-house, award-winning and experienced editorial team leverages search-engine optimization best practices and technology, and designs interfaces to help consumers easily find the information they are seeking. Our editorial team also optimizes page structure to increase visibility, not only for organic search results, but also for Google’s premium features such as FAQs, featured snippets, and video results. Personnel-related expenses within organic marketing were up 33% in 2021 compared to 2020, which is a reflection of our continued investment in building a comprehensive set of skills and expertise across our editorial team. We will continue to invest heavily in our marketing channels going forward, and believe that our marketing strategy will continue to position NerdWallet as the trusted brand of choice in personal finance, improve traffic acquisition at all levels of the funnel, drive engagement and enable us to scale quickly across new consumer finance verticals and geographies.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made acquisitions to expand into new verticals; to enter new markets and geographies; and to grow our platform so that our users have better outcomes. In the second half of 2020, we made two acquisitions:</w:t>
      </w:r>
    </w:p>
    <w:p>
      <w:pPr>
        <w:spacing w:after="0" w:line="62" w:lineRule="exact"/>
        <w:rPr>
          <w:sz w:val="20"/>
          <w:szCs w:val="20"/>
          <w:color w:val="auto"/>
        </w:rPr>
      </w:pPr>
    </w:p>
    <w:p>
      <w:pPr>
        <w:jc w:val="both"/>
        <w:ind w:left="660" w:hanging="328"/>
        <w:spacing w:after="0" w:line="275"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Fundera. </w:t>
      </w:r>
      <w:r>
        <w:rPr>
          <w:rFonts w:ascii="Arial" w:cs="Arial" w:eastAsia="Arial" w:hAnsi="Arial"/>
          <w:sz w:val="17"/>
          <w:szCs w:val="17"/>
          <w:color w:val="auto"/>
        </w:rPr>
        <w:t>In October 2020, we acquired Fundera, Inc. (Fundera), an online platform which connects SMBs with lenders and other resources.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Fundera’s SMB-focused advice and loan comparison offerings, together with its strong brand and consultative sales approach, enables us to better support SMBs. This acquisition is a first step to enable deeper integration within existing verticals, which couples our top of funnel strength with Fundera’s monetization strategy, including recurring revenue from loan renewals. Combining the strengths of each business will allow NerdWallet to accelerate our growth in the SMB market, and will also serve as a playbook for further vertical integrations.</w:t>
      </w:r>
    </w:p>
    <w:p>
      <w:pPr>
        <w:spacing w:after="0" w:line="122"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Know Your Money. </w:t>
      </w:r>
      <w:r>
        <w:rPr>
          <w:rFonts w:ascii="Arial" w:cs="Arial" w:eastAsia="Arial" w:hAnsi="Arial"/>
          <w:sz w:val="16"/>
          <w:szCs w:val="16"/>
          <w:color w:val="auto"/>
        </w:rPr>
        <w:t>In September 2020, we acquired Notice Media Ltd. (doing business as Know Your Money), an online provider of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guidance and tools geared towards consumers and SMBs in the UK. KYM’s UK expertise and NerdWallet’s existing brand recognition have provided us a strong foothold in the UK region. We believe the acquisition will allow us to accelerate our international growth.</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 and Non-GAAP Financial Measure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collect, review and analyze operating and financial data of our business to assess our ongoing performance and compare our results to prior period results. In addition to revenue, net income and other results under generally accepted accounting principles (GAAP), the following sets forth the key operating metric we use to evaluate our business.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the financial services partners on our platform during a given period. During 2021, we grew MUUs by 23% compared to 2020 as we increased our sales and marketing expenditures in light of the continued economic recovery we experienced. During 2020, we grew MUUs by 25% compared to 2019. We experienced the strongest growth in MUUs during the first and second quarters of 2020, and slower growth during the third and fourth quarters as we reduced sales and marketing spend by over 35% as compared to the first half of 2020 due to underlying economic conditions. While we expect MUUs to grow over time, the metric may fluctuate from period to period based on economic conditions and our strategic marketing decisions.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Adjusted EBITDA as net income (loss) from continuing operations adjusted to exclude depreciation and amortization, interest expense, net, provision (benefit) for income taxes, and further exclude (1) loss (gain) on impairment and on disposal of assets, (2) remeasurement of the embedded derivative in long-term debt, (3) change in fair value of contingent consideration related to earnouts, (4) deferred compensation related to earnouts, (5) stock-based compensation, and (6) acquisition-related costs.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is not driven by core operating results and renders comparisons with prior periods less meaningful.</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Adjusted EBITDA provides useful information to investors and others in understanding and evaluating our operating results and in comparing operating results across periods. Moreover, we have included Adjusted EBITDA in this Annual Report on Form 10-K because it is a key measurement used by our management internally to make operating decisions, including those related to analyzing operating expenses, evaluating performance, and performing strategic planning and annual budgeting. However, the use of this non-GAAP measure has certain limitations because it does not reflect all items of income and expense that affect our operations. 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41" w:lineRule="exact"/>
        <w:rPr>
          <w:sz w:val="20"/>
          <w:szCs w:val="20"/>
          <w:color w:val="auto"/>
        </w:rPr>
      </w:pPr>
    </w:p>
    <w:p>
      <w:pPr>
        <w:ind w:left="660" w:hanging="328"/>
        <w:spacing w:after="0" w:line="342"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Adjusted EBITDA does not reflect interest income (expense) and other gains (losses), net, which include unrealized and realized gains and losses on foreign currency exchange and the derivative previously embedded in long-term debt, as well as certain nonrecurring gains (losses);</w:t>
      </w:r>
    </w:p>
    <w:p>
      <w:pPr>
        <w:spacing w:after="0" w:line="69"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Adjusted EBITDA excludes certain recurring, non-cash charges, such as depreciation of property and equipment and amortization of intangible assets, and although these are non-cash charges, the assets being depreciated and amortized may have to be replaced in the future, and Adjusted EBITDA does not reflect all cash requirements for such replacements or for new capital expenditure requirements;</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excludes stock-based compensation expense, which has been, and will continue to be for the foreseeable future, a significant recurring expense in our business and an important part of our compensation strategy;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does not include the impact of impairment of assets previously acquired, acquisition-related transaction expenses, contingent consideration fair value adjustments related to earnouts, and deferred compensation related to earnouts.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“Management’s Discussion and Analysis of Financial Condition and Results of Operations — Key Components of Our Results of Operations — Non-GAAP Financial Measure” for a reconciliation of Adjusted EBITDA to net income (loss), the most directly comparable financial measure calculated in accordance with GAAP.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generate substantially all of our revenue through fees paid by our financial services partners in the form of either revenue per action, revenue per click, revenue per lead, and revenue per funded loan arrangements. For these revenue arrangements, in which a partner pays only when a consumer satisfies the criteria set forth within the arrangement, revenue is recognized generally when we match the consumer with the financial services partner. For some of our arrangements, the transaction price is considered variable and an estimate of the constrained transaction price is recorded when the match occurs. Our revenue generally includes three product categories: credit cards, loans and other verticals. Credit cards revenue includes revenue from consumer credit cards. Loans revenue includes revenue from home mortgages, personal loans, student loans and auto loans. Other verticals revenue includes revenue from other product sources, including insurance, banking, investing, and SMB products.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revenue consists primarily of amortization expense and impairment charges associated with capitalized software development costs and developed technology intangible assets related to our acquisitions of Fundera and KYM, credit scoring fees, account linking fees</w:t>
      </w:r>
      <w:r>
        <w:rPr>
          <w:rFonts w:ascii="Arial" w:cs="Arial" w:eastAsia="Arial" w:hAnsi="Arial"/>
          <w:sz w:val="18"/>
          <w:szCs w:val="18"/>
          <w:b w:val="1"/>
          <w:bCs w:val="1"/>
          <w:color w:val="auto"/>
        </w:rPr>
        <w:t>,</w:t>
      </w:r>
      <w:r>
        <w:rPr>
          <w:rFonts w:ascii="Arial" w:cs="Arial" w:eastAsia="Arial" w:hAnsi="Arial"/>
          <w:sz w:val="18"/>
          <w:szCs w:val="18"/>
          <w:color w:val="auto"/>
        </w:rPr>
        <w:t xml:space="preserve"> and third-party data center costs. We expect our cost of revenue to increase in absolute dollars for the foreseeable future to the extent that our business continues to grow. We expect our cost of revenue to decrease over time as a percentage of revenue as we recognize economies of scale. However, this percentage may fluctuate from year to year in the short term.</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activities primarily relate to engineering, product management, data enhancement, and improved functionality related to our platform. Research and development expenses primarily consist of personnel related costs, including stock-based compensation, technology and facility-related expenses and contractor expense for our engineering, product management, data and other personnel engaged in maintaining and enhancing the functionality of our platform.</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research and development expenses to increase in absolute dollars for the foreseeable future, primarily for increased headcount to further develop and innovate our platform. Over time, we expect research and development expenses to decrease as a percentage of revenue as our business grows and recognizes economies of scale. However, this percentage may fluctuate from period to period depending on the timing and extent of our research and development expenses.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expenses include advertising and promotion costs, costs related to brand campaign fees, marketing, business operations team, and editorial personnel and related costs, including stock-based compensation.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our sales and marketing expenses to continue to increase in absolute dollars for the foreseeable future, primarily to support the growth of our existing business and expansion into new verticals. Over time, we expect sales and marketing expenses to decrease as a percentage of revenue as our business grows and recognizes economies of scale. However, this percentage may fluctuate from period to period depending on the timing and extent of our sales and marketing expenses.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personnel related costs, including stock-based compensation, for certain of our executives as well as our legal, finance, human resources, and other administrative employees; and professional services fees.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our general and administrative expenses to increase in absolute dollars for the foreseeable future primarily to support the growth of our business and our public company operations. Additional expenses may include increased headcount, enhanced systems, processes, and controls as well as increased expenses in the areas of insurance, compliance, investor relations, and professional services. For these reasons, we expect general and administrative expenses to increase as a percentage of revenue in the near term, but eventually to decrease as a percentage of revenue as our business grows and recognizes economies of scale. This percentage may fluctuate from period to period depending on the timing and extent of our general and administrative expenses.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fair value of contingent consideration related to earnouts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recent acquisitions include earn-out provisions which require us to pay additional consideration based on the achievement of certain performance measures for a stated period after the acquisition date. We measure this contingent consideration at fair value as of the acquisition date and record it as a liability on our consolidated balance sheet. The fair value of each contingent consideration liability is remeasured at the end of each reporting period, with any changes in fair value recognized as income or expense from operations in our consolidated income statement.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income (expense), net is comprised of interest income, interest expense, and other gains (losses), net. Interest income consists primarily of interest earned on our cash and cash equivalents. Interest expense consists of interest costs related to our revolving credit facility and long-term debt, including amortization of the debt premium on our long-term debt. Other gains (losses), net is primarily related to changes in the fair value of the embedded derivative in our long-term debt, as well as realized and unrealized gains and losses on foreign currency transactions and balances. Other gains (losses), net for 2021 includes a gain on extinguishment of debt as well as a nonrecurring gain.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income tax provision (benefit) consists of federal and state income taxes. We have federal and state net operating loss carryforwards (NOLs), and federal and California research and development credit carryforwards, certain of which are subject to expiration dates if not utilized. Utilization of our NOLs and tax credit carryforwards, as well as of our other temporary differences, is dependent upon the generation of sufficient future taxable income during the periods in which those temporary differences become deductible. Based on our ongoing assessment of all available evidence, both positive and negative, including consideration of our historical profitability and the estimated impact of our operating model on future profitability, we concluded that it is more likely than not that our U.S. deferred tax assets in excess of deferred tax liabilities would not be realized and recorded a valuation allowance against these net U.S. deferred tax assets as of December 31, 2021. Our judgment regarding the likelihood of realization of these deferred tax assets could change in future periods, which could result in a material impact to our income tax provision in the period of change.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Results of Operations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The following discussion should be read in conjunction with the consolidated financial statements and related notes included elsewhere in this Annual Report on Form 10-K.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245.3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0"/>
        </w:trPr>
        <w:tc>
          <w:tcPr>
            <w:tcW w:w="7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0"/>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gains (losses), net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6"/>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213"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65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millions)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650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Pr>
          <w:p>
            <w:pPr>
              <w:spacing w:after="0"/>
              <w:rPr>
                <w:sz w:val="18"/>
                <w:szCs w:val="18"/>
                <w:color w:val="auto"/>
              </w:rPr>
            </w:pPr>
          </w:p>
        </w:tc>
        <w:tc>
          <w:tcPr>
            <w:tcW w:w="960" w:type="dxa"/>
            <w:vAlign w:val="bottom"/>
          </w:tcPr>
          <w:p>
            <w:pPr>
              <w:jc w:val="right"/>
              <w:ind w:right="42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42"/>
              <w:spacing w:after="0"/>
              <w:rPr>
                <w:sz w:val="20"/>
                <w:szCs w:val="20"/>
                <w:color w:val="auto"/>
              </w:rPr>
            </w:pPr>
            <w:r>
              <w:rPr>
                <w:rFonts w:ascii="Arial" w:cs="Arial" w:eastAsia="Arial" w:hAnsi="Arial"/>
                <w:sz w:val="13"/>
                <w:szCs w:val="13"/>
                <w:b w:val="1"/>
                <w:bCs w:val="1"/>
                <w:color w:val="auto"/>
              </w:rPr>
              <w:t>2019</w:t>
            </w:r>
          </w:p>
        </w:tc>
      </w:tr>
      <w:tr>
        <w:trPr>
          <w:trHeight w:val="28"/>
        </w:trPr>
        <w:tc>
          <w:tcPr>
            <w:tcW w:w="6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w:t>
            </w:r>
          </w:p>
        </w:tc>
      </w:tr>
      <w:tr>
        <w:trPr>
          <w:trHeight w:val="233"/>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1.2</w:t>
            </w:r>
          </w:p>
        </w:tc>
      </w:tr>
      <w:tr>
        <w:trPr>
          <w:trHeight w:val="246"/>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r>
      <w:tr>
        <w:trPr>
          <w:trHeight w:val="243"/>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w:t>
            </w:r>
          </w:p>
        </w:tc>
      </w:tr>
      <w:tr>
        <w:trPr>
          <w:trHeight w:val="21"/>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consolidated statements of operations as a percentage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gains (losses), net</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2 %</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Revenue</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6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4"/>
          </w:tcPr>
          <w:p>
            <w:pPr>
              <w:ind w:left="120"/>
              <w:spacing w:after="0"/>
              <w:rPr>
                <w:sz w:val="20"/>
                <w:szCs w:val="20"/>
                <w:color w:val="auto"/>
              </w:rPr>
            </w:pPr>
            <w:r>
              <w:rPr>
                <w:rFonts w:ascii="Arial" w:cs="Arial" w:eastAsia="Arial" w:hAnsi="Arial"/>
                <w:sz w:val="14"/>
                <w:szCs w:val="14"/>
                <w:b w:val="1"/>
                <w:bCs w:val="1"/>
                <w:color w:val="auto"/>
              </w:rPr>
              <w:t>$ Change</w:t>
            </w:r>
          </w:p>
        </w:tc>
        <w:tc>
          <w:tcPr>
            <w:tcW w:w="142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21"/>
                <w:szCs w:val="21"/>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6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379.6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245.3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increased $134.3 million, or 55%, for 2021 compared to 2020, with revenue increases across all verticals.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Credit cards revenue increased $45.6 million, or 58%, for 2021 compared to 2020, primarily driven by increased activity amid recovery from the economic impacts of the COVID-19 pandemic and higher pricing with our financial services partners.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Loans revenue increased $45.1 million, or 55%, for 2021 compared to 2020, primarily driven by increases of 56% in home mortgages revenue and 94% in personal loans revenue, both reflecting higher consumer demand for loans in the sustained low interest rate environment.</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verticals revenue increased $43.6 million, or 51%, for 2021 compared to 2020, primarily attributable to higher SMB revenue following our acquisition of Fundera as well as higher revenue in the UK following our acquisition of KYM. The increase also included a 26% increase in insurance revenue, partially offset by decreases of 10% in investing revenue due to lower consumer demand for investing activities and 5% in banking revenue due to the low interest rate environment.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8"/>
                <w:szCs w:val="18"/>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26"/>
        </w:trPr>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6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72 %</w:t>
            </w:r>
          </w:p>
        </w:tc>
      </w:tr>
      <w:tr>
        <w:trPr>
          <w:trHeight w:val="21"/>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 increased $7.2 million, or 34%, for 2021 compared to 2020. The increase was primarily attributable to a $6.0 million increase in amortization expense related to capitalized software development costs and intangible assets related to our acquisitions of Fundera and KYM in the second half of 2020, as well as a $0.8 million increase in third-party data center costs in connection with the growth in our traffic and ongoing product and feature development.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increased $11.3 million, or 22%, for 2021 compared to 2020. The increase was primarily attributable to increases of $9.8 million in personnel-related costs for our engineering, data, and product management personnel and contractors to support our continued growth, and $1.8 million in software and technology costs related to our platform, partially offset by a $1.0 million decrease in allocated costs due to lower facilities costs from the shift to remote work due to the COVID-19 pandemic.</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 expense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2021 and 2020, our total sales and marketing expense was comprised of approximately 36% and 34% for performance marketing, respectively, and 35% and 39% for brand marketing, respectively, with the remainder for organic and other marketing expenses. We are able to adjust our marketing spend to reflect changes in external factors and consumer behavior.</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Sales and marketing expenses increased $127.3 million, or 88%, for 2021 compared to 2020. The increase was primarily attributable to increases of $49.9 million in performance marketing expenses and $39.2 million in brand marketing expenses. The increase was also attributable to higher organic and other marketing expenses, including a $24.9 million increase in personnel-related costs due to our efforts to grow and increase our user base, and $4.8 million of amortization expense of intangible assets from our acquisitions of Fundera and KYM in the second half of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increased $10.5 million, or 38%, for 2021 compared to 2020, primarily attributable to increases of $9.2 million in personnel-related costs mainly due to increased headcount and $1.0 million in director and officer liability insurance costs.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contingent consideration related to earnouts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fair value of contingent consideration relates to our acquisitions of Fundera and KYM in the second half of 2020. The fair value of the estimated contingent considerations is subject to remeasurement at each reporting date until the payments are made. See Note 1 – The Company and its Significant Accounting Policies in the notes to our consolidated financial statements for further discussion regarding how we estimated the fair value of these contingent considerations.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16"/>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8"/>
                <w:szCs w:val="18"/>
                <w:color w:val="auto"/>
              </w:rPr>
            </w:pPr>
          </w:p>
        </w:tc>
        <w:tc>
          <w:tcPr>
            <w:tcW w:w="980" w:type="dxa"/>
            <w:vAlign w:val="bottom"/>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500" w:type="dxa"/>
            <w:vAlign w:val="bottom"/>
          </w:tcPr>
          <w:p>
            <w:pPr>
              <w:jc w:val="right"/>
              <w:ind w:right="334"/>
              <w:spacing w:after="0"/>
              <w:rPr>
                <w:sz w:val="20"/>
                <w:szCs w:val="20"/>
                <w:color w:val="auto"/>
              </w:rPr>
            </w:pPr>
            <w:r>
              <w:rPr>
                <w:rFonts w:ascii="Arial" w:cs="Arial" w:eastAsia="Arial" w:hAnsi="Arial"/>
                <w:sz w:val="14"/>
                <w:szCs w:val="14"/>
                <w:b w:val="1"/>
                <w:bCs w:val="1"/>
                <w:color w:val="auto"/>
              </w:rPr>
              <w:t>% Change</w:t>
            </w:r>
          </w:p>
        </w:tc>
      </w:tr>
      <w:tr>
        <w:trPr>
          <w:trHeight w:val="26"/>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center"/>
              <w:ind w:left="534"/>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center"/>
              <w:ind w:left="594"/>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ind w:left="494"/>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ind w:left="594"/>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gains,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center"/>
              <w:ind w:left="634"/>
              <w:spacing w:after="0"/>
              <w:rPr>
                <w:sz w:val="20"/>
                <w:szCs w:val="20"/>
                <w:color w:val="auto"/>
              </w:rPr>
            </w:pPr>
            <w:r>
              <w:rPr>
                <w:rFonts w:ascii="Arial" w:cs="Arial" w:eastAsia="Arial" w:hAnsi="Arial"/>
                <w:sz w:val="18"/>
                <w:szCs w:val="18"/>
                <w:color w:val="auto"/>
                <w:w w:val="87"/>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6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center"/>
              <w:ind w:left="494"/>
              <w:spacing w:after="0"/>
              <w:rPr>
                <w:sz w:val="20"/>
                <w:szCs w:val="20"/>
                <w:color w:val="auto"/>
              </w:rPr>
            </w:pPr>
            <w:r>
              <w:rPr>
                <w:rFonts w:ascii="Arial" w:cs="Arial" w:eastAsia="Arial" w:hAnsi="Arial"/>
                <w:sz w:val="18"/>
                <w:szCs w:val="18"/>
                <w:color w:val="auto"/>
                <w:w w:val="91"/>
              </w:rPr>
              <w:t>(1.0)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center"/>
              <w:ind w:left="634"/>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1"/>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increased $2.3 million for 2021 compared to 2020, primarily attributable to a $1.5 million gain on extinguishment of debt and a $1.3 million nonrecurring gain.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had an income tax provision of $4.8 million for 2021, as compared to an income tax benefit of $4.4 million in 2020. Our effective tax rate was (12.8%) and (488.4%) for 2021 and 2020, respectively. Our effective tax rate for 2021 was lower than the U.S. federal statutory income tax rate of 21% primarily due to the increase in the valuation allowance recorded against our net U.S. deferred tax assets. Our effective tax rate for 2020 was lower than the U.S. federal statutory income tax rate of 21% primarily due to excess tax benefits related to stock-based compensation, and research and development credits, partially offset by non-deductible stock-based compensation.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compensate for these limitations by reconciling Adjusted EBITDA to net income (loss), the most comparable GAAP financial measure. The following table presents a reconciliation of Adjusted EBITDA for each of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5"/>
        </w:trPr>
        <w:tc>
          <w:tcPr>
            <w:tcW w:w="6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24.2</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9.4</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21"/>
                <w:szCs w:val="21"/>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3.7</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losses (gains),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Loss on impairment and on disposal of assets</w:t>
            </w:r>
          </w:p>
        </w:tc>
        <w:tc>
          <w:tcPr>
            <w:tcW w:w="360" w:type="dxa"/>
            <w:vAlign w:val="bottom"/>
          </w:tcPr>
          <w:p>
            <w:pPr>
              <w:spacing w:after="0"/>
              <w:rPr>
                <w:sz w:val="21"/>
                <w:szCs w:val="21"/>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Deferred compensation related to earnouts</w:t>
            </w:r>
          </w:p>
        </w:tc>
        <w:tc>
          <w:tcPr>
            <w:tcW w:w="360" w:type="dxa"/>
            <w:vAlign w:val="bottom"/>
          </w:tcPr>
          <w:p>
            <w:pPr>
              <w:spacing w:after="0"/>
              <w:rPr>
                <w:sz w:val="21"/>
                <w:szCs w:val="21"/>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Acquisition-related expense</w:t>
            </w:r>
          </w:p>
        </w:tc>
        <w:tc>
          <w:tcPr>
            <w:tcW w:w="360" w:type="dxa"/>
            <w:vAlign w:val="bottom"/>
          </w:tcPr>
          <w:p>
            <w:pPr>
              <w:spacing w:after="0"/>
              <w:rPr>
                <w:sz w:val="21"/>
                <w:szCs w:val="21"/>
                <w:color w:val="auto"/>
              </w:rPr>
            </w:pP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44.1</w:t>
            </w:r>
          </w:p>
        </w:tc>
      </w:tr>
      <w:tr>
        <w:trPr>
          <w:trHeight w:val="27"/>
        </w:trPr>
        <w:tc>
          <w:tcPr>
            <w:tcW w:w="6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margin</w:t>
            </w:r>
          </w:p>
        </w:tc>
        <w:tc>
          <w:tcPr>
            <w:tcW w:w="3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(11 %)</w:t>
            </w:r>
          </w:p>
        </w:tc>
        <w:tc>
          <w:tcPr>
            <w:tcW w:w="15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312"/>
        </w:trPr>
        <w:tc>
          <w:tcPr>
            <w:tcW w:w="4840" w:type="dxa"/>
            <w:vAlign w:val="bottom"/>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3920" w:type="dxa"/>
            <w:vAlign w:val="bottom"/>
          </w:tcPr>
          <w:p>
            <w:pPr>
              <w:jc w:val="right"/>
              <w:ind w:right="530"/>
              <w:spacing w:after="0"/>
              <w:rPr>
                <w:sz w:val="20"/>
                <w:szCs w:val="20"/>
                <w:color w:val="auto"/>
              </w:rPr>
            </w:pPr>
            <w:r>
              <w:rPr>
                <w:rFonts w:ascii="Arial" w:cs="Arial" w:eastAsia="Arial" w:hAnsi="Arial"/>
                <w:sz w:val="18"/>
                <w:szCs w:val="18"/>
                <w:color w:val="auto"/>
              </w:rPr>
              <w:t>7 %</w:t>
            </w:r>
          </w:p>
        </w:tc>
        <w:tc>
          <w:tcPr>
            <w:tcW w:w="1520" w:type="dxa"/>
            <w:vAlign w:val="bottom"/>
          </w:tcPr>
          <w:p>
            <w:pPr>
              <w:jc w:val="right"/>
              <w:ind w:right="490"/>
              <w:spacing w:after="0"/>
              <w:rPr>
                <w:sz w:val="20"/>
                <w:szCs w:val="20"/>
                <w:color w:val="auto"/>
              </w:rPr>
            </w:pPr>
            <w:r>
              <w:rPr>
                <w:rFonts w:ascii="Arial" w:cs="Arial" w:eastAsia="Arial" w:hAnsi="Arial"/>
                <w:sz w:val="18"/>
                <w:szCs w:val="18"/>
                <w:color w:val="auto"/>
              </w:rPr>
              <w:t>10 %</w:t>
            </w:r>
          </w:p>
        </w:tc>
        <w:tc>
          <w:tcPr>
            <w:tcW w:w="960" w:type="dxa"/>
            <w:vAlign w:val="bottom"/>
          </w:tcPr>
          <w:p>
            <w:pPr>
              <w:jc w:val="right"/>
              <w:spacing w:after="0"/>
              <w:rPr>
                <w:sz w:val="20"/>
                <w:szCs w:val="20"/>
                <w:color w:val="auto"/>
              </w:rPr>
            </w:pPr>
            <w:r>
              <w:rPr>
                <w:rFonts w:ascii="Arial" w:cs="Arial" w:eastAsia="Arial" w:hAnsi="Arial"/>
                <w:sz w:val="18"/>
                <w:szCs w:val="18"/>
                <w:color w:val="auto"/>
              </w:rPr>
              <w:t>19 %</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5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Represents adjusted EBITDA as a percentage of revenue.</w:t>
      </w:r>
    </w:p>
    <w:p>
      <w:pPr>
        <w:spacing w:after="0" w:line="16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increased $2.7 million, or 11%, for 2021 compared to 2020. The increase was attributable to a $134.3 million increase in revenue amid recovery from the economic impacts of the COVID-19 pandemic, substantially offset by higher expenses primarily driven by a $127.3 million increase in sales and marketing expense as we continued to invest in our business.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principal sources of liquidity to meet our business requirements and plans, both in the short-term (i.e., the next twelve months from December 31, 2021) and long-term (i.e., beyond the next twelve months), have historically been cash generated from operations and, more recently, sales of our common stock, and borrowings under our credit facilities. Our primary liquidity needs are related to the funding of general business requirements, including working capital requirements, research and development, and capital expenditures, as well as other liquidity requirements including, but not limited to, business combinations.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8, 2021, we completed our IPO, in which we sold 8.3 million shares of our Class A common stock, which includes the exercise in full of the underwriters’ option to purchase 1.1 million shares of Class A common stock, at a public offering price of $18.00 per share. We received net proceeds from our IPO of $140.0 million after deducting underwriting discounts and commissions of $10.1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and 2020, we had cash and cash equivalents of $167.8 million and $83.4 million,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Known Contractual and Other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description of contractual commitments as of December 31, 2021 is included in Note 8 – Commitments and Contingencies in the notes to the consolidated financial statements.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More broadly, we also have purchase obligations under contractual arrangements with vendors and service providers, including for certain web-hosting and cloud computing services, which do not qualify for recognition on our consolidated balance sheets but which we consider non-cancellable. At December 31, 2021, amounts to be spent under non-cancellable purchase obligations were $3.7 million over the next twelve months and annual amounts of approximately $4 million to $5 million from 2023 through 2026.</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as part of the acquisitions of Know Your Money and Fundera, both in 2020, the Company committed to pay additional amounts of up to $11 million and $66 million, respectively, related to contingent earn-out consideration over the succeeding years based, in part, on the achievement of certain financial metrics related to 2021 and 2022. Based on fair value measurements for these contingent consideration liabilities as of December 31, 2021 (see Note 3 – Fair Value Measurements in the notes to the consolidated financial statements), $30.5 million relates to amounts to be paid over the next twelve months and $24.2 million relates to amounts to be settled beyond the next twelve months.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2021, there was an inflow of $100.2 million cash from financing activities, primarily driven by net proceeds from our IPO of $140.0 million partially offset by $28.5 million to repay in full our subordinated promissory notes, and an outflow of $23.0 million of cash used in investing activities primarily related to capitalization of software development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Trends, Uncertainties and Anticipated Sources of Funds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order to grow our business, we intend to increase our personnel and related expenses and to make significant investments in our business. The timing and amount of these investments will vary based on our financial condition, the rate at which we add new personnel and the scale of our development, as well as the extent and duration of the COVID-19 pandemic and its impact on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current cash and cash equivalents, future cash flow from operations, and access to our credit facility will be sufficient to meet our ongoing working capital, capital expenditure and other liquidity requirements for at least twelve months from the date of this filing. If necessary, we may borrow up to $100 million under our credit facility with Silicon Valley Bank and certain other lenders, subject to borrowing conditions. We had no outstanding balance on our credit facility as of December 31, 2021 or 2020. Our credit facility contains certain financial and non-financial covenants. We were in compliance with all covenants as of December 31, 2021 and 2020. For additional information on these covenants, see Note 7 – Debt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sectPr>
          <w:pgSz w:w="11900" w:h="16838" w:orient="portrait"/>
          <w:cols w:equalWidth="0" w:num="1">
            <w:col w:w="11240"/>
          </w:cols>
          <w:pgMar w:left="320" w:top="125" w:right="339" w:bottom="1440" w:gutter="0" w:footer="0" w:header="0"/>
        </w:sectPr>
      </w:pP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and Uses of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operating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 financing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5"/>
          <w:szCs w:val="15"/>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97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6"/>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3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4140"/>
          </w:cols>
          <w:pgMar w:left="320" w:top="125" w:right="339" w:bottom="1440" w:gutter="0" w:footer="0" w:header="0"/>
          <w:type w:val="continuous"/>
        </w:sectPr>
      </w:pPr>
    </w:p>
    <w:p>
      <w:pPr>
        <w:spacing w:after="0" w:line="4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 discussion and analysis of our changes in cash flows for 2021 compared to 2020 is presented below. For a discussion of our cash flows for 2020 and 2019, see “Management’s Discussion and Analysis of Financial Condition and Results of Operations – Liquidity, Cash Flows, and Obligations” in our final prospectus filed with the SEC pursuant to Rule 424(b)(4) under the Securities Act of 1933, as amended on November 5, 2021.</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cash provided by operating activities decreased $8.2 million in 2021 compared to 2020 due to a net loss of $42.5 million in 2021, as compared to net income of $5.3 million in 2020, and a $10.9 million increase in net cash outflow from changes in operating assets and liabilities, largely offset by a $50.5 million increase in non-cash charges. The increase in net cash outflow from changes in operating assets and liabilities was primarily due to a $21.2 million increase in accounts receivable, a $5.8 million decrease in accounts payable, and a $4.8 million increase in prepaid expenses and other assets, partially offset by a $21.9 million increase in accrued and other current liabilities. The increase in non-cash charges was primarily due to increases of $18.9 million in change in fair value of contingent consideration related to earnouts, $12.0 million in depreciation and amortization, $11.5 million in stock-based compensation and $9.0 million in deferred taxes.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decreased $32.4 million in 2021 compared to 2020, primarily due to $36.7 million of cash paid for business combinations, net of cash acquired, in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increased $44.5 million in 2021 compared to 2020, primarily due to net proceeds from our IPO of $140.0 million, after deducting underwriting discounts and commissions of $10.1 million, partially offset by decreases of $54.3 million from issuances of Class A common stock in 2020, $28.5 million to repay in full our subordinated promissory notes, and $12.4 million for repurchases of Class F common stock.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Capital Resource Matters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17, 2021 and October 18, 2021, our Board of Directors and stockholders, respectively, approved a one-for-two reverse stock split of our common and preferred stock which was effectuated on October 20, 2021 upon our filing of an amended and restated certificate of incorporation with the Delaware Secretary of State. As a result, each stockholder of record on October 20, 2021 received one share of common or preferred stock for every two shares held on the record date. All share, equity award, and per share amounts presented herein have been retroactively adjusted to reflect this reverse stock split.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accounting policies we believe to be most critical to understanding our financial condition and results of operations are discussed below. For a comprehensive list of all significant accounting policies, see Note 1 – The Company and its Significant Accounting Policies in the notes to consolidated financial statements in Item 8 of Part II of this Annual Report on Form 10-K.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recognize revenue from fees paid by our financial services partners in the form of either revenue per action, revenue per click, revenue per lead and revenue per funded loan arrangements. Services are generally transferred to the customer at a point in time and the performance obligation is a series of distinct actions, leads or clicks.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some of our arrangements, under ASC 606 (Revenue from Contracts with Customers) our contractual right to fees is not contemporaneous with the satisfaction of the performance obligation to match the consumer with the customer. As a result, the transaction price is considered variable and an estimate of the constrained transaction price is recorded as revenue when the match occurs, subject to a constraint. Constrained revenue is recognized to the extent that it is probable that a significant reversal in the amount of cumulative revenue recognized will not occur. After our initial estimate and constraints are made, we reassess our estimates and constraints at the end of each reporting period. Various factors are analyzed to estimate the constrained revenue, including historical approval rates and historical time between when a consumer request for a financial product is delivered to a financial services partner and when the financial product is approved by such financial services partner.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Goodwill and Intangible Assets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Goodwill represents the excess of the purchase price over the fair value of net assets acquired in a business combination. We have one reporting unit. We test goodwill for impairment annually or more frequently when an event occurs or circumstances change that indicate the carrying value may not be recoverable. As a result of the goodwill impairment assessment in 2021, 2020 and 2019, we determined that it was not more likely than not that the fair value of its single reporting unit was less than its carrying amount. As such, goodwill was not impaired during 2021, 2020 and 2019.</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evaluate intangible assets and other long-lived assets for impairment whenever events or circumstances indicate that they may not be recoverable. Recoverability is assessed by comparing the carrying amount of an asset group to future undiscounted net cash flows expected to be generated. If the carrying amount of an asset group is not recoverable, an impairment loss is recognized if the carrying amount exceeds the fair value of the asset group. We group assets for purposes of such review at the lowest level for which identifiable cash flows of the asset group are largely independent of the cash flows of the other groups of assets and liabilities. Unforeseen events, changes in circumstances and market conditions and material differences in estimates of future cash flows could adversely affect the fair value of our assets and could result in future impairment charges.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recorded contingent consideration in connection with certain business combinations that require us to pay cash consideration to the seller upon achievement of certain metrics during the years ending December 31, 2021 and 2022. We record the fair value of contingent consideration at the date of the acquisition and measure it using unobservable, Level 3 inputs, due to the absence of quoted market prices. Subsequent to the acquisition date, at each reporting date, the contingent consideration liability is remeasured to fair value with changes in fair value recorded in operating expenses, net on the consolidated statement of operations. We value contingent consideration using a Monte Carlo simulation model, which requires critical estimates to be made, including projected financial information, market volatility, risk-adjusted discount rates and timing of contractual payments. Changes in any one of these inputs may result in a significantly different fair value of the contingent consideration.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Tax Asset Valuation Allowances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fulfilling the requirement to reduce the measurement of deferred tax assets that are not expected to be realized, we consider all available evidence, both positive and negative, to determine whether, based on the weight of that evidence, a valuation allowance for deferred tax assets is needed. In assessing the adequacy of recognized valuation allowances, we consider all available evidence to estimate if sufficient taxable income will be generated in the future to utilize the existing deferred tax assets by jurisdiction. This consideration includes a variety of factors such as historical and projected future taxable income and prudent and feasible tax planning strategies.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our ongoing assessment of all available evidence, both positive and negative, including consideration of our historical profitability and the estimated impact of our operating model on future profitability, we concluded that it was more likely than not that our U.S. deferred tax assets in excess of deferred tax liabilities would not be realized and recorded a valuation allowance against these net U.S. deferred tax assets as of December 31, 2021. Our judgment regarding the likelihood of realization of these deferred tax assets could change in future periods, which could result in a material impact to our income tax provision in the period of change.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our IPO, as our common shares were not listed on a public marketplace, the calculation of the fair value of our common shares was subject to a greater degree of estimation in determining the basis for share-based awards that were issued. Given the absence of a public market, we were required to estimate the fair value of the common shares at the time of each grant.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granted stock-based awards consisting primarily of stock options and RSUs to employees and non-employees. We estimate the grant date fair value of stock options granted to employees and nonemployees using the Black-Scholes-Merton option-pricing model. The fair value of stock options that is expected to vest is recognized as compensation expense on a straight-line basis over the requisite service period, which is typically the vesting period of the respective awards. We recognize forfeitures as they occur for equity awards with only a service condition, rather than estimate expected forfeitures.</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Black-Scholes-Merton option-pricing model considers several variables and assumptions in estimating the grant date fair value of stock-based awards. These assumptions include:</w:t>
      </w:r>
    </w:p>
    <w:p>
      <w:pPr>
        <w:spacing w:after="0" w:line="116" w:lineRule="exact"/>
        <w:rPr>
          <w:sz w:val="20"/>
          <w:szCs w:val="20"/>
          <w:color w:val="auto"/>
        </w:rPr>
      </w:pPr>
    </w:p>
    <w:p>
      <w:pPr>
        <w:jc w:val="both"/>
        <w:ind w:left="660" w:hanging="328"/>
        <w:spacing w:after="0" w:line="301"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Class A Common Stock </w:t>
      </w:r>
      <w:r>
        <w:rPr>
          <w:rFonts w:ascii="Arial" w:cs="Arial" w:eastAsia="Arial" w:hAnsi="Arial"/>
          <w:sz w:val="16"/>
          <w:szCs w:val="16"/>
          <w:color w:val="auto"/>
        </w:rPr>
        <w:t>— For periods over which our Class A common stock was not yet publicly traded, we were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the fair value of our Class A common stock. Our Board of Directors considered numerous objective and subjective factors to determine the fair value of our Class A common stock as discussed in “Common Stock Valuations” below. Subsequent to our IPO in November 2021, the fair value of our Class A common stock is determined on the grant date using the closing price of our Class A common stock.</w:t>
      </w:r>
    </w:p>
    <w:p>
      <w:pPr>
        <w:spacing w:after="0" w:line="103"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represents the period that the stock-based awards are expected to be outstanding. We estimate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based on the simplified method.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Expected volatility is a measure of the amount by which the stock price is expected to fluctuate. Since we do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trading history of our Class A common stock, we estimate the expected volatility by taking the average historical volatility of a group of comparable publicly traded companies over a period equal to the expected term of the awards.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stock option award.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 We utilize a dividend yield of zero, as we do not currently issue dividends, nor do we expect to do so in the future.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RSUs is estimated based on the fair value of our Class A common stock on the date of grant. The fair value of RSUs that are expected to vest is recognized as compensation expense over the requisite service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ESPP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purchase rights granted under its ESPP is estimated using the component measurement approach with valuations of the components based on the Company’s stock price on the date of the grant and/or the Black-Scholes-Merton option-pricing model, as appropriate for the applicable components. The fair value of the purchase rights is recognized over the requisite service period. We recognize forfeitures as they occur, rather than estimate expected forfeitures.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our IPO, given the absence of a public trading market for our Class A common stock, and in accordance with the American Institute of Certified Public Accountants Accounting and Valuation Guide, Valuation of Privately-Held Company Equity Securities Issued as Compensation, our Board of Directors exercised its reasonable judgment and considered numerous objective and subjective factors to determine the best estimate of fair value of our Class A common stock underlying the stock options and RSUs, including:</w:t>
      </w:r>
    </w:p>
    <w:p>
      <w:pPr>
        <w:spacing w:after="0" w:line="13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contemporaneous valuations of our Class A common stock by an independent valuation specialist;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prices at which others have sold our common and redeemable convertible preferred stock to outside investors in arms-length transactions;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industry outlook;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fact that option and RSU grants have involved rights in illiquid securities in a private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valuation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marketability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initial public offering or a sale of our company given prevailing market conditions;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history and nature of our business, industry trends and competitive environment;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economic outlook including economic growth, inflation, unemployment, interest rate environment and global economic trends.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To determine the fair value of our Class A common stock, we first determined our enterprise value and then allocated that enterprise value among the various classes of our equity securities. Our enterprise value was estimated using two generally accepted approaches: the income approach and the market approach. 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measures the value of a business through an analysis of recent sales or offerings of comparable investments or assets, and in our case, focused on comparing us to a group of our peer companies. In applying this method, valuation multiples are derived from historical operating data of the peer company group. We then apply multiples to our operating data to arrive at a range of indicated values of the company.</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we also considered any secondary transactions, including third party tender offers,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Class A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Class A common stock.</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valuations after the completion of our IPO, our Board of Directors determines the fair value of each share of underlying Class A common stock based on the closing price of our Class A common stock as reported on the date of grant.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on recent accounting pronouncements, see Note 1 – The Company and its Significant Accounting Policies in the notes to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w:t>
      </w:r>
    </w:p>
    <w:p>
      <w:pPr>
        <w:spacing w:after="0" w:line="2" w:lineRule="exact"/>
        <w:rPr>
          <w:sz w:val="20"/>
          <w:szCs w:val="20"/>
          <w:color w:val="auto"/>
        </w:rPr>
      </w:pPr>
    </w:p>
    <w:p>
      <w:pPr>
        <w:jc w:val="both"/>
        <w:ind w:right="20" w:firstLine="8"/>
        <w:spacing w:after="0" w:line="255"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 Exchange Risk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Most of our revenue is generated in U.S. dollars, with the remainder generated in British pounds sterling. Our expenses are generally denominated in the currencies of the jurisdictions in which we conduct our operations, which are primarily in the U.S. and UK.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 statements for the years ended December 31, 2021, 2020 and 2019.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cash and cash equivalents primarily consist of cash on hand and highly liquid investments in money market instruments and U.S. government securities. We had cash and cash equivalents of $167.8 million and $83.4 million as of December 31, 2021 and 2020, respectively.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therefore do not expect our operating results or cash flows to be materially affected by a sudden change in market interest rates due to changes in the fair market value of our portfolio. However, changes in market interest rates could adversely impact our business, financial condition and results of operations. For additional information, see the sections titled “Risk Factors — Risks Related to Our Industry and the Consumer Finance Economy.”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future borrowings on our line of credit would be subject to changes in interest rate.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NerdWallet,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3"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8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rFonts w:ascii="Arial" w:cs="Arial" w:eastAsia="Arial" w:hAnsi="Arial"/>
                <w:sz w:val="18"/>
                <w:szCs w:val="18"/>
                <w:color w:val="auto"/>
              </w:rPr>
            </w:pPr>
            <w:hyperlink w:anchor="page59">
              <w:r>
                <w:rPr>
                  <w:rFonts w:ascii="Arial" w:cs="Arial" w:eastAsia="Arial" w:hAnsi="Arial"/>
                  <w:sz w:val="18"/>
                  <w:szCs w:val="18"/>
                  <w:color w:val="auto"/>
                </w:rPr>
                <w:t>Report of Independent Registered Public Accounting Firm</w:t>
              </w:r>
            </w:hyperlink>
          </w:p>
        </w:tc>
        <w:tc>
          <w:tcPr>
            <w:tcW w:w="660" w:type="dxa"/>
            <w:vAlign w:val="bottom"/>
          </w:tcPr>
          <w:p>
            <w:pPr>
              <w:jc w:val="center"/>
              <w:spacing w:after="0"/>
              <w:rPr>
                <w:rFonts w:ascii="Arial" w:cs="Arial" w:eastAsia="Arial" w:hAnsi="Arial"/>
                <w:sz w:val="18"/>
                <w:szCs w:val="18"/>
                <w:color w:val="auto"/>
                <w:w w:val="89"/>
              </w:rPr>
            </w:pPr>
            <w:hyperlink w:anchor="page59">
              <w:r>
                <w:rPr>
                  <w:rFonts w:ascii="Arial" w:cs="Arial" w:eastAsia="Arial" w:hAnsi="Arial"/>
                  <w:sz w:val="18"/>
                  <w:szCs w:val="18"/>
                  <w:color w:val="auto"/>
                  <w:w w:val="89"/>
                </w:rPr>
                <w:t>58</w:t>
              </w:r>
            </w:hyperlink>
          </w:p>
        </w:tc>
      </w:tr>
      <w:tr>
        <w:trPr>
          <w:trHeight w:val="270"/>
        </w:trPr>
        <w:tc>
          <w:tcPr>
            <w:tcW w:w="8560" w:type="dxa"/>
            <w:vAlign w:val="bottom"/>
          </w:tcPr>
          <w:p>
            <w:pPr>
              <w:spacing w:after="0"/>
              <w:rPr>
                <w:sz w:val="20"/>
                <w:szCs w:val="20"/>
                <w:color w:val="auto"/>
              </w:rPr>
            </w:pPr>
            <w:r>
              <w:rPr>
                <w:rFonts w:ascii="Arial" w:cs="Arial" w:eastAsia="Arial" w:hAnsi="Arial"/>
                <w:sz w:val="18"/>
                <w:szCs w:val="18"/>
                <w:color w:val="auto"/>
              </w:rPr>
              <w:t>Consolidated Financial Statements of NerdWallet, Inc. and its Consolidated Subsidiaries:</w:t>
            </w:r>
          </w:p>
        </w:tc>
        <w:tc>
          <w:tcPr>
            <w:tcW w:w="660" w:type="dxa"/>
            <w:vAlign w:val="bottom"/>
          </w:tcPr>
          <w:p>
            <w:pPr>
              <w:spacing w:after="0"/>
              <w:rPr>
                <w:sz w:val="23"/>
                <w:szCs w:val="23"/>
                <w:color w:val="auto"/>
              </w:rPr>
            </w:pPr>
          </w:p>
        </w:tc>
      </w:tr>
      <w:tr>
        <w:trPr>
          <w:trHeight w:val="270"/>
        </w:trPr>
        <w:tc>
          <w:tcPr>
            <w:tcW w:w="8560" w:type="dxa"/>
            <w:vAlign w:val="bottom"/>
          </w:tcPr>
          <w:p>
            <w:pPr>
              <w:ind w:left="220"/>
              <w:spacing w:after="0"/>
              <w:rPr>
                <w:rFonts w:ascii="Arial" w:cs="Arial" w:eastAsia="Arial" w:hAnsi="Arial"/>
                <w:sz w:val="18"/>
                <w:szCs w:val="18"/>
                <w:color w:val="auto"/>
              </w:rPr>
            </w:pPr>
            <w:hyperlink w:anchor="page60">
              <w:r>
                <w:rPr>
                  <w:rFonts w:ascii="Arial" w:cs="Arial" w:eastAsia="Arial" w:hAnsi="Arial"/>
                  <w:sz w:val="18"/>
                  <w:szCs w:val="18"/>
                  <w:color w:val="auto"/>
                </w:rPr>
                <w:t>Consolidated Balance Sheets</w:t>
              </w:r>
            </w:hyperlink>
          </w:p>
        </w:tc>
        <w:tc>
          <w:tcPr>
            <w:tcW w:w="660" w:type="dxa"/>
            <w:vAlign w:val="bottom"/>
          </w:tcPr>
          <w:p>
            <w:pPr>
              <w:jc w:val="center"/>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59</w:t>
              </w:r>
            </w:hyperlink>
          </w:p>
        </w:tc>
      </w:tr>
      <w:tr>
        <w:trPr>
          <w:trHeight w:val="270"/>
        </w:trPr>
        <w:tc>
          <w:tcPr>
            <w:tcW w:w="8560" w:type="dxa"/>
            <w:vAlign w:val="bottom"/>
          </w:tcPr>
          <w:p>
            <w:pPr>
              <w:ind w:left="220"/>
              <w:spacing w:after="0"/>
              <w:rPr>
                <w:rFonts w:ascii="Arial" w:cs="Arial" w:eastAsia="Arial" w:hAnsi="Arial"/>
                <w:sz w:val="18"/>
                <w:szCs w:val="18"/>
                <w:color w:val="auto"/>
              </w:rPr>
            </w:pPr>
            <w:hyperlink w:anchor="page61">
              <w:r>
                <w:rPr>
                  <w:rFonts w:ascii="Arial" w:cs="Arial" w:eastAsia="Arial" w:hAnsi="Arial"/>
                  <w:sz w:val="18"/>
                  <w:szCs w:val="18"/>
                  <w:color w:val="auto"/>
                </w:rPr>
                <w:t>Consolidated Statements of Operations</w:t>
              </w:r>
            </w:hyperlink>
          </w:p>
        </w:tc>
        <w:tc>
          <w:tcPr>
            <w:tcW w:w="660" w:type="dxa"/>
            <w:vAlign w:val="bottom"/>
          </w:tcPr>
          <w:p>
            <w:pPr>
              <w:jc w:val="center"/>
              <w:spacing w:after="0"/>
              <w:rPr>
                <w:rFonts w:ascii="Arial" w:cs="Arial" w:eastAsia="Arial" w:hAnsi="Arial"/>
                <w:sz w:val="18"/>
                <w:szCs w:val="18"/>
                <w:color w:val="auto"/>
                <w:w w:val="89"/>
              </w:rPr>
            </w:pPr>
            <w:hyperlink w:anchor="page61">
              <w:r>
                <w:rPr>
                  <w:rFonts w:ascii="Arial" w:cs="Arial" w:eastAsia="Arial" w:hAnsi="Arial"/>
                  <w:sz w:val="18"/>
                  <w:szCs w:val="18"/>
                  <w:color w:val="auto"/>
                  <w:w w:val="89"/>
                </w:rPr>
                <w:t>60</w:t>
              </w:r>
            </w:hyperlink>
          </w:p>
        </w:tc>
      </w:tr>
      <w:tr>
        <w:trPr>
          <w:trHeight w:val="270"/>
        </w:trPr>
        <w:tc>
          <w:tcPr>
            <w:tcW w:w="8560" w:type="dxa"/>
            <w:vAlign w:val="bottom"/>
          </w:tcPr>
          <w:p>
            <w:pPr>
              <w:ind w:left="220"/>
              <w:spacing w:after="0"/>
              <w:rPr>
                <w:rFonts w:ascii="Arial" w:cs="Arial" w:eastAsia="Arial" w:hAnsi="Arial"/>
                <w:sz w:val="18"/>
                <w:szCs w:val="18"/>
                <w:color w:val="auto"/>
              </w:rPr>
            </w:pPr>
            <w:hyperlink w:anchor="page62">
              <w:r>
                <w:rPr>
                  <w:rFonts w:ascii="Arial" w:cs="Arial" w:eastAsia="Arial" w:hAnsi="Arial"/>
                  <w:sz w:val="18"/>
                  <w:szCs w:val="18"/>
                  <w:color w:val="auto"/>
                </w:rPr>
                <w:t>Consolidated Statements of Comprehensive Income (Loss)</w:t>
              </w:r>
            </w:hyperlink>
          </w:p>
        </w:tc>
        <w:tc>
          <w:tcPr>
            <w:tcW w:w="66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61</w:t>
              </w:r>
            </w:hyperlink>
          </w:p>
        </w:tc>
      </w:tr>
      <w:tr>
        <w:trPr>
          <w:trHeight w:val="270"/>
        </w:trPr>
        <w:tc>
          <w:tcPr>
            <w:tcW w:w="8560" w:type="dxa"/>
            <w:vAlign w:val="bottom"/>
          </w:tcPr>
          <w:p>
            <w:pPr>
              <w:ind w:left="220"/>
              <w:spacing w:after="0"/>
              <w:rPr>
                <w:rFonts w:ascii="Arial" w:cs="Arial" w:eastAsia="Arial" w:hAnsi="Arial"/>
                <w:sz w:val="18"/>
                <w:szCs w:val="18"/>
                <w:color w:val="auto"/>
              </w:rPr>
            </w:pPr>
            <w:hyperlink w:anchor="page63">
              <w:r>
                <w:rPr>
                  <w:rFonts w:ascii="Arial" w:cs="Arial" w:eastAsia="Arial" w:hAnsi="Arial"/>
                  <w:sz w:val="18"/>
                  <w:szCs w:val="18"/>
                  <w:color w:val="auto"/>
                </w:rPr>
                <w:t>Consolidated Statements of Redeemable Convertible Preferred Stock and Stockholders’ Equity (Deficit)</w:t>
              </w:r>
            </w:hyperlink>
          </w:p>
        </w:tc>
        <w:tc>
          <w:tcPr>
            <w:tcW w:w="660" w:type="dxa"/>
            <w:vAlign w:val="bottom"/>
          </w:tcPr>
          <w:p>
            <w:pPr>
              <w:jc w:val="center"/>
              <w:spacing w:after="0"/>
              <w:rPr>
                <w:rFonts w:ascii="Arial" w:cs="Arial" w:eastAsia="Arial" w:hAnsi="Arial"/>
                <w:sz w:val="18"/>
                <w:szCs w:val="18"/>
                <w:color w:val="auto"/>
                <w:w w:val="89"/>
              </w:rPr>
            </w:pPr>
            <w:hyperlink w:anchor="page63">
              <w:r>
                <w:rPr>
                  <w:rFonts w:ascii="Arial" w:cs="Arial" w:eastAsia="Arial" w:hAnsi="Arial"/>
                  <w:sz w:val="18"/>
                  <w:szCs w:val="18"/>
                  <w:color w:val="auto"/>
                  <w:w w:val="89"/>
                </w:rPr>
                <w:t>62</w:t>
              </w:r>
            </w:hyperlink>
          </w:p>
        </w:tc>
      </w:tr>
      <w:tr>
        <w:trPr>
          <w:trHeight w:val="270"/>
        </w:trPr>
        <w:tc>
          <w:tcPr>
            <w:tcW w:w="8560" w:type="dxa"/>
            <w:vAlign w:val="bottom"/>
          </w:tcPr>
          <w:p>
            <w:pPr>
              <w:ind w:left="220"/>
              <w:spacing w:after="0"/>
              <w:rPr>
                <w:rFonts w:ascii="Arial" w:cs="Arial" w:eastAsia="Arial" w:hAnsi="Arial"/>
                <w:sz w:val="18"/>
                <w:szCs w:val="18"/>
                <w:color w:val="auto"/>
              </w:rPr>
            </w:pPr>
            <w:hyperlink w:anchor="page65">
              <w:r>
                <w:rPr>
                  <w:rFonts w:ascii="Arial" w:cs="Arial" w:eastAsia="Arial" w:hAnsi="Arial"/>
                  <w:sz w:val="18"/>
                  <w:szCs w:val="18"/>
                  <w:color w:val="auto"/>
                </w:rPr>
                <w:t>Consolidated Statements of Cash Flows</w:t>
              </w:r>
            </w:hyperlink>
          </w:p>
        </w:tc>
        <w:tc>
          <w:tcPr>
            <w:tcW w:w="660" w:type="dxa"/>
            <w:vAlign w:val="bottom"/>
          </w:tcPr>
          <w:p>
            <w:pPr>
              <w:jc w:val="center"/>
              <w:spacing w:after="0"/>
              <w:rPr>
                <w:rFonts w:ascii="Arial" w:cs="Arial" w:eastAsia="Arial" w:hAnsi="Arial"/>
                <w:sz w:val="18"/>
                <w:szCs w:val="18"/>
                <w:color w:val="auto"/>
                <w:w w:val="89"/>
              </w:rPr>
            </w:pPr>
            <w:hyperlink w:anchor="page65">
              <w:r>
                <w:rPr>
                  <w:rFonts w:ascii="Arial" w:cs="Arial" w:eastAsia="Arial" w:hAnsi="Arial"/>
                  <w:sz w:val="18"/>
                  <w:szCs w:val="18"/>
                  <w:color w:val="auto"/>
                  <w:w w:val="89"/>
                </w:rPr>
                <w:t>64</w:t>
              </w:r>
            </w:hyperlink>
          </w:p>
        </w:tc>
      </w:tr>
      <w:tr>
        <w:trPr>
          <w:trHeight w:val="270"/>
        </w:trPr>
        <w:tc>
          <w:tcPr>
            <w:tcW w:w="8560" w:type="dxa"/>
            <w:vAlign w:val="bottom"/>
          </w:tcPr>
          <w:p>
            <w:pPr>
              <w:ind w:left="220"/>
              <w:spacing w:after="0"/>
              <w:rPr>
                <w:rFonts w:ascii="Arial" w:cs="Arial" w:eastAsia="Arial" w:hAnsi="Arial"/>
                <w:sz w:val="18"/>
                <w:szCs w:val="18"/>
                <w:color w:val="auto"/>
              </w:rPr>
            </w:pPr>
            <w:hyperlink w:anchor="page67">
              <w:r>
                <w:rPr>
                  <w:rFonts w:ascii="Arial" w:cs="Arial" w:eastAsia="Arial" w:hAnsi="Arial"/>
                  <w:sz w:val="18"/>
                  <w:szCs w:val="18"/>
                  <w:color w:val="auto"/>
                </w:rPr>
                <w:t>Notes to Consolidated Financial Statements</w:t>
              </w:r>
            </w:hyperlink>
          </w:p>
        </w:tc>
        <w:tc>
          <w:tcPr>
            <w:tcW w:w="660" w:type="dxa"/>
            <w:vAlign w:val="bottom"/>
          </w:tcPr>
          <w:p>
            <w:pPr>
              <w:jc w:val="center"/>
              <w:spacing w:after="0"/>
              <w:rPr>
                <w:rFonts w:ascii="Arial" w:cs="Arial" w:eastAsia="Arial" w:hAnsi="Arial"/>
                <w:sz w:val="18"/>
                <w:szCs w:val="18"/>
                <w:color w:val="auto"/>
                <w:w w:val="89"/>
              </w:rPr>
            </w:pPr>
            <w:hyperlink w:anchor="page67">
              <w:r>
                <w:rPr>
                  <w:rFonts w:ascii="Arial" w:cs="Arial" w:eastAsia="Arial" w:hAnsi="Arial"/>
                  <w:sz w:val="18"/>
                  <w:szCs w:val="18"/>
                  <w:color w:val="auto"/>
                  <w:w w:val="89"/>
                </w:rPr>
                <w:t>66</w:t>
              </w:r>
            </w:hyperlink>
          </w:p>
        </w:tc>
      </w:tr>
    </w:tbl>
    <w:p>
      <w:pPr>
        <w:spacing w:after="0" w:line="21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schedules have been omitted as the information is provided in the financial statements or in related notes thereto, or is not required to be filed as the information is not applicable.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540" w:firstLine="2535"/>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NerdWallet,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NerdWallet, Inc. and subsidiaries (the “Company”) as of December 31, 2021 and 2020, and the related consolidated statements of operations, comprehensive income (loss), redeemable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cash flows for each of the three years in the period ended December 31, 2021, in conformity with accounting principles generally accepted in the United States of America.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center"/>
        <w:ind w:left="15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880" w:type="dxa"/>
            <w:vAlign w:val="bottom"/>
          </w:tcPr>
          <w:p>
            <w:pPr>
              <w:spacing w:after="0"/>
              <w:rPr>
                <w:sz w:val="20"/>
                <w:szCs w:val="20"/>
                <w:color w:val="auto"/>
              </w:rPr>
            </w:pPr>
            <w:r>
              <w:rPr>
                <w:rFonts w:ascii="Arial" w:cs="Arial" w:eastAsia="Arial" w:hAnsi="Arial"/>
                <w:sz w:val="14"/>
                <w:szCs w:val="14"/>
                <w:i w:val="1"/>
                <w:iCs w:val="1"/>
                <w:color w:val="auto"/>
              </w:rPr>
              <w:t>(in millions, except share amounts which are in thousands and per share amounts)</w:t>
            </w:r>
          </w:p>
        </w:tc>
        <w:tc>
          <w:tcPr>
            <w:tcW w:w="2400" w:type="dxa"/>
            <w:vAlign w:val="bottom"/>
          </w:tcPr>
          <w:p>
            <w:pPr>
              <w:spacing w:after="0"/>
              <w:rPr>
                <w:sz w:val="15"/>
                <w:szCs w:val="15"/>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4"/>
                <w:szCs w:val="14"/>
                <w:b w:val="1"/>
                <w:bCs w:val="1"/>
                <w:color w:val="auto"/>
              </w:rPr>
              <w:t>As of December 31,</w:t>
            </w: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2020</w:t>
      </w:r>
    </w:p>
    <w:p>
      <w:pPr>
        <w:spacing w:after="0" w:line="369" w:lineRule="exact"/>
        <w:rPr>
          <w:sz w:val="20"/>
          <w:szCs w:val="20"/>
          <w:color w:val="auto"/>
        </w:rPr>
      </w:pPr>
    </w:p>
    <w:p>
      <w:pPr>
        <w:sectPr>
          <w:pgSz w:w="11900" w:h="16838" w:orient="portrait"/>
          <w:cols w:equalWidth="0" w:num="2">
            <w:col w:w="9720" w:space="720"/>
            <w:col w:w="780"/>
          </w:cols>
          <w:pgMar w:left="320" w:top="121" w:right="359" w:bottom="1440" w:gutter="0" w:footer="0" w:header="0"/>
        </w:sect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Prepaid expenses and other current assets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software —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Intangibles —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Right-of-use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74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tabs>
          <w:tab w:leader="none" w:pos="800" w:val="left"/>
          <w:tab w:leader="none" w:pos="1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167.8</w:t>
      </w:r>
      <w:r>
        <w:rPr>
          <w:sz w:val="20"/>
          <w:szCs w:val="20"/>
          <w:color w:val="auto"/>
        </w:rPr>
        <w:tab/>
      </w:r>
      <w:r>
        <w:rPr>
          <w:rFonts w:ascii="Arial" w:cs="Arial" w:eastAsia="Arial" w:hAnsi="Arial"/>
          <w:sz w:val="13"/>
          <w:szCs w:val="13"/>
          <w:color w:val="auto"/>
        </w:rPr>
        <w:t>$</w:t>
      </w:r>
    </w:p>
    <w:p>
      <w:pPr>
        <w:spacing w:after="0" w:line="90"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57.6</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8401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242.8</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34.9</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43.8</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27.6</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13.9</w:t>
      </w:r>
    </w:p>
    <w:p>
      <w:pPr>
        <w:spacing w:after="0" w:line="63"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83.4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37.3</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31750</wp:posOffset>
            </wp:positionV>
            <wp:extent cx="8401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129.4</w:t>
      </w:r>
    </w:p>
    <w:p>
      <w:pPr>
        <w:spacing w:after="0" w:line="9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27.7</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43.8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35.6</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14.0</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0.6</w:t>
      </w:r>
    </w:p>
    <w:p>
      <w:pPr>
        <w:spacing w:after="0" w:line="72" w:lineRule="exact"/>
        <w:rPr>
          <w:sz w:val="20"/>
          <w:szCs w:val="20"/>
          <w:color w:val="auto"/>
        </w:rPr>
      </w:pPr>
    </w:p>
    <w:p>
      <w:pPr>
        <w:sectPr>
          <w:pgSz w:w="11900" w:h="16838" w:orient="portrait"/>
          <w:cols w:equalWidth="0" w:num="3">
            <w:col w:w="7800" w:space="720"/>
            <w:col w:w="1520" w:space="720"/>
            <w:col w:w="4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61"/>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Accounts payable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Contingent consideration — 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Contingent consideration — noncurrent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Debt — noncurrent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Deferred tax liability — noncurrent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Other liabilities — noncurrent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w w:val="90"/>
              </w:rPr>
              <w:t>Series A redeemable convertible preferred stock — $0.0001 par value per share — zero and 8,651 shares authorized</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80" w:type="dxa"/>
            <w:vAlign w:val="bottom"/>
          </w:tcPr>
          <w:p>
            <w:pPr>
              <w:ind w:left="160"/>
              <w:spacing w:after="0" w:line="176" w:lineRule="exact"/>
              <w:rPr>
                <w:sz w:val="20"/>
                <w:szCs w:val="20"/>
                <w:color w:val="auto"/>
              </w:rPr>
            </w:pPr>
            <w:r>
              <w:rPr>
                <w:rFonts w:ascii="Arial" w:cs="Arial" w:eastAsia="Arial" w:hAnsi="Arial"/>
                <w:sz w:val="18"/>
                <w:szCs w:val="18"/>
                <w:color w:val="auto"/>
                <w:w w:val="91"/>
              </w:rPr>
              <w:t>as of December 31, 2021 and 2020; zero and 7,687 shares issued and outstanding as of December 31, 2021 and</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60"/>
              <w:spacing w:after="0"/>
              <w:rPr>
                <w:sz w:val="20"/>
                <w:szCs w:val="20"/>
                <w:color w:val="auto"/>
              </w:rPr>
            </w:pPr>
            <w:r>
              <w:rPr>
                <w:rFonts w:ascii="Arial" w:cs="Arial" w:eastAsia="Arial" w:hAnsi="Arial"/>
                <w:sz w:val="18"/>
                <w:szCs w:val="18"/>
                <w:color w:val="auto"/>
              </w:rPr>
              <w:t>2020; liquidation preference of zero and $69.0 million as of December 31, 2021 and 2020</w:t>
            </w:r>
          </w:p>
        </w:tc>
        <w:tc>
          <w:tcPr>
            <w:tcW w:w="4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480" w:type="dxa"/>
            <w:vAlign w:val="bottom"/>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w w:val="92"/>
              </w:rPr>
              <w:t>Preferred stock — $0.0001 par value per share — 5,000 and zero shares authorized as of December 31, 2021 and</w:t>
            </w:r>
          </w:p>
        </w:tc>
        <w:tc>
          <w:tcPr>
            <w:tcW w:w="4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160"/>
              <w:spacing w:after="0"/>
              <w:rPr>
                <w:sz w:val="20"/>
                <w:szCs w:val="20"/>
                <w:color w:val="auto"/>
              </w:rPr>
            </w:pPr>
            <w:r>
              <w:rPr>
                <w:rFonts w:ascii="Arial" w:cs="Arial" w:eastAsia="Arial" w:hAnsi="Arial"/>
                <w:sz w:val="18"/>
                <w:szCs w:val="18"/>
                <w:color w:val="auto"/>
              </w:rPr>
              <w:t>2020; zero shares issued and outstanding as of December 31, 2021 and 2020</w:t>
            </w:r>
          </w:p>
        </w:tc>
        <w:tc>
          <w:tcPr>
            <w:tcW w:w="4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80" w:type="dxa"/>
            <w:vAlign w:val="bottom"/>
          </w:tcPr>
          <w:p>
            <w:pPr>
              <w:spacing w:after="0" w:line="176" w:lineRule="exact"/>
              <w:rPr>
                <w:sz w:val="20"/>
                <w:szCs w:val="20"/>
                <w:color w:val="auto"/>
              </w:rPr>
            </w:pPr>
            <w:r>
              <w:rPr>
                <w:rFonts w:ascii="Arial" w:cs="Arial" w:eastAsia="Arial" w:hAnsi="Arial"/>
                <w:sz w:val="18"/>
                <w:szCs w:val="18"/>
                <w:color w:val="auto"/>
                <w:w w:val="91"/>
              </w:rPr>
              <w:t>Common stock — $0.0001 par value per share — 296,686 and 127,500 shares authorized as of December 31, 2021</w:t>
            </w: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60"/>
              <w:spacing w:after="0"/>
              <w:rPr>
                <w:sz w:val="20"/>
                <w:szCs w:val="20"/>
                <w:color w:val="auto"/>
              </w:rPr>
            </w:pPr>
            <w:r>
              <w:rPr>
                <w:rFonts w:ascii="Arial" w:cs="Arial" w:eastAsia="Arial" w:hAnsi="Arial"/>
                <w:sz w:val="18"/>
                <w:szCs w:val="18"/>
                <w:color w:val="auto"/>
              </w:rPr>
              <w:t>and 2020; 66,722 and 48,853 shares issued and outstanding as of December 31, 2021 and 2020</w:t>
            </w:r>
          </w:p>
        </w:tc>
        <w:tc>
          <w:tcPr>
            <w:tcW w:w="4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8480" w:type="dxa"/>
            <w:vAlign w:val="bottom"/>
          </w:tcPr>
          <w:p>
            <w:pPr>
              <w:spacing w:after="0"/>
              <w:rPr>
                <w:sz w:val="20"/>
                <w:szCs w:val="20"/>
                <w:color w:val="auto"/>
              </w:rPr>
            </w:pPr>
            <w:r>
              <w:rPr>
                <w:rFonts w:ascii="Arial" w:cs="Arial" w:eastAsia="Arial" w:hAnsi="Arial"/>
                <w:sz w:val="18"/>
                <w:szCs w:val="18"/>
                <w:color w:val="auto"/>
              </w:rPr>
              <w:t>Treasury stock</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ind w:left="220"/>
              <w:spacing w:after="0"/>
              <w:rPr>
                <w:sz w:val="20"/>
                <w:szCs w:val="20"/>
                <w:color w:val="auto"/>
              </w:rPr>
            </w:pPr>
            <w:r>
              <w:rPr>
                <w:rFonts w:ascii="Arial" w:cs="Arial" w:eastAsia="Arial" w:hAnsi="Arial"/>
                <w:sz w:val="18"/>
                <w:szCs w:val="18"/>
                <w:color w:val="auto"/>
              </w:rPr>
              <w:t>Total stockholders’ equity</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Liabilities, Redeemable Convertible Preferred Stock and Stockholders’ Equity</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-4036695</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-3693795</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-2305050</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7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-3350895</wp:posOffset>
            </wp:positionV>
            <wp:extent cx="713232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0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255.2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60325</wp:posOffset>
            </wp:positionV>
            <wp:extent cx="8401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18.6</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24.0</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30.2</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31750</wp:posOffset>
            </wp:positionV>
            <wp:extent cx="8401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103.7</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68.8</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99.8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39370</wp:posOffset>
            </wp:positionV>
            <wp:extent cx="8401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6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82.7</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5"/>
          <w:szCs w:val="15"/>
          <w:b w:val="1"/>
          <w:bCs w:val="1"/>
          <w:color w:val="auto"/>
        </w:rPr>
        <w:t>255.2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81915</wp:posOffset>
            </wp:positionV>
            <wp:extent cx="8401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873" w:lineRule="exact"/>
        <w:rPr>
          <w:sz w:val="20"/>
          <w:szCs w:val="20"/>
          <w:color w:val="auto"/>
        </w:rPr>
      </w:pPr>
    </w:p>
    <w:p>
      <w:pPr>
        <w:sectPr>
          <w:pgSz w:w="11900" w:h="16838" w:orient="portrait"/>
          <w:cols w:equalWidth="0" w:num="2">
            <w:col w:w="10040" w:space="720"/>
            <w:col w:w="460"/>
          </w:cols>
          <w:pgMar w:left="320" w:top="121" w:right="35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7"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8"/>
                <w:szCs w:val="18"/>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228.3</w:t>
            </w:r>
          </w:p>
        </w:tc>
        <w:tc>
          <w:tcPr>
            <w:tcW w:w="0" w:type="dxa"/>
            <w:vAlign w:val="bottom"/>
          </w:tcPr>
          <w:p>
            <w:pPr>
              <w:spacing w:after="0"/>
              <w:rPr>
                <w:sz w:val="1"/>
                <w:szCs w:val="1"/>
                <w:color w:val="auto"/>
              </w:rPr>
            </w:pP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gridSpan w:val="2"/>
          </w:tcPr>
          <w:p>
            <w:pPr>
              <w:ind w:left="2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gains (losses), net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708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Weighted-average Shares Used in Computing Net Income (Loss) Per Share Attributable to</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7"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6"/>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1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ectPr>
          <w:pgSz w:w="11900" w:h="16838" w:orient="portrait"/>
          <w:cols w:equalWidth="0" w:num="1">
            <w:col w:w="11240"/>
          </w:cols>
          <w:pgMar w:left="320" w:top="121" w:right="339" w:bottom="1440" w:gutter="0" w:footer="0" w:header="0"/>
        </w:sectPr>
      </w:pPr>
    </w:p>
    <w:p>
      <w:pPr>
        <w:spacing w:after="0" w:line="67"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hanging="161"/>
        <w:spacing w:after="0" w:line="273" w:lineRule="auto"/>
        <w:rPr>
          <w:sz w:val="20"/>
          <w:szCs w:val="20"/>
          <w:color w:val="auto"/>
        </w:rPr>
      </w:pPr>
      <w:r>
        <w:rPr>
          <w:rFonts w:ascii="Arial" w:cs="Arial" w:eastAsia="Arial" w:hAnsi="Arial"/>
          <w:sz w:val="14"/>
          <w:szCs w:val="14"/>
          <w:i w:val="1"/>
          <w:iCs w:val="1"/>
          <w:color w:val="auto"/>
        </w:rPr>
        <w:t>(in millions, except share amounts which are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Series A</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Redeemable</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Convertible</w:t>
            </w: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64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940" w:type="dxa"/>
            <w:vAlign w:val="bottom"/>
          </w:tcPr>
          <w:p>
            <w:pPr>
              <w:spacing w:after="0"/>
              <w:rPr>
                <w:sz w:val="5"/>
                <w:szCs w:val="5"/>
                <w:color w:val="auto"/>
              </w:rPr>
            </w:pPr>
          </w:p>
        </w:tc>
        <w:tc>
          <w:tcPr>
            <w:tcW w:w="9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94"/>
        </w:trPr>
        <w:tc>
          <w:tcPr>
            <w:tcW w:w="16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6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5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Treasury Stock</w:t>
            </w:r>
          </w:p>
        </w:tc>
        <w:tc>
          <w:tcPr>
            <w:tcW w:w="8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640" w:type="dxa"/>
            <w:vAlign w:val="bottom"/>
            <w:gridSpan w:val="3"/>
            <w:vMerge w:val="continue"/>
          </w:tcPr>
          <w:p>
            <w:pPr>
              <w:spacing w:after="0"/>
              <w:rPr>
                <w:sz w:val="7"/>
                <w:szCs w:val="7"/>
                <w:color w:val="auto"/>
              </w:rPr>
            </w:pPr>
          </w:p>
        </w:tc>
        <w:tc>
          <w:tcPr>
            <w:tcW w:w="1620" w:type="dxa"/>
            <w:vAlign w:val="bottom"/>
            <w:gridSpan w:val="3"/>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Paid-in</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16510</wp:posOffset>
            </wp:positionV>
            <wp:extent cx="713232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2380" w:space="300"/>
            <w:col w:w="85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8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7,687</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68.8</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42,009</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Impact of ASU 2016-16 adoption</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6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Issuance of Class A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180"/>
              <w:spacing w:after="0"/>
              <w:rPr>
                <w:sz w:val="20"/>
                <w:szCs w:val="20"/>
                <w:color w:val="auto"/>
              </w:rPr>
            </w:pPr>
            <w:r>
              <w:rPr>
                <w:rFonts w:ascii="Arial" w:cs="Arial" w:eastAsia="Arial" w:hAnsi="Arial"/>
                <w:sz w:val="16"/>
                <w:szCs w:val="16"/>
                <w:color w:val="auto"/>
              </w:rPr>
              <w:t>upon exercise of stock options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Repurchase of stock options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80" w:type="dxa"/>
            <w:vAlign w:val="bottom"/>
            <w:gridSpan w:val="2"/>
          </w:tcPr>
          <w:p>
            <w:pPr>
              <w:ind w:left="20"/>
              <w:spacing w:after="0"/>
              <w:rPr>
                <w:sz w:val="20"/>
                <w:szCs w:val="20"/>
                <w:color w:val="auto"/>
              </w:rPr>
            </w:pPr>
            <w:r>
              <w:rPr>
                <w:rFonts w:ascii="Arial" w:cs="Arial" w:eastAsia="Arial" w:hAnsi="Arial"/>
                <w:sz w:val="16"/>
                <w:szCs w:val="16"/>
                <w:color w:val="auto"/>
                <w:w w:val="97"/>
              </w:rPr>
              <w:t>Repurchase of Class A common stock</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7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7,687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68.8</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42,308</w:t>
            </w:r>
          </w:p>
        </w:tc>
        <w:tc>
          <w:tcPr>
            <w:tcW w:w="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2"/>
        </w:trPr>
        <w:tc>
          <w:tcPr>
            <w:tcW w:w="2680" w:type="dxa"/>
            <w:vAlign w:val="bottom"/>
            <w:gridSpan w:val="2"/>
          </w:tcPr>
          <w:p>
            <w:pPr>
              <w:ind w:left="20"/>
              <w:spacing w:after="0" w:line="171" w:lineRule="exact"/>
              <w:rPr>
                <w:sz w:val="20"/>
                <w:szCs w:val="20"/>
                <w:color w:val="auto"/>
              </w:rPr>
            </w:pPr>
            <w:r>
              <w:rPr>
                <w:rFonts w:ascii="Arial" w:cs="Arial" w:eastAsia="Arial" w:hAnsi="Arial"/>
                <w:sz w:val="16"/>
                <w:szCs w:val="16"/>
                <w:color w:val="auto"/>
                <w:w w:val="99"/>
              </w:rPr>
              <w:t>Issuance of Class A common stock in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3,879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180"/>
              <w:spacing w:after="0"/>
              <w:rPr>
                <w:sz w:val="20"/>
                <w:szCs w:val="20"/>
                <w:color w:val="auto"/>
              </w:rPr>
            </w:pPr>
            <w:r>
              <w:rPr>
                <w:rFonts w:ascii="Arial" w:cs="Arial" w:eastAsia="Arial" w:hAnsi="Arial"/>
                <w:sz w:val="16"/>
                <w:szCs w:val="16"/>
                <w:color w:val="auto"/>
              </w:rPr>
              <w:t>connection with equity offering</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6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Issuance of Class A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2,701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180"/>
              <w:spacing w:after="0"/>
              <w:rPr>
                <w:sz w:val="20"/>
                <w:szCs w:val="20"/>
                <w:color w:val="auto"/>
              </w:rPr>
            </w:pPr>
            <w:r>
              <w:rPr>
                <w:rFonts w:ascii="Arial" w:cs="Arial" w:eastAsia="Arial" w:hAnsi="Arial"/>
                <w:sz w:val="16"/>
                <w:szCs w:val="16"/>
                <w:color w:val="auto"/>
              </w:rPr>
              <w:t>upon exercise of stock options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6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Issuance of Class A common stock</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pursuant to settlement of restricted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180"/>
              <w:spacing w:after="0"/>
              <w:rPr>
                <w:sz w:val="20"/>
                <w:szCs w:val="20"/>
                <w:color w:val="auto"/>
              </w:rPr>
            </w:pPr>
            <w:r>
              <w:rPr>
                <w:rFonts w:ascii="Arial" w:cs="Arial" w:eastAsia="Arial" w:hAnsi="Arial"/>
                <w:sz w:val="16"/>
                <w:szCs w:val="16"/>
                <w:color w:val="auto"/>
              </w:rPr>
              <w:t>stock units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680" w:type="dxa"/>
            <w:vAlign w:val="bottom"/>
            <w:gridSpan w:val="2"/>
          </w:tcPr>
          <w:p>
            <w:pPr>
              <w:ind w:left="20"/>
              <w:spacing w:after="0" w:line="171" w:lineRule="exact"/>
              <w:rPr>
                <w:sz w:val="20"/>
                <w:szCs w:val="20"/>
                <w:color w:val="auto"/>
              </w:rPr>
            </w:pPr>
            <w:r>
              <w:rPr>
                <w:rFonts w:ascii="Arial" w:cs="Arial" w:eastAsia="Arial" w:hAnsi="Arial"/>
                <w:sz w:val="16"/>
                <w:szCs w:val="16"/>
                <w:color w:val="auto"/>
                <w:w w:val="95"/>
              </w:rPr>
              <w:t>Class A common stock surrendered for</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employees’ tax liability upon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vMerge w:val="restart"/>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80" w:type="dxa"/>
            <w:vAlign w:val="bottom"/>
            <w:gridSpan w:val="2"/>
          </w:tcPr>
          <w:p>
            <w:pPr>
              <w:ind w:left="180"/>
              <w:spacing w:after="0"/>
              <w:rPr>
                <w:sz w:val="20"/>
                <w:szCs w:val="20"/>
                <w:color w:val="auto"/>
              </w:rPr>
            </w:pPr>
            <w:r>
              <w:rPr>
                <w:rFonts w:ascii="Arial" w:cs="Arial" w:eastAsia="Arial" w:hAnsi="Arial"/>
                <w:sz w:val="16"/>
                <w:szCs w:val="16"/>
                <w:color w:val="auto"/>
              </w:rPr>
              <w:t>settlement of restricted stock units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Repurchase of stock options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680" w:type="dxa"/>
            <w:vAlign w:val="bottom"/>
            <w:gridSpan w:val="2"/>
          </w:tcPr>
          <w:p>
            <w:pPr>
              <w:ind w:left="20"/>
              <w:spacing w:after="0"/>
              <w:rPr>
                <w:sz w:val="20"/>
                <w:szCs w:val="20"/>
                <w:color w:val="auto"/>
              </w:rPr>
            </w:pPr>
            <w:r>
              <w:rPr>
                <w:rFonts w:ascii="Arial" w:cs="Arial" w:eastAsia="Arial" w:hAnsi="Arial"/>
                <w:sz w:val="16"/>
                <w:szCs w:val="16"/>
                <w:color w:val="auto"/>
                <w:w w:val="97"/>
              </w:rPr>
              <w:t>Repurchase of Class A common stock</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26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Constructive retirement of treasury</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680" w:type="dxa"/>
            <w:vAlign w:val="bottom"/>
            <w:gridSpan w:val="2"/>
          </w:tcPr>
          <w:p>
            <w:pPr>
              <w:ind w:left="180"/>
              <w:spacing w:after="0"/>
              <w:rPr>
                <w:sz w:val="20"/>
                <w:szCs w:val="20"/>
                <w:color w:val="auto"/>
              </w:rPr>
            </w:pPr>
            <w:r>
              <w:rPr>
                <w:rFonts w:ascii="Arial" w:cs="Arial" w:eastAsia="Arial" w:hAnsi="Arial"/>
                <w:sz w:val="16"/>
                <w:szCs w:val="16"/>
                <w:color w:val="auto"/>
              </w:rPr>
              <w:t>stock</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6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7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6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7,687</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68.8</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48,853</w:t>
            </w:r>
          </w:p>
        </w:tc>
        <w:tc>
          <w:tcPr>
            <w:tcW w:w="80" w:type="dxa"/>
            <w:vAlign w:val="bottom"/>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-3394075</wp:posOffset>
            </wp:positionV>
            <wp:extent cx="713232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-2374265</wp:posOffset>
            </wp:positionV>
            <wp:extent cx="713232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-1894205</wp:posOffset>
            </wp:positionV>
            <wp:extent cx="7132320" cy="342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-1208405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22.8</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(41.4)</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(20.2)</w:t>
            </w:r>
          </w:p>
        </w:tc>
      </w:tr>
      <w:tr>
        <w:trPr>
          <w:trHeight w:val="243"/>
        </w:trPr>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78"/>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3"/>
        </w:trPr>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43"/>
        </w:trPr>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6"/>
        </w:trPr>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223"/>
        </w:trPr>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780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29.8</w:t>
            </w:r>
          </w:p>
        </w:tc>
        <w:tc>
          <w:tcPr>
            <w:tcW w:w="8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8.0</w:t>
            </w:r>
          </w:p>
        </w:tc>
      </w:tr>
      <w:tr>
        <w:trPr>
          <w:trHeight w:val="378"/>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54.3</w:t>
            </w:r>
          </w:p>
        </w:tc>
      </w:tr>
      <w:tr>
        <w:trPr>
          <w:trHeight w:val="378"/>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540"/>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40"/>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43"/>
        </w:trPr>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43"/>
        </w:trPr>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78"/>
        </w:trPr>
        <w:tc>
          <w:tcPr>
            <w:tcW w:w="70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43"/>
        </w:trPr>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56"/>
        </w:trPr>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37"/>
        </w:trPr>
        <w:tc>
          <w:tcPr>
            <w:tcW w:w="8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99.8</w:t>
            </w:r>
          </w:p>
        </w:tc>
        <w:tc>
          <w:tcPr>
            <w:tcW w:w="8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0.6</w:t>
            </w:r>
          </w:p>
        </w:tc>
        <w:tc>
          <w:tcPr>
            <w:tcW w:w="8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82.7</w:t>
            </w:r>
          </w:p>
        </w:tc>
      </w:tr>
      <w:tr>
        <w:trPr>
          <w:trHeight w:val="27"/>
        </w:trPr>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860" w:space="80"/>
            <w:col w:w="53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67"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Series A</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Redeemable</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140" w:type="dxa"/>
            <w:vAlign w:val="bottom"/>
          </w:tcPr>
          <w:p>
            <w:pPr>
              <w:spacing w:after="0"/>
              <w:rPr>
                <w:sz w:val="8"/>
                <w:szCs w:val="8"/>
                <w:color w:val="auto"/>
              </w:rPr>
            </w:pPr>
          </w:p>
        </w:tc>
        <w:tc>
          <w:tcPr>
            <w:tcW w:w="1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Convertible</w:t>
            </w: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140" w:type="dxa"/>
            <w:vAlign w:val="bottom"/>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940" w:type="dxa"/>
            <w:vAlign w:val="bottom"/>
          </w:tcPr>
          <w:p>
            <w:pPr>
              <w:spacing w:after="0"/>
              <w:rPr>
                <w:sz w:val="5"/>
                <w:szCs w:val="5"/>
                <w:color w:val="auto"/>
              </w:rPr>
            </w:pPr>
          </w:p>
        </w:tc>
        <w:tc>
          <w:tcPr>
            <w:tcW w:w="9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94"/>
        </w:trPr>
        <w:tc>
          <w:tcPr>
            <w:tcW w:w="4140" w:type="dxa"/>
            <w:vAlign w:val="bottom"/>
          </w:tcPr>
          <w:p>
            <w:pPr>
              <w:spacing w:after="0"/>
              <w:rPr>
                <w:sz w:val="8"/>
                <w:szCs w:val="8"/>
                <w:color w:val="auto"/>
              </w:rPr>
            </w:pPr>
          </w:p>
        </w:tc>
        <w:tc>
          <w:tcPr>
            <w:tcW w:w="16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Preferred Stock</w:t>
            </w:r>
          </w:p>
        </w:tc>
        <w:tc>
          <w:tcPr>
            <w:tcW w:w="16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140" w:type="dxa"/>
            <w:vAlign w:val="bottom"/>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Paid-in</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140" w:type="dxa"/>
            <w:vAlign w:val="bottom"/>
          </w:tcPr>
          <w:p>
            <w:pPr>
              <w:spacing w:after="0"/>
              <w:rPr>
                <w:sz w:val="20"/>
                <w:szCs w:val="20"/>
                <w:color w:val="auto"/>
              </w:rPr>
            </w:pPr>
            <w:r>
              <w:rPr>
                <w:rFonts w:ascii="Arial" w:cs="Arial" w:eastAsia="Arial" w:hAnsi="Arial"/>
                <w:sz w:val="14"/>
                <w:szCs w:val="14"/>
                <w:i w:val="1"/>
                <w:iCs w:val="1"/>
                <w:color w:val="auto"/>
              </w:rPr>
              <w:t>(in millions, except share amounts which are in thousands)</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3103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1032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2020</w:t>
      </w:r>
    </w:p>
    <w:p>
      <w:pPr>
        <w:spacing w:after="0" w:line="36" w:lineRule="exact"/>
        <w:rPr>
          <w:sz w:val="20"/>
          <w:szCs w:val="20"/>
          <w:color w:val="auto"/>
        </w:rPr>
      </w:pPr>
    </w:p>
    <w:p>
      <w:pPr>
        <w:ind w:left="180" w:right="500" w:hanging="161"/>
        <w:spacing w:after="0"/>
        <w:rPr>
          <w:sz w:val="20"/>
          <w:szCs w:val="20"/>
          <w:color w:val="auto"/>
        </w:rPr>
      </w:pPr>
      <w:r>
        <w:rPr>
          <w:rFonts w:ascii="Arial" w:cs="Arial" w:eastAsia="Arial" w:hAnsi="Arial"/>
          <w:sz w:val="16"/>
          <w:szCs w:val="16"/>
          <w:color w:val="auto"/>
        </w:rPr>
        <w:t>Issuance of Class A common stock upon initial public offering</w:t>
      </w:r>
    </w:p>
    <w:p>
      <w:pPr>
        <w:spacing w:after="0" w:line="10" w:lineRule="exact"/>
        <w:rPr>
          <w:sz w:val="20"/>
          <w:szCs w:val="20"/>
          <w:color w:val="auto"/>
        </w:rPr>
      </w:pPr>
    </w:p>
    <w:p>
      <w:pPr>
        <w:ind w:left="180" w:right="240" w:hanging="161"/>
        <w:spacing w:after="0"/>
        <w:rPr>
          <w:sz w:val="20"/>
          <w:szCs w:val="20"/>
          <w:color w:val="auto"/>
        </w:rPr>
      </w:pPr>
      <w:r>
        <w:rPr>
          <w:rFonts w:ascii="Arial" w:cs="Arial" w:eastAsia="Arial" w:hAnsi="Arial"/>
          <w:sz w:val="16"/>
          <w:szCs w:val="16"/>
          <w:color w:val="auto"/>
        </w:rPr>
        <w:t>Issuance of Class A common stock upon exercise of stock options</w:t>
      </w:r>
    </w:p>
    <w:p>
      <w:pPr>
        <w:spacing w:after="0" w:line="10" w:lineRule="exact"/>
        <w:rPr>
          <w:sz w:val="20"/>
          <w:szCs w:val="20"/>
          <w:color w:val="auto"/>
        </w:rPr>
      </w:pPr>
    </w:p>
    <w:p>
      <w:pPr>
        <w:ind w:left="180" w:right="80" w:hanging="161"/>
        <w:spacing w:after="0"/>
        <w:rPr>
          <w:sz w:val="20"/>
          <w:szCs w:val="20"/>
          <w:color w:val="auto"/>
        </w:rPr>
      </w:pPr>
      <w:r>
        <w:rPr>
          <w:rFonts w:ascii="Arial" w:cs="Arial" w:eastAsia="Arial" w:hAnsi="Arial"/>
          <w:sz w:val="16"/>
          <w:szCs w:val="16"/>
          <w:color w:val="auto"/>
        </w:rPr>
        <w:t>Issuance of Class A common stock pursuant to settlement of restricted stock units</w:t>
      </w:r>
    </w:p>
    <w:p>
      <w:pPr>
        <w:spacing w:after="0" w:line="10" w:lineRule="exact"/>
        <w:rPr>
          <w:sz w:val="20"/>
          <w:szCs w:val="20"/>
          <w:color w:val="auto"/>
        </w:rPr>
      </w:pPr>
    </w:p>
    <w:p>
      <w:pPr>
        <w:ind w:left="180" w:right="440" w:hanging="161"/>
        <w:spacing w:after="0" w:line="262" w:lineRule="auto"/>
        <w:rPr>
          <w:sz w:val="20"/>
          <w:szCs w:val="20"/>
          <w:color w:val="auto"/>
        </w:rPr>
      </w:pPr>
      <w:r>
        <w:rPr>
          <w:rFonts w:ascii="Arial" w:cs="Arial" w:eastAsia="Arial" w:hAnsi="Arial"/>
          <w:sz w:val="15"/>
          <w:szCs w:val="15"/>
          <w:color w:val="auto"/>
        </w:rPr>
        <w:t>Class A common stock surrendered for employees’ tax liability upon settlement of restricted stock units</w:t>
      </w:r>
    </w:p>
    <w:p>
      <w:pPr>
        <w:spacing w:after="0" w:line="1" w:lineRule="exact"/>
        <w:rPr>
          <w:sz w:val="20"/>
          <w:szCs w:val="20"/>
          <w:color w:val="auto"/>
        </w:rPr>
      </w:pPr>
    </w:p>
    <w:p>
      <w:pPr>
        <w:ind w:left="180" w:right="300" w:hanging="161"/>
        <w:spacing w:after="0"/>
        <w:rPr>
          <w:sz w:val="20"/>
          <w:szCs w:val="20"/>
          <w:color w:val="auto"/>
        </w:rPr>
      </w:pPr>
      <w:r>
        <w:rPr>
          <w:rFonts w:ascii="Arial" w:cs="Arial" w:eastAsia="Arial" w:hAnsi="Arial"/>
          <w:sz w:val="16"/>
          <w:szCs w:val="16"/>
          <w:color w:val="auto"/>
        </w:rPr>
        <w:t>Conversion of Series A redeemable convertible preferred stock to Class A common stock</w:t>
      </w:r>
    </w:p>
    <w:p>
      <w:pPr>
        <w:spacing w:after="0" w:line="10" w:lineRule="exact"/>
        <w:rPr>
          <w:sz w:val="20"/>
          <w:szCs w:val="20"/>
          <w:color w:val="auto"/>
        </w:rPr>
      </w:pPr>
    </w:p>
    <w:p>
      <w:pPr>
        <w:ind w:left="180" w:hanging="161"/>
        <w:spacing w:after="0" w:line="272" w:lineRule="auto"/>
        <w:rPr>
          <w:sz w:val="20"/>
          <w:szCs w:val="20"/>
          <w:color w:val="auto"/>
        </w:rPr>
      </w:pPr>
      <w:r>
        <w:rPr>
          <w:rFonts w:ascii="Arial" w:cs="Arial" w:eastAsia="Arial" w:hAnsi="Arial"/>
          <w:sz w:val="15"/>
          <w:szCs w:val="15"/>
          <w:color w:val="auto"/>
        </w:rPr>
        <w:t>Conversion of Series A redeemable convertible preferred stock to Class A common stock upon initial public offering</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 of stock options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 of early exercised stock options</w:t>
      </w:r>
    </w:p>
    <w:p>
      <w:pPr>
        <w:spacing w:after="0" w:line="32" w:lineRule="exact"/>
        <w:rPr>
          <w:sz w:val="20"/>
          <w:szCs w:val="20"/>
          <w:color w:val="auto"/>
        </w:rPr>
      </w:pPr>
    </w:p>
    <w:p>
      <w:pPr>
        <w:ind w:left="180" w:right="280" w:hanging="161"/>
        <w:spacing w:after="0"/>
        <w:rPr>
          <w:sz w:val="20"/>
          <w:szCs w:val="20"/>
          <w:color w:val="auto"/>
        </w:rPr>
      </w:pPr>
      <w:r>
        <w:rPr>
          <w:rFonts w:ascii="Arial" w:cs="Arial" w:eastAsia="Arial" w:hAnsi="Arial"/>
          <w:sz w:val="16"/>
          <w:szCs w:val="16"/>
          <w:color w:val="auto"/>
        </w:rPr>
        <w:t>Repurchase of Series A redeemable convertible preferred stock</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 of Class A common stock</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 of Class F common stock</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December 31, 2021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224"/>
        </w:trPr>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7,687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68.8</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48,853</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ind w:left="180"/>
              <w:spacing w:after="0"/>
              <w:rPr>
                <w:sz w:val="20"/>
                <w:szCs w:val="20"/>
                <w:color w:val="auto"/>
              </w:rPr>
            </w:pPr>
            <w:r>
              <w:rPr>
                <w:rFonts w:ascii="Arial" w:cs="Arial" w:eastAsia="Arial" w:hAnsi="Arial"/>
                <w:sz w:val="16"/>
                <w:szCs w:val="16"/>
                <w:b w:val="1"/>
                <w:bCs w:val="1"/>
                <w:color w:val="auto"/>
              </w:rPr>
              <w:t>—  $</w:t>
            </w:r>
          </w:p>
        </w:tc>
        <w:tc>
          <w:tcPr>
            <w:tcW w:w="560" w:type="dxa"/>
            <w:vAlign w:val="bottom"/>
          </w:tcPr>
          <w:p>
            <w:pPr>
              <w:jc w:val="right"/>
              <w:ind w:right="19"/>
              <w:spacing w:after="0"/>
              <w:rPr>
                <w:sz w:val="20"/>
                <w:szCs w:val="20"/>
                <w:color w:val="auto"/>
              </w:rPr>
            </w:pPr>
            <w:r>
              <w:rPr>
                <w:rFonts w:ascii="Arial" w:cs="Arial" w:eastAsia="Arial" w:hAnsi="Arial"/>
                <w:sz w:val="16"/>
                <w:szCs w:val="16"/>
                <w:b w:val="1"/>
                <w:bCs w:val="1"/>
                <w:color w:val="auto"/>
              </w:rPr>
              <w:t>99.8</w:t>
            </w:r>
          </w:p>
        </w:tc>
        <w:tc>
          <w:tcPr>
            <w:tcW w:w="46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0.6</w:t>
            </w:r>
          </w:p>
        </w:tc>
        <w:tc>
          <w:tcPr>
            <w:tcW w:w="34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3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82.7</w:t>
            </w:r>
          </w:p>
        </w:tc>
      </w:tr>
      <w:tr>
        <w:trPr>
          <w:trHeight w:val="378"/>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8,338</w:t>
            </w:r>
          </w:p>
        </w:tc>
        <w:tc>
          <w:tcPr>
            <w:tcW w:w="34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134.8</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134.8</w:t>
            </w:r>
          </w:p>
        </w:tc>
      </w:tr>
      <w:tr>
        <w:trPr>
          <w:trHeight w:val="378"/>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2,322</w:t>
            </w:r>
          </w:p>
        </w:tc>
        <w:tc>
          <w:tcPr>
            <w:tcW w:w="34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65"/>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647</w:t>
            </w:r>
          </w:p>
        </w:tc>
        <w:tc>
          <w:tcPr>
            <w:tcW w:w="34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92"/>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34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(1.9)</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78"/>
        </w:trPr>
        <w:tc>
          <w:tcPr>
            <w:tcW w:w="54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24"/>
                <w:szCs w:val="24"/>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(0.5)</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34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78"/>
        </w:trPr>
        <w:tc>
          <w:tcPr>
            <w:tcW w:w="540" w:type="dxa"/>
            <w:vAlign w:val="bottom"/>
          </w:tcPr>
          <w:p>
            <w:pPr>
              <w:jc w:val="right"/>
              <w:spacing w:after="0"/>
              <w:rPr>
                <w:sz w:val="20"/>
                <w:szCs w:val="20"/>
                <w:color w:val="auto"/>
              </w:rPr>
            </w:pPr>
            <w:r>
              <w:rPr>
                <w:rFonts w:ascii="Arial" w:cs="Arial" w:eastAsia="Arial" w:hAnsi="Arial"/>
                <w:sz w:val="16"/>
                <w:szCs w:val="16"/>
                <w:color w:val="auto"/>
                <w:w w:val="90"/>
              </w:rPr>
              <w:t>(7,527)</w:t>
            </w:r>
          </w:p>
        </w:tc>
        <w:tc>
          <w:tcPr>
            <w:tcW w:w="220" w:type="dxa"/>
            <w:vAlign w:val="bottom"/>
          </w:tcPr>
          <w:p>
            <w:pPr>
              <w:spacing w:after="0"/>
              <w:rPr>
                <w:sz w:val="24"/>
                <w:szCs w:val="24"/>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(66.2)</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7,527</w:t>
            </w:r>
          </w:p>
        </w:tc>
        <w:tc>
          <w:tcPr>
            <w:tcW w:w="34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66.2</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229"/>
        </w:trPr>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21"/>
                <w:szCs w:val="21"/>
                <w:color w:val="auto"/>
              </w:rPr>
            </w:pPr>
          </w:p>
        </w:tc>
        <w:tc>
          <w:tcPr>
            <w:tcW w:w="700" w:type="dxa"/>
            <w:vAlign w:val="bottom"/>
          </w:tcPr>
          <w:p>
            <w:pPr>
              <w:ind w:lef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72" w:lineRule="exact"/>
        <w:rPr>
          <w:sz w:val="20"/>
          <w:szCs w:val="20"/>
          <w:color w:val="auto"/>
        </w:rPr>
      </w:pPr>
    </w:p>
    <w:p>
      <w:pPr>
        <w:ind w:left="1180" w:hanging="769"/>
        <w:spacing w:after="0"/>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4"/>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43"/>
        </w:trPr>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4"/>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57"/>
        </w:trPr>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43"/>
        </w:trPr>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3"/>
        </w:trPr>
        <w:tc>
          <w:tcPr>
            <w:tcW w:w="7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240"/>
        </w:trPr>
        <w:tc>
          <w:tcPr>
            <w:tcW w:w="1120" w:type="dxa"/>
            <w:vAlign w:val="bottom"/>
            <w:gridSpan w:val="3"/>
          </w:tcPr>
          <w:p>
            <w:pPr>
              <w:ind w:left="560"/>
              <w:spacing w:after="0"/>
              <w:rPr>
                <w:sz w:val="20"/>
                <w:szCs w:val="20"/>
                <w:color w:val="auto"/>
              </w:rPr>
            </w:pPr>
            <w:r>
              <w:rPr>
                <w:rFonts w:ascii="Arial" w:cs="Arial" w:eastAsia="Arial" w:hAnsi="Arial"/>
                <w:sz w:val="16"/>
                <w:szCs w:val="16"/>
                <w:b w:val="1"/>
                <w:bCs w:val="1"/>
                <w:color w:val="auto"/>
              </w:rPr>
              <w:t>—  $</w:t>
            </w:r>
          </w:p>
        </w:tc>
        <w:tc>
          <w:tcPr>
            <w:tcW w:w="56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66,722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gridSpan w:val="4"/>
          </w:tcPr>
          <w:p>
            <w:pPr>
              <w:ind w:left="180"/>
              <w:spacing w:after="0"/>
              <w:rPr>
                <w:sz w:val="20"/>
                <w:szCs w:val="20"/>
                <w:color w:val="auto"/>
              </w:rPr>
            </w:pPr>
            <w:r>
              <w:rPr>
                <w:rFonts w:ascii="Arial" w:cs="Arial" w:eastAsia="Arial" w:hAnsi="Arial"/>
                <w:sz w:val="16"/>
                <w:szCs w:val="16"/>
                <w:b w:val="1"/>
                <w:bCs w:val="1"/>
                <w:color w:val="auto"/>
              </w:rPr>
              <w:t>—  $   331.6</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0.5</w:t>
            </w:r>
          </w:p>
        </w:tc>
        <w:tc>
          <w:tcPr>
            <w:tcW w:w="8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(74.5)</w:t>
            </w:r>
          </w:p>
        </w:tc>
        <w:tc>
          <w:tcPr>
            <w:tcW w:w="8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257.6</w:t>
            </w:r>
          </w:p>
        </w:tc>
      </w:tr>
      <w:tr>
        <w:trPr>
          <w:trHeight w:val="24"/>
        </w:trPr>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020" w:space="140"/>
            <w:col w:w="7080"/>
          </w:cols>
          <w:pgMar w:left="320" w:top="121" w:right="3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6"/>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0"/>
              <w:spacing w:after="0"/>
              <w:rPr>
                <w:sz w:val="20"/>
                <w:szCs w:val="20"/>
                <w:color w:val="auto"/>
              </w:rPr>
            </w:pPr>
            <w:r>
              <w:rPr>
                <w:rFonts w:ascii="Arial" w:cs="Arial" w:eastAsia="Arial" w:hAnsi="Arial"/>
                <w:sz w:val="14"/>
                <w:szCs w:val="14"/>
                <w:b w:val="1"/>
                <w:bCs w:val="1"/>
                <w:color w:val="auto"/>
              </w:rPr>
              <w:t>2019</w:t>
            </w:r>
          </w:p>
        </w:tc>
      </w:tr>
      <w:tr>
        <w:trPr>
          <w:trHeight w:val="26"/>
        </w:trPr>
        <w:tc>
          <w:tcPr>
            <w:tcW w:w="7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on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Impairment of capitalized software development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Non-cash amortization of debt premium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Other (gains) losses,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Change in fair value of contingent consideration related to earnouts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Non-cash lease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Accrued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Business combinations, net of cash acquired</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74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Proceeds from issuance of common stock upon initial public offering, net of underwriting discounts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commissions</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Issuance of Class A common stock</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Repurchase of Class A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Repurchase of Class F common stock</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Repurchase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Repurchase of Series A redeemable convertible preferred stock</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payments related to net-share settlements on restricted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Principal repayment of subordinated promissory notes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Proceeds from line of credit</w:t>
            </w: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Payments on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Payment of offering costs related to initial public offering</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6"/>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6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r>
      <w:tr>
        <w:trPr>
          <w:trHeight w:val="21"/>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133"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133"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6"/>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6"/>
        </w:trPr>
        <w:tc>
          <w:tcPr>
            <w:tcW w:w="7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w w:val="95"/>
              </w:rPr>
              <w:t>Purchase of property and equipment recorded in accounts payable and accrued and other current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Offering costs related to initial public offering not yet paid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Income tax refunds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Disclosure Related to Operating Leases: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Lease liabilities arising from obtaining right-of-use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38"/>
        </w:trPr>
        <w:tc>
          <w:tcPr>
            <w:tcW w:w="7440" w:type="dxa"/>
            <w:vAlign w:val="bottom"/>
            <w:gridSpan w:val="2"/>
          </w:tcPr>
          <w:p>
            <w:pPr>
              <w:ind w:left="3960"/>
              <w:spacing w:after="0"/>
              <w:rPr>
                <w:sz w:val="20"/>
                <w:szCs w:val="20"/>
                <w:color w:val="auto"/>
              </w:rPr>
            </w:pPr>
            <w:r>
              <w:rPr>
                <w:rFonts w:ascii="Arial" w:cs="Arial" w:eastAsia="Arial" w:hAnsi="Arial"/>
                <w:sz w:val="18"/>
                <w:szCs w:val="18"/>
                <w:color w:val="auto"/>
                <w:w w:val="91"/>
              </w:rPr>
              <w:t>See notes to consolidated financial statements.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its Significant Accounting Policies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Organization — </w:t>
      </w:r>
      <w:r>
        <w:rPr>
          <w:rFonts w:ascii="Arial" w:cs="Arial" w:eastAsia="Arial" w:hAnsi="Arial"/>
          <w:sz w:val="18"/>
          <w:szCs w:val="18"/>
          <w:color w:val="auto"/>
        </w:rPr>
        <w:t>NerdWallet, Inc., a Delaware corporation, was formed on December 29, 2011. NerdWallet, Inc. and its subsidiaries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provide consumer-driven advice about personal finance through its platform by connecting individuals and small and mid-sized businesses (SMBs) with providers of financial products.</w:t>
      </w:r>
    </w:p>
    <w:p>
      <w:pPr>
        <w:spacing w:after="0" w:line="122"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7"/>
          <w:szCs w:val="17"/>
          <w:b w:val="1"/>
          <w:bCs w:val="1"/>
          <w:color w:val="auto"/>
        </w:rPr>
        <w:t xml:space="preserve">Basis of Consolidation and Presentation — </w:t>
      </w:r>
      <w:r>
        <w:rPr>
          <w:rFonts w:ascii="Arial" w:cs="Arial" w:eastAsia="Arial" w:hAnsi="Arial"/>
          <w:sz w:val="17"/>
          <w:szCs w:val="17"/>
          <w:color w:val="auto"/>
        </w:rPr>
        <w:t>The accompanying consolidated financial statements have been prepared in accordance with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principles generally accepted in the United States of America (GAAP). The consolidated financial statements include the accounts of the Company and its wholly-owned subsidiaries. All intercompany transactions and balances have been eliminated in consolidation.</w:t>
      </w:r>
    </w:p>
    <w:p>
      <w:pPr>
        <w:spacing w:after="0" w:line="10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Reverse Stock Split </w:t>
      </w:r>
      <w:r>
        <w:rPr>
          <w:rFonts w:ascii="Arial" w:cs="Arial" w:eastAsia="Arial" w:hAnsi="Arial"/>
          <w:sz w:val="18"/>
          <w:szCs w:val="18"/>
          <w:color w:val="auto"/>
        </w:rPr>
        <w:t>— On October 17, 2021 and October 18, 2021, the Company’s Board of Directors and stockholders, respectively, approved a one-for-two reverse stock split of the Company’s common and preferred stock which was effectuated on October 20, 2021 upon the Company’s filing of an amended and restated certificate of incorporation with the Delaware Secretary of State. As a result, each stockholder of record on October 20, 2021 received one share of common or preferred stock for every two shares held on the record date. All share, equity award, and per share amounts presented herein have been retroactively adjusted to reflect this reverse stock split.</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Initial Public Offering </w:t>
      </w:r>
      <w:r>
        <w:rPr>
          <w:rFonts w:ascii="Arial" w:cs="Arial" w:eastAsia="Arial" w:hAnsi="Arial"/>
          <w:sz w:val="17"/>
          <w:szCs w:val="17"/>
          <w:color w:val="auto"/>
        </w:rPr>
        <w:t>— The Company’s registration statement on Form S-1 related to its initial public offering (the IPO) was declared effective on</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3, 2021 and the Company’s Class A common stock began trading on the Nasdaq Global Market on November 4, 2021. On November 8, 2021, the Company completed its IPO, in which the Company sold 8.3 million shares of its Class A common stock, which includes the exercise in full of the underwriters’ option to purchase 1.1 million shares of Class A common stock, at a public offering price of $18.00 per share. The net proceeds to the Company from the IPO were $140.0 million after deducting underwriting discounts and commissions of $10.1 million.</w:t>
      </w:r>
    </w:p>
    <w:p>
      <w:pPr>
        <w:spacing w:after="0" w:line="1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IPO, all 7.5 million shares of the Company’s outstanding redeemable convertible preferred stock automatically converted into an equal number of shares of Class A common stock, and all 31.7 million shares of the Company’s outstanding Class F common stock converted into an equal number of shares of Class B common stock.</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Company’s amended and restated certificate of incorporation, which became effective upon completion of the IPO, the Company is authorized to issue 301.7 million shares of capital stock, all with a par value of $0.0001 per share, including 265.0 million shares of Class A common stock, 31.7 million shares of Class B common stock, and 5.0 million shares of preferred stock.</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Segments — </w:t>
      </w:r>
      <w:r>
        <w:rPr>
          <w:rFonts w:ascii="Arial" w:cs="Arial" w:eastAsia="Arial" w:hAnsi="Arial"/>
          <w:sz w:val="18"/>
          <w:szCs w:val="18"/>
          <w:color w:val="auto"/>
        </w:rPr>
        <w:t>Operating segments are defined as components of an enterprise for which discrete financial information is available that is reviewed</w:t>
      </w:r>
      <w:r>
        <w:rPr>
          <w:rFonts w:ascii="Arial" w:cs="Arial" w:eastAsia="Arial" w:hAnsi="Arial"/>
          <w:sz w:val="18"/>
          <w:szCs w:val="18"/>
          <w:b w:val="1"/>
          <w:bCs w:val="1"/>
          <w:color w:val="auto"/>
        </w:rPr>
        <w:t xml:space="preserve"> </w:t>
      </w:r>
      <w:r>
        <w:rPr>
          <w:rFonts w:ascii="Arial" w:cs="Arial" w:eastAsia="Arial" w:hAnsi="Arial"/>
          <w:sz w:val="18"/>
          <w:szCs w:val="18"/>
          <w:color w:val="auto"/>
        </w:rPr>
        <w:t>regularly by the Chief Operating Decision Maker (CODM) in deciding how to allocate resources and in assessing performance. The Company’s CODM is its Chief Executive Officer, who reviews financial information presented on a consolidated basis for purposes of allocating resources and evaluating financial performance. As a result, the Company has concluded that it has one operating segment. Significantly all of the Company’s revenue in 2021, 2020 and 2019 was from customers located in the United States.</w:t>
      </w:r>
    </w:p>
    <w:p>
      <w:pPr>
        <w:spacing w:after="0" w:line="129"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consolidated financial statements and accompanying notes. Significant estimates and assumptions made by management include determination of stock-based compensation, valuation of embedded derivative, capitalization of software development costs, valuation of contingent consideration, valuation of goodwill and intangible assets, determination of associated useful lives of intangible assets and valuation of deferred tax assets. Management bases its estimates on historical experience and also on assumptions that it believes are reasonable.</w:t>
      </w:r>
    </w:p>
    <w:p>
      <w:pPr>
        <w:spacing w:after="0" w:line="1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March 2020, the World Health Organization declared the outbreak of the novel coronavirus disease (COVID-19) a pandemic. The full impact of the COVID-19 pandemic on the global economy and the extent to which the COVID-19 pandemic will continue to impact the Company’s results of operations and cash flows remains uncertain as the COVID-19 pandemic continues and different variants of the coronavirus emerge. As of the date of issuance of the consolidated financial statements, the Company is not aware of any specific event or circumstance that would require it to update its estimates, judgments or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Concentrations of Credit Risk — </w:t>
      </w:r>
      <w:r>
        <w:rPr>
          <w:rFonts w:ascii="Arial" w:cs="Arial" w:eastAsia="Arial" w:hAnsi="Arial"/>
          <w:sz w:val="17"/>
          <w:szCs w:val="17"/>
          <w:color w:val="auto"/>
        </w:rPr>
        <w:t>Financial instruments that potentially subject the Company to concentrations of credit risk consist primarily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cash equivalents and accounts receivable. The Company deposits cash with high credit quality financial institutions. All noninterest-bearing accounts are fully insured regardless of the balance of the account. This coverage is available at all FDIC member institutions. The Company uses Silicon Valley Bank, which is an FDIC insured institution. Based on these facts, collectability of bank balances appears to be adequately assured.</w:t>
      </w:r>
    </w:p>
    <w:p>
      <w:pPr>
        <w:spacing w:after="0" w:line="1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generally does not require collateral or other security in support of accounts receivable. Allowances will be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broader factors in evaluating the sufficiency or necessity of an allowance for doubtful accounts, including the length of time receivables are past due, significant onetime events, and historical experience.</w:t>
      </w:r>
    </w:p>
    <w:p>
      <w:pPr>
        <w:spacing w:after="0" w:line="12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Company had two customers as of December 31, 2021 which each accounted for 11% of total accounts receivable, and one customer as of December 31, 2020 which accounted for 12% of total accounts receivable. The Company had no customer which accounted for more than 10% of revenue in 2021 or 2020, but had three customers which accounted for 18%, 11% and 10% of revenue, respectively, in 2019. Under Financial Accounting Standards Board (FASB)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the Company’s customers are considered to be financial services providers (e.g., banks, credit card issuers, lenders, investment brokers and other entities) that seek to reach and receive leads, matches and referrals to the Company’s substantial audience of consumers (including SMBs) in exchange for agreed-upon fees.</w:t>
      </w:r>
    </w:p>
    <w:p>
      <w:pPr>
        <w:spacing w:after="0" w:line="10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Foreign Currency Transactions — </w:t>
      </w:r>
      <w:r>
        <w:rPr>
          <w:rFonts w:ascii="Arial" w:cs="Arial" w:eastAsia="Arial" w:hAnsi="Arial"/>
          <w:sz w:val="17"/>
          <w:szCs w:val="17"/>
          <w:color w:val="auto"/>
        </w:rPr>
        <w:t>The functional currency of the Company’s foreign subsidiaries is the respective local currency. All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accounts of the Company’s foreign subsidiaries are translated into U.S. dollars using the exchange rate on the balance sheet date. Equity transactions are translated using historical exchange rates. Revenues and expenses are translated at average rates prevailing throughout the period. Translation adjustments are included as a separate component on the consolidated statement of comprehensive income (loss), and in “Effect of exchange rate changes on cash and cash equivalents” on the consolidated statement of cash flows. Transaction gains and losses including intercompany transactions denominated in a currency other than the functional currency of the entity involved are included in “Other gains (losses), net” on our consolidated statement of operations and were immaterial for all periods presented.</w:t>
      </w:r>
    </w:p>
    <w:p>
      <w:pPr>
        <w:spacing w:after="0" w:line="11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Cash and cash equivalents include on demand deposits and money market funds with banks that have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maturities at the date of purchase of less than 90 days.</w:t>
      </w:r>
    </w:p>
    <w:p>
      <w:pPr>
        <w:spacing w:after="0" w:line="1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Fair Value Measurements — </w:t>
      </w:r>
      <w:r>
        <w:rPr>
          <w:rFonts w:ascii="Arial" w:cs="Arial" w:eastAsia="Arial" w:hAnsi="Arial"/>
          <w:sz w:val="17"/>
          <w:szCs w:val="17"/>
          <w:color w:val="auto"/>
        </w:rPr>
        <w:t>The Company determines fair value based upon the exit price that would be received to sell an asset or paid to transfer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that are accessible at the measurement date for identical assets or liabilities.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hierarchy gives the highest priority to Level 1 inputs.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within Level 1, including quoted prices for similar assets or liabilities in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quoted prices for identical or similar assets or liabilities in markets that are not active; and inputs other than quoted prices that are observable or are derived principally from, or corroborated by, observable market data by correlation or other means.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Level 3 </w:t>
      </w:r>
      <w:r>
        <w:rPr>
          <w:rFonts w:ascii="Arial" w:cs="Arial" w:eastAsia="Arial" w:hAnsi="Arial"/>
          <w:sz w:val="16"/>
          <w:szCs w:val="16"/>
          <w:color w:val="auto"/>
        </w:rPr>
        <w:t>— Unobservable inputs are used when little or no market data is available. The fair value hierarchy gives the lowest priority to Level 3 inputs.</w:t>
      </w:r>
    </w:p>
    <w:p>
      <w:pPr>
        <w:spacing w:after="0" w:line="19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Trade Accounts Receivable </w:t>
      </w:r>
      <w:r>
        <w:rPr>
          <w:rFonts w:ascii="Arial" w:cs="Arial" w:eastAsia="Arial" w:hAnsi="Arial"/>
          <w:sz w:val="16"/>
          <w:szCs w:val="16"/>
          <w:color w:val="auto"/>
        </w:rPr>
        <w:t>— Trade accounts receivable are recorded at the invoiced amount or amounts due from customers via 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relationships at the end of each month. Invoiced amounts do not bear interest. The Company determines the allowance for doubtful accounts by considering a number of factors, including the length of time accounts receivable are past due, previous loss history and the specific customer’s current ability to pay its obligation. Accounts receivable is past due when they are outstanding longer than the contractual payment terms. The allowance for doubtful accounts was not material as of December 31, 2021 and 2020. The Company does not have any off-balance-sheet credit exposure related to its customers.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Property, Equipment, and Software, Net </w:t>
      </w:r>
      <w:r>
        <w:rPr>
          <w:rFonts w:ascii="Arial" w:cs="Arial" w:eastAsia="Arial" w:hAnsi="Arial"/>
          <w:sz w:val="17"/>
          <w:szCs w:val="17"/>
          <w:color w:val="auto"/>
        </w:rPr>
        <w:t>— Property, equipment, and software are stated at cost, less accumulated depreciation and amortization.</w:t>
      </w:r>
      <w:r>
        <w:rPr>
          <w:rFonts w:ascii="Arial" w:cs="Arial" w:eastAsia="Arial" w:hAnsi="Arial"/>
          <w:sz w:val="17"/>
          <w:szCs w:val="17"/>
          <w:b w:val="1"/>
          <w:bCs w:val="1"/>
          <w:color w:val="auto"/>
        </w:rPr>
        <w:t xml:space="preserve"> </w:t>
      </w:r>
      <w:r>
        <w:rPr>
          <w:rFonts w:ascii="Arial" w:cs="Arial" w:eastAsia="Arial" w:hAnsi="Arial"/>
          <w:sz w:val="17"/>
          <w:szCs w:val="17"/>
          <w:color w:val="auto"/>
        </w:rPr>
        <w:t>Depreciation is computed using the straight-line method over the estimated useful lives of the respective assets, which are generally three years for computers and equipment, three years for software, and five years for furniture and fixtures. Leasehold improvements are amortized using the straight-line method over the shorter of the estimated useful lives of the assets or the term of the related lease. Expenditures for repairs and maintenance are charged to expense as incurred. Upon disposition or retirement, the cost and related accumulated depreciation are removed from the accounts and the resulting gain or loss, if any, is reflected as operating expenses in the consolidated statement of operations.</w:t>
      </w:r>
    </w:p>
    <w:p>
      <w:pPr>
        <w:spacing w:after="0" w:line="11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Deferred Offering Costs </w:t>
      </w:r>
      <w:r>
        <w:rPr>
          <w:rFonts w:ascii="Arial" w:cs="Arial" w:eastAsia="Arial" w:hAnsi="Arial"/>
          <w:sz w:val="17"/>
          <w:szCs w:val="17"/>
          <w:color w:val="auto"/>
        </w:rPr>
        <w:t>— The Company capitalizes certain legal, professional accounting and other third-party fees that are directly associated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in-process equity financings as deferred offering costs until such financing is consummated. After consummation of the financing, these costs are recorded in stockholders’ equity as a reduction of the proceeds received as a result of the offering. Should a planned equity financing be abandoned, the deferred offering costs will be expensed immediately as operating expenses in the consolidated statement of operations.</w:t>
      </w:r>
    </w:p>
    <w:p>
      <w:pPr>
        <w:spacing w:after="0" w:line="1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Capitalized Software Development Costs </w:t>
      </w:r>
      <w:r>
        <w:rPr>
          <w:rFonts w:ascii="Arial" w:cs="Arial" w:eastAsia="Arial" w:hAnsi="Arial"/>
          <w:sz w:val="18"/>
          <w:szCs w:val="18"/>
          <w:color w:val="auto"/>
        </w:rPr>
        <w:t>— The costs incurred in the preliminary stages of website and software development are expensed as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Once an application has reached the development stage, internal and external costs, if direct and incremental and deemed by management to be significant, are capitalized in property and equipment and amortized on a straight-line basis over their estimated useful lives. Maintenance, training and enhancement costs, including those costs in the post-implementation stages, are typically expensed as incurred, unless such costs relate to substantial upgrades and enhancements to the website or software that result in added functionality, in which case the costs are capitalized and amortized on a straight-line basis over the estimated useful lives.</w:t>
      </w:r>
    </w:p>
    <w:p>
      <w:pPr>
        <w:spacing w:after="0" w:line="1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Capitalized development activities placed in service are amortized over the expected useful lives of those releases, currently estimated at one to five years. The estimated useful lives of website and software development activities are reviewed frequently and adjusted as appropriate to reflect upcoming development activities that may include significant upgrades and/or enhancements to the existing functionality.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is included within cost of revenue in the consolidated statement of operations.</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 The Company recognizes identifiable assets acquired and liabilities assumed at their acquisition date fair value. Goodwill</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acquisition date is measured as the excess of consideration transferred over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that the Company identifies adjustments to the preliminary purchase price allocation. Upon the conclusion of the measurement period or final determination of the values of assets acquired or liabilities assumed, whichever comes first, any subsequent adjustments are recorded to the consolidated statement of operations. As of December 31, 2021, the Company has not recorded material measurement period adjustments in connection with its business combinations.</w:t>
      </w:r>
    </w:p>
    <w:p>
      <w:pPr>
        <w:spacing w:after="0" w:line="12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Contingent Consideration </w:t>
      </w:r>
      <w:r>
        <w:rPr>
          <w:rFonts w:ascii="Arial" w:cs="Arial" w:eastAsia="Arial" w:hAnsi="Arial"/>
          <w:sz w:val="18"/>
          <w:szCs w:val="18"/>
          <w:color w:val="auto"/>
        </w:rPr>
        <w:t>— The fair value measurements of contingent consideration liabilities established in connection with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combinations are determined as of the acquisition date based on significant unobservable inputs, including forecasted revenues and costs of the acquired companies, the probability of meeting certain revenue or earnings targets defined in the merger agreements, and the discount rate. Contingent consideration liabilities are remeasured to fair value at each subsequent reporting date until the related contingency is resolved. Changes to the fair value of the contingent consideration liabilities can result from changes to one or a number of inputs, including discount rates, the probabilities of achieving the milestones, the time required to achieve the milestones and estimated future sales. Significant judgment is employed in determining the appropriateness of these inputs. Changes to the inputs described above could have a material impact on the Company’s financial position and results of operations in any given period.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 The Company evaluates goodwill for impairment annually or more frequently when an event occurs or circumstances change that</w:t>
      </w:r>
      <w:r>
        <w:rPr>
          <w:rFonts w:ascii="Arial" w:cs="Arial" w:eastAsia="Arial" w:hAnsi="Arial"/>
          <w:sz w:val="17"/>
          <w:szCs w:val="17"/>
          <w:b w:val="1"/>
          <w:bCs w:val="1"/>
          <w:color w:val="auto"/>
        </w:rPr>
        <w:t xml:space="preserve"> </w:t>
      </w:r>
      <w:r>
        <w:rPr>
          <w:rFonts w:ascii="Arial" w:cs="Arial" w:eastAsia="Arial" w:hAnsi="Arial"/>
          <w:sz w:val="17"/>
          <w:szCs w:val="17"/>
          <w:color w:val="auto"/>
        </w:rPr>
        <w:t>indicate the carrying value may not be recoverable. The Company may elect to utilize a qualitative assessment to evaluate whether it is more likely than not that the fair value of a reporting unit is less than its carrying value and if so, the quantitative test is performed. Under the qualitative assessment, factors that are considered include industry and market considerations, overall financial performance and other relevant events and factors affecting the reporting unit. Under the quantitative test, the Company first compares the carrying value of each reporting unit to its estimated fair value and if the fair value is determined to be less than the carrying value, we recognize an impairment loss for the difference. In 2021, 2020 and 2019, the Company did not recognize any impairment losses against goodwill.</w:t>
      </w:r>
    </w:p>
    <w:p>
      <w:pPr>
        <w:spacing w:after="0" w:line="11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 Intangible assets include acquired intangible assets identified through business combinations, which are carried at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recorded upon acquisition less accumulated amortization, and purchased intangible assets, which are carried at cost less accumulated amortization. Intangible assets are amortized on a straight-line basis over their estimated useful lives. Amortization costs for developed technology is included in cost of revenue and amortization for customer relationships, trade names and user base are included in sales and marketing within the consolidated statement of operations. Intangible assets are reviewed for impairment whenever events or changes in circumstances indicate that the carrying amount of the asset may not be recoverable.</w:t>
      </w:r>
    </w:p>
    <w:p>
      <w:pPr>
        <w:spacing w:after="0" w:line="13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Impairment of Long-Lived Assets </w:t>
      </w:r>
      <w:r>
        <w:rPr>
          <w:rFonts w:ascii="Arial" w:cs="Arial" w:eastAsia="Arial" w:hAnsi="Arial"/>
          <w:sz w:val="16"/>
          <w:szCs w:val="16"/>
          <w:color w:val="auto"/>
        </w:rPr>
        <w:t>— The Company reviews long-lived assets, including property and equipment, capitalized software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costs, and intangible assets, for impairment whenever events or changes in circumstances indicate that the carrying amount of an asset or asset group may not be recoverable. Recoverability of assets or asset groups to be held and used is measured first by a comparison of the carrying amount of an asset or asset group to future undiscounted net cash flows expected to be generated by the asset or asset group. If such assets or asset group are considered to be impaired, an impairment loss would be recognized based on the excess of the carrying amount of the asset above the fair value of the asset or asset group.</w:t>
      </w:r>
    </w:p>
    <w:p>
      <w:pPr>
        <w:spacing w:after="0" w:line="10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generates substantially all its revenue through fees paid by its financial services partners in the form of either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per action, revenue per click, revenue per lead and revenue per funded loan arrangements. For these revenue arrangements, in which a partner pays only when a consumer satisfies the criteria set forth within the arrangement, revenue is recognized generally when the Company matches the consumer with the financial services partner. For some of the Company’s arrangements, the transaction price is considered variable and an estimate of the transaction price is recorded when the match occurs.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revenue recognition guidance, revenue is recognized when performance obligations under the terms of a contract with a customer are satisfied and promised goods and services have transferred to the customer, in an amount that reflects the consideration the Company expects to be entitled to in exchange for those goods or services.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revenue generated from revenue per action or revenue per funded loan arrangements in which fees are earned from customers for approved actions such as when credit cards are issued to consumers or when loans to consumers are funded, the Company’s contractual right to fees is not contemporaneous with the satisfaction of the performance obligation to match the consumer with the customer. As such, the Company records a contract asset at each reporting period-end related to the estimated variable consideration on fees for which the Company has satisfied the related performance obligation but are still pending the financial product approval before the Company has a contractual right to payment. This estimate is based on the Company’s historical closing rates and historical time between when a consumer request for a financial product is delivered to the customer and when the financial product is approved by the customer. The time between satisfaction of the Company’s performance obligation and when the Company’s right to consideration becomes unconditional is generally less than 90 days and no significant judgment is required in determining whether the estimate of variable consideration should be constrained.</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revenue generated from revenue per lead or revenue per click in which fees are earned from customers when a consumer clicks on a tagged link to the customer’s website or lead is delivered to the customer, the Company’s contractual right to fees is contemporaneous with the satisfaction of the performance obligation to match the consumer with the customer. The Company’s services are generally transferred to the customer at a point in time, when the performance obligation is met.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payment terms vary by customer and verticals. The term between invoicing and when payment is due is generally 30 days or less.</w:t>
      </w:r>
    </w:p>
    <w:p>
      <w:pPr>
        <w:spacing w:after="0" w:line="19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Cost of Revenue </w:t>
      </w:r>
      <w:r>
        <w:rPr>
          <w:rFonts w:ascii="Arial" w:cs="Arial" w:eastAsia="Arial" w:hAnsi="Arial"/>
          <w:sz w:val="18"/>
          <w:szCs w:val="18"/>
          <w:color w:val="auto"/>
        </w:rPr>
        <w:t>— Cost of revenue consists primarily of amortization expense and impairment charges associated with capitalized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costs and developed technology; credit scoring fees and account linking fees; and third-party data center costs.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 Research and development expenses primarily consist of personnel related costs, technology and facility-related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contractor expense for our engineering, product management, data and other personnel engaged in maintaining and enhancing the functionality of our platform. Research and development costs are expensed as incurred.</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Sales and Marketing </w:t>
      </w:r>
      <w:r>
        <w:rPr>
          <w:rFonts w:ascii="Arial" w:cs="Arial" w:eastAsia="Arial" w:hAnsi="Arial"/>
          <w:sz w:val="18"/>
          <w:szCs w:val="18"/>
          <w:color w:val="auto"/>
        </w:rPr>
        <w:t>— Sales and marketing expenses include advertising and promotion costs, costs related to brand campaign fees,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team and editorial personnel and related costs, including stock-based compensation. Advertising is expensed as incurred. Advertising expense was $197.3 million, $106.8 million and $86.7 million for 2021, 2020 and 2019,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The Company leases real estate facilities and general office equipment under operating leases expiring at various dates through 2029.</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February 2016, the FASB issued Accounting Standards Update (ASU) No. 2016-02, Leases (Topic 842), which supersedes previous lease accounting guidance (Topic 840), and requires lessees to recognize certain leases as operating lease right-of-use (ROU) assets with corresponding lease liabilities on the balance sheet.</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adopted Topic 842 on January 1, 2019. For leases that commenced prior to January 1, 2019, the Company elected a package of practical expedients and has carried forward historical lease classification and assessment of whether expired or current contracts contain leases. The Company also elected the practical expedient to combine lease and nonlease components, and to keep leases with an initial term of 12 months or less off the balance sheet.</w:t>
      </w:r>
    </w:p>
    <w:p>
      <w:pPr>
        <w:spacing w:after="0" w:line="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ROU assets and lease liabilities are recognized at commencement date based on the present value of remaining lease payments over the lease term, which may include options to extend or terminate the lease when it is reasonably certain the Company will exercise such options. At inception of the lease, the Company is not reasonably certain that any available lease extensions or renewal terms will be exercised. For this purpose, the Company considered lease term and only payments that are fixed and determinable at the time of commencement. As most of the Company’s leases do not provide an implicit rate, the Company used the incremental borrowing rate based on the information available at commencement date in determining the present value of lease payments. When determining the incremental borrowing rates, the Company considered information including, but not limited to, the lease term, the Company’s credit rating and interest rates of similar debt instruments with comparable credit ratings. The Company’s lease agreements may contain variable costs such as common area maintenance, insurance, real estate taxes or other costs. Variable lease costs are expensed as incurred in the consolidated statement of operations.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Nonlease components that are not fixed are expensed as incurred as variable lease payments. The Company’s lease agreements generally do not contain any residual guarantees or restrictive covenants.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and finance leases are included in other assets, accrued and other current liabilities, and other liabilities-noncurrent in the consolidated balance sheets.</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The Company measures compensation expense for all stock-based payment awards granted to employees,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and nonemployees, including restricted stock units (RSUs), stock options and purchase rights granted under its employee stock purchase plan (ESPP), based on the estimated fair value of the awards on the date of grant. For RSUs, fair value is based on the fair value of our common stock on the grant date. For stock options, fair value is estimated using the Black-Scholes-Merton option-pricing model. For purchase rights granted under its ESPP, the Company estimates fair value using the component measurement approach with valuations of the components based on the Company’s stock price on the date of the grant and/or the Black-Scholes-Merton option-pricing model, as appropriate for the applicable components. Stock-based compensation is recognized on a straight-line basis over the requisite service period. The requisite service period of the awards is generally the same as the vesting period. The Company recognizes forfeitures as they occur for equity awards with only a service condition, rather than estimate expected forfeitures, as permitted by ASU 2016-09.</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Embedded Derivative </w:t>
      </w:r>
      <w:r>
        <w:rPr>
          <w:rFonts w:ascii="Arial" w:cs="Arial" w:eastAsia="Arial" w:hAnsi="Arial"/>
          <w:sz w:val="16"/>
          <w:szCs w:val="16"/>
          <w:color w:val="auto"/>
        </w:rPr>
        <w:t>— In January 2017, the Company issued subordinated promissory notes that contained an embedded derivative, see Note 7 –</w:t>
      </w:r>
      <w:r>
        <w:rPr>
          <w:rFonts w:ascii="Arial" w:cs="Arial" w:eastAsia="Arial" w:hAnsi="Arial"/>
          <w:sz w:val="16"/>
          <w:szCs w:val="16"/>
          <w:b w:val="1"/>
          <w:bCs w:val="1"/>
          <w:color w:val="auto"/>
        </w:rPr>
        <w:t xml:space="preserve"> </w:t>
      </w:r>
      <w:r>
        <w:rPr>
          <w:rFonts w:ascii="Arial" w:cs="Arial" w:eastAsia="Arial" w:hAnsi="Arial"/>
          <w:sz w:val="16"/>
          <w:szCs w:val="16"/>
          <w:color w:val="auto"/>
        </w:rPr>
        <w:t>Debt. At initial recognition, the Company recorded the embedded derivative on the consolidated balance sheet at its estimated fair value resulting in an embedded derivative contra-liability balance with an offsetting recognition of a debt premium. Both the embedded derivative and debt premium were classified together with the related subordinated promissory notes on the consolidated balance sheet. Embedded derivatives are subject to remeasurement at each balance sheet date, with changes in fair value recognized as a component of other gains (losses), net on the consolidated statement of operations. Premium recognized at initial recognition was amortized as a reduction to interest expense over the expected life of the related debt using the effective interest method. In November 2021, in connection with the Company’s IPO, the Company repaid in full the promissory notes, settled the embedded derivative and recognized the remaining unamortized debt premium as an other gain in its consolidated statement of operations.</w:t>
      </w:r>
    </w:p>
    <w:p>
      <w:pPr>
        <w:spacing w:after="0" w:line="1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accounts for income taxes under an asset and liability approach. Deferred income taxes reflect the impact of</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differences between assets and liabilities recognized for financial reporting purposes and amounts recognized for income tax reporting purposes measured by applying currently enacted tax laws. A valuation allowance is provided when necessary to reduce deferred tax assets to an amount that is more likely than not to be realized.</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to be sustained. Recognized income tax positions are measured at the largest amount that is greater than 50% likely to be realized. Changes in recognition or measurement are reflected in the period in which the change in judgment occurs.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uncertain tax positions in accordance with accounting standards on the basis of a two-step process whereby (1) a determination is made as to whether it is more likely than not that the tax positions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 The Company’s policy is to include interest and penalties within its provision for income taxes.</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Comprehensive Income (Loss) </w:t>
      </w:r>
      <w:r>
        <w:rPr>
          <w:rFonts w:ascii="Arial" w:cs="Arial" w:eastAsia="Arial" w:hAnsi="Arial"/>
          <w:sz w:val="17"/>
          <w:szCs w:val="17"/>
          <w:color w:val="auto"/>
        </w:rPr>
        <w:t>— Comprehensive income (loss) is defined as a change in equity resulting from transactions from non-owner sources.</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income (loss) is comprised of all components of net income (loss) and all components of other comprehensive income (loss) within stockholders’ equity. Other comprehensive income (loss) includes adjustments for foreign currency translation.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color w:val="auto"/>
        </w:rPr>
        <w:t>— The Company evaluated subsequent events through March 24, 2022, the date its consolidated financial statements were issued.</w:t>
      </w:r>
    </w:p>
    <w:p>
      <w:pPr>
        <w:spacing w:after="0" w:line="19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October 2020, the FASB issued ASU 2020-10, Codification Improvements (ASU 2020-10).</w:t>
      </w:r>
      <w:r>
        <w:rPr>
          <w:rFonts w:ascii="Arial" w:cs="Arial" w:eastAsia="Arial" w:hAnsi="Arial"/>
          <w:sz w:val="16"/>
          <w:szCs w:val="16"/>
          <w:b w:val="1"/>
          <w:bCs w:val="1"/>
          <w:color w:val="auto"/>
        </w:rPr>
        <w:t xml:space="preserve"> </w:t>
      </w:r>
      <w:r>
        <w:rPr>
          <w:rFonts w:ascii="Arial" w:cs="Arial" w:eastAsia="Arial" w:hAnsi="Arial"/>
          <w:sz w:val="16"/>
          <w:szCs w:val="16"/>
          <w:color w:val="auto"/>
        </w:rPr>
        <w:t>ASU 2020-10 was intended to facilitate codification updates for technical corrections, such as conforming amendments, clarifications to guidance, simplifications to wording or structure of guidance and other minor improvements. It contains amendments that improve the consistency of the codification by including all disclosure guidance in the appropriate disclosure section and other updates that varies in nature. The Company adopted the provisions of ASU 2020-10 as of January 1, 2021 and such adoption did not have a material impact on its consolidated financial statements and disclosures.</w:t>
      </w:r>
    </w:p>
    <w:p>
      <w:pPr>
        <w:spacing w:after="0" w:line="10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Recently Issued Accounting Pronouncements Not Yet Adopted </w:t>
      </w:r>
      <w:r>
        <w:rPr>
          <w:rFonts w:ascii="Arial" w:cs="Arial" w:eastAsia="Arial" w:hAnsi="Arial"/>
          <w:sz w:val="18"/>
          <w:szCs w:val="18"/>
          <w:color w:val="auto"/>
        </w:rPr>
        <w:t>— The Company qualifies as an “emerging growth company” (EGC)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Jumpstart Our Business Startups Act of 2012, or the JOBS Act, and, as such, the Company may elect to delay adopting new or revised accounting standards until such time as those standards apply to private companies. As a result, the Company’s financial position and results of operations within its consolidated financial statements may not be comparable to those of other companies that have adopted the new or revised accounting standards at an earlier date.</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(ASU 2021-08), to address diversity and inconsistency related to the recognition and measurement of contract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liabilities acquired in a business combination. The guidance in ASU 2021-08 states that an acquirer should recognize and measure contract assets and contract liabilities acquired in a business combination in accordance with ASC 606. The guidance in ASU 2021-08 is effective for the Company’s annual periods beginning after December 15, 2023, including interim periods within those fiscal years (one year after the effective date for public business entities due to the Company’s election under its EGC status). Early adoption is permitted. The amendments in ASU 2021-08 will be applied prospectively to business combinations occurring during or after the fiscal year of adoption. The adoption of ASU 2021-08 is not expected to have a material effect on the Company’s financial position or results of operations based on the prospective adoption method and also based on the consistency in the method it currently employs under existing guidance to recognize and measure contract assets and contract liabilities acquired in a business combination.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establishing ASC Topic 848, and amended the guidance thereafter (“ASC 848”). ASC 848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Reference rate reform has not had a material impact with respect to any of the Company’s existing contracts, therefore, the Company has not been required to elect to apply any of the optional practical expedients and exceptions under ASC 848 as of the date of the financial statements. The Company will assess future changes in its contracts, including modifications, and the potential impact of electing to apply the optional practical expedients and exceptions under ASC 848 as they occur, but does not expect their application will have a material effect on its financial position or results of operations in its consolidated financial statements.</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establishing ASC Topic 326, and amended the guidance thereafter (ASC 326). ASC 326 requires the measurement and recognition of expected credit losses for financial assets held at amortized cost; the Company’s financial assets that are in the scope of ASC 326 includes the Company’s accounts receivable, certain financial instruments and contract assets. ASC 326 replaces the prior incurred loss impairment model with an expected loss methodology, which results in more timely recognition of credit losses. ASC 326 is effective for the Company’s annual periods beginning after December 15, 2022, including interim periods within those fiscal years. Early adoption is permitted and the Company expects to adopt the provision of ASC 326 beginning on January 1, 2022 (two years after the effective date for public business entities due to the Company’s election under its EGC status). Based on the nature and amortized cost basis/carrying values of its financial assets in the scope of ASC 326 (e.g., accounts receivable and contract assets), the adoption of ASC 326 is not expected to have a material impact on the Company’s financial condition and results of operations within its consolidated financial statements.</w:t>
      </w:r>
    </w:p>
    <w:p>
      <w:pPr>
        <w:spacing w:after="0" w:line="10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a disaggregation of the Company’s revenue based on product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8"/>
                <w:szCs w:val="18"/>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5"/>
        </w:trPr>
        <w:tc>
          <w:tcPr>
            <w:tcW w:w="6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cards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6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verticals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64"/>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expenses and other current assets on the consolidated balance sheet related to estimated variable consideration was $3.0 million and $1.2 million at December 31, 2021 and 2020, respectively.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Credit cards revenue is primarily generated through revenue per action arrangements, Loans revenue is primarily generated through revenue per funded loan and revenue per lead arrangements, and Other verticals revenue is primarily generated through revenue per action, revenue per click and revenue per funded loan arrangements.</w:t>
      </w:r>
    </w:p>
    <w:p>
      <w:pPr>
        <w:spacing w:after="0" w:line="126"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Quoted Prices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4"/>
                <w:szCs w:val="14"/>
                <w:color w:val="auto"/>
              </w:rPr>
            </w:pPr>
          </w:p>
        </w:tc>
        <w:tc>
          <w:tcPr>
            <w:tcW w:w="106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4"/>
                <w:szCs w:val="14"/>
                <w:color w:val="auto"/>
              </w:rPr>
            </w:pPr>
          </w:p>
        </w:tc>
        <w:tc>
          <w:tcPr>
            <w:tcW w:w="106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Carrying</w:t>
            </w:r>
          </w:p>
        </w:tc>
      </w:tr>
      <w:tr>
        <w:trPr>
          <w:trHeight w:val="186"/>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6"/>
                <w:szCs w:val="16"/>
                <w:color w:val="auto"/>
              </w:rPr>
            </w:pPr>
          </w:p>
        </w:tc>
        <w:tc>
          <w:tcPr>
            <w:tcW w:w="106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Value</w:t>
            </w:r>
          </w:p>
        </w:tc>
      </w:tr>
      <w:tr>
        <w:trPr>
          <w:trHeight w:val="25"/>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 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164.9</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6"/>
        </w:trPr>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166.9</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54.7</w:t>
            </w: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4" w:name="page75"/>
    <w:bookmarkEnd w:id="74"/>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Quoted Prices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 Active</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240" w:type="dxa"/>
            <w:vAlign w:val="bottom"/>
          </w:tcPr>
          <w:p>
            <w:pPr>
              <w:spacing w:after="0"/>
              <w:rPr>
                <w:sz w:val="14"/>
                <w:szCs w:val="14"/>
                <w:color w:val="auto"/>
              </w:rPr>
            </w:pPr>
          </w:p>
        </w:tc>
        <w:tc>
          <w:tcPr>
            <w:tcW w:w="106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4"/>
                <w:szCs w:val="14"/>
                <w:color w:val="auto"/>
              </w:rPr>
            </w:pPr>
          </w:p>
        </w:tc>
        <w:tc>
          <w:tcPr>
            <w:tcW w:w="1060" w:type="dxa"/>
            <w:vAlign w:val="bottom"/>
          </w:tcPr>
          <w:p>
            <w:pPr>
              <w:jc w:val="center"/>
              <w:ind w:right="177"/>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6"/>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40" w:type="dxa"/>
            <w:vAlign w:val="bottom"/>
          </w:tcPr>
          <w:p>
            <w:pPr>
              <w:spacing w:after="0"/>
              <w:rPr>
                <w:sz w:val="16"/>
                <w:szCs w:val="16"/>
                <w:color w:val="auto"/>
              </w:rPr>
            </w:pPr>
          </w:p>
        </w:tc>
        <w:tc>
          <w:tcPr>
            <w:tcW w:w="106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6"/>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 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Embedded derivative</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5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transfers among Level 1, Level 2 and Level 3 classifications as of the actual date of the events or change in circumstances that caused the transfers.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fair values of Level 3 assets and liabilities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58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240" w:type="dxa"/>
            <w:vAlign w:val="bottom"/>
          </w:tcPr>
          <w:p>
            <w:pPr>
              <w:spacing w:after="0"/>
              <w:rPr>
                <w:sz w:val="16"/>
                <w:szCs w:val="16"/>
                <w:color w:val="auto"/>
              </w:rPr>
            </w:pPr>
          </w:p>
        </w:tc>
      </w:tr>
      <w:tr>
        <w:trPr>
          <w:trHeight w:val="26"/>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0"/>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4"/>
              </w:rPr>
              <w:t>Contingent</w:t>
            </w: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95"/>
              <w:spacing w:after="0" w:line="160" w:lineRule="exact"/>
              <w:rPr>
                <w:sz w:val="20"/>
                <w:szCs w:val="20"/>
                <w:color w:val="auto"/>
              </w:rPr>
            </w:pPr>
            <w:r>
              <w:rPr>
                <w:rFonts w:ascii="Arial" w:cs="Arial" w:eastAsia="Arial" w:hAnsi="Arial"/>
                <w:sz w:val="14"/>
                <w:szCs w:val="14"/>
                <w:b w:val="1"/>
                <w:bCs w:val="1"/>
                <w:color w:val="auto"/>
              </w:rPr>
              <w:t>Contingent</w:t>
            </w:r>
          </w:p>
        </w:tc>
      </w:tr>
      <w:tr>
        <w:trPr>
          <w:trHeight w:val="186"/>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Embedded Derivative</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Consideration</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Embedded Derivative</w:t>
            </w:r>
          </w:p>
        </w:tc>
        <w:tc>
          <w:tcPr>
            <w:tcW w:w="200" w:type="dxa"/>
            <w:vAlign w:val="bottom"/>
          </w:tcPr>
          <w:p>
            <w:pPr>
              <w:spacing w:after="0"/>
              <w:rPr>
                <w:sz w:val="16"/>
                <w:szCs w:val="16"/>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Consideration</w:t>
            </w:r>
          </w:p>
        </w:tc>
      </w:tr>
      <w:tr>
        <w:trPr>
          <w:trHeight w:val="26"/>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Additions</w:t>
            </w:r>
          </w:p>
        </w:tc>
        <w:tc>
          <w:tcPr>
            <w:tcW w:w="5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4"/>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Year</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change in fair value of the embedded derivative is recorded in other gains (losses), net within the consolidated statement of operations. The determination of the fair value of the Level 3 embedded derivative is discussed in Note 7 – Debt.</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Contingent consideration liabilities related to acquisitions are measured at fair value each reporting period using Level 3 unobservable inputs. The contingent consideration liability is the estimated fair value of the earnout payments for the Fundera, Inc. (Fundera) and Know Your Money (KYM) business combinations. See Note 5 – Business Combinations for additional information on the contingent consideration for each of the acquisitions.</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values of the estimated contingent considerations are determined based on the Company’s evaluation of the probability and amount of earnout that will be achieved based on expected future performance by the acquired entity. The Monte Carlo simulation models simulated the applicable figures over the earnout periods to calculate the estimated earnout payments. These payments were then discounted to present value based on the expected payment dates of the contingent considerations. The weighted average volatility was 45.5% and the weighted average discount rate was estimated to be 9.0% at December 31, 2021. The weighted average volatilities fell within the range of 7.4% to 17.6% during 2020, and the weighted average discount rate was estimated to be 1.2%, at December 31, 2020.</w:t>
      </w:r>
    </w:p>
    <w:p>
      <w:pPr>
        <w:spacing w:after="0" w:line="134"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Consolidated Balance Sheet Components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8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Pr>
          <w:p>
            <w:pPr>
              <w:spacing w:after="0"/>
              <w:rPr>
                <w:sz w:val="18"/>
                <w:szCs w:val="18"/>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5"/>
        </w:trPr>
        <w:tc>
          <w:tcPr>
            <w:tcW w:w="8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Certificate of deposit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Tax receivable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64"/>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5" w:name="page76"/>
    <w:bookmarkEnd w:id="75"/>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equipment and software,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8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6"/>
        </w:trPr>
        <w:tc>
          <w:tcPr>
            <w:tcW w:w="8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Office equipment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850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8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capitalized $24.2 million, $19.2 million and $15.2 million of software development costs, and recorded amortization expense of $16.7 million, $12.5 million and $8.2 million, during 2021, 2020 and 2019, respectively. The Company recorded $0.8 million, $0.2 million and $1.1 million of impairment charges related to software development costs for 2021, 2020 and 2019.</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and amortization expense, exclusive of amortization of capitalized software development costs and intangible assets, was $2.4 million, $1.0 million and $1.2 million in 2021, 2020 and 2019,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5"/>
        </w:trPr>
        <w:tc>
          <w:tcPr>
            <w:tcW w:w="8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Unbilled 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Accrued payroll related taxes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 related to earnouts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ESPP liability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sponsors an ESPP which became effective in connection with the Company’s IPO completed on November 8, 2021. See Note 11 – Stockholders’ Equity for additional information on the ESPP.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liabilities — noncurrent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As of December 31,</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40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Unrecognized tax benefit liability</w:t>
            </w: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related taxes</w:t>
            </w:r>
          </w:p>
        </w:tc>
        <w:tc>
          <w:tcPr>
            <w:tcW w:w="4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7"/>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3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liabilities — noncurrent</w:t>
            </w:r>
          </w:p>
        </w:tc>
        <w:tc>
          <w:tcPr>
            <w:tcW w:w="4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Fundera </w:t>
      </w:r>
      <w:r>
        <w:rPr>
          <w:rFonts w:ascii="Arial" w:cs="Arial" w:eastAsia="Arial" w:hAnsi="Arial"/>
          <w:sz w:val="18"/>
          <w:szCs w:val="18"/>
          <w:color w:val="auto"/>
        </w:rPr>
        <w:t>— In October 2020, the Company executed a merger agreement to acquire all outstanding shares of Fundera. Fundera is a company that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an application that connects small businesses to lenders and covers everything from loans to legal services, free financial content and one-on-one access to experienced lending. Fundera was founded in 2013 and maintains an office in New York, NY. The acquisition date aggregate purchase price was approximately $65.1 million, which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9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Fair value of contingent consideration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9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total closing consideration for the Fundera acquisition was $29.2 million in cash, of which $4.6 million in cash was held in escrow for the settlement of general representation and warranty provisions. Further the Company could make up to two additional earnout payments based on achievement of Fundera’s future revenue and profitability milestones for 2021 and 2022. These additional payments, to the extent earned, will be payable in cash. The fair value of earnouts, which are subject to the recipients continued employment services was $2.7 million and was excluded from the aggregate purchase price and accounted for separately from the business combination. The amounts are recognized as compensation expense as earned through 2022, classified as research and development and sales and marketing expenses based on the recipients’ job functions, in the consolidated statement of operations. The Company has recorded a deferred compensation liability related to earnouts of $2.1 million as of December 31, 2021, which is included within accrued and other current liabilities on the consolidated balance sheet.</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estimated fair value of the contingent consideration related to Fundera was $54.7 million as of December 31, 2021, which is included in contingent consideration in the consolidated balance sheet. The estimated fair value of the contingent consideration is determined using a Monte Carlo simulation model. The estimated value of the contingent consideration is based upon available information and certain assumptions, known at the time the estimate was made, which management believes are reasonable. Contingent consideration is subject to remeasurement at each reporting date until the payments are made, with the remeasurement adjustment reported in the consolidated statement of operations.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time of acquisition, certain stock options held by Fundera employees were replaced with RSUs by the Company with a total fair value of $1.9 million. The vesting of these RSUs is contingent on continued employment, and was excluded from the aggregate purchase price. These awards are recognized as stock-based compensation expense ratably over the remaining vesting term through 2024.</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acquisition has been accounted for as a business combination. The allocation of purchase price to the assets acquired and liabilities assumed is as follows:</w:t>
      </w:r>
    </w:p>
    <w:p>
      <w:pPr>
        <w:sectPr>
          <w:pgSz w:w="11900" w:h="16838" w:orient="portrait"/>
          <w:cols w:equalWidth="0" w:num="1">
            <w:col w:w="11240"/>
          </w:cols>
          <w:pgMar w:left="320" w:top="175"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tangible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w:t>
      </w:r>
    </w:p>
    <w:p>
      <w:pPr>
        <w:spacing w:after="0" w:line="77" w:lineRule="exact"/>
        <w:rPr>
          <w:sz w:val="20"/>
          <w:szCs w:val="20"/>
          <w:color w:val="auto"/>
        </w:rPr>
      </w:pPr>
    </w:p>
    <w:p>
      <w:pPr>
        <w:ind w:left="1120" w:hanging="1113"/>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w:t>
      </w:r>
    </w:p>
    <w:p>
      <w:pPr>
        <w:spacing w:after="0" w:line="6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0.2</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29.4</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(2.8)</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57" w:lineRule="exact"/>
        <w:rPr>
          <w:sz w:val="20"/>
          <w:szCs w:val="20"/>
          <w:color w:val="auto"/>
        </w:rPr>
      </w:pPr>
    </w:p>
    <w:p>
      <w:pPr>
        <w:ind w:left="1040" w:hanging="1033"/>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57785</wp:posOffset>
            </wp:positionV>
            <wp:extent cx="9086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9100" w:space="720"/>
            <w:col w:w="1420"/>
          </w:cols>
          <w:pgMar w:left="320" w:top="175"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7" w:name="page78"/>
    <w:bookmarkEnd w:id="7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acquired intangible assets are definite-lived assets consisting of user base, customer relationships, developed technology and trade name. The estimated fair value was determined using the excess earnings method for user base, with-and-without method for acquired customer relationships, and relief-from-royalty method for the acquired technology and trade name. The fair value of the intangible assets with definite lives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75"/>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Useful Life (Years)</w:t>
            </w:r>
          </w:p>
        </w:tc>
      </w:tr>
      <w:tr>
        <w:trPr>
          <w:trHeight w:val="26"/>
        </w:trPr>
        <w:tc>
          <w:tcPr>
            <w:tcW w:w="8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User base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8280" w:type="dxa"/>
            <w:vAlign w:val="bottom"/>
            <w:gridSpan w:val="2"/>
          </w:tcPr>
          <w:p>
            <w:pPr>
              <w:ind w:left="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280" w:type="dxa"/>
            <w:vAlign w:val="bottom"/>
            <w:gridSpan w:val="2"/>
          </w:tcPr>
          <w:p>
            <w:pPr>
              <w:ind w:left="60"/>
              <w:spacing w:after="0"/>
              <w:rPr>
                <w:sz w:val="20"/>
                <w:szCs w:val="20"/>
                <w:color w:val="auto"/>
              </w:rPr>
            </w:pPr>
            <w:r>
              <w:rPr>
                <w:rFonts w:ascii="Arial" w:cs="Arial" w:eastAsia="Arial" w:hAnsi="Arial"/>
                <w:sz w:val="18"/>
                <w:szCs w:val="18"/>
                <w:color w:val="auto"/>
              </w:rPr>
              <w:t>Trade name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82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recorded goodwill of $37.3 million, which represents the excess of the purchase price over the estimated fair value of tangible and intangible assets acquired, net of the liabilities assumed. The goodwill is primarily attributable to Fundera as a going concern, which represents the ability of the Company to earn a higher return on the collection of assets and business of Fundera than if those assets and business were to be acquired and managed separately. The benefit of access to the workforce is an additional element of goodwill. For income tax purposes, the acquisition was a stock purchase and goodwill is not tax deductible. Acquisition-related costs of $1.0 million were incurred in 2020 and are included in general and administrative expense on the consolidated statement of operations. During the period from the acquisition date through December 31, 2020, the Company recognized revenue and loss before income tax for Fundera of $2.0 million and $(0.3) million, respectively.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Results (Unaudited)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pro forma combined results of operations are provided for the years ended December 31, 2020 and 2019, as though the Fundera acquisition had been completed as of January 1, 2019. These supplemental pro forma results of operations are provided for illustrative purposes only and do not purport to be indicative of the actual results that would have been achieved by the combined company for the periods presented or that may be achieved by the combined company in the future. The pro forma results of operations do not include any cost savings or other synergies that resulted, or may result, from the Fundera acquisition or any estimated costs that will be incurred to integrate Fundera. Future results may vary significantly from the results reflected in this pro forma financial information because of future events and transactions, as well as other factors.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historical financial information was adjusted based on currently available information and certain assumptions that the Company believes are reasonable under the circumstances. The unaudited supplemental pro forma information includes adjustments to amortization and depreciation for acquired intangible assets and property and equipment, adjustments to share-based compensation expense, the purchase accounting effect on interest expense, and transaction costs: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
        </w:trPr>
        <w:tc>
          <w:tcPr>
            <w:tcW w:w="8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262.6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Know Your Money </w:t>
      </w:r>
      <w:r>
        <w:rPr>
          <w:rFonts w:ascii="Arial" w:cs="Arial" w:eastAsia="Arial" w:hAnsi="Arial"/>
          <w:sz w:val="18"/>
          <w:szCs w:val="18"/>
          <w:color w:val="auto"/>
        </w:rPr>
        <w:t>— On September 30, 2020, the Company acquired all the outstanding shares of Notice Media Ltd., doing business as Know Your</w:t>
      </w:r>
      <w:r>
        <w:rPr>
          <w:rFonts w:ascii="Arial" w:cs="Arial" w:eastAsia="Arial" w:hAnsi="Arial"/>
          <w:sz w:val="18"/>
          <w:szCs w:val="18"/>
          <w:b w:val="1"/>
          <w:bCs w:val="1"/>
          <w:color w:val="auto"/>
        </w:rPr>
        <w:t xml:space="preserve"> </w:t>
      </w:r>
      <w:r>
        <w:rPr>
          <w:rFonts w:ascii="Arial" w:cs="Arial" w:eastAsia="Arial" w:hAnsi="Arial"/>
          <w:sz w:val="18"/>
          <w:szCs w:val="18"/>
          <w:color w:val="auto"/>
        </w:rPr>
        <w:t>Money, an online provider of financial guidance and tools based in the United Kingdom. The aggregate purchase price transferred for KYM was approximately $13.7 million, which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5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41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Fair value of contingent consideration</w:t>
            </w:r>
          </w:p>
        </w:tc>
        <w:tc>
          <w:tcPr>
            <w:tcW w:w="5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5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910"/>
              <w:spacing w:after="0"/>
              <w:rPr>
                <w:sz w:val="20"/>
                <w:szCs w:val="20"/>
                <w:color w:val="auto"/>
              </w:rPr>
            </w:pPr>
            <w:r>
              <w:rPr>
                <w:rFonts w:ascii="Arial" w:cs="Arial" w:eastAsia="Arial" w:hAnsi="Arial"/>
                <w:sz w:val="18"/>
                <w:szCs w:val="18"/>
                <w:color w:val="auto"/>
              </w:rPr>
              <w:t>76</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14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14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8" w:name="page79"/>
    <w:bookmarkEnd w:id="7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paid $12.3 million in initial cash consideration and could make up to two additional earnout payments based on certain defined operating metrics during the earnout periods January 1, 2021 through December 31, 2021 and January 1, 2022 through December 31, 2022. These additional payments, to the extent earned, will be payable in cash. As part of the transaction, the Company entered into additional earnouts which are subject to the recipients’ continued service. The fair value of such earnouts was $5.9 million, which was excluded from the aggregate purchase price and accounted for separately from the business combination. The amounts are recognized as compensation expense as earned over the earnout periods.</w:t>
      </w:r>
    </w:p>
    <w:p>
      <w:pPr>
        <w:spacing w:after="0" w:line="10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estimated fair value of the contingent consideration related to KYM was immaterial as of December 31, 2021, and is included in contingent consideration in the consolidated balance sheet. The estimated fair value of the contingent consideration payments is determined using a Monte Carlo simulation model. The estimated value of the contingent consideration is based upon available information and certain assumptions, known at the time of this report, which management believes are reasonable. Contingent consideration is subject to remeasurement at each reporting date until the payments are made, with the remeasurement adjustment reported in the consolidated statement of operations.</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acquisition has been accounted for as a business combination. The allocation of purchase price to the assets acquired and liabilities assumed is as follows:</w:t>
      </w:r>
    </w:p>
    <w:p>
      <w:pPr>
        <w:sectPr>
          <w:pgSz w:w="11900" w:h="16838" w:orient="portrait"/>
          <w:cols w:equalWidth="0" w:num="1">
            <w:col w:w="11240"/>
          </w:cols>
          <w:pgMar w:left="320" w:top="175"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tangible assets</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w:t>
      </w:r>
    </w:p>
    <w:p>
      <w:pPr>
        <w:spacing w:after="0" w:line="77" w:lineRule="exact"/>
        <w:rPr>
          <w:sz w:val="20"/>
          <w:szCs w:val="20"/>
          <w:color w:val="auto"/>
        </w:rPr>
      </w:pPr>
    </w:p>
    <w:p>
      <w:pPr>
        <w:ind w:left="1120" w:hanging="1113"/>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1.5</w:t>
      </w:r>
    </w:p>
    <w:p>
      <w:pPr>
        <w:spacing w:after="0" w:line="6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0.2</w:t>
      </w:r>
    </w:p>
    <w:p>
      <w:pPr>
        <w:spacing w:after="0" w:line="6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(1.4)</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57" w:lineRule="exact"/>
        <w:rPr>
          <w:sz w:val="20"/>
          <w:szCs w:val="20"/>
          <w:color w:val="auto"/>
        </w:rPr>
      </w:pPr>
    </w:p>
    <w:p>
      <w:pPr>
        <w:ind w:left="1040" w:hanging="1033"/>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9086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57785</wp:posOffset>
            </wp:positionV>
            <wp:extent cx="9086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9100" w:space="720"/>
            <w:col w:w="1420"/>
          </w:cols>
          <w:pgMar w:left="320" w:top="175" w:right="339" w:bottom="1440" w:gutter="0" w:footer="0" w:header="0"/>
          <w:type w:val="continuous"/>
        </w:sectPr>
      </w:pP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acquired intangible assets are definite-lived assets consisting of customer relationships and developed technology. The estimated fair values of the customer relationships were determined using the excess earning method and the developed technology was determined using the relief from royalty method. The fair value of the intangible assets with definite lives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77"/>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40" w:type="dxa"/>
            <w:vAlign w:val="bottom"/>
          </w:tcPr>
          <w:p>
            <w:pPr>
              <w:jc w:val="right"/>
              <w:ind w:right="57"/>
              <w:spacing w:after="0"/>
              <w:rPr>
                <w:sz w:val="20"/>
                <w:szCs w:val="20"/>
                <w:color w:val="auto"/>
              </w:rPr>
            </w:pPr>
            <w:r>
              <w:rPr>
                <w:rFonts w:ascii="Arial" w:cs="Arial" w:eastAsia="Arial" w:hAnsi="Arial"/>
                <w:sz w:val="14"/>
                <w:szCs w:val="14"/>
                <w:b w:val="1"/>
                <w:bCs w:val="1"/>
                <w:color w:val="auto"/>
              </w:rPr>
              <w:t>Useful Life (Years)</w:t>
            </w:r>
          </w:p>
        </w:tc>
      </w:tr>
      <w:tr>
        <w:trPr>
          <w:trHeight w:val="25"/>
        </w:trPr>
        <w:tc>
          <w:tcPr>
            <w:tcW w:w="8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Technology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recorded goodwill of $6.0 million, which represents the excess of the purchase price over the estimated fair value of tangible and intangible assets acquired, net of the liabilities assumed. The goodwill is primarily attributable to KYM as a going concern, which represents the ability of the Company to earn a higher return on the collection of assets and business of KYM than if those assets and business were to be acquired and managed separately. The benefit of access to the workforce is an additional element of goodwill. For income tax purposes, the acquisition was a stock purchase and goodwill is not tax deductible. Acquisition-related costs of $0.5 million were incurred in 2020 and are included in general and administrative expense on the consolidated statement of operations. During the period from the acquisition date through December 31, 2020 the Company recognized revenue and loss before income tax for KYM of $1.5 million and $(0.1) million, respectively. Pro forma results of operations have not been provided to reflect the KYM acquisition as such results would not have been materially different from the Company’s reported results.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9" w:name="page80"/>
    <w:bookmarkEnd w:id="7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 of goodwill, net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43.8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Acquisition of Fundera</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of KYM</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Arial" w:cs="Arial" w:eastAsia="Arial" w:hAnsi="Arial"/>
                <w:sz w:val="18"/>
                <w:szCs w:val="18"/>
                <w:color w:val="auto"/>
              </w:rPr>
              <w:t>No impairment charges have been recorded for goodwill in 2021, 2020 or 2019.</w:t>
            </w: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10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ind w:left="340"/>
              <w:spacing w:after="0"/>
              <w:rPr>
                <w:sz w:val="20"/>
                <w:szCs w:val="20"/>
                <w:color w:val="auto"/>
              </w:rPr>
            </w:pPr>
            <w:r>
              <w:rPr>
                <w:rFonts w:ascii="Arial" w:cs="Arial" w:eastAsia="Arial" w:hAnsi="Arial"/>
                <w:sz w:val="18"/>
                <w:szCs w:val="18"/>
                <w:color w:val="auto"/>
              </w:rPr>
              <w:t>Intangible assets with definite lives related to the following:</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 Average</w:t>
            </w:r>
          </w:p>
        </w:tc>
        <w:tc>
          <w:tcPr>
            <w:tcW w:w="300" w:type="dxa"/>
            <w:vAlign w:val="bottom"/>
          </w:tcPr>
          <w:p>
            <w:pPr>
              <w:spacing w:after="0"/>
              <w:rPr>
                <w:sz w:val="24"/>
                <w:szCs w:val="24"/>
                <w:color w:val="auto"/>
              </w:rPr>
            </w:pPr>
          </w:p>
        </w:tc>
        <w:tc>
          <w:tcPr>
            <w:tcW w:w="1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24"/>
                <w:szCs w:val="2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center"/>
              <w:ind w:right="173"/>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Useful Life (Years)</w:t>
            </w:r>
          </w:p>
        </w:tc>
        <w:tc>
          <w:tcPr>
            <w:tcW w:w="14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6"/>
              </w:rPr>
              <w:t>Carrying Amount</w:t>
            </w:r>
          </w:p>
        </w:tc>
        <w:tc>
          <w:tcPr>
            <w:tcW w:w="180" w:type="dxa"/>
            <w:vAlign w:val="bottom"/>
          </w:tcPr>
          <w:p>
            <w:pPr>
              <w:spacing w:after="0"/>
              <w:rPr>
                <w:sz w:val="16"/>
                <w:szCs w:val="16"/>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26"/>
        </w:trPr>
        <w:tc>
          <w:tcPr>
            <w:tcW w:w="5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User base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w w:val="91"/>
              </w:rPr>
              <w:t>(3.2)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w w:val="91"/>
              </w:rPr>
              <w:t>(3.5)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w w:val="91"/>
              </w:rPr>
              <w:t>(2.8)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w w:val="91"/>
              </w:rPr>
              <w:t>(0.4)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tcPr>
          <w:p>
            <w:pPr>
              <w:ind w:left="760"/>
              <w:spacing w:after="0"/>
              <w:rPr>
                <w:sz w:val="20"/>
                <w:szCs w:val="20"/>
                <w:color w:val="auto"/>
              </w:rPr>
            </w:pPr>
            <w:r>
              <w:rPr>
                <w:rFonts w:ascii="Arial" w:cs="Arial" w:eastAsia="Arial" w:hAnsi="Arial"/>
                <w:sz w:val="18"/>
                <w:szCs w:val="18"/>
                <w:color w:val="auto"/>
                <w:w w:val="91"/>
              </w:rPr>
              <w:t>(9.9)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4"/>
        </w:trPr>
        <w:tc>
          <w:tcPr>
            <w:tcW w:w="5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 Average</w:t>
            </w:r>
          </w:p>
        </w:tc>
        <w:tc>
          <w:tcPr>
            <w:tcW w:w="300" w:type="dxa"/>
            <w:vAlign w:val="bottom"/>
          </w:tcPr>
          <w:p>
            <w:pPr>
              <w:spacing w:after="0"/>
              <w:rPr>
                <w:sz w:val="24"/>
                <w:szCs w:val="24"/>
                <w:color w:val="auto"/>
              </w:rPr>
            </w:pPr>
          </w:p>
        </w:tc>
        <w:tc>
          <w:tcPr>
            <w:tcW w:w="1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24"/>
                <w:szCs w:val="2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center"/>
              <w:ind w:right="173"/>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Useful Life (Years)</w:t>
            </w:r>
          </w:p>
        </w:tc>
        <w:tc>
          <w:tcPr>
            <w:tcW w:w="14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6"/>
              </w:rPr>
              <w:t>Carrying Amount</w:t>
            </w:r>
          </w:p>
        </w:tc>
        <w:tc>
          <w:tcPr>
            <w:tcW w:w="180" w:type="dxa"/>
            <w:vAlign w:val="bottom"/>
          </w:tcPr>
          <w:p>
            <w:pPr>
              <w:spacing w:after="0"/>
              <w:rPr>
                <w:sz w:val="16"/>
                <w:szCs w:val="16"/>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25"/>
        </w:trPr>
        <w:tc>
          <w:tcPr>
            <w:tcW w:w="5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User base</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w w:val="91"/>
              </w:rPr>
              <w:t>(0.5)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w w:val="91"/>
              </w:rPr>
              <w:t>(0.6)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w w:val="91"/>
              </w:rPr>
              <w:t>(0.7)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w w:val="91"/>
              </w:rPr>
              <w:t>(0.1)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4"/>
        </w:trPr>
        <w:tc>
          <w:tcPr>
            <w:tcW w:w="562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tcPr>
          <w:p>
            <w:pPr>
              <w:ind w:left="760"/>
              <w:spacing w:after="0"/>
              <w:rPr>
                <w:sz w:val="20"/>
                <w:szCs w:val="20"/>
                <w:color w:val="auto"/>
              </w:rPr>
            </w:pPr>
            <w:r>
              <w:rPr>
                <w:rFonts w:ascii="Arial" w:cs="Arial" w:eastAsia="Arial" w:hAnsi="Arial"/>
                <w:sz w:val="18"/>
                <w:szCs w:val="18"/>
                <w:color w:val="auto"/>
                <w:w w:val="91"/>
              </w:rPr>
              <w:t>(1.9)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expense related to definite-lived intangible assets was $8.0 million, $1.6 million and zero in 2021, 2020 and 2019,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future amortization expense as of December 31,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6"/>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8"/>
                <w:szCs w:val="18"/>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rPr>
              <w:t>Amortization</w:t>
            </w:r>
          </w:p>
        </w:tc>
      </w:tr>
      <w:tr>
        <w:trPr>
          <w:trHeight w:val="26"/>
        </w:trPr>
        <w:tc>
          <w:tcPr>
            <w:tcW w:w="9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9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9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impairment charges have been recorded for intangible assets for 2021, 2020 or 2019.</w:t>
      </w:r>
    </w:p>
    <w:p>
      <w:pPr>
        <w:spacing w:after="0" w:line="167"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Lines of Credit </w:t>
      </w:r>
      <w:r>
        <w:rPr>
          <w:rFonts w:ascii="Arial" w:cs="Arial" w:eastAsia="Arial" w:hAnsi="Arial"/>
          <w:sz w:val="17"/>
          <w:szCs w:val="17"/>
          <w:color w:val="auto"/>
        </w:rPr>
        <w:t>— The Company maintains a line of credit with Silicon Valley Bank, which over time has been amended and restated. It is secured by</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qualifying accounts receivable of the Company. In June 2017, the Company entered into a second amended and restated Loan and Security Agreement, and in September 2019, the Company extended the maturity of the line of credit to expire in September 2020.</w:t>
      </w:r>
    </w:p>
    <w:p>
      <w:pPr>
        <w:spacing w:after="0" w:line="10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September 2020, the Company entered into a Senior Secured Credit Facilities Credit Agreement (Credit Agreement) with Silicon Valley Bank and also terminated the second amended and restated Loan and Security Agreement from June 2017. In February 2021, the Company amended and restated the Credit Agreement to increase the revolving line of credit to $100.0 million from $50.0 million, increase the margin on Alternative Base Rate (ABR) Loans, and extend the termination date. The Credit Agreement, as amended and restated, provides for a revolving line of credit of up to $100.0 million with the option to increase up to an additional $25.0 million, including a letter of credit sub-facility in the aggregate amount of $10.0 million, and a swingline sub-facility in the aggregate amount of $10.0 million. Under the terms of the Credit Agreement, as amended and restated, revolving loans may be either Eurodollar Loans or ABR Loans. Outstanding Eurodollar Loans will incur interest at the Eurodollar Rate, which is defined in the Credit Agreement as LIBOR (or any successor thereto), plus a margin of either 3.00% or 2.75% depending on usage, equating to 3.75% as of December 31, 2021. Outstanding ABR Loans will incur interest at the highest of the Prime Rate, as published by the Wall Street Journal, the federal funds rate in effect for such day plus 0.50%, and 3.25%, in each case a margin of either 1.75% or 2.00% will be applicable, depending on usage, equating to 5.00% as of December 31, 2021. The Company will be charged a commitment fee of 0.30% per year for committed but unused amounts. The Credit Agreement terminates on September 2, 2023.</w:t>
      </w:r>
    </w:p>
    <w:p>
      <w:pPr>
        <w:spacing w:after="0" w:line="1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There were no outstanding balances under the Credit Agreement at December 31, 2021 or 2020. The available amount to borrow under the Credit Agreement was $94.7 million and $45.9 million at December 31, 2021 and 2020, respectively, which is equal to the available amount under the Credit Agreement of $100.0 million and $50.0 million, respectively, net of letters of credit with Silicon Valley Bank of $5.3 million and $4.1 million, respectively.</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Credit Agreement contains covenants limiting the ability to, among other things, dispose of assets, undergo a change in control, merge or consolidate, make acquisitions, incur debt, incur liens, pay dividends, repurchase stock, and make investments, in each case subject to certain exceptions.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Credit Agreement also contains financial covenants requiring the Company to maintain a minimum adjusted quick ratio and a minimum consolidated adjusted EBITDA if the adjusted quick ratio falls below a specified level, measured in each case at the end of each fiscal quarter. The Company is required to furnish audited financial statements within 150 days after the fiscal year end, and after the occurrence of a qualified IPO of the Company’s common stock, 90 days after the end of the fiscal year. The Company was in compliance with all financial covenants as of December 31, 2021 and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1" w:name="page82"/>
    <w:bookmarkEnd w:id="8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color w:val="auto"/>
        </w:rPr>
        <w:t xml:space="preserve">Subordinated Promissory Notes </w:t>
      </w:r>
      <w:r>
        <w:rPr>
          <w:rFonts w:ascii="Arial" w:cs="Arial" w:eastAsia="Arial" w:hAnsi="Arial"/>
          <w:sz w:val="16"/>
          <w:szCs w:val="16"/>
          <w:color w:val="auto"/>
        </w:rPr>
        <w:t>— During 2017, the Company entered into a stock repurchase agreement to repurchase a specific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Class G common stock from one of the Company’s co-founders. In connection with the stock repurchase agreement, the Company issued subordinated promissory notes (the Notes) with a principal amount totaling $28.5 million to the co-founder. The Notes bore interest on the outstanding principal amount at the rate of 4.2922% per year and the Company made annual interest payments. The Notes were scheduled to mature in January 2026. The Company could prepay the Notes in whole or in part at any time prior to the maturity date. The Notes were subordinated in right of payment to the prior payment in full of (i) any indebtedness to banks or other financial institutions and any indebtedness arising from the satisfaction of such indebtedness by a guarantor in existence on the date of the Notes or incurred after the agreement was entered into, and (ii) the liquidation preferences, or other rights or entitlements to proceeds in the event of a deemed liquidation event in respect of the Company’s redeemable convertible preferred stock. In the event of a deemed liquidation event or initial public offering while the Notes remained outstanding, the Company was required to repay the Notes in an amount equal to the outstanding principal and any unpaid accrued interest, to the extent there are proceeds available after payment of senior obligations. In November 2021, in connection with the Company’s IPO, the Company repaid in full the outstanding principal amount of $28.5 million and accrued interest on the Notes.</w:t>
      </w:r>
    </w:p>
    <w:p>
      <w:pPr>
        <w:spacing w:after="0" w:line="11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previously determined that the feature whereby the Notes were subordinate in payment to the liquidation preferences of the Company’s preferred stockholders represented an embedded derivative that was to be separately accounted for. Accordingly, upon issuance in December 2017 the Company measured the fair value of deemed liquidation event redemption feature and recognized a derivative contra-liability of $3.3 million with a corresponding entry to debt premium. At December 31, 2020, the Company remeasured the derivative contra-liability to an amount of $0.1 million. At the time of repayment of the Notes in November 2021, the derivative contra-liability was immaterial. As a result of remeasurement of the derivative contra-liability, losses of $0.1 million, $0.1 million and $0.5 million were recorded to other gains (losses), net in the consolidated statement of operations for 2021, 2020 and 2019. Further, the Company recorded amortization of the related premium as a reduction to interest expense in the amount of $0.3 million for 2021 and $0.4 million for both 2020 and 2019. Upon repayment of the Notes in November 2021, the Company recognized the remaining unamortized debt premium of $1.5 million as a gain on extinguishment of debt recorded to other gains (losses), net in the consolidated statement of operations.</w:t>
      </w:r>
    </w:p>
    <w:p>
      <w:pPr>
        <w:spacing w:after="0" w:line="11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Company previously estimated the fair value of the embedded derivative feature at each reporting date based on a with or without valuation approach which leveraged the Black-Scholes-Merton option-pricing model. The key inputs and assumption in the model included the fair value of the Company’s equity, exercise prices which were based on the participation thresholds of the preferred and common securities,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14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5"/>
        </w:trPr>
        <w:tc>
          <w:tcPr>
            <w:tcW w:w="9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right"/>
              <w:spacing w:after="0"/>
              <w:rPr>
                <w:sz w:val="20"/>
                <w:szCs w:val="20"/>
                <w:color w:val="auto"/>
              </w:rPr>
            </w:pPr>
            <w:r>
              <w:rPr>
                <w:rFonts w:ascii="Arial" w:cs="Arial" w:eastAsia="Arial" w:hAnsi="Arial"/>
                <w:sz w:val="18"/>
                <w:szCs w:val="18"/>
                <w:color w:val="auto"/>
              </w:rPr>
              <w:t>0.12 %</w:t>
            </w: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had no outstanding borrowings at December 31, 2021. The Company’s outstanding borrowings at December 31, 2020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As of December 31,</w:t>
            </w: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430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Promissory notes — noncurrent</w:t>
            </w:r>
          </w:p>
        </w:tc>
        <w:tc>
          <w:tcPr>
            <w:tcW w:w="59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Less: embedded derivative contra-liability</w:t>
            </w:r>
          </w:p>
        </w:tc>
        <w:tc>
          <w:tcPr>
            <w:tcW w:w="5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unamortized debt premium</w:t>
            </w:r>
          </w:p>
        </w:tc>
        <w:tc>
          <w:tcPr>
            <w:tcW w:w="5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43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562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520" w:type="dxa"/>
            <w:vAlign w:val="bottom"/>
            <w:vMerge w:val="restart"/>
          </w:tcPr>
          <w:p>
            <w:pPr>
              <w:jc w:val="right"/>
              <w:ind w:right="40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30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30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Commitments and Other Financial Arrangements </w:t>
      </w:r>
      <w:r>
        <w:rPr>
          <w:rFonts w:ascii="Arial" w:cs="Arial" w:eastAsia="Arial" w:hAnsi="Arial"/>
          <w:sz w:val="18"/>
          <w:szCs w:val="18"/>
          <w:color w:val="auto"/>
        </w:rPr>
        <w:t>— The Company has certain financial commitments and other arrangements including unused</w:t>
      </w:r>
      <w:r>
        <w:rPr>
          <w:rFonts w:ascii="Arial" w:cs="Arial" w:eastAsia="Arial" w:hAnsi="Arial"/>
          <w:sz w:val="18"/>
          <w:szCs w:val="18"/>
          <w:b w:val="1"/>
          <w:bCs w:val="1"/>
          <w:color w:val="auto"/>
        </w:rPr>
        <w:t xml:space="preserve"> </w:t>
      </w:r>
      <w:r>
        <w:rPr>
          <w:rFonts w:ascii="Arial" w:cs="Arial" w:eastAsia="Arial" w:hAnsi="Arial"/>
          <w:sz w:val="18"/>
          <w:szCs w:val="18"/>
          <w:color w:val="auto"/>
        </w:rPr>
        <w:t>letters of credit and commitments under leases. See Note 7 – Debt and Note 9 – Leases for further discussion.</w:t>
      </w:r>
    </w:p>
    <w:p>
      <w:pPr>
        <w:spacing w:after="0" w:line="1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Litigation and Other Legal Matters </w:t>
      </w:r>
      <w:r>
        <w:rPr>
          <w:rFonts w:ascii="Arial" w:cs="Arial" w:eastAsia="Arial" w:hAnsi="Arial"/>
          <w:sz w:val="16"/>
          <w:szCs w:val="16"/>
          <w:color w:val="auto"/>
        </w:rPr>
        <w:t>— The Company is involved from time to time in litigation, claims, and proceedings. Periodically,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potential loss as of December 31, 2021 or 2020.</w:t>
      </w:r>
    </w:p>
    <w:p>
      <w:pPr>
        <w:spacing w:after="0" w:line="10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3"/>
          <w:szCs w:val="13"/>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operating lease costs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7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3"/>
            <w:shd w:val="clear" w:color="auto" w:fill="CCEEFF"/>
          </w:tcPr>
          <w:p>
            <w:pPr>
              <w:jc w:val="center"/>
              <w:ind w:left="675"/>
              <w:spacing w:after="0"/>
              <w:rPr>
                <w:sz w:val="20"/>
                <w:szCs w:val="20"/>
                <w:color w:val="auto"/>
              </w:rPr>
            </w:pPr>
            <w:r>
              <w:rPr>
                <w:rFonts w:ascii="Arial" w:cs="Arial" w:eastAsia="Arial" w:hAnsi="Arial"/>
                <w:sz w:val="18"/>
                <w:szCs w:val="18"/>
                <w:color w:val="auto"/>
                <w:w w:val="95"/>
              </w:rPr>
              <w:t>7.5</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Sublease income</w:t>
            </w:r>
          </w:p>
        </w:tc>
        <w:tc>
          <w:tcPr>
            <w:tcW w:w="920" w:type="dxa"/>
            <w:vAlign w:val="bottom"/>
          </w:tcPr>
          <w:p>
            <w:pPr>
              <w:spacing w:after="0"/>
              <w:rPr>
                <w:sz w:val="21"/>
                <w:szCs w:val="21"/>
                <w:color w:val="auto"/>
              </w:rPr>
            </w:pPr>
          </w:p>
        </w:tc>
        <w:tc>
          <w:tcPr>
            <w:tcW w:w="400" w:type="dxa"/>
            <w:vAlign w:val="bottom"/>
            <w:gridSpan w:val="3"/>
          </w:tcPr>
          <w:p>
            <w:pPr>
              <w:jc w:val="center"/>
              <w:spacing w:after="0"/>
              <w:rPr>
                <w:sz w:val="20"/>
                <w:szCs w:val="20"/>
                <w:color w:val="auto"/>
              </w:rPr>
            </w:pPr>
            <w:r>
              <w:rPr>
                <w:rFonts w:ascii="Arial" w:cs="Arial" w:eastAsia="Arial" w:hAnsi="Arial"/>
                <w:sz w:val="18"/>
                <w:szCs w:val="18"/>
                <w:color w:val="auto"/>
                <w:w w:val="97"/>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center"/>
              <w:ind w:left="655"/>
              <w:spacing w:after="0"/>
              <w:rPr>
                <w:sz w:val="20"/>
                <w:szCs w:val="20"/>
                <w:color w:val="auto"/>
              </w:rPr>
            </w:pPr>
            <w:r>
              <w:rPr>
                <w:rFonts w:ascii="Arial" w:cs="Arial" w:eastAsia="Arial" w:hAnsi="Arial"/>
                <w:sz w:val="18"/>
                <w:szCs w:val="18"/>
                <w:color w:val="auto"/>
                <w:w w:val="91"/>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center"/>
              <w:ind w:left="675"/>
              <w:spacing w:after="0"/>
              <w:rPr>
                <w:sz w:val="20"/>
                <w:szCs w:val="20"/>
                <w:color w:val="auto"/>
              </w:rPr>
            </w:pPr>
            <w:r>
              <w:rPr>
                <w:rFonts w:ascii="Arial" w:cs="Arial" w:eastAsia="Arial" w:hAnsi="Arial"/>
                <w:sz w:val="18"/>
                <w:szCs w:val="18"/>
                <w:color w:val="auto"/>
                <w:w w:val="95"/>
              </w:rPr>
              <w:t>5.7</w:t>
            </w:r>
          </w:p>
        </w:tc>
        <w:tc>
          <w:tcPr>
            <w:tcW w:w="2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Lease term and discount rate are as follows: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1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71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459"/>
        </w:trPr>
        <w:tc>
          <w:tcPr>
            <w:tcW w:w="8020" w:type="dxa"/>
            <w:vAlign w:val="bottom"/>
            <w:gridSpan w:val="3"/>
          </w:tcPr>
          <w:p>
            <w:pPr>
              <w:ind w:left="340"/>
              <w:spacing w:after="0"/>
              <w:rPr>
                <w:sz w:val="20"/>
                <w:szCs w:val="20"/>
                <w:color w:val="auto"/>
              </w:rPr>
            </w:pPr>
            <w:r>
              <w:rPr>
                <w:rFonts w:ascii="Arial" w:cs="Arial" w:eastAsia="Arial" w:hAnsi="Arial"/>
                <w:sz w:val="18"/>
                <w:szCs w:val="18"/>
                <w:color w:val="auto"/>
                <w:w w:val="90"/>
              </w:rPr>
              <w:t>Right-of-use assets were $13.9 million and $14.0 million as of December 31, 2021 and 2020, respectively.</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00" w:type="dxa"/>
            <w:vAlign w:val="bottom"/>
            <w:gridSpan w:val="2"/>
          </w:tcPr>
          <w:p>
            <w:pPr>
              <w:ind w:left="340"/>
              <w:spacing w:after="0"/>
              <w:rPr>
                <w:sz w:val="20"/>
                <w:szCs w:val="20"/>
                <w:color w:val="auto"/>
              </w:rPr>
            </w:pPr>
            <w:r>
              <w:rPr>
                <w:rFonts w:ascii="Arial" w:cs="Arial" w:eastAsia="Arial" w:hAnsi="Arial"/>
                <w:sz w:val="18"/>
                <w:szCs w:val="18"/>
                <w:color w:val="auto"/>
              </w:rPr>
              <w:t>The following is a schedule of payments of lease liabilities as of December 31, 2021: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7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
        </w:trPr>
        <w:tc>
          <w:tcPr>
            <w:tcW w:w="7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Less: imputed interest</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7100" w:type="dxa"/>
            <w:vAlign w:val="bottom"/>
            <w:gridSpan w:val="2"/>
          </w:tcPr>
          <w:p>
            <w:pPr>
              <w:ind w:left="360"/>
              <w:spacing w:after="0"/>
              <w:rPr>
                <w:sz w:val="20"/>
                <w:szCs w:val="20"/>
                <w:color w:val="auto"/>
              </w:rPr>
            </w:pPr>
            <w:r>
              <w:rPr>
                <w:rFonts w:ascii="Arial" w:cs="Arial" w:eastAsia="Arial" w:hAnsi="Arial"/>
                <w:sz w:val="18"/>
                <w:szCs w:val="18"/>
                <w:color w:val="auto"/>
              </w:rPr>
              <w:t>Less: lease liabilities, current</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 noncurrent</w:t>
            </w:r>
          </w:p>
        </w:tc>
        <w:tc>
          <w:tcPr>
            <w:tcW w:w="9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3" w:name="page84"/>
    <w:bookmarkEnd w:id="83"/>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Company’s IPO which was completed on November 8, 2021, all 7.5 million shares of the Company’s then-outstanding redeemable convertible preferred stock automatically converted into an equal number of shares of Class A common stock. As of December 31, 2020, the total number of Series A redeemable convertible preferred stock authorized for issuance was 8.7 million shares and there were 7.7 million shares issued and outstanding.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Significant rights and preferences of the redeemable convertible preferred stock prior to the Company’s IPO were summarized as follows:</w:t>
      </w:r>
    </w:p>
    <w:p>
      <w:pPr>
        <w:spacing w:after="0" w:line="18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b w:val="1"/>
          <w:bCs w:val="1"/>
          <w:i w:val="1"/>
          <w:iCs w:val="1"/>
          <w:color w:val="auto"/>
        </w:rPr>
        <w:t xml:space="preserve">Dividend Rights </w:t>
      </w:r>
      <w:r>
        <w:rPr>
          <w:rFonts w:ascii="Arial" w:cs="Arial" w:eastAsia="Arial" w:hAnsi="Arial"/>
          <w:sz w:val="16"/>
          <w:szCs w:val="16"/>
          <w:color w:val="auto"/>
        </w:rPr>
        <w:t>— The Corporation would not declare, pay or set aside any dividends on shares of any other class or series of capital stock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unless the holders of the Series A redeemable convertible preferred stock then outstanding would first receive, or simultaneously receive, out of funds legally available therefore, a noncumulative dividend on each outstanding share of Series A redeemable convertible preferred stock in an amount equal to eight percent (8%) of the Series A original issue price. No dividends were declared or paid by the Company as of December 31, 2020.</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 Each share of Series A redeemable convertible preferred stock was convertible, at the option of the holder thereof, at any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from time to time, and without the payment of additional consideration by the holder thereof, into such number of fully paid and non-assessable shares of Class A common stock as determined by dividing the Series A original issue price by the Series A Conversion Price (as defined below) in effect at the time of conversion. The “Series A Conversion Price” was initially $8.97960, with such initial Series A Conversion Price, along with the rate at which shares of Series A redeemable convertible preferred stock may be converted into shares of Class A common stock, subject to certain adjustments.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Liquidation Rights </w:t>
      </w:r>
      <w:r>
        <w:rPr>
          <w:rFonts w:ascii="Arial" w:cs="Arial" w:eastAsia="Arial" w:hAnsi="Arial"/>
          <w:sz w:val="18"/>
          <w:szCs w:val="18"/>
          <w:color w:val="auto"/>
        </w:rPr>
        <w:t>— In the event of any liquidation, dissolution, or winding up of the Company, either voluntary or involuntary,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redeemable convertible preferred stock were entitled to receive prior and in preference to any distribution from the proceeds of the liquidation event of the Company to the holders of the common stock by reason of their ownership thereof, the greater of (i) an amount equal to the original issue price per share of $8.97960, plus any dividends declared but unpaid thereon or (ii) such amount per share as would have been payable had all shares of Series A redeemable convertible preferred stock been converted into common stock immediately prior to such liquidation, dissolution, winding up or deemed liquidation event.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 Each share of Series A convertible redeemable preferred stock had voting rights equal to the number of common shares into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A preferred stock could be converted on the record date for determining stockholders entitled to vote on such matter. Holders of the Series A convertible redeemable preferred stock would vote together with the holders of common stock as a single class, except as otherwise provided in the Second Amended and Restated Articles of Incorporation.</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holders of shares of Series A redeemable convertible preferred stock, exclusively and as a separate class, were entitled to elect two members of the Board of Directors. The holders of shares of Class F common stock, exclusively and as a separate class, were entitled to elect one director. The holders of record of the shares of common stock, voting as a separate class, and the holders of record of the shares of Series A redeemable convertible preferred stock, voting as a separate class and on an as-converted to common stock basis, were entitled to elect two directors.</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 Upon written notice requesting redemption by a majority of the then-outstanding shares of Series A redeemable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shares of Series A redeemable convertible preferred stock would be redeemed by the Company at a price equal to the greater of (a) the Series A original issue price per share, plus all declared but unpaid dividends thereon and (b) the fair market value of a single share of Series A redeemable convertible preferred stock as of the date of the Company’s receipt of the redemption request, in three annual installments commencing not more than sixty days after receipt by the corporation at any time on or after March 1, 2024. Such redemption could have occurred outside of the control of the Company, and accordingly, all shares of redeemable convertible preferred stock have been presented outside of permanent equity in the consolidated balance sheet for all periods presented.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Series A redeemable convertible preferred stock was contingently redeemable and as the redemption price was subject to change, changes in the estimate of the redemption price were necessary. The Company had elected to recognize changes in the redemption value immediately as they occurred and adjust the carrying value of the security to the redemption value at the end of each reporting period so long as it was probable that the instrument would become redeemable. As of December 31, 2020, such redemption was not deemed probable and therefore the Company had not made any adjustments to the carrying value of the Series A redeemable convertible preferred stock.</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Repurchase </w:t>
      </w:r>
      <w:r>
        <w:rPr>
          <w:rFonts w:ascii="Arial" w:cs="Arial" w:eastAsia="Arial" w:hAnsi="Arial"/>
          <w:sz w:val="18"/>
          <w:szCs w:val="18"/>
          <w:color w:val="auto"/>
        </w:rPr>
        <w:t>— In March 2021, the Company repurchased 0.1 million shares of Series A redeemable convertible preferred stock from an affiliated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entity of a former member of its Board of Directors for $2.1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Under the Company’s amended and restated certificate of incorporation, which became effective upon completion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IPO on November 8, 2021, the Company is authorized to issue 5.0 million shares of preferred stock with a par value of $0.0001 per share. The Company’s Board of Directors may fix the rights, preferences, privileges and restrictions of the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Company’s common stock. There were no shares of preferred stock outstanding upon the completion of the Company’s IPO or at December 31, 2021.</w:t>
      </w:r>
    </w:p>
    <w:p>
      <w:pPr>
        <w:spacing w:after="0" w:line="13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 Under the Company’s amended and restated certificate of incorporation, which became effective upon completion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IPO on November 8, 2021, the Company is authorized to issue 296.7 million shares of common stock with a par value of $0.0001 per share, including 265.0 million shares of Class A common stock and 31.7 million shares of Class B common stock. In connection with the Company’s IPO, all 31.7 million shares of the Company’s outstanding Class F common stock were converted into an equal number of shares of Class B common stock. As of December 31, 2020, the Company had 127.5 million common shares authorized for issuance, consisting of 77.5 million shares of Class A common stock, 35.0 million shares of Class F common stock and 15.0 million shares of Class G common stock, each with a par value of $0.0001 per share.</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Holders of all classes of common stock are entitled to dividends when, as and if, declared by the Company’s Board of Directors, subject to the rights of the holders of all classes of stock outstanding having priority rights to dividends. The holder of each share of Class A common stock is entitled to one vote, while the holder of each share of Class B common stock is entitled to 10 votes. Prior to the Company’s IPO, the holder of each share of Class F common stock was entitled to 10 votes and the holders of Class G common stock were not entitled to vote.</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Shares of Class B common stock are convertible, at any time at the option of the holder, into an equal number of shares of Class A common stock and automatically convertible upon Transfer, as defined below. Prior to the Company’s IPO, shares of Class F common stock and Class G common stock were convertible into an equivalent number of shares of Class A common stock and generally converted into shares of Class A common stock upon Transfer, as defined below. Class F common stock was convertible at the option of the holder at any time upon written notice to the transfer agent of the corporation and was automatically convertible upon Transfer. Class G common stock was not convertible at the option of the holder and was only automatically convertible upon Transfer.</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Transfer is defined as any sale, assignment, transfer, conveyance, hypothecation or other transfer or disposition of such share or any legal or beneficial interest in such share, whether or not for value and whether voluntary or involuntary or by operation of law.</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2021, there were 35.0 million shares and 31.7 million shares of Class A and Class B common stock issued and outstanding, respectively. As of December 31, 2020, there were 15.1 million shares and 33.8 million shares of Class A and Class F common stock issued and outstanding, respectively, and no shares of Class G common stock issued and outstanding.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8, 2021, the Company completed its IPO, in which the Company sold 8.3 million shares of its Class A common stock, which includes the exercise in full of the underwriters’ option to purchase 1.1 million shares of Class A common stock, at a public offering price of $18.00 per share. The net proceeds to the Company from the IPO were $140.0 million after deducting underwriting discounts and commissions of $10.1 million. Additionally, the Company incurred offering costs of $5.2 million related to the IPO.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November 2020, the Company entered into a Class A Common Stock Purchase Agreement to sell shares of Class A common stock at $14.00 per share. The Company sold and issued approximately 3.9 million shares for gross proceeds of $54.3 million.</w:t>
      </w:r>
    </w:p>
    <w:p>
      <w:pPr>
        <w:spacing w:after="0" w:line="11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Common Stock Transfers and Repurchase </w:t>
      </w:r>
      <w:r>
        <w:rPr>
          <w:rFonts w:ascii="Arial" w:cs="Arial" w:eastAsia="Arial" w:hAnsi="Arial"/>
          <w:sz w:val="18"/>
          <w:szCs w:val="18"/>
          <w:color w:val="auto"/>
        </w:rPr>
        <w:t>— In February 2021, the Company waived its right of first refusal and the CEO entered into a stock</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agreement to sell approximately 0.1 million shares of Class A common stock to an existing investor at $14.00 per share for an aggregate purchase price of $2.1 million. The price per share was equivalent to the estimated fair value of the Company’s common stock on December 31, 2020 as determined by its Board of Directors with the assistance of a third-party valuation specialist.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January 2021, the Company waived its right of first refusal and the CEO entered into a stock transfer agreement to sell approximately 1.1 million shares of Class F common stock to an existing investor at $14.00 per share for an aggregate purchase price of $15.0 million. Upon consummation of the sale to the third party, the shares of Class F common stock were automatically converted into shares of Class A common stock on a 1:1 basis in accordance with the rights and preferences of the Class F common stock. The price per share was equivalent to the estimated fair value of the Company’s common stock on December 31, 2020 as determined by its Board of Directors with the assistance of a third-party valuation specialist.</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Also in January 2021, the Company entered into a repurchase agreement with the CEO to repurchase approximately 0.9 million shares of Class F common stock at $14.00 per share for an aggregate purchase price of $12.4 million.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2020, the Company waived its right of first refusal and the CEO entered into a stock transfer agreement to sell approximately 0.5 million shares of Class F common stock to a third party at $14.00 per share for an aggregate purchase price of $7.7 million. Upon consummation of the sale to the third party, the 0.5 million shares of Class F common stock were automatically converted into shares of Class A common stock on a 1:1 basis in accordance with the rights and preferences of the Class F common stock. No compensation expense was recorded on this transaction as management concluded that it was not a mechanism to provide compensation to employees, but rather an arms-length transaction between willing buyers and willing sellers, at a price per share determined by a third party.</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2020, four new investors led an offer to purchase approximately 1.7 million shares of Class A common stock from existing employees and service providers that hold common stock and vested options at a price of $14.00 per share for an aggregate purchase price of $23.8 million. The transaction was initiated by, and the purchase price was set by, the new investors. No compensation expense was recorded on the transaction as management concluded that it was not a mechanism to provide compensation to employees, but rather an arms-length transaction between willing buyers and willing sellers, at a price per share determined by a third party.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Shares Reserved for Future Issuance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reserved the following shares of Class A common stock for future issuance: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6"/>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14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14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5"/>
        </w:trPr>
        <w:tc>
          <w:tcPr>
            <w:tcW w:w="8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outstanding from stock options and restricted stock units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10,060</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Shares reserved for Series A redeemable convertible preferred stock</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7,687</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reserved for Class F common stock</w:t>
            </w:r>
          </w:p>
        </w:tc>
        <w:tc>
          <w:tcPr>
            <w:tcW w:w="1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33,783</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Shares available for future equity award grants</w:t>
            </w:r>
          </w:p>
        </w:tc>
        <w:tc>
          <w:tcPr>
            <w:tcW w:w="1440" w:type="dxa"/>
            <w:vAlign w:val="bottom"/>
          </w:tcPr>
          <w:p>
            <w:pPr>
              <w:jc w:val="right"/>
              <w:spacing w:after="0"/>
              <w:rPr>
                <w:sz w:val="20"/>
                <w:szCs w:val="20"/>
                <w:color w:val="auto"/>
              </w:rPr>
            </w:pPr>
            <w:r>
              <w:rPr>
                <w:rFonts w:ascii="Arial" w:cs="Arial" w:eastAsia="Arial" w:hAnsi="Arial"/>
                <w:sz w:val="18"/>
                <w:szCs w:val="18"/>
                <w:color w:val="auto"/>
              </w:rPr>
              <w:t>3,679</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available for future ESPP offerings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 shares reserved</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14,781</w:t>
            </w: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51,991</w:t>
            </w: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 In 2012, the Company’s Board of Directors approved the adoption of the 2012 Equity Incentive Plan (the 2012 Plan). In</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2021, the Company’s Board of Directors approved the adoption of the 2021 Equity Incentive Plan (the 2021 Plan) and the termination of the 2012 Plan, both of which became effective in connection with the Company’s IPO completed on November 8, 2021.</w:t>
      </w:r>
    </w:p>
    <w:p>
      <w:pPr>
        <w:spacing w:after="0" w:line="12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2021 Plan has an initial authorization to grant share-based awards for up to 4.1 million shares of Class A common stock, and additionally provides that any shares subject to outstanding awards under the 2012 Plan that are terminated, expire, are forfeited due to a failure to vest, are reacquired or withheld to satisfy a tax withholding obligation or to satisfy the purchase price or exercise price of a stock award will be added to the 2021 Plan and made available for future issuance. The termination of the 2012 Plan had no impact on the terms of outstanding awards under that plan. The number of shares of Class A common stock reserved for issuance under the 2021 Plan will automatically increase on January 1 of each calendar year, starting January 1, 2023 and ending on and including January 1, 2031, in an amount equal to </w:t>
      </w:r>
      <w:r>
        <w:rPr>
          <w:rFonts w:ascii="Arial" w:cs="Arial" w:eastAsia="Arial" w:hAnsi="Arial"/>
          <w:sz w:val="15"/>
          <w:szCs w:val="15"/>
          <w:color w:val="auto"/>
        </w:rPr>
        <w:t>five</w:t>
      </w:r>
      <w:r>
        <w:rPr>
          <w:rFonts w:ascii="Arial" w:cs="Arial" w:eastAsia="Arial" w:hAnsi="Arial"/>
          <w:sz w:val="17"/>
          <w:szCs w:val="17"/>
          <w:color w:val="auto"/>
        </w:rPr>
        <w:t xml:space="preserve"> percent (5%) of the total number of shares of the Company’s capital stock outstanding on December 31 of the prior calendar year, unless the Company’s Board of Directors determines prior to the date of increase that there will be a lesser increase, or no increase.</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2021 Plan and the predecessor 2012 Plan (collectively, the Plans) provide for the grant of incentive and non-statutory stock options, stock appreciation rights, restricted stock units and restricted stock awards to employees, non-employee directors and consultants of the Company. Options to purchase Class A common stock granted under the Plans continue to vest until the last day of employment and generally will vest 25% in the first year and monthly thereafter (for a total vesting period of 4 years), and expire 10 years from the date of grant. Class A common stock awards are generally issued to officers, directors, employees and consultants, and vest according to an award-specific schedule as approved by the Board of Directors.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of incentive stock options granted under the Plans must be at least equal to 100% of the fair market value of the Company’s Class A common stock at the date of grant, as determined by the Board of Directors. The exercise price must not be less than 110% of the fair market value of the Company’s Class A common stock at the date of grant for incentive stock options granted to an employee that owns greater than 10% of the Company stock.</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for its Plans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spacing w:after="0"/>
              <w:rPr>
                <w:sz w:val="14"/>
                <w:szCs w:val="14"/>
                <w:color w:val="auto"/>
              </w:rPr>
            </w:pPr>
          </w:p>
        </w:tc>
      </w:tr>
      <w:tr>
        <w:trPr>
          <w:trHeight w:val="162"/>
        </w:trPr>
        <w:tc>
          <w:tcPr>
            <w:tcW w:w="57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4"/>
                <w:szCs w:val="14"/>
                <w:color w:val="auto"/>
              </w:rPr>
            </w:pPr>
          </w:p>
        </w:tc>
      </w:tr>
      <w:tr>
        <w:trPr>
          <w:trHeight w:val="162"/>
        </w:trPr>
        <w:tc>
          <w:tcPr>
            <w:tcW w:w="57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Contractual</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Aggregate Intrinsic</w:t>
            </w:r>
          </w:p>
        </w:tc>
      </w:tr>
      <w:tr>
        <w:trPr>
          <w:trHeight w:val="162"/>
        </w:trPr>
        <w:tc>
          <w:tcPr>
            <w:tcW w:w="57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186"/>
        </w:trPr>
        <w:tc>
          <w:tcPr>
            <w:tcW w:w="57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25"/>
        </w:trPr>
        <w:tc>
          <w:tcPr>
            <w:tcW w:w="5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320" w:type="dxa"/>
            <w:vAlign w:val="bottom"/>
            <w:tcBorders>
              <w:bottom w:val="single" w:sz="8" w:color="CCEEFF"/>
            </w:tcBorders>
            <w:shd w:val="clear" w:color="auto" w:fill="CCEEFF"/>
          </w:tcPr>
          <w:p>
            <w:pPr>
              <w:jc w:val="center"/>
              <w:ind w:left="677"/>
              <w:spacing w:after="0"/>
              <w:rPr>
                <w:sz w:val="20"/>
                <w:szCs w:val="20"/>
                <w:color w:val="auto"/>
              </w:rPr>
            </w:pPr>
            <w:r>
              <w:rPr>
                <w:rFonts w:ascii="Arial" w:cs="Arial" w:eastAsia="Arial" w:hAnsi="Arial"/>
                <w:sz w:val="18"/>
                <w:szCs w:val="18"/>
                <w:color w:val="auto"/>
                <w:w w:val="88"/>
              </w:rPr>
              <w:t>8,694</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center"/>
              <w:ind w:left="677"/>
              <w:spacing w:after="0"/>
              <w:rPr>
                <w:sz w:val="20"/>
                <w:szCs w:val="20"/>
                <w:color w:val="auto"/>
              </w:rPr>
            </w:pPr>
            <w:r>
              <w:rPr>
                <w:rFonts w:ascii="Arial" w:cs="Arial" w:eastAsia="Arial" w:hAnsi="Arial"/>
                <w:sz w:val="18"/>
                <w:szCs w:val="18"/>
                <w:color w:val="auto"/>
                <w:w w:val="88"/>
              </w:rPr>
              <w:t>1,083</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CCEEFF"/>
            </w:tcBorders>
            <w:shd w:val="clear" w:color="auto" w:fill="CCEEFF"/>
          </w:tcPr>
          <w:p>
            <w:pPr>
              <w:jc w:val="center"/>
              <w:ind w:left="637"/>
              <w:spacing w:after="0"/>
              <w:rPr>
                <w:sz w:val="20"/>
                <w:szCs w:val="20"/>
                <w:color w:val="auto"/>
              </w:rPr>
            </w:pPr>
            <w:r>
              <w:rPr>
                <w:rFonts w:ascii="Arial" w:cs="Arial" w:eastAsia="Arial" w:hAnsi="Arial"/>
                <w:sz w:val="18"/>
                <w:szCs w:val="18"/>
                <w:color w:val="auto"/>
                <w:w w:val="91"/>
              </w:rPr>
              <w:t>(2,322)</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320" w:type="dxa"/>
            <w:vAlign w:val="bottom"/>
          </w:tcPr>
          <w:p>
            <w:pPr>
              <w:jc w:val="center"/>
              <w:ind w:left="637"/>
              <w:spacing w:after="0"/>
              <w:rPr>
                <w:sz w:val="20"/>
                <w:szCs w:val="20"/>
                <w:color w:val="auto"/>
              </w:rPr>
            </w:pPr>
            <w:r>
              <w:rPr>
                <w:rFonts w:ascii="Arial" w:cs="Arial" w:eastAsia="Arial" w:hAnsi="Arial"/>
                <w:sz w:val="18"/>
                <w:szCs w:val="18"/>
                <w:color w:val="auto"/>
                <w:w w:val="91"/>
              </w:rPr>
              <w:t>(1,012)</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320" w:type="dxa"/>
            <w:vAlign w:val="bottom"/>
            <w:tcBorders>
              <w:bottom w:val="single" w:sz="8" w:color="CCEEFF"/>
            </w:tcBorders>
            <w:shd w:val="clear" w:color="auto" w:fill="CCEEFF"/>
          </w:tcPr>
          <w:p>
            <w:pPr>
              <w:jc w:val="center"/>
              <w:ind w:left="677"/>
              <w:spacing w:after="0"/>
              <w:rPr>
                <w:sz w:val="20"/>
                <w:szCs w:val="20"/>
                <w:color w:val="auto"/>
              </w:rPr>
            </w:pPr>
            <w:r>
              <w:rPr>
                <w:rFonts w:ascii="Arial" w:cs="Arial" w:eastAsia="Arial" w:hAnsi="Arial"/>
                <w:sz w:val="18"/>
                <w:szCs w:val="18"/>
                <w:color w:val="auto"/>
                <w:w w:val="88"/>
              </w:rPr>
              <w:t>6,443</w:t>
            </w:r>
          </w:p>
        </w:tc>
        <w:tc>
          <w:tcPr>
            <w:tcW w:w="14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Vested and exercisable as of December 31, 2021</w:t>
            </w:r>
          </w:p>
        </w:tc>
        <w:tc>
          <w:tcPr>
            <w:tcW w:w="1320" w:type="dxa"/>
            <w:vAlign w:val="bottom"/>
            <w:tcBorders>
              <w:top w:val="single" w:sz="8" w:color="auto"/>
            </w:tcBorders>
          </w:tcPr>
          <w:p>
            <w:pPr>
              <w:jc w:val="center"/>
              <w:ind w:left="677"/>
              <w:spacing w:after="0"/>
              <w:rPr>
                <w:sz w:val="20"/>
                <w:szCs w:val="20"/>
                <w:color w:val="auto"/>
              </w:rPr>
            </w:pPr>
            <w:r>
              <w:rPr>
                <w:rFonts w:ascii="Arial" w:cs="Arial" w:eastAsia="Arial" w:hAnsi="Arial"/>
                <w:sz w:val="18"/>
                <w:szCs w:val="18"/>
                <w:color w:val="auto"/>
                <w:w w:val="88"/>
              </w:rPr>
              <w:t>4,122</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w:t>
            </w:r>
          </w:p>
        </w:tc>
      </w:tr>
    </w:tbl>
    <w:p>
      <w:pPr>
        <w:spacing w:after="0" w:line="26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weighted-average grant-date fair value of options granted during 2021, 2020 and 2019 was $9.60, $6.28 and $4.52 per share, respectively. The intrinsic value of options exercised was $30.0 million, $25.9 million and $3.7 million during 2021, 2020 and 2019, respectively.</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unrecognized compensation cost related to non-vested stock options granted under the Plans was $15.1 million as of December 31, 2021, with the cost expected to be recognized over a weighted-average period of 2.8 years.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estimates the fair values of options awarded on the date of grant using the Black-Scholes-Merton option-pricing model, which requires inputs, including the fair value of common stock, expected term, expected volatility, risk-free interest and dividend yield.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The Company estimates the expected term of options using the simplified method described in Staff Accounting Bulletin Topic 14, as amended, as it does not have sufficient historical experience for determining the expected term of the awards granted. Expected volatility is estimated based on the average historical volatility of similar entities with publicly traded shares. The risk-free rate for the expected term of the option is based on the U.S. Treasury yield curve at the date of grant. The expected dividend yield was 0% as the Company has not paid, and does not expect to pay, cash dividends. For awards granted prior to the IPO, the Company’s Board of Directors considered numerous objective and subjective factors to determine the fair value of the Company’s Class A common stock at each meeting at which awards were approved. These factors included, but were not limited to</w:t>
      </w:r>
    </w:p>
    <w:p>
      <w:pPr>
        <w:spacing w:after="0" w:line="4" w:lineRule="exact"/>
        <w:rPr>
          <w:sz w:val="20"/>
          <w:szCs w:val="20"/>
          <w:color w:val="auto"/>
        </w:rPr>
      </w:pPr>
    </w:p>
    <w:p>
      <w:pPr>
        <w:jc w:val="both"/>
        <w:ind w:firstLine="8"/>
        <w:spacing w:after="0" w:line="255" w:lineRule="auto"/>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contemporaneous third-party valuations of Class A common stock; (ii) the rights and preferences of Redeemable Convertible Preferred Stock compared to Class A common stock; (iii) the lack of marketability of Class A common stock; (iv) developments in the business; and (v) the likelihood of achieving a liquidity event, such as an IPO or a sale of the Company, given prevailing market conditions.</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per-share fair value of each stock option was determined on the date of grant using the following weighted-average assumptions and ranges of fair value of common stock: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6"/>
        </w:trPr>
        <w:tc>
          <w:tcPr>
            <w:tcW w:w="6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50.3 %</w:t>
            </w:r>
          </w:p>
        </w:tc>
      </w:tr>
      <w:tr>
        <w:trPr>
          <w:trHeight w:val="27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50"/>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1.8 %</w:t>
            </w:r>
          </w:p>
        </w:tc>
      </w:tr>
    </w:tbl>
    <w:p>
      <w:pPr>
        <w:spacing w:after="0" w:line="2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modified the terms of approximately 0.7 million, 1.0 million and 0.4 million stock options, respectively, in connection with various termination agreements during 2021, 2020 and 2019. These modifications resulted in additional stock-based compensation expense of $0.4 million, $0.2 million and $0.1 million, respectively, which was fully recognized at the modification date and included within research and development, sales and marketing and general and administrative expense in the consolidated statement of operations.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2021, the Company entered into an Option Cancellation Agreement with a former member of its Board of Directors and his affiliated entity, pursuant to which the Company cancelled options to purchase an aggregate of 0.2 million shares of Class A common stock. The total consideration paid for the option cancellation was $2.4 million, of which $1.0 million was recognized as compensation expense for the excess amount paid over the purchase-date fair market value of the options.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2019, the Company entered into an Option Cancellation Agreement with a former member of its Board of Directors and his affiliated entity, pursuant to which the Company cancelled an option to purchase 0.1 million shares of Class A common stock held by Camelot Financial Capital Management LLC for consideration equal to $10.20 per share, minus the exercise price for the shares underlying such option. The total consideration paid to Camelot Financial Capital Management LLC was $0.8 million.</w:t>
      </w:r>
    </w:p>
    <w:p>
      <w:pPr>
        <w:spacing w:after="0" w:line="1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color w:val="auto"/>
        </w:rPr>
        <w:t xml:space="preserve">Performance-based Options </w:t>
      </w:r>
      <w:r>
        <w:rPr>
          <w:rFonts w:ascii="Arial" w:cs="Arial" w:eastAsia="Arial" w:hAnsi="Arial"/>
          <w:sz w:val="17"/>
          <w:szCs w:val="17"/>
          <w:color w:val="auto"/>
        </w:rPr>
        <w:t>— Under the Plans, the Company granted certain key employees performance-based stock options of 2.0 million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in June 2018 to incentivize their performance and retention. Subject to the employees’ continued employment with the Company, the performance-based stock options would fully vest in the first quarter of 2021 if certain performance metrics were achieved in 2020. Performance metrics included both financial performance and non-financial performance. For awards that included a performance condition, compensation expense was recognized when the performance condition was probable of being achieved, at which time the cumulative compensation expense from the grant date would be recognized. As of the grant date, the options were valued using the Black-Scholes-Merton option-pricing model based on the consistent assumption used for the options issued to employees of the Company As of December 31, 2020, the Company had no performance-based stock options outstanding as the Company determined that the performance metrics were unlikely to be met and the stock options were canceled during 2020, with the compensation cost associated with unvested options reversed. The Company recorded $(0.6) million and $0.6 million of stock-based compensation expense (credit) associated with performance-based options in 2020 and 2019, respectively.</w:t>
      </w:r>
    </w:p>
    <w:p>
      <w:pPr>
        <w:spacing w:after="0" w:line="12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The Plans also provide for the issuance of RSUs of the Company’s common stock to eligible participants. During 2020,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began issuing RSUs to certain employees and directors under the 2012 Plan. These RSUs are subject to service-based vesting conditions. The service-based vesting condition is generally satisfied over four years.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outstanding nonvested RSUs for its Plans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r>
      <w:tr>
        <w:trPr>
          <w:trHeight w:val="162"/>
        </w:trPr>
        <w:tc>
          <w:tcPr>
            <w:tcW w:w="8500" w:type="dxa"/>
            <w:vAlign w:val="bottom"/>
          </w:tcPr>
          <w:p>
            <w:pPr>
              <w:spacing w:after="0"/>
              <w:rPr>
                <w:sz w:val="14"/>
                <w:szCs w:val="14"/>
                <w:color w:val="auto"/>
              </w:rPr>
            </w:pPr>
          </w:p>
        </w:tc>
        <w:tc>
          <w:tcPr>
            <w:tcW w:w="1320" w:type="dxa"/>
            <w:vAlign w:val="bottom"/>
          </w:tcPr>
          <w:p>
            <w:pPr>
              <w:jc w:val="right"/>
              <w:ind w:right="55"/>
              <w:spacing w:after="0"/>
              <w:rPr>
                <w:sz w:val="20"/>
                <w:szCs w:val="20"/>
                <w:color w:val="auto"/>
              </w:rPr>
            </w:pPr>
            <w:r>
              <w:rPr>
                <w:rFonts w:ascii="Arial" w:cs="Arial" w:eastAsia="Arial" w:hAnsi="Arial"/>
                <w:sz w:val="14"/>
                <w:szCs w:val="14"/>
                <w:b w:val="1"/>
                <w:bCs w:val="1"/>
                <w:color w:val="auto"/>
              </w:rPr>
              <w:t>Number of Units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Grant Date</w:t>
            </w:r>
          </w:p>
        </w:tc>
      </w:tr>
      <w:tr>
        <w:trPr>
          <w:trHeight w:val="186"/>
        </w:trPr>
        <w:tc>
          <w:tcPr>
            <w:tcW w:w="8500" w:type="dxa"/>
            <w:vAlign w:val="bottom"/>
          </w:tcPr>
          <w:p>
            <w:pPr>
              <w:spacing w:after="0"/>
              <w:rPr>
                <w:sz w:val="16"/>
                <w:szCs w:val="16"/>
                <w:color w:val="auto"/>
              </w:rPr>
            </w:pPr>
          </w:p>
        </w:tc>
        <w:tc>
          <w:tcPr>
            <w:tcW w:w="1320" w:type="dxa"/>
            <w:vAlign w:val="bottom"/>
          </w:tcPr>
          <w:p>
            <w:pPr>
              <w:jc w:val="right"/>
              <w:ind w:right="13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Fair Value</w:t>
            </w:r>
          </w:p>
        </w:tc>
      </w:tr>
      <w:tr>
        <w:trPr>
          <w:trHeight w:val="26"/>
        </w:trPr>
        <w:tc>
          <w:tcPr>
            <w:tcW w:w="8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70"/>
        </w:trPr>
        <w:tc>
          <w:tcPr>
            <w:tcW w:w="8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3,495</w:t>
            </w: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19.44</w:t>
            </w:r>
          </w:p>
        </w:tc>
      </w:tr>
      <w:tr>
        <w:trPr>
          <w:trHeight w:val="27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7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15.41</w:t>
            </w:r>
          </w:p>
        </w:tc>
      </w:tr>
      <w:tr>
        <w:trPr>
          <w:trHeight w:val="28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fair value of shares that vested under RSUs was $12.2 million and $1.0 million during 2021 and 2020, respectively.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Unrecognized compensation cost related to RSUs was $64.9 million as of December 31, 2021, with these costs expected to be recognized over a weighted-average period of approximately 3.4 years.</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Employee Stock Purchase Plan </w:t>
      </w:r>
      <w:r>
        <w:rPr>
          <w:rFonts w:ascii="Arial" w:cs="Arial" w:eastAsia="Arial" w:hAnsi="Arial"/>
          <w:sz w:val="17"/>
          <w:szCs w:val="17"/>
          <w:color w:val="auto"/>
        </w:rPr>
        <w:t>— The Company sponsors an ESPP which became effective in connection with the Company’s IPO completed on</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8, 2021. The ESPP allows eligible employees to buy shares of the Company’s Class A common stock at a 15% discount of the stock’s market value on defined dates. The ESPP authorizes the issuance of 0.8 million shares of the Company’s Class A common stock under purchase rights granted to eligible employees, with automatic increases in the number of shares reserved for issuance on January 1 of each calendar year, beginning in 2023 and through 2031, subject to terms of the ESPP. There were no shares of the Company’s Class A common stock purchased under the ESPP through December 31, 2021. The Company recognized stock-based compensation expense related to the ESPP of $0.8 million during 2021. Unrecognized compensation cost related to the ESPP was $11.9 million as of December 31, 2021, with these costs expected to be recognized over a period of 2 years through the end of the initial offering period. The impact of forfeitures under the ESPP are recognized as forfeitures occur.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purchase rights granted under the ESPP were determined on the date of grant using the following weighted-average assumptions: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r>
      <w:tr>
        <w:trPr>
          <w:trHeight w:val="25"/>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49.8 %</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486"/>
        </w:trPr>
        <w:tc>
          <w:tcPr>
            <w:tcW w:w="9920" w:type="dxa"/>
            <w:vAlign w:val="bottom"/>
            <w:gridSpan w:val="10"/>
          </w:tcPr>
          <w:p>
            <w:pPr>
              <w:ind w:left="340"/>
              <w:spacing w:after="0"/>
              <w:rPr>
                <w:sz w:val="20"/>
                <w:szCs w:val="20"/>
                <w:color w:val="auto"/>
              </w:rPr>
            </w:pPr>
            <w:r>
              <w:rPr>
                <w:rFonts w:ascii="Arial" w:cs="Arial" w:eastAsia="Arial" w:hAnsi="Arial"/>
                <w:sz w:val="18"/>
                <w:szCs w:val="18"/>
                <w:b w:val="1"/>
                <w:bCs w:val="1"/>
                <w:color w:val="auto"/>
                <w:w w:val="89"/>
              </w:rPr>
              <w:t xml:space="preserve">Stock-Based Compensation </w:t>
            </w:r>
            <w:r>
              <w:rPr>
                <w:rFonts w:ascii="Arial" w:cs="Arial" w:eastAsia="Arial" w:hAnsi="Arial"/>
                <w:sz w:val="18"/>
                <w:szCs w:val="18"/>
                <w:color w:val="auto"/>
                <w:w w:val="89"/>
              </w:rPr>
              <w:t>— The Company recognized stock-based compensation expense under the Plans and ESPP as follows: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9"/>
        </w:trPr>
        <w:tc>
          <w:tcPr>
            <w:tcW w:w="71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5"/>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stock-based compensation of $3.3 million, $1.6 million and $1.1 million was capitalized related to software development costs in 2021, 2020 and 2019, respectively.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did not recognize any tax benefit for stock-based compensation arrangements in 2021 due to the establishment of a valuation allowance. The Company recognized tax benefits for stock-based compensation arrangements of $4.7 million and $0.3 million in 2020 and 2019, including excess tax benefits of $3.7 million and an immaterial amount,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Income (loss) before the provision for (benefit from) income taxes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Arial" w:cs="Arial" w:eastAsia="Arial" w:hAnsi="Arial"/>
                <w:sz w:val="18"/>
                <w:szCs w:val="18"/>
                <w:color w:val="auto"/>
              </w:rPr>
              <w:t>The components of the provision for (benefit from) income taxes are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7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6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Federal</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6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80" w:type="dxa"/>
            <w:vAlign w:val="bottom"/>
            <w:gridSpan w:val="7"/>
          </w:tcPr>
          <w:p>
            <w:pPr>
              <w:ind w:left="340"/>
              <w:spacing w:after="0"/>
              <w:rPr>
                <w:sz w:val="20"/>
                <w:szCs w:val="20"/>
                <w:color w:val="auto"/>
              </w:rPr>
            </w:pPr>
            <w:r>
              <w:rPr>
                <w:rFonts w:ascii="Arial" w:cs="Arial" w:eastAsia="Arial" w:hAnsi="Arial"/>
                <w:sz w:val="18"/>
                <w:szCs w:val="18"/>
                <w:color w:val="auto"/>
                <w:w w:val="94"/>
              </w:rPr>
              <w:t>The reconciliation of the statutory federal income tax rate to the Company’s effective tax rate is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76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Tax at federal statutory rate</w:t>
            </w: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Permanent items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7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7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7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Tax contingency and interest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State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7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Non-deductible contingent consideration</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3"/>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Tax at effective tax rate</w:t>
            </w: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valuation allowance increased by $15.1 million in 2021, mainly attributable to corresponding changes in deferred tax assets, primarily certain federal and state tax credits and net operating loss carryforwards.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The Company’s deferred tax assets and liabilities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6"/>
        </w:trPr>
        <w:tc>
          <w:tcPr>
            <w:tcW w:w="82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6"/>
        </w:trPr>
        <w:tc>
          <w:tcPr>
            <w:tcW w:w="8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Accruals and reserves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and state tax credits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Total gross deferred tax assets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Prepaid expense and other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Basis difference for fixed assets and intangibles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gross 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Valuation allowance for deferred tax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asset (liability)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2021, the Company has federal net operating loss carryforwards of $54.2 million, of which $13.1 million, if not utilized, will begin to expire in 2033, and the remaining $41.1 million can be carried forward indefinitely. As of December 31, 2021, the Company has state net operating loss carryforwards of $39.6 million. The majority of state net operating loss carryforwards, if not utilized, will begin to expire on various dates beginning in 2032.</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as of December 31, 2021, the Company has $13.7 million and $12.6 million of California and federal research and development credit carryforwards, respectively. The California credits can be carried forward indefinitely. The federal credits will start to expire in 2037.</w:t>
      </w:r>
    </w:p>
    <w:p>
      <w:pPr>
        <w:spacing w:after="0" w:line="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sufficient future taxable income during the periods in which those temporary differences become deductible. Management considers projected future taxable income and tax-planning strategies in making this assessment. Based on the Company’s ongoing assessment of all available evidence, both positive and negative, including consideration of the Company’s historical profitability and the estimated impact of its operating model on future profitability, the Company concluded that it was more likely than not that its U.S. deferred tax assets in excess of deferred tax liabilities would not be realized. Accordingly, the Company recorded a valuation allowance against these net U.S. deferred tax assets as of December 31, 2021. The Company’s judgment regarding the likelihood of realization of these deferred tax assets could change in future periods, which could result in a material impact to the Company’s income tax provision in the period of change.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unrecognized tax benefits, excluding accrued interest and penalties,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6"/>
        </w:trPr>
        <w:tc>
          <w:tcPr>
            <w:tcW w:w="68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8"/>
                <w:szCs w:val="18"/>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
        </w:trPr>
        <w:tc>
          <w:tcPr>
            <w:tcW w:w="6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b w:val="1"/>
                <w:bCs w:val="1"/>
                <w:color w:val="auto"/>
                <w:w w:val="87"/>
              </w:rPr>
              <w:t>4.8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633"/>
              <w:spacing w:after="0"/>
              <w:rPr>
                <w:sz w:val="20"/>
                <w:szCs w:val="20"/>
                <w:color w:val="auto"/>
              </w:rPr>
            </w:pPr>
            <w:r>
              <w:rPr>
                <w:rFonts w:ascii="Arial" w:cs="Arial" w:eastAsia="Arial" w:hAnsi="Arial"/>
                <w:sz w:val="18"/>
                <w:szCs w:val="18"/>
                <w:color w:val="auto"/>
                <w:w w:val="87"/>
              </w:rPr>
              <w:t>0.3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left="593"/>
              <w:spacing w:after="0"/>
              <w:rPr>
                <w:sz w:val="20"/>
                <w:szCs w:val="20"/>
                <w:color w:val="auto"/>
              </w:rPr>
            </w:pPr>
            <w:r>
              <w:rPr>
                <w:rFonts w:ascii="Arial" w:cs="Arial" w:eastAsia="Arial" w:hAnsi="Arial"/>
                <w:sz w:val="18"/>
                <w:szCs w:val="18"/>
                <w:color w:val="auto"/>
                <w:w w:val="91"/>
              </w:rPr>
              <w:t>(0.1)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Expiration of statute of limitations</w:t>
            </w:r>
          </w:p>
        </w:tc>
        <w:tc>
          <w:tcPr>
            <w:tcW w:w="3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center"/>
              <w:ind w:left="593"/>
              <w:spacing w:after="0"/>
              <w:rPr>
                <w:sz w:val="20"/>
                <w:szCs w:val="20"/>
                <w:color w:val="auto"/>
              </w:rPr>
            </w:pPr>
            <w:r>
              <w:rPr>
                <w:rFonts w:ascii="Arial" w:cs="Arial" w:eastAsia="Arial" w:hAnsi="Arial"/>
                <w:sz w:val="18"/>
                <w:szCs w:val="18"/>
                <w:color w:val="auto"/>
                <w:w w:val="91"/>
              </w:rPr>
              <w:t>(0.1)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year increases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color w:val="auto"/>
                <w:w w:val="87"/>
              </w:rPr>
              <w:t>1.4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3"/>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Balance at the end of the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center"/>
              <w:ind w:left="633"/>
              <w:spacing w:after="0"/>
              <w:rPr>
                <w:sz w:val="20"/>
                <w:szCs w:val="20"/>
                <w:color w:val="auto"/>
              </w:rPr>
            </w:pPr>
            <w:r>
              <w:rPr>
                <w:rFonts w:ascii="Arial" w:cs="Arial" w:eastAsia="Arial" w:hAnsi="Arial"/>
                <w:sz w:val="18"/>
                <w:szCs w:val="18"/>
                <w:b w:val="1"/>
                <w:bCs w:val="1"/>
                <w:color w:val="auto"/>
                <w:w w:val="87"/>
              </w:rPr>
              <w:t>6.3</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r>
      <w:tr>
        <w:trPr>
          <w:trHeight w:val="21"/>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91" w:name="page92"/>
    <w:bookmarkEnd w:id="91"/>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and penalties were not material for 2021 and 2019. The Company accrued $0.1 million for interest and penalties on its uncertain tax positions for 2020. Unrecognized tax benefits of $0.4 million, as well as accrued interest and penalties, would affect the Company’s provision for income taxes if recognized. The Company does not anticipate that its total unrecognized tax benefits will significantly change due to settlement of examination or the expiration of statute of limitations during the next 12 months.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files income tax returns in the U.S. federal and various state jurisdictions. The Company’s tax years for 2013 and forward are subject to examination by the U.S. tax authorities due to certain acquired attribute carryforwards. The Company’s tax years for 2013 and forward are subject to examination by various state tax authorities due to certain acquired attribute carryforwards.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Basic and Diluted Share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computes earnings per share (EPS) in conformity with the two-class method required for participating securities. The two-class method is an earnings allocation method that determines net income (loss) per share for each class of common stock and participating securities according to dividends declared (or accumulated) and participation rights in undistributed earnings or losses. We consider early exercised share options to be participating securities. The impact of early exercised share options on basic and diluted EPS was immaterial for 2021, 2020 and 2019.</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EPS is computed by dividing net income (loss) available to common stockholders by the weighted average number of common stock outstanding during the period. Diluted EPS is computed by dividing income (loss) attributable to common stockholders by the number of diluted shares outstanding. Diluted shares equal the total of the basic shares outstanding and all potentially issuable shares, other than antidilutive shares, if any, weighted for the average days outstanding for the period. The dilutive effect of outstanding awards and convertible securities is reflected in diluted earnings per share by application of the treasury stock method.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the numerators and denominators of the basic and diluted per share computations for net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common stockholders: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
        </w:trPr>
        <w:tc>
          <w:tcPr>
            <w:tcW w:w="7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common stockholders – 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Weighted-average shares of common stock – basic</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stock options and restricted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Effect of potentially dilutive Series A redeemable convertible preferred stock</w:t>
            </w:r>
          </w:p>
        </w:tc>
        <w:tc>
          <w:tcPr>
            <w:tcW w:w="2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shares of common stock – diluted</w:t>
            </w: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(loss) per share attributable to common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Class A and Class B common stock, as well as of Class F stock prior to the Company’s IPO, are identical, except with respect to voting and conversion. See Note 11 – Stockholders’ Equity for further discussion. As the liquidation and dividend rights are identical for Class A, Class B and predecessor Class F common stock, the undistributed earnings are allocated on a proportional basis and the resulting net income (loss) attributable to common stockholders will be the same for Class A, Class B and the predecessor Class F common stock on an individual or combined basis.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ind w:left="20"/>
        <w:spacing w:after="0"/>
        <w:rPr>
          <w:sz w:val="20"/>
          <w:szCs w:val="20"/>
          <w:color w:val="auto"/>
        </w:rPr>
      </w:pPr>
      <w:r>
        <w:rPr>
          <w:rFonts w:ascii="Arial" w:cs="Arial" w:eastAsia="Arial" w:hAnsi="Arial"/>
          <w:sz w:val="18"/>
          <w:szCs w:val="18"/>
          <w:b w:val="1"/>
          <w:bCs w:val="1"/>
          <w:color w:val="auto"/>
        </w:rPr>
        <w:t>NERDWALLET, INC. AND SUBSIDIARIES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earnings (loss) per share for the periods presented because including them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3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2019</w:t>
            </w:r>
          </w:p>
        </w:tc>
      </w:tr>
      <w:tr>
        <w:trPr>
          <w:trHeight w:val="26"/>
        </w:trPr>
        <w:tc>
          <w:tcPr>
            <w:tcW w:w="7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subject to outstanding stock options and restricted stock units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32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sponsors a 401(k) savings plan (the Savings Plan). All employees are eligible to participate in the Savings Plan after meeting certain eligibility requirements. Participants may elect to have a portion of their salary deferred and contributed to the Savings Plan up to the limit allowed by the applicable income tax regulations. The Company’s current policy is to match employee contributions up to certain overall limits. The Company made matching contributions of $3.5 million, $2.7 million and $2.3 million during 2021, 2020 and 2019,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During 2017, the Company entered into a stock repurchase agreement to repurchase a specific number of shares of Class G common stock from one of the Company’s co-founders. In connection with the stock repurchase agreement, the Company issued Notes with a principal amount totaling $28.5 million to the co-founder. The Notes bore interest on the outstanding principal amount at the rate of 4.2922% per year and were scheduled to mature in 2026. In the event of a deemed liquidation event or initial public offering while the Notes remained outstanding, the Company was required to repay the Notes in an amount equal to the outstanding principal and any unpaid accrued interest, to the extent there are proceeds available after payment of senior obligations. In November 2021, in connection with the Company’s IPO, the Company repaid in full the outstanding principal amount of $28.5 million and accrued interest on the Notes. See Note 7 – Debt for further discussion on the Notes. Additionally, see Note 10 – Redeemable Convertible Preferred Stock and Note 11 – Stockholders’ Equity for discussion on certain equity and options-related transactions with a former member of the Company’s Board of Directors and his affiliated entity, as well as with the Company’s CEO. There were no other material related party transactions during 2021, 2020 or 2019.</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management of the Company, with the participation of the Company’s Chief Executive Officer and Chief Financial Officer, has evaluated the effectiveness of the Company’s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Annual Report on Form 10-K, our disclosure controls and procedures were effective at the reasonable assurance level.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Rules 13a-15(d) and 15d-15(d) of the Exchange Act that occurred during the quarter ended December 31, 2021 that have materially affected, or are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management of the Company, including the Company’s Chief Executive Officer and Chief Financial Officer, believes that the Company’s disclosure controls and procedures and internal control over financial reporting are designed to provide reasonable assurance of achieving their objectives and are effective at the reasonable assurance level. However, management does not expect that the Company’s disclosure controls and procedures or the Company’s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III</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Proxy Statement for our 2022 Annual Meeting of Stockholders which will be filed with the SEC no later than 120 days after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Proxy Statement for our 2022 Annual Meeting of Stockholders which will be filed with the SEC no later than 120 days after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Proxy Statement for our 2022 Annual Meeting of Stockholders which will be filed with the SEC no later than 120 days after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Proxy Statement for our 2022 Annual Meeting of Stockholders which will be filed with the SEC no later than 120 days after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required by this item about aggregate fees billed to us by our principal accountant, Deloitte &amp; Touche LLP (PCAOB ID No. 34) is incorporated by reference to the Proxy Statement for our 2022 Annual Meeting of Stockholders which will be filed with the SEC no later than 120 days after December 31, 2021.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0" w:type="dxa"/>
            <w:vAlign w:val="bottom"/>
            <w:gridSpan w:val="24"/>
          </w:tcPr>
          <w:p>
            <w:pPr>
              <w:ind w:left="32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Amended and Restated Certificate of Incorporation of the Registrant.</w:t>
              </w:r>
            </w:hyperlink>
          </w:p>
        </w:tc>
        <w:tc>
          <w:tcPr>
            <w:tcW w:w="1020" w:type="dxa"/>
            <w:vAlign w:val="bottom"/>
            <w:gridSpan w:val="13"/>
          </w:tcPr>
          <w:p>
            <w:pPr>
              <w:spacing w:after="0"/>
              <w:rPr>
                <w:sz w:val="17"/>
                <w:szCs w:val="17"/>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8"/>
                <w:szCs w:val="18"/>
                <w:color w:val="0000FF"/>
              </w:rPr>
            </w:pPr>
            <w:hyperlink r:id="rId187">
              <w:r>
                <w:rPr>
                  <w:rFonts w:ascii="Arial" w:cs="Arial" w:eastAsia="Arial" w:hAnsi="Arial"/>
                  <w:sz w:val="18"/>
                  <w:szCs w:val="18"/>
                  <w:color w:val="0000FF"/>
                </w:rPr>
                <w:t>Amended and Restated Bylaws of the Registrant</w:t>
              </w:r>
            </w:hyperlink>
            <w:r>
              <w:rPr>
                <w:rFonts w:ascii="Arial" w:cs="Arial" w:eastAsia="Arial" w:hAnsi="Arial"/>
                <w:sz w:val="18"/>
                <w:szCs w:val="18"/>
                <w:color w:val="000000"/>
              </w:rPr>
              <w:t>.</w:t>
            </w: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Description of Securities of the Registrant.</w:t>
              </w:r>
            </w:hyperlink>
          </w:p>
        </w:tc>
        <w:tc>
          <w:tcPr>
            <w:tcW w:w="400" w:type="dxa"/>
            <w:vAlign w:val="bottom"/>
            <w:tcBorders>
              <w:top w:val="single" w:sz="8" w:color="0000FF"/>
            </w:tcBorders>
            <w:gridSpan w:val="3"/>
          </w:tcPr>
          <w:p>
            <w:pPr>
              <w:spacing w:after="0"/>
              <w:rPr>
                <w:sz w:val="24"/>
                <w:szCs w:val="24"/>
                <w:color w:val="auto"/>
              </w:rPr>
            </w:pPr>
          </w:p>
        </w:tc>
        <w:tc>
          <w:tcPr>
            <w:tcW w:w="2520" w:type="dxa"/>
            <w:vAlign w:val="bottom"/>
            <w:gridSpan w:val="17"/>
          </w:tcPr>
          <w:p>
            <w:pPr>
              <w:spacing w:after="0"/>
              <w:rPr>
                <w:sz w:val="24"/>
                <w:szCs w:val="24"/>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rFonts w:ascii="Arial" w:cs="Arial" w:eastAsia="Arial" w:hAnsi="Arial"/>
                <w:sz w:val="18"/>
                <w:szCs w:val="18"/>
                <w:color w:val="0000FF"/>
                <w:w w:val="90"/>
              </w:rPr>
            </w:pPr>
            <w:hyperlink r:id="rId188">
              <w:r>
                <w:rPr>
                  <w:rFonts w:ascii="Arial" w:cs="Arial" w:eastAsia="Arial" w:hAnsi="Arial"/>
                  <w:sz w:val="18"/>
                  <w:szCs w:val="18"/>
                  <w:color w:val="0000FF"/>
                  <w:w w:val="90"/>
                </w:rPr>
                <w:t>Investors’ Rights Agreement, by and between the Registrant and certain holders of</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188">
              <w:r>
                <w:rPr>
                  <w:rFonts w:ascii="Arial" w:cs="Arial" w:eastAsia="Arial" w:hAnsi="Arial"/>
                  <w:sz w:val="18"/>
                  <w:szCs w:val="18"/>
                  <w:color w:val="0000FF"/>
                  <w:w w:val="88"/>
                </w:rPr>
                <w:t>its capital stock, dated January 30, 2015.</w:t>
              </w:r>
            </w:hyperlink>
          </w:p>
        </w:tc>
        <w:tc>
          <w:tcPr>
            <w:tcW w:w="3020" w:type="dxa"/>
            <w:vAlign w:val="bottom"/>
            <w:tcBorders>
              <w:top w:val="single" w:sz="8" w:color="0000FF"/>
            </w:tcBorders>
            <w:gridSpan w:val="19"/>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rFonts w:ascii="Arial" w:cs="Arial" w:eastAsia="Arial" w:hAnsi="Arial"/>
                <w:sz w:val="18"/>
                <w:szCs w:val="18"/>
                <w:color w:val="0000FF"/>
                <w:w w:val="93"/>
              </w:rPr>
            </w:pPr>
            <w:hyperlink r:id="rId189">
              <w:r>
                <w:rPr>
                  <w:rFonts w:ascii="Arial" w:cs="Arial" w:eastAsia="Arial" w:hAnsi="Arial"/>
                  <w:sz w:val="18"/>
                  <w:szCs w:val="18"/>
                  <w:color w:val="0000FF"/>
                  <w:w w:val="93"/>
                </w:rPr>
                <w:t>Amendment of Investors' Rights Agreement, by and between the Registrant and</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certain holders of its capital stock, dated June 19, 2015.</w:t>
              </w:r>
            </w:hyperlink>
          </w:p>
        </w:tc>
        <w:tc>
          <w:tcPr>
            <w:tcW w:w="260" w:type="dxa"/>
            <w:vAlign w:val="bottom"/>
            <w:gridSpan w:val="8"/>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60" w:type="dxa"/>
            <w:vAlign w:val="bottom"/>
            <w:tcBorders>
              <w:bottom w:val="single" w:sz="8" w:color="0000FF"/>
            </w:tcBorders>
            <w:gridSpan w:val="15"/>
          </w:tcPr>
          <w:p>
            <w:pPr>
              <w:spacing w:after="0"/>
              <w:rPr>
                <w:rFonts w:ascii="Arial" w:cs="Arial" w:eastAsia="Arial" w:hAnsi="Arial"/>
                <w:sz w:val="18"/>
                <w:szCs w:val="18"/>
                <w:color w:val="0000FF"/>
                <w:w w:val="89"/>
              </w:rPr>
            </w:pPr>
            <w:hyperlink r:id="rId190">
              <w:r>
                <w:rPr>
                  <w:rFonts w:ascii="Arial" w:cs="Arial" w:eastAsia="Arial" w:hAnsi="Arial"/>
                  <w:sz w:val="18"/>
                  <w:szCs w:val="18"/>
                  <w:color w:val="0000FF"/>
                  <w:w w:val="89"/>
                </w:rPr>
                <w:t>Second Amendment of Investors' Rights Agreement, by and between the</w:t>
              </w:r>
            </w:hyperlink>
          </w:p>
        </w:tc>
        <w:tc>
          <w:tcPr>
            <w:tcW w:w="740" w:type="dxa"/>
            <w:vAlign w:val="bottom"/>
            <w:gridSpan w:val="11"/>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6"/>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Registrant and certain holders of its capital stock, dated August 26, 2015.</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rFonts w:ascii="Arial" w:cs="Arial" w:eastAsia="Arial" w:hAnsi="Arial"/>
                <w:sz w:val="18"/>
                <w:szCs w:val="18"/>
                <w:color w:val="0000FF"/>
                <w:w w:val="92"/>
              </w:rPr>
            </w:pPr>
            <w:hyperlink r:id="rId191">
              <w:r>
                <w:rPr>
                  <w:rFonts w:ascii="Arial" w:cs="Arial" w:eastAsia="Arial" w:hAnsi="Arial"/>
                  <w:sz w:val="18"/>
                  <w:szCs w:val="18"/>
                  <w:color w:val="0000FF"/>
                  <w:w w:val="92"/>
                </w:rPr>
                <w:t>Third Amendment of Investors' Rights Agreement, by and between the Registrant</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9"/>
              </w:rPr>
            </w:pPr>
            <w:hyperlink r:id="rId191">
              <w:r>
                <w:rPr>
                  <w:rFonts w:ascii="Arial" w:cs="Arial" w:eastAsia="Arial" w:hAnsi="Arial"/>
                  <w:sz w:val="18"/>
                  <w:szCs w:val="18"/>
                  <w:color w:val="0000FF"/>
                  <w:w w:val="89"/>
                </w:rPr>
                <w:t>and certain holders of its capital stock, dated June 29, 2016.</w:t>
              </w:r>
            </w:hyperlink>
          </w:p>
        </w:tc>
        <w:tc>
          <w:tcPr>
            <w:tcW w:w="1580" w:type="dxa"/>
            <w:vAlign w:val="bottom"/>
            <w:tcBorders>
              <w:top w:val="single" w:sz="8" w:color="0000FF"/>
            </w:tcBorders>
            <w:gridSpan w:val="10"/>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60" w:type="dxa"/>
            <w:vAlign w:val="bottom"/>
            <w:tcBorders>
              <w:bottom w:val="single" w:sz="8" w:color="0000FF"/>
            </w:tcBorders>
            <w:gridSpan w:val="16"/>
          </w:tcPr>
          <w:p>
            <w:pPr>
              <w:spacing w:after="0"/>
              <w:rPr>
                <w:rFonts w:ascii="Arial" w:cs="Arial" w:eastAsia="Arial" w:hAnsi="Arial"/>
                <w:sz w:val="18"/>
                <w:szCs w:val="18"/>
                <w:color w:val="0000FF"/>
                <w:w w:val="90"/>
              </w:rPr>
            </w:pPr>
            <w:hyperlink r:id="rId192">
              <w:r>
                <w:rPr>
                  <w:rFonts w:ascii="Arial" w:cs="Arial" w:eastAsia="Arial" w:hAnsi="Arial"/>
                  <w:sz w:val="18"/>
                  <w:szCs w:val="18"/>
                  <w:color w:val="0000FF"/>
                  <w:w w:val="90"/>
                </w:rPr>
                <w:t>Amendment No. 4 to the Investors' Rights Agreement, by and between the</w:t>
              </w:r>
            </w:hyperlink>
          </w:p>
        </w:tc>
        <w:tc>
          <w:tcPr>
            <w:tcW w:w="640" w:type="dxa"/>
            <w:vAlign w:val="bottom"/>
            <w:gridSpan w:val="10"/>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92">
              <w:r>
                <w:rPr>
                  <w:rFonts w:ascii="Arial" w:cs="Arial" w:eastAsia="Arial" w:hAnsi="Arial"/>
                  <w:sz w:val="18"/>
                  <w:szCs w:val="18"/>
                  <w:color w:val="0000FF"/>
                  <w:w w:val="90"/>
                </w:rPr>
                <w:t>Registrant and certain holders of its capital stock, dated April 7, 2020.</w:t>
              </w:r>
            </w:hyperlink>
          </w:p>
        </w:tc>
        <w:tc>
          <w:tcPr>
            <w:tcW w:w="960" w:type="dxa"/>
            <w:vAlign w:val="bottom"/>
            <w:gridSpan w:val="12"/>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rFonts w:ascii="Arial" w:cs="Arial" w:eastAsia="Arial" w:hAnsi="Arial"/>
                <w:sz w:val="18"/>
                <w:szCs w:val="18"/>
                <w:color w:val="0000FF"/>
              </w:rPr>
            </w:pPr>
            <w:hyperlink r:id="rId193">
              <w:r>
                <w:rPr>
                  <w:rFonts w:ascii="Arial" w:cs="Arial" w:eastAsia="Arial" w:hAnsi="Arial"/>
                  <w:sz w:val="18"/>
                  <w:szCs w:val="18"/>
                  <w:color w:val="0000FF"/>
                </w:rPr>
                <w:t>Side Letter, by and among entities affiliated with iGlobe Partners and the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193">
              <w:r>
                <w:rPr>
                  <w:rFonts w:ascii="Arial" w:cs="Arial" w:eastAsia="Arial" w:hAnsi="Arial"/>
                  <w:sz w:val="18"/>
                  <w:szCs w:val="18"/>
                  <w:color w:val="0000FF"/>
                  <w:w w:val="89"/>
                </w:rPr>
                <w:t>Registrant, dated November 26, 2020.</w:t>
              </w:r>
            </w:hyperlink>
          </w:p>
        </w:tc>
        <w:tc>
          <w:tcPr>
            <w:tcW w:w="2520" w:type="dxa"/>
            <w:vAlign w:val="bottom"/>
            <w:tcBorders>
              <w:top w:val="single" w:sz="8" w:color="0000FF"/>
            </w:tcBorders>
            <w:gridSpan w:val="12"/>
          </w:tcPr>
          <w:p>
            <w:pPr>
              <w:spacing w:after="0"/>
              <w:rPr>
                <w:sz w:val="17"/>
                <w:szCs w:val="17"/>
                <w:color w:val="auto"/>
              </w:rPr>
            </w:pPr>
          </w:p>
        </w:tc>
        <w:tc>
          <w:tcPr>
            <w:tcW w:w="740" w:type="dxa"/>
            <w:vAlign w:val="bottom"/>
            <w:gridSpan w:val="11"/>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80" w:type="dxa"/>
            <w:vAlign w:val="bottom"/>
            <w:tcBorders>
              <w:bottom w:val="single" w:sz="8" w:color="0000FF"/>
            </w:tcBorders>
            <w:gridSpan w:val="25"/>
          </w:tcPr>
          <w:p>
            <w:pPr>
              <w:spacing w:after="0"/>
              <w:rPr>
                <w:rFonts w:ascii="Arial" w:cs="Arial" w:eastAsia="Arial" w:hAnsi="Arial"/>
                <w:sz w:val="18"/>
                <w:szCs w:val="18"/>
                <w:color w:val="0000FF"/>
                <w:w w:val="90"/>
              </w:rPr>
            </w:pPr>
            <w:hyperlink r:id="rId194">
              <w:r>
                <w:rPr>
                  <w:rFonts w:ascii="Arial" w:cs="Arial" w:eastAsia="Arial" w:hAnsi="Arial"/>
                  <w:sz w:val="18"/>
                  <w:szCs w:val="18"/>
                  <w:color w:val="0000FF"/>
                  <w:w w:val="90"/>
                </w:rPr>
                <w:t>Side Letter, by and between Innovius Capital Sirius I L.P. and the Registrant, dated</w:t>
              </w:r>
            </w:hyperlink>
          </w:p>
        </w:tc>
        <w:tc>
          <w:tcPr>
            <w:tcW w:w="2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94">
              <w:r>
                <w:rPr>
                  <w:rFonts w:ascii="Arial" w:cs="Arial" w:eastAsia="Arial" w:hAnsi="Arial"/>
                  <w:sz w:val="18"/>
                  <w:szCs w:val="18"/>
                  <w:color w:val="0000FF"/>
                  <w:w w:val="89"/>
                </w:rPr>
                <w:t>July 17, 2020.</w:t>
              </w:r>
            </w:hyperlink>
          </w:p>
        </w:tc>
        <w:tc>
          <w:tcPr>
            <w:tcW w:w="4980" w:type="dxa"/>
            <w:vAlign w:val="bottom"/>
            <w:gridSpan w:val="25"/>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Side Letter Amendment Agreement, by and between Innovius Capital Sirius I, L.P.</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and the Registrant, dated October 19, 2021.</w:t>
              </w:r>
            </w:hyperlink>
          </w:p>
        </w:tc>
        <w:tc>
          <w:tcPr>
            <w:tcW w:w="40" w:type="dxa"/>
            <w:vAlign w:val="bottom"/>
            <w:gridSpan w:val="2"/>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rFonts w:ascii="Arial" w:cs="Arial" w:eastAsia="Arial" w:hAnsi="Arial"/>
                <w:sz w:val="18"/>
                <w:szCs w:val="18"/>
                <w:color w:val="0000FF"/>
                <w:w w:val="89"/>
              </w:rPr>
            </w:pPr>
            <w:hyperlink w:anchor="page108">
              <w:r>
                <w:rPr>
                  <w:rFonts w:ascii="Arial" w:cs="Arial" w:eastAsia="Arial" w:hAnsi="Arial"/>
                  <w:sz w:val="18"/>
                  <w:szCs w:val="18"/>
                  <w:color w:val="0000FF"/>
                  <w:w w:val="89"/>
                </w:rPr>
                <w:t>Amended and Restated Senior Secured Credit Facilities Credit Agreement between</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89"/>
              </w:rPr>
            </w:pPr>
            <w:hyperlink w:anchor="page108">
              <w:r>
                <w:rPr>
                  <w:rFonts w:ascii="Arial" w:cs="Arial" w:eastAsia="Arial" w:hAnsi="Arial"/>
                  <w:sz w:val="18"/>
                  <w:szCs w:val="18"/>
                  <w:color w:val="0000FF"/>
                  <w:w w:val="89"/>
                </w:rPr>
                <w:t>Silicon Valley Bank and the Registrant, dated February 19, 2021, as amended by</w:t>
              </w:r>
            </w:hyperlink>
          </w:p>
        </w:tc>
        <w:tc>
          <w:tcPr>
            <w:tcW w:w="18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w:anchor="page108">
              <w:r>
                <w:rPr>
                  <w:rFonts w:ascii="Arial" w:cs="Arial" w:eastAsia="Arial" w:hAnsi="Arial"/>
                  <w:sz w:val="18"/>
                  <w:szCs w:val="18"/>
                  <w:color w:val="0000FF"/>
                  <w:w w:val="90"/>
                </w:rPr>
                <w:t>the First Amendment dated May 19, 2021.</w:t>
              </w:r>
            </w:hyperlink>
          </w:p>
        </w:tc>
        <w:tc>
          <w:tcPr>
            <w:tcW w:w="2940" w:type="dxa"/>
            <w:vAlign w:val="bottom"/>
            <w:gridSpan w:val="21"/>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6"/>
          </w:tcPr>
          <w:p>
            <w:pPr>
              <w:spacing w:after="0"/>
              <w:rPr>
                <w:rFonts w:ascii="Arial" w:cs="Arial" w:eastAsia="Arial" w:hAnsi="Arial"/>
                <w:sz w:val="18"/>
                <w:szCs w:val="18"/>
                <w:color w:val="0000FF"/>
                <w:w w:val="91"/>
              </w:rPr>
            </w:pPr>
            <w:hyperlink w:anchor="page260">
              <w:r>
                <w:rPr>
                  <w:rFonts w:ascii="Arial" w:cs="Arial" w:eastAsia="Arial" w:hAnsi="Arial"/>
                  <w:sz w:val="18"/>
                  <w:szCs w:val="18"/>
                  <w:color w:val="0000FF"/>
                  <w:w w:val="91"/>
                </w:rPr>
                <w:t>Second Amendment, dated March 15, 2022, to the Amended and Restated Senior</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1"/>
              </w:rPr>
            </w:pPr>
            <w:hyperlink w:anchor="page260">
              <w:r>
                <w:rPr>
                  <w:rFonts w:ascii="Arial" w:cs="Arial" w:eastAsia="Arial" w:hAnsi="Arial"/>
                  <w:sz w:val="18"/>
                  <w:szCs w:val="18"/>
                  <w:color w:val="0000FF"/>
                  <w:w w:val="91"/>
                </w:rPr>
                <w:t>Secured Credit Facilities Credit Agreement between Silicon Valley Bank and the</w:t>
              </w:r>
            </w:hyperlink>
          </w:p>
        </w:tc>
        <w:tc>
          <w:tcPr>
            <w:tcW w:w="20" w:type="dxa"/>
            <w:vAlign w:val="bottom"/>
            <w:tcBorders>
              <w:top w:val="single" w:sz="8" w:color="0000FF"/>
            </w:tcBorders>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10"/>
          </w:tcPr>
          <w:p>
            <w:pPr>
              <w:spacing w:after="0" w:line="196" w:lineRule="exact"/>
              <w:rPr>
                <w:rFonts w:ascii="Arial" w:cs="Arial" w:eastAsia="Arial" w:hAnsi="Arial"/>
                <w:sz w:val="18"/>
                <w:szCs w:val="18"/>
                <w:color w:val="0000FF"/>
                <w:w w:val="87"/>
              </w:rPr>
            </w:pPr>
            <w:hyperlink w:anchor="page260">
              <w:r>
                <w:rPr>
                  <w:rFonts w:ascii="Arial" w:cs="Arial" w:eastAsia="Arial" w:hAnsi="Arial"/>
                  <w:sz w:val="18"/>
                  <w:szCs w:val="18"/>
                  <w:color w:val="0000FF"/>
                  <w:w w:val="87"/>
                </w:rPr>
                <w:t>Registrant, dated February 19, 2021, as amended.</w:t>
              </w:r>
            </w:hyperlink>
          </w:p>
        </w:tc>
        <w:tc>
          <w:tcPr>
            <w:tcW w:w="2440" w:type="dxa"/>
            <w:vAlign w:val="bottom"/>
            <w:gridSpan w:val="16"/>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0" w:type="dxa"/>
            <w:vAlign w:val="bottom"/>
            <w:tcBorders>
              <w:bottom w:val="single" w:sz="8" w:color="0000FF"/>
            </w:tcBorders>
            <w:gridSpan w:val="19"/>
          </w:tcPr>
          <w:p>
            <w:pPr>
              <w:spacing w:after="0"/>
              <w:rPr>
                <w:rFonts w:ascii="Arial" w:cs="Arial" w:eastAsia="Arial" w:hAnsi="Arial"/>
                <w:sz w:val="18"/>
                <w:szCs w:val="18"/>
                <w:color w:val="0000FF"/>
                <w:w w:val="89"/>
              </w:rPr>
            </w:pPr>
            <w:hyperlink r:id="rId196">
              <w:r>
                <w:rPr>
                  <w:rFonts w:ascii="Arial" w:cs="Arial" w:eastAsia="Arial" w:hAnsi="Arial"/>
                  <w:sz w:val="18"/>
                  <w:szCs w:val="18"/>
                  <w:color w:val="0000FF"/>
                  <w:w w:val="89"/>
                </w:rPr>
                <w:t>Sublease Agreement between Yelp Inc. and the Registrant, dated April 27, 2021.</w:t>
              </w:r>
            </w:hyperlink>
          </w:p>
        </w:tc>
        <w:tc>
          <w:tcPr>
            <w:tcW w:w="200" w:type="dxa"/>
            <w:vAlign w:val="bottom"/>
            <w:gridSpan w:val="7"/>
          </w:tcPr>
          <w:p>
            <w:pPr>
              <w:spacing w:after="0"/>
              <w:rPr>
                <w:sz w:val="21"/>
                <w:szCs w:val="21"/>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8"/>
                <w:szCs w:val="18"/>
                <w:color w:val="0000FF"/>
              </w:rPr>
            </w:pPr>
            <w:hyperlink r:id="rId197">
              <w:r>
                <w:rPr>
                  <w:rFonts w:ascii="Arial" w:cs="Arial" w:eastAsia="Arial" w:hAnsi="Arial"/>
                  <w:sz w:val="18"/>
                  <w:szCs w:val="18"/>
                  <w:color w:val="0000FF"/>
                </w:rPr>
                <w:t>2012 Equity Incentive Plan.</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6"/>
          </w:tcPr>
          <w:p>
            <w:pPr>
              <w:spacing w:after="0"/>
              <w:rPr>
                <w:rFonts w:ascii="Arial" w:cs="Arial" w:eastAsia="Arial" w:hAnsi="Arial"/>
                <w:sz w:val="18"/>
                <w:szCs w:val="18"/>
                <w:color w:val="0000FF"/>
                <w:w w:val="95"/>
              </w:rPr>
            </w:pPr>
            <w:hyperlink r:id="rId198">
              <w:r>
                <w:rPr>
                  <w:rFonts w:ascii="Arial" w:cs="Arial" w:eastAsia="Arial" w:hAnsi="Arial"/>
                  <w:sz w:val="18"/>
                  <w:szCs w:val="18"/>
                  <w:color w:val="0000FF"/>
                  <w:w w:val="95"/>
                </w:rPr>
                <w:t>Forms of Stock Option Agreement, Notice of Stock Option Grant, and Exercise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198">
              <w:r>
                <w:rPr>
                  <w:rFonts w:ascii="Arial" w:cs="Arial" w:eastAsia="Arial" w:hAnsi="Arial"/>
                  <w:sz w:val="18"/>
                  <w:szCs w:val="18"/>
                  <w:color w:val="0000FF"/>
                </w:rPr>
                <w:t>Notice under the 2012 Equity Incentive Plan.</w:t>
              </w:r>
            </w:hyperlink>
          </w:p>
        </w:tc>
        <w:tc>
          <w:tcPr>
            <w:tcW w:w="280" w:type="dxa"/>
            <w:vAlign w:val="bottom"/>
            <w:gridSpan w:val="9"/>
          </w:tcPr>
          <w:p>
            <w:pPr>
              <w:spacing w:after="0"/>
              <w:rPr>
                <w:sz w:val="17"/>
                <w:szCs w:val="17"/>
                <w:color w:val="auto"/>
              </w:rPr>
            </w:pPr>
          </w:p>
        </w:tc>
      </w:tr>
      <w:tr>
        <w:trPr>
          <w:trHeight w:val="750"/>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top w:val="single" w:sz="8" w:color="0000FF"/>
            </w:tcBorders>
            <w:gridSpan w:val="8"/>
          </w:tcPr>
          <w:p>
            <w:pPr>
              <w:spacing w:after="0"/>
              <w:rPr>
                <w:sz w:val="24"/>
                <w:szCs w:val="2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25888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7" w:lineRule="exact"/>
        <w:rPr>
          <w:sz w:val="20"/>
          <w:szCs w:val="20"/>
          <w:color w:val="auto"/>
        </w:rPr>
      </w:pPr>
    </w:p>
    <w:p>
      <w:pPr>
        <w:ind w:right="200"/>
        <w:spacing w:after="0" w:line="316" w:lineRule="auto"/>
        <w:rPr>
          <w:sz w:val="20"/>
          <w:szCs w:val="20"/>
          <w:color w:val="auto"/>
        </w:rPr>
      </w:pPr>
      <w:r>
        <w:rPr>
          <w:rFonts w:ascii="Arial" w:cs="Arial" w:eastAsia="Arial" w:hAnsi="Arial"/>
          <w:sz w:val="16"/>
          <w:szCs w:val="16"/>
          <w:color w:val="auto"/>
        </w:rPr>
        <w:t>Exhibit 3.1 to the Registrant’s Current Report on Form 8-K (No. 001-40994) filed November 10, 2021</w:t>
      </w:r>
    </w:p>
    <w:p>
      <w:pPr>
        <w:spacing w:after="0" w:line="2" w:lineRule="exact"/>
        <w:rPr>
          <w:sz w:val="20"/>
          <w:szCs w:val="20"/>
          <w:color w:val="auto"/>
        </w:rPr>
      </w:pPr>
    </w:p>
    <w:p>
      <w:pPr>
        <w:ind w:right="200"/>
        <w:spacing w:after="0" w:line="316" w:lineRule="auto"/>
        <w:rPr>
          <w:sz w:val="20"/>
          <w:szCs w:val="20"/>
          <w:color w:val="auto"/>
        </w:rPr>
      </w:pPr>
      <w:r>
        <w:rPr>
          <w:rFonts w:ascii="Arial" w:cs="Arial" w:eastAsia="Arial" w:hAnsi="Arial"/>
          <w:sz w:val="16"/>
          <w:szCs w:val="16"/>
          <w:color w:val="auto"/>
        </w:rPr>
        <w:t>Exhibit 3.2 to the Registrant’s Current Report on Form 8-K (No. 001-40994) filed November 10,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10.1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10.2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10.3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10.4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10.5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10.19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10.20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10.22 to the Registrant’s Registration Statement on Form S-1 (No. 333-260134) filed October 26,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10.17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10.6 to the Registrant’s Registration Statement on Form S-1 (No. 333-260134) filed October 8, 2021</w:t>
      </w:r>
    </w:p>
    <w:p>
      <w:pPr>
        <w:spacing w:after="0" w:line="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Exhibit 10.7 to the Registrant’s Registration Statement on Form S-1 (No. 333-260134) filed October 8, 2021</w:t>
      </w:r>
    </w:p>
    <w:p>
      <w:pPr>
        <w:sectPr>
          <w:pgSz w:w="11900" w:h="16838" w:orient="portrait"/>
          <w:cols w:equalWidth="0" w:num="2">
            <w:col w:w="7060" w:space="120"/>
            <w:col w:w="4020"/>
          </w:cols>
          <w:pgMar w:left="320" w:top="125" w:right="379" w:bottom="1440" w:gutter="0" w:footer="0" w:header="0"/>
        </w:sectPr>
      </w:pPr>
    </w:p>
    <w:bookmarkStart w:id="96" w:name="page97"/>
    <w:bookmarkEnd w:id="96"/>
    <w:p>
      <w:pPr>
        <w:ind w:left="340"/>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40" w:type="dxa"/>
            <w:vAlign w:val="bottom"/>
            <w:gridSpan w:val="18"/>
          </w:tcPr>
          <w:p>
            <w:pPr>
              <w:ind w:left="16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20"/>
              <w:spacing w:after="0" w:line="196" w:lineRule="exact"/>
              <w:rPr>
                <w:sz w:val="20"/>
                <w:szCs w:val="20"/>
                <w:color w:val="auto"/>
              </w:rPr>
            </w:pPr>
            <w:r>
              <w:rPr>
                <w:rFonts w:ascii="Arial" w:cs="Arial" w:eastAsia="Arial" w:hAnsi="Arial"/>
                <w:sz w:val="18"/>
                <w:szCs w:val="18"/>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Forms of Restricted Stock Unit Grant Notice and Restricted Stock Unit Award</w:t>
              </w:r>
            </w:hyperlink>
          </w:p>
        </w:tc>
        <w:tc>
          <w:tcPr>
            <w:tcW w:w="360" w:type="dxa"/>
            <w:vAlign w:val="bottom"/>
            <w:gridSpan w:val="11"/>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5"/>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Agreement under the 2012 Equity Incentive Plan.</w:t>
              </w:r>
            </w:hyperlink>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top w:val="single" w:sz="8" w:color="0000FF"/>
            </w:tcBorders>
            <w:gridSpan w:val="12"/>
          </w:tcPr>
          <w:p>
            <w:pPr>
              <w:spacing w:after="0"/>
              <w:rPr>
                <w:rFonts w:ascii="Arial" w:cs="Arial" w:eastAsia="Arial" w:hAnsi="Arial"/>
                <w:sz w:val="18"/>
                <w:szCs w:val="18"/>
                <w:color w:val="0000FF"/>
              </w:rPr>
            </w:pPr>
            <w:hyperlink r:id="rId202">
              <w:r>
                <w:rPr>
                  <w:rFonts w:ascii="Arial" w:cs="Arial" w:eastAsia="Arial" w:hAnsi="Arial"/>
                  <w:sz w:val="18"/>
                  <w:szCs w:val="18"/>
                  <w:color w:val="0000FF"/>
                </w:rPr>
                <w:t>2021 Equity Incentive Plan.</w:t>
              </w:r>
            </w:hyperlink>
          </w:p>
        </w:tc>
        <w:tc>
          <w:tcPr>
            <w:tcW w:w="2440" w:type="dxa"/>
            <w:vAlign w:val="bottom"/>
            <w:gridSpan w:val="13"/>
          </w:tcPr>
          <w:p>
            <w:pPr>
              <w:spacing w:after="0"/>
              <w:rPr>
                <w:sz w:val="21"/>
                <w:szCs w:val="2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25"/>
          </w:tcPr>
          <w:p>
            <w:pPr>
              <w:spacing w:after="0"/>
              <w:rPr>
                <w:rFonts w:ascii="Arial" w:cs="Arial" w:eastAsia="Arial" w:hAnsi="Arial"/>
                <w:sz w:val="18"/>
                <w:szCs w:val="18"/>
                <w:color w:val="0000FF"/>
                <w:w w:val="95"/>
              </w:rPr>
            </w:pPr>
            <w:hyperlink r:id="rId203">
              <w:r>
                <w:rPr>
                  <w:rFonts w:ascii="Arial" w:cs="Arial" w:eastAsia="Arial" w:hAnsi="Arial"/>
                  <w:sz w:val="18"/>
                  <w:szCs w:val="18"/>
                  <w:color w:val="0000FF"/>
                  <w:w w:val="95"/>
                </w:rPr>
                <w:t>Forms of Notice of Stock Option Grant, Stock Option Agreement, and Exercise</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03">
              <w:r>
                <w:rPr>
                  <w:rFonts w:ascii="Arial" w:cs="Arial" w:eastAsia="Arial" w:hAnsi="Arial"/>
                  <w:sz w:val="18"/>
                  <w:szCs w:val="18"/>
                  <w:color w:val="0000FF"/>
                </w:rPr>
                <w:t>Notice under the 2021 Equity Incentive Plan.</w:t>
              </w:r>
            </w:hyperlink>
          </w:p>
        </w:tc>
        <w:tc>
          <w:tcPr>
            <w:tcW w:w="280" w:type="dxa"/>
            <w:vAlign w:val="bottom"/>
            <w:gridSpan w:val="8"/>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5"/>
          </w:tcPr>
          <w:p>
            <w:pPr>
              <w:spacing w:after="0"/>
              <w:rPr>
                <w:rFonts w:ascii="Arial" w:cs="Arial" w:eastAsia="Arial" w:hAnsi="Arial"/>
                <w:sz w:val="18"/>
                <w:szCs w:val="18"/>
                <w:color w:val="0000FF"/>
                <w:w w:val="91"/>
              </w:rPr>
            </w:pPr>
            <w:hyperlink r:id="rId204">
              <w:r>
                <w:rPr>
                  <w:rFonts w:ascii="Arial" w:cs="Arial" w:eastAsia="Arial" w:hAnsi="Arial"/>
                  <w:sz w:val="18"/>
                  <w:szCs w:val="18"/>
                  <w:color w:val="0000FF"/>
                  <w:w w:val="91"/>
                </w:rPr>
                <w:t>Form of Restricted Stock Unit Grant Notice and Award Agreement under the 2021</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Equity Incentive Plan.</w:t>
              </w:r>
            </w:hyperlink>
          </w:p>
        </w:tc>
        <w:tc>
          <w:tcPr>
            <w:tcW w:w="4340" w:type="dxa"/>
            <w:vAlign w:val="bottom"/>
            <w:tcBorders>
              <w:top w:val="single" w:sz="8" w:color="0000FF"/>
            </w:tcBorders>
            <w:gridSpan w:val="18"/>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5"/>
          </w:tcPr>
          <w:p>
            <w:pPr>
              <w:spacing w:after="0"/>
              <w:rPr>
                <w:rFonts w:ascii="Arial" w:cs="Arial" w:eastAsia="Arial" w:hAnsi="Arial"/>
                <w:sz w:val="18"/>
                <w:szCs w:val="18"/>
                <w:color w:val="0000FF"/>
              </w:rPr>
            </w:pPr>
            <w:hyperlink r:id="rId205">
              <w:r>
                <w:rPr>
                  <w:rFonts w:ascii="Arial" w:cs="Arial" w:eastAsia="Arial" w:hAnsi="Arial"/>
                  <w:sz w:val="18"/>
                  <w:szCs w:val="18"/>
                  <w:color w:val="0000FF"/>
                </w:rPr>
                <w:t>2021 Employee Stock Purchase Plan.</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FF"/>
            </w:tcBorders>
            <w:gridSpan w:val="18"/>
          </w:tcPr>
          <w:p>
            <w:pPr>
              <w:spacing w:after="0"/>
              <w:rPr>
                <w:rFonts w:ascii="Arial" w:cs="Arial" w:eastAsia="Arial" w:hAnsi="Arial"/>
                <w:sz w:val="18"/>
                <w:szCs w:val="18"/>
                <w:color w:val="0000FF"/>
                <w:w w:val="90"/>
              </w:rPr>
            </w:pPr>
            <w:hyperlink r:id="rId206">
              <w:r>
                <w:rPr>
                  <w:rFonts w:ascii="Arial" w:cs="Arial" w:eastAsia="Arial" w:hAnsi="Arial"/>
                  <w:sz w:val="18"/>
                  <w:szCs w:val="18"/>
                  <w:color w:val="0000FF"/>
                  <w:w w:val="90"/>
                </w:rPr>
                <w:t>Form of Indemnification Agreement entered into by and between the Registrant</w:t>
              </w:r>
            </w:hyperlink>
          </w:p>
        </w:tc>
        <w:tc>
          <w:tcPr>
            <w:tcW w:w="260" w:type="dxa"/>
            <w:vAlign w:val="bottom"/>
            <w:gridSpan w:val="7"/>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5"/>
          </w:tcPr>
          <w:p>
            <w:pPr>
              <w:spacing w:after="0" w:line="196" w:lineRule="exact"/>
              <w:rPr>
                <w:rFonts w:ascii="Arial" w:cs="Arial" w:eastAsia="Arial" w:hAnsi="Arial"/>
                <w:sz w:val="18"/>
                <w:szCs w:val="18"/>
                <w:color w:val="0000FF"/>
              </w:rPr>
            </w:pPr>
            <w:hyperlink r:id="rId206">
              <w:r>
                <w:rPr>
                  <w:rFonts w:ascii="Arial" w:cs="Arial" w:eastAsia="Arial" w:hAnsi="Arial"/>
                  <w:sz w:val="18"/>
                  <w:szCs w:val="18"/>
                  <w:color w:val="0000FF"/>
                </w:rPr>
                <w:t>and each director and executive officer.</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40" w:type="dxa"/>
            <w:vAlign w:val="bottom"/>
          </w:tcPr>
          <w:p>
            <w:pPr>
              <w:ind w:left="2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tcBorders>
              <w:bottom w:val="single" w:sz="8" w:color="0000FF"/>
            </w:tcBorders>
            <w:gridSpan w:val="10"/>
          </w:tcPr>
          <w:p>
            <w:pPr>
              <w:spacing w:after="0"/>
              <w:rPr>
                <w:rFonts w:ascii="Arial" w:cs="Arial" w:eastAsia="Arial" w:hAnsi="Arial"/>
                <w:sz w:val="18"/>
                <w:szCs w:val="18"/>
                <w:color w:val="0000FF"/>
                <w:w w:val="89"/>
              </w:rPr>
            </w:pPr>
            <w:hyperlink r:id="rId207">
              <w:r>
                <w:rPr>
                  <w:rFonts w:ascii="Arial" w:cs="Arial" w:eastAsia="Arial" w:hAnsi="Arial"/>
                  <w:sz w:val="18"/>
                  <w:szCs w:val="18"/>
                  <w:color w:val="0000FF"/>
                  <w:w w:val="89"/>
                </w:rPr>
                <w:t>Change of Control and Severance Policy.</w:t>
              </w:r>
            </w:hyperlink>
          </w:p>
        </w:tc>
        <w:tc>
          <w:tcPr>
            <w:tcW w:w="3040" w:type="dxa"/>
            <w:vAlign w:val="bottom"/>
            <w:gridSpan w:val="15"/>
          </w:tcPr>
          <w:p>
            <w:pPr>
              <w:spacing w:after="0"/>
              <w:rPr>
                <w:sz w:val="20"/>
                <w:szCs w:val="20"/>
                <w:color w:val="auto"/>
              </w:rPr>
            </w:pPr>
          </w:p>
        </w:tc>
      </w:tr>
      <w:tr>
        <w:trPr>
          <w:trHeight w:val="479"/>
        </w:trPr>
        <w:tc>
          <w:tcPr>
            <w:tcW w:w="940" w:type="dxa"/>
            <w:vAlign w:val="bottom"/>
          </w:tcPr>
          <w:p>
            <w:pPr>
              <w:ind w:left="2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Borders>
              <w:bottom w:val="single" w:sz="8" w:color="0000FF"/>
            </w:tcBorders>
            <w:gridSpan w:val="19"/>
          </w:tcPr>
          <w:p>
            <w:pPr>
              <w:spacing w:after="0"/>
              <w:rPr>
                <w:rFonts w:ascii="Arial" w:cs="Arial" w:eastAsia="Arial" w:hAnsi="Arial"/>
                <w:sz w:val="18"/>
                <w:szCs w:val="18"/>
                <w:color w:val="0000FF"/>
                <w:w w:val="89"/>
              </w:rPr>
            </w:pPr>
            <w:hyperlink r:id="rId208">
              <w:r>
                <w:rPr>
                  <w:rFonts w:ascii="Arial" w:cs="Arial" w:eastAsia="Arial" w:hAnsi="Arial"/>
                  <w:sz w:val="18"/>
                  <w:szCs w:val="18"/>
                  <w:color w:val="0000FF"/>
                  <w:w w:val="89"/>
                </w:rPr>
                <w:t>Offer Letter, by and between Tim Chen and the Registrant, dated June 25, 2021.</w:t>
              </w:r>
            </w:hyperlink>
          </w:p>
        </w:tc>
        <w:tc>
          <w:tcPr>
            <w:tcW w:w="240" w:type="dxa"/>
            <w:vAlign w:val="bottom"/>
            <w:gridSpan w:val="6"/>
          </w:tcPr>
          <w:p>
            <w:pPr>
              <w:spacing w:after="0"/>
              <w:rPr>
                <w:sz w:val="24"/>
                <w:szCs w:val="24"/>
                <w:color w:val="auto"/>
              </w:rPr>
            </w:pPr>
          </w:p>
        </w:tc>
      </w:tr>
      <w:tr>
        <w:trPr>
          <w:trHeight w:val="466"/>
        </w:trPr>
        <w:tc>
          <w:tcPr>
            <w:tcW w:w="940" w:type="dxa"/>
            <w:vAlign w:val="bottom"/>
          </w:tcPr>
          <w:p>
            <w:pPr>
              <w:ind w:left="2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Borders>
              <w:bottom w:val="single" w:sz="8" w:color="0000FF"/>
            </w:tcBorders>
            <w:gridSpan w:val="20"/>
          </w:tcPr>
          <w:p>
            <w:pPr>
              <w:spacing w:after="0"/>
              <w:rPr>
                <w:rFonts w:ascii="Arial" w:cs="Arial" w:eastAsia="Arial" w:hAnsi="Arial"/>
                <w:sz w:val="18"/>
                <w:szCs w:val="18"/>
                <w:color w:val="0000FF"/>
                <w:w w:val="89"/>
              </w:rPr>
            </w:pPr>
            <w:hyperlink r:id="rId209">
              <w:r>
                <w:rPr>
                  <w:rFonts w:ascii="Arial" w:cs="Arial" w:eastAsia="Arial" w:hAnsi="Arial"/>
                  <w:sz w:val="18"/>
                  <w:szCs w:val="18"/>
                  <w:color w:val="0000FF"/>
                  <w:w w:val="89"/>
                </w:rPr>
                <w:t>Offer Letter, by and between Lauren StClair and the Registrant, dated November</w:t>
              </w:r>
            </w:hyperlink>
          </w:p>
        </w:tc>
        <w:tc>
          <w:tcPr>
            <w:tcW w:w="180" w:type="dxa"/>
            <w:vAlign w:val="bottom"/>
            <w:gridSpan w:val="5"/>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ind w:left="20"/>
              <w:spacing w:after="0" w:line="196" w:lineRule="exact"/>
              <w:rPr>
                <w:rFonts w:ascii="Arial" w:cs="Arial" w:eastAsia="Arial" w:hAnsi="Arial"/>
                <w:sz w:val="18"/>
                <w:szCs w:val="18"/>
                <w:color w:val="0000FF"/>
                <w:w w:val="85"/>
              </w:rPr>
            </w:pPr>
            <w:hyperlink r:id="rId209">
              <w:r>
                <w:rPr>
                  <w:rFonts w:ascii="Arial" w:cs="Arial" w:eastAsia="Arial" w:hAnsi="Arial"/>
                  <w:sz w:val="18"/>
                  <w:szCs w:val="18"/>
                  <w:color w:val="0000FF"/>
                  <w:w w:val="85"/>
                </w:rPr>
                <w:t>23, 2020.</w:t>
              </w:r>
            </w:hyperlink>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5"/>
          </w:tcPr>
          <w:p>
            <w:pPr>
              <w:spacing w:after="0"/>
              <w:rPr>
                <w:rFonts w:ascii="Arial" w:cs="Arial" w:eastAsia="Arial" w:hAnsi="Arial"/>
                <w:sz w:val="18"/>
                <w:szCs w:val="18"/>
                <w:color w:val="0000FF"/>
                <w:w w:val="92"/>
              </w:rPr>
            </w:pPr>
            <w:hyperlink r:id="rId210">
              <w:r>
                <w:rPr>
                  <w:rFonts w:ascii="Arial" w:cs="Arial" w:eastAsia="Arial" w:hAnsi="Arial"/>
                  <w:sz w:val="18"/>
                  <w:szCs w:val="18"/>
                  <w:color w:val="0000FF"/>
                  <w:w w:val="92"/>
                </w:rPr>
                <w:t>Offer Letter, by and between John Caine and the Registrant, dated November 19,</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ind w:left="20"/>
              <w:spacing w:after="0" w:line="196" w:lineRule="exact"/>
              <w:rPr>
                <w:rFonts w:ascii="Arial" w:cs="Arial" w:eastAsia="Arial" w:hAnsi="Arial"/>
                <w:sz w:val="18"/>
                <w:szCs w:val="18"/>
                <w:color w:val="0000FF"/>
              </w:rPr>
            </w:pPr>
            <w:hyperlink r:id="rId210">
              <w:r>
                <w:rPr>
                  <w:rFonts w:ascii="Arial" w:cs="Arial" w:eastAsia="Arial" w:hAnsi="Arial"/>
                  <w:sz w:val="18"/>
                  <w:szCs w:val="18"/>
                  <w:color w:val="0000FF"/>
                </w:rPr>
                <w:t>2021.</w:t>
              </w:r>
            </w:hyperlink>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6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268">
              <w:r>
                <w:rPr>
                  <w:rFonts w:ascii="Arial" w:cs="Arial" w:eastAsia="Arial" w:hAnsi="Arial"/>
                  <w:sz w:val="18"/>
                  <w:szCs w:val="18"/>
                  <w:color w:val="0000FF"/>
                  <w:w w:val="90"/>
                </w:rPr>
                <w:t>Offer Letter, by and between Kelly Gillease and the Registrant, dated July 5, 2018.</w:t>
              </w:r>
            </w:hyperlink>
          </w:p>
        </w:tc>
        <w:tc>
          <w:tcPr>
            <w:tcW w:w="40" w:type="dxa"/>
            <w:vAlign w:val="bottom"/>
          </w:tcPr>
          <w:p>
            <w:pPr>
              <w:spacing w:after="0"/>
              <w:rPr>
                <w:sz w:val="21"/>
                <w:szCs w:val="2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60" w:type="dxa"/>
            <w:vAlign w:val="bottom"/>
            <w:tcBorders>
              <w:bottom w:val="single" w:sz="8" w:color="0000FF"/>
            </w:tcBorders>
            <w:gridSpan w:val="15"/>
          </w:tcPr>
          <w:p>
            <w:pPr>
              <w:spacing w:after="0"/>
              <w:rPr>
                <w:rFonts w:ascii="Arial" w:cs="Arial" w:eastAsia="Arial" w:hAnsi="Arial"/>
                <w:sz w:val="18"/>
                <w:szCs w:val="18"/>
                <w:color w:val="0000FF"/>
                <w:w w:val="89"/>
              </w:rPr>
            </w:pPr>
            <w:hyperlink r:id="rId211">
              <w:r>
                <w:rPr>
                  <w:rFonts w:ascii="Arial" w:cs="Arial" w:eastAsia="Arial" w:hAnsi="Arial"/>
                  <w:sz w:val="18"/>
                  <w:szCs w:val="18"/>
                  <w:color w:val="0000FF"/>
                  <w:w w:val="89"/>
                </w:rPr>
                <w:t>Separation Agreement, by and between Laura Onopchenko and the Registrant,</w:t>
              </w:r>
            </w:hyperlink>
          </w:p>
        </w:tc>
        <w:tc>
          <w:tcPr>
            <w:tcW w:w="340" w:type="dxa"/>
            <w:vAlign w:val="bottom"/>
            <w:gridSpan w:val="10"/>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11">
              <w:r>
                <w:rPr>
                  <w:rFonts w:ascii="Arial" w:cs="Arial" w:eastAsia="Arial" w:hAnsi="Arial"/>
                  <w:sz w:val="18"/>
                  <w:szCs w:val="18"/>
                  <w:color w:val="0000FF"/>
                  <w:w w:val="90"/>
                </w:rPr>
                <w:t>dated April 2, 2020.</w:t>
              </w:r>
            </w:hyperlink>
          </w:p>
        </w:tc>
        <w:tc>
          <w:tcPr>
            <w:tcW w:w="4560" w:type="dxa"/>
            <w:vAlign w:val="bottom"/>
            <w:gridSpan w:val="21"/>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5"/>
          </w:tcPr>
          <w:p>
            <w:pPr>
              <w:spacing w:after="0"/>
              <w:rPr>
                <w:rFonts w:ascii="Arial" w:cs="Arial" w:eastAsia="Arial" w:hAnsi="Arial"/>
                <w:sz w:val="18"/>
                <w:szCs w:val="18"/>
                <w:color w:val="0000FF"/>
              </w:rPr>
            </w:pPr>
            <w:hyperlink w:anchor="page271">
              <w:r>
                <w:rPr>
                  <w:rFonts w:ascii="Arial" w:cs="Arial" w:eastAsia="Arial" w:hAnsi="Arial"/>
                  <w:sz w:val="18"/>
                  <w:szCs w:val="18"/>
                  <w:color w:val="0000FF"/>
                </w:rPr>
                <w:t>Subsidiaries of the Registrant.</w:t>
              </w:r>
            </w:hyperlink>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60" w:type="dxa"/>
            <w:vAlign w:val="bottom"/>
            <w:tcBorders>
              <w:bottom w:val="single" w:sz="8" w:color="0000FF"/>
            </w:tcBorders>
            <w:gridSpan w:val="24"/>
          </w:tcPr>
          <w:p>
            <w:pPr>
              <w:spacing w:after="0"/>
              <w:rPr>
                <w:rFonts w:ascii="Arial" w:cs="Arial" w:eastAsia="Arial" w:hAnsi="Arial"/>
                <w:sz w:val="18"/>
                <w:szCs w:val="18"/>
                <w:color w:val="0000FF"/>
                <w:w w:val="91"/>
              </w:rPr>
            </w:pPr>
            <w:hyperlink w:anchor="page272">
              <w:r>
                <w:rPr>
                  <w:rFonts w:ascii="Arial" w:cs="Arial" w:eastAsia="Arial" w:hAnsi="Arial"/>
                  <w:sz w:val="18"/>
                  <w:szCs w:val="18"/>
                  <w:color w:val="0000FF"/>
                  <w:w w:val="91"/>
                </w:rPr>
                <w:t>Consent of Deloitte &amp; Touche LLP, independent registered public accounting firm.</w:t>
              </w:r>
            </w:hyperlink>
          </w:p>
        </w:tc>
        <w:tc>
          <w:tcPr>
            <w:tcW w:w="40" w:type="dxa"/>
            <w:vAlign w:val="bottom"/>
          </w:tcPr>
          <w:p>
            <w:pPr>
              <w:spacing w:after="0"/>
              <w:rPr>
                <w:sz w:val="21"/>
                <w:szCs w:val="21"/>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5"/>
          </w:tcPr>
          <w:p>
            <w:pPr>
              <w:spacing w:after="0"/>
              <w:rPr>
                <w:rFonts w:ascii="Arial" w:cs="Arial" w:eastAsia="Arial" w:hAnsi="Arial"/>
                <w:sz w:val="18"/>
                <w:szCs w:val="18"/>
                <w:color w:val="0000FF"/>
                <w:w w:val="94"/>
              </w:rPr>
            </w:pPr>
            <w:hyperlink w:anchor="page273">
              <w:r>
                <w:rPr>
                  <w:rFonts w:ascii="Arial" w:cs="Arial" w:eastAsia="Arial" w:hAnsi="Arial"/>
                  <w:sz w:val="18"/>
                  <w:szCs w:val="18"/>
                  <w:color w:val="0000FF"/>
                  <w:w w:val="94"/>
                </w:rPr>
                <w:t>Certification of Principal Executive Officer pursuant to Exchange Act Rules 13a-</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top w:val="single" w:sz="8" w:color="0000FF"/>
            </w:tcBorders>
            <w:gridSpan w:val="21"/>
          </w:tcPr>
          <w:p>
            <w:pPr>
              <w:spacing w:after="0" w:line="196" w:lineRule="exact"/>
              <w:rPr>
                <w:rFonts w:ascii="Arial" w:cs="Arial" w:eastAsia="Arial" w:hAnsi="Arial"/>
                <w:sz w:val="18"/>
                <w:szCs w:val="18"/>
                <w:color w:val="0000FF"/>
                <w:w w:val="91"/>
              </w:rPr>
            </w:pPr>
            <w:hyperlink w:anchor="page273">
              <w:r>
                <w:rPr>
                  <w:rFonts w:ascii="Arial" w:cs="Arial" w:eastAsia="Arial" w:hAnsi="Arial"/>
                  <w:sz w:val="18"/>
                  <w:szCs w:val="18"/>
                  <w:color w:val="0000FF"/>
                  <w:w w:val="91"/>
                </w:rPr>
                <w:t>14(a) and 15d-14(a), as adopted pursuant to Section 302 of the Sarbanes-Oxley</w:t>
              </w:r>
            </w:hyperlink>
          </w:p>
        </w:tc>
        <w:tc>
          <w:tcPr>
            <w:tcW w:w="160" w:type="dxa"/>
            <w:vAlign w:val="bottom"/>
            <w:gridSpan w:val="4"/>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73">
              <w:r>
                <w:rPr>
                  <w:rFonts w:ascii="Arial" w:cs="Arial" w:eastAsia="Arial" w:hAnsi="Arial"/>
                  <w:sz w:val="18"/>
                  <w:szCs w:val="18"/>
                  <w:color w:val="0000FF"/>
                  <w:w w:val="91"/>
                </w:rPr>
                <w:t>Act of 2002.</w:t>
              </w:r>
            </w:hyperlink>
          </w:p>
        </w:tc>
        <w:tc>
          <w:tcPr>
            <w:tcW w:w="4780" w:type="dxa"/>
            <w:vAlign w:val="bottom"/>
            <w:tcBorders>
              <w:top w:val="single" w:sz="8" w:color="0000FF"/>
            </w:tcBorders>
            <w:gridSpan w:val="13"/>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tcBorders>
              <w:bottom w:val="single" w:sz="8" w:color="0000FF"/>
            </w:tcBorders>
            <w:gridSpan w:val="20"/>
          </w:tcPr>
          <w:p>
            <w:pPr>
              <w:spacing w:after="0"/>
              <w:rPr>
                <w:rFonts w:ascii="Arial" w:cs="Arial" w:eastAsia="Arial" w:hAnsi="Arial"/>
                <w:sz w:val="18"/>
                <w:szCs w:val="18"/>
                <w:color w:val="0000FF"/>
                <w:w w:val="92"/>
              </w:rPr>
            </w:pPr>
            <w:hyperlink w:anchor="page274">
              <w:r>
                <w:rPr>
                  <w:rFonts w:ascii="Arial" w:cs="Arial" w:eastAsia="Arial" w:hAnsi="Arial"/>
                  <w:sz w:val="18"/>
                  <w:szCs w:val="18"/>
                  <w:color w:val="0000FF"/>
                  <w:w w:val="92"/>
                </w:rPr>
                <w:t>Certification of Principal Financial Officer pursuant to Exchange Act Rules 13a-</w:t>
              </w:r>
            </w:hyperlink>
          </w:p>
        </w:tc>
        <w:tc>
          <w:tcPr>
            <w:tcW w:w="180" w:type="dxa"/>
            <w:vAlign w:val="bottom"/>
            <w:gridSpan w:val="5"/>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5"/>
          </w:tcPr>
          <w:p>
            <w:pPr>
              <w:spacing w:after="0" w:line="196" w:lineRule="exact"/>
              <w:rPr>
                <w:rFonts w:ascii="Arial" w:cs="Arial" w:eastAsia="Arial" w:hAnsi="Arial"/>
                <w:sz w:val="18"/>
                <w:szCs w:val="18"/>
                <w:color w:val="0000FF"/>
                <w:w w:val="93"/>
              </w:rPr>
            </w:pPr>
            <w:hyperlink w:anchor="page274">
              <w:r>
                <w:rPr>
                  <w:rFonts w:ascii="Arial" w:cs="Arial" w:eastAsia="Arial" w:hAnsi="Arial"/>
                  <w:sz w:val="18"/>
                  <w:szCs w:val="18"/>
                  <w:color w:val="0000FF"/>
                  <w:w w:val="93"/>
                </w:rPr>
                <w:t>14(a) and 15d-14(a), as adopted pursuant to Section 302 of the Sarbanes-Oxley</w:t>
              </w:r>
            </w:hyperlink>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74">
              <w:r>
                <w:rPr>
                  <w:rFonts w:ascii="Arial" w:cs="Arial" w:eastAsia="Arial" w:hAnsi="Arial"/>
                  <w:sz w:val="18"/>
                  <w:szCs w:val="18"/>
                  <w:color w:val="0000FF"/>
                  <w:w w:val="91"/>
                </w:rPr>
                <w:t>Act of 2002.</w:t>
              </w:r>
            </w:hyperlink>
          </w:p>
        </w:tc>
        <w:tc>
          <w:tcPr>
            <w:tcW w:w="4780" w:type="dxa"/>
            <w:vAlign w:val="bottom"/>
            <w:tcBorders>
              <w:top w:val="single" w:sz="8" w:color="0000FF"/>
            </w:tcBorders>
            <w:gridSpan w:val="13"/>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250"/>
        </w:trPr>
        <w:tc>
          <w:tcPr>
            <w:tcW w:w="94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0" w:type="dxa"/>
            <w:vAlign w:val="bottom"/>
            <w:gridSpan w:val="25"/>
          </w:tcPr>
          <w:p>
            <w:pPr>
              <w:spacing w:after="0"/>
              <w:rPr>
                <w:rFonts w:ascii="Arial" w:cs="Arial" w:eastAsia="Arial" w:hAnsi="Arial"/>
                <w:sz w:val="18"/>
                <w:szCs w:val="18"/>
                <w:color w:val="0000FF"/>
                <w:w w:val="92"/>
              </w:rPr>
            </w:pPr>
            <w:hyperlink w:anchor="page276">
              <w:r>
                <w:rPr>
                  <w:rFonts w:ascii="Arial" w:cs="Arial" w:eastAsia="Arial" w:hAnsi="Arial"/>
                  <w:sz w:val="18"/>
                  <w:szCs w:val="18"/>
                  <w:color w:val="0000FF"/>
                  <w:w w:val="92"/>
                </w:rPr>
                <w:t>Certification of Principal Executive Officer pursuant to 18 U.S.C. Section 1350, as</w:t>
              </w:r>
            </w:hyperlink>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89"/>
              </w:rPr>
            </w:pPr>
            <w:hyperlink w:anchor="page276">
              <w:r>
                <w:rPr>
                  <w:rFonts w:ascii="Arial" w:cs="Arial" w:eastAsia="Arial" w:hAnsi="Arial"/>
                  <w:sz w:val="18"/>
                  <w:szCs w:val="18"/>
                  <w:color w:val="0000FF"/>
                  <w:w w:val="89"/>
                </w:rPr>
                <w:t>adopted pursuant to Section 906 of the Sarbanes-Oxley Act of 2002.</w:t>
              </w:r>
            </w:hyperlink>
          </w:p>
        </w:tc>
        <w:tc>
          <w:tcPr>
            <w:tcW w:w="1020" w:type="dxa"/>
            <w:vAlign w:val="bottom"/>
            <w:tcBorders>
              <w:top w:val="single" w:sz="8" w:color="0000FF"/>
            </w:tcBorders>
            <w:gridSpan w:val="10"/>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37"/>
        </w:trPr>
        <w:tc>
          <w:tcPr>
            <w:tcW w:w="94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25"/>
          </w:tcPr>
          <w:p>
            <w:pPr>
              <w:spacing w:after="0"/>
              <w:rPr>
                <w:rFonts w:ascii="Arial" w:cs="Arial" w:eastAsia="Arial" w:hAnsi="Arial"/>
                <w:sz w:val="18"/>
                <w:szCs w:val="18"/>
                <w:color w:val="0000FF"/>
                <w:w w:val="93"/>
              </w:rPr>
            </w:pPr>
            <w:hyperlink w:anchor="page278">
              <w:r>
                <w:rPr>
                  <w:rFonts w:ascii="Arial" w:cs="Arial" w:eastAsia="Arial" w:hAnsi="Arial"/>
                  <w:sz w:val="18"/>
                  <w:szCs w:val="18"/>
                  <w:color w:val="0000FF"/>
                  <w:w w:val="93"/>
                </w:rPr>
                <w:t>Certification of Principal Financial Officer pursuant to 18 U.S.C. Section 1350, as</w:t>
              </w:r>
            </w:hyperlink>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89"/>
              </w:rPr>
            </w:pPr>
            <w:hyperlink w:anchor="page278">
              <w:r>
                <w:rPr>
                  <w:rFonts w:ascii="Arial" w:cs="Arial" w:eastAsia="Arial" w:hAnsi="Arial"/>
                  <w:sz w:val="18"/>
                  <w:szCs w:val="18"/>
                  <w:color w:val="0000FF"/>
                  <w:w w:val="89"/>
                </w:rPr>
                <w:t>adopted pursuant to Section 906 of the Sarbanes-Oxley Act of 2002.</w:t>
              </w:r>
            </w:hyperlink>
          </w:p>
        </w:tc>
        <w:tc>
          <w:tcPr>
            <w:tcW w:w="980" w:type="dxa"/>
            <w:vAlign w:val="bottom"/>
            <w:tcBorders>
              <w:top w:val="single" w:sz="8" w:color="0000FF"/>
            </w:tcBorders>
            <w:gridSpan w:val="9"/>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249"/>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6000" w:type="dxa"/>
            <w:vAlign w:val="bottom"/>
            <w:gridSpan w:val="25"/>
          </w:tcPr>
          <w:p>
            <w:pPr>
              <w:spacing w:after="0"/>
              <w:rPr>
                <w:sz w:val="20"/>
                <w:szCs w:val="20"/>
                <w:color w:val="auto"/>
              </w:rPr>
            </w:pPr>
            <w:r>
              <w:rPr>
                <w:rFonts w:ascii="Arial" w:cs="Arial" w:eastAsia="Arial" w:hAnsi="Arial"/>
                <w:sz w:val="18"/>
                <w:szCs w:val="18"/>
                <w:color w:val="auto"/>
              </w:rPr>
              <w:t>XBRL Instance Document.(the instance document does not appear in the</w:t>
            </w:r>
          </w:p>
        </w:tc>
      </w:tr>
      <w:tr>
        <w:trPr>
          <w:trHeight w:val="203"/>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25"/>
          </w:tcPr>
          <w:p>
            <w:pPr>
              <w:spacing w:after="0" w:line="202" w:lineRule="exact"/>
              <w:rPr>
                <w:sz w:val="20"/>
                <w:szCs w:val="20"/>
                <w:color w:val="auto"/>
              </w:rPr>
            </w:pPr>
            <w:r>
              <w:rPr>
                <w:rFonts w:ascii="Arial" w:cs="Arial" w:eastAsia="Arial" w:hAnsi="Arial"/>
                <w:sz w:val="18"/>
                <w:szCs w:val="18"/>
                <w:color w:val="auto"/>
                <w:w w:val="92"/>
              </w:rPr>
              <w:t>Interactive Data File because its XBRL tags are embedded within the Inline XBRL</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0" w:type="dxa"/>
            <w:vAlign w:val="bottom"/>
            <w:gridSpan w:val="25"/>
          </w:tcPr>
          <w:p>
            <w:pPr>
              <w:spacing w:after="0"/>
              <w:rPr>
                <w:sz w:val="20"/>
                <w:szCs w:val="20"/>
                <w:color w:val="auto"/>
              </w:rPr>
            </w:pPr>
            <w:r>
              <w:rPr>
                <w:rFonts w:ascii="Arial" w:cs="Arial" w:eastAsia="Arial" w:hAnsi="Arial"/>
                <w:sz w:val="18"/>
                <w:szCs w:val="18"/>
                <w:color w:val="auto"/>
              </w:rPr>
              <w:t>document)</w:t>
            </w:r>
          </w:p>
        </w:tc>
      </w:tr>
      <w:tr>
        <w:trPr>
          <w:trHeight w:val="257"/>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2"/>
                <w:szCs w:val="22"/>
                <w:color w:val="auto"/>
              </w:rPr>
            </w:pPr>
          </w:p>
        </w:tc>
        <w:tc>
          <w:tcPr>
            <w:tcW w:w="600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r>
      <w:tr>
        <w:trPr>
          <w:trHeight w:val="729"/>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14"/>
          </w:tcPr>
          <w:p>
            <w:pPr>
              <w:jc w:val="right"/>
              <w:ind w:right="260"/>
              <w:spacing w:after="0"/>
              <w:rPr>
                <w:sz w:val="20"/>
                <w:szCs w:val="20"/>
                <w:color w:val="auto"/>
              </w:rPr>
            </w:pPr>
            <w:r>
              <w:rPr>
                <w:rFonts w:ascii="Arial" w:cs="Arial" w:eastAsia="Arial" w:hAnsi="Arial"/>
                <w:sz w:val="18"/>
                <w:szCs w:val="18"/>
                <w:color w:val="auto"/>
              </w:rPr>
              <w:t>95</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32385</wp:posOffset>
            </wp:positionV>
            <wp:extent cx="25888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57"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10.8 to the Registrant’s Registration Statement on Form S-1 (No. 333-260134) filed October 8, 2021</w:t>
      </w:r>
    </w:p>
    <w:p>
      <w:pPr>
        <w:spacing w:after="0" w:line="2" w:lineRule="exact"/>
        <w:rPr>
          <w:sz w:val="20"/>
          <w:szCs w:val="20"/>
          <w:color w:val="auto"/>
        </w:rPr>
      </w:pPr>
    </w:p>
    <w:p>
      <w:pPr>
        <w:ind w:right="80"/>
        <w:spacing w:after="0" w:line="316" w:lineRule="auto"/>
        <w:rPr>
          <w:sz w:val="20"/>
          <w:szCs w:val="20"/>
          <w:color w:val="auto"/>
        </w:rPr>
      </w:pPr>
      <w:r>
        <w:rPr>
          <w:rFonts w:ascii="Arial" w:cs="Arial" w:eastAsia="Arial" w:hAnsi="Arial"/>
          <w:sz w:val="16"/>
          <w:szCs w:val="16"/>
          <w:color w:val="auto"/>
        </w:rPr>
        <w:t>Exhibit 10.9 to the Registrant’s Registration Statement on Form S-1 (No. 333-260134) filed October 26,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10.10 to the Registrant’s Registration Statement on Form S-1 (No. 333-260134) filed October 26,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10.11 to the Registrant’s Registration Statement on Form S-1 (No. 333-260134) filed October 26,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10.12 to the Registrant’s Registration Statement on Form S-1 (No. 333-260134) filed October 26,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10.13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10.22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10.21 to the Registrant’s Registration Statement on Form S-1 (No. 333-260134) filed October 8, 2021</w:t>
      </w:r>
    </w:p>
    <w:p>
      <w:pPr>
        <w:spacing w:after="0" w:line="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10.17 to the Registrant’s Registration Statement on Form S-1 (No. 333-260134) filed October 8, 2021</w:t>
      </w:r>
    </w:p>
    <w:p>
      <w:pPr>
        <w:spacing w:after="0" w:line="2" w:lineRule="exact"/>
        <w:rPr>
          <w:sz w:val="20"/>
          <w:szCs w:val="20"/>
          <w:color w:val="auto"/>
        </w:rPr>
      </w:pPr>
    </w:p>
    <w:p>
      <w:pPr>
        <w:ind w:right="220"/>
        <w:spacing w:after="0" w:line="316" w:lineRule="auto"/>
        <w:rPr>
          <w:sz w:val="20"/>
          <w:szCs w:val="20"/>
          <w:color w:val="auto"/>
        </w:rPr>
      </w:pPr>
      <w:r>
        <w:rPr>
          <w:rFonts w:ascii="Arial" w:cs="Arial" w:eastAsia="Arial" w:hAnsi="Arial"/>
          <w:sz w:val="16"/>
          <w:szCs w:val="16"/>
          <w:color w:val="auto"/>
        </w:rPr>
        <w:t>Exhibit 10.1 to the Registrant’s Current Report on Form 8-K (No. 001-40994) filed December 14,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Exhibit 10.18 to the Registrant’s Registration Statement on Form S-1 (No. 333-260134) filed October 8,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060" w:space="120"/>
            <w:col w:w="4020"/>
          </w:cols>
          <w:pgMar w:left="320" w:top="125" w:right="379" w:bottom="1440" w:gutter="0" w:footer="0" w:header="0"/>
          <w:type w:val="continuous"/>
        </w:sectPr>
      </w:pPr>
    </w:p>
    <w:bookmarkStart w:id="97" w:name="page98"/>
    <w:bookmarkEnd w:id="97"/>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60" w:type="dxa"/>
            <w:vAlign w:val="bottom"/>
          </w:tcPr>
          <w:p>
            <w:pPr>
              <w:spacing w:after="0"/>
              <w:rPr>
                <w:sz w:val="14"/>
                <w:szCs w:val="14"/>
                <w:color w:val="auto"/>
              </w:rPr>
            </w:pPr>
          </w:p>
        </w:tc>
      </w:tr>
      <w:tr>
        <w:trPr>
          <w:trHeight w:val="18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6140" w:type="dxa"/>
            <w:vAlign w:val="bottom"/>
            <w:gridSpan w:val="2"/>
          </w:tcPr>
          <w:p>
            <w:pPr>
              <w:ind w:left="2340"/>
              <w:spacing w:after="0"/>
              <w:rPr>
                <w:sz w:val="20"/>
                <w:szCs w:val="20"/>
                <w:color w:val="auto"/>
              </w:rPr>
            </w:pPr>
            <w:r>
              <w:rPr>
                <w:rFonts w:ascii="Arial" w:cs="Arial" w:eastAsia="Arial" w:hAnsi="Arial"/>
                <w:sz w:val="14"/>
                <w:szCs w:val="14"/>
                <w:b w:val="1"/>
                <w:bCs w:val="1"/>
                <w:color w:val="auto"/>
              </w:rPr>
              <w:t>Description of Exhibit</w:t>
            </w:r>
          </w:p>
        </w:tc>
        <w:tc>
          <w:tcPr>
            <w:tcW w:w="4060" w:type="dxa"/>
            <w:vAlign w:val="bottom"/>
          </w:tcPr>
          <w:p>
            <w:pPr>
              <w:jc w:val="right"/>
              <w:ind w:right="1673"/>
              <w:spacing w:after="0"/>
              <w:rPr>
                <w:sz w:val="20"/>
                <w:szCs w:val="20"/>
                <w:color w:val="auto"/>
              </w:rPr>
            </w:pPr>
            <w:r>
              <w:rPr>
                <w:rFonts w:ascii="Arial" w:cs="Arial" w:eastAsia="Arial" w:hAnsi="Arial"/>
                <w:sz w:val="14"/>
                <w:szCs w:val="14"/>
                <w:b w:val="1"/>
                <w:bCs w:val="1"/>
                <w:color w:val="auto"/>
              </w:rPr>
              <w:t>Location</w:t>
            </w:r>
          </w:p>
        </w:tc>
      </w:tr>
      <w:tr>
        <w:trPr>
          <w:trHeight w:val="26"/>
        </w:trPr>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060" w:type="dxa"/>
            <w:vAlign w:val="bottom"/>
          </w:tcPr>
          <w:p>
            <w:pPr>
              <w:jc w:val="right"/>
              <w:ind w:right="3773"/>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060" w:type="dxa"/>
            <w:vAlign w:val="bottom"/>
          </w:tcPr>
          <w:p>
            <w:pPr>
              <w:jc w:val="right"/>
              <w:ind w:right="3773"/>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4060" w:type="dxa"/>
            <w:vAlign w:val="bottom"/>
          </w:tcPr>
          <w:p>
            <w:pPr>
              <w:jc w:val="right"/>
              <w:ind w:right="3773"/>
              <w:spacing w:after="0"/>
              <w:rPr>
                <w:sz w:val="20"/>
                <w:szCs w:val="20"/>
                <w:color w:val="auto"/>
              </w:rPr>
            </w:pPr>
            <w:r>
              <w:rPr>
                <w:rFonts w:ascii="Arial" w:cs="Arial" w:eastAsia="Arial" w:hAnsi="Arial"/>
                <w:sz w:val="18"/>
                <w:szCs w:val="18"/>
                <w:color w:val="auto"/>
              </w:rPr>
              <w:t>**</w:t>
            </w:r>
          </w:p>
        </w:tc>
      </w:tr>
      <w:tr>
        <w:trPr>
          <w:trHeight w:val="270"/>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4060" w:type="dxa"/>
            <w:vAlign w:val="bottom"/>
          </w:tcPr>
          <w:p>
            <w:pPr>
              <w:jc w:val="right"/>
              <w:ind w:right="3773"/>
              <w:spacing w:after="0"/>
              <w:rPr>
                <w:sz w:val="20"/>
                <w:szCs w:val="20"/>
                <w:color w:val="auto"/>
              </w:rPr>
            </w:pPr>
            <w:r>
              <w:rPr>
                <w:rFonts w:ascii="Arial" w:cs="Arial" w:eastAsia="Arial" w:hAnsi="Arial"/>
                <w:sz w:val="18"/>
                <w:szCs w:val="18"/>
                <w:color w:val="auto"/>
              </w:rPr>
              <w:t>**</w:t>
            </w:r>
          </w:p>
        </w:tc>
      </w:tr>
      <w:tr>
        <w:trPr>
          <w:trHeight w:val="242"/>
        </w:trPr>
        <w:tc>
          <w:tcPr>
            <w:tcW w:w="9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w:t>
            </w:r>
          </w:p>
        </w:tc>
        <w:tc>
          <w:tcPr>
            <w:tcW w:w="4060" w:type="dxa"/>
            <w:vAlign w:val="bottom"/>
          </w:tcPr>
          <w:p>
            <w:pPr>
              <w:jc w:val="right"/>
              <w:ind w:right="3773"/>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Exhibits 101).</w:t>
            </w:r>
          </w:p>
        </w:tc>
        <w:tc>
          <w:tcPr>
            <w:tcW w:w="406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7"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16" w:lineRule="exact"/>
        <w:rPr>
          <w:sz w:val="20"/>
          <w:szCs w:val="20"/>
          <w:color w:val="auto"/>
        </w:rPr>
      </w:pPr>
    </w:p>
    <w:p>
      <w:pPr>
        <w:ind w:left="280" w:hanging="272"/>
        <w:spacing w:after="0"/>
        <w:tabs>
          <w:tab w:leader="none" w:pos="280" w:val="left"/>
        </w:tabs>
        <w:numPr>
          <w:ilvl w:val="0"/>
          <w:numId w:val="54"/>
        </w:numPr>
        <w:rPr>
          <w:rFonts w:ascii="Arial" w:cs="Arial" w:eastAsia="Arial" w:hAnsi="Arial"/>
          <w:sz w:val="17"/>
          <w:szCs w:val="17"/>
          <w:color w:val="auto"/>
        </w:rPr>
      </w:pPr>
      <w:r>
        <w:rPr>
          <w:rFonts w:ascii="Arial" w:cs="Arial" w:eastAsia="Arial" w:hAnsi="Arial"/>
          <w:sz w:val="13"/>
          <w:szCs w:val="13"/>
          <w:color w:val="auto"/>
        </w:rPr>
        <w:t>The certifications attached as Exhibits 32.1 and 32.2 that accompany this Annual Report on Form 10-K are deemed furnished and not filed with the Securities and Exchange Commission and</w:t>
      </w:r>
    </w:p>
    <w:p>
      <w:pPr>
        <w:spacing w:after="0" w:line="5" w:lineRule="exact"/>
        <w:rPr>
          <w:sz w:val="20"/>
          <w:szCs w:val="20"/>
          <w:color w:val="auto"/>
        </w:rPr>
      </w:pPr>
    </w:p>
    <w:p>
      <w:pPr>
        <w:ind w:left="340" w:right="20"/>
        <w:spacing w:after="0" w:line="241" w:lineRule="auto"/>
        <w:rPr>
          <w:sz w:val="20"/>
          <w:szCs w:val="20"/>
          <w:color w:val="auto"/>
        </w:rPr>
      </w:pPr>
      <w:r>
        <w:rPr>
          <w:rFonts w:ascii="Arial" w:cs="Arial" w:eastAsia="Arial" w:hAnsi="Arial"/>
          <w:sz w:val="14"/>
          <w:szCs w:val="14"/>
          <w:color w:val="auto"/>
        </w:rPr>
        <w:t>are not to be incorporated by reference into any filing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 w:lineRule="exact"/>
        <w:rPr>
          <w:sz w:val="20"/>
          <w:szCs w:val="20"/>
          <w:color w:val="auto"/>
        </w:rPr>
      </w:pPr>
    </w:p>
    <w:p>
      <w:pPr>
        <w:jc w:val="both"/>
        <w:ind w:left="340" w:hanging="332"/>
        <w:spacing w:after="0" w:line="248" w:lineRule="auto"/>
        <w:tabs>
          <w:tab w:leader="none" w:pos="353" w:val="left"/>
        </w:tabs>
        <w:numPr>
          <w:ilvl w:val="0"/>
          <w:numId w:val="55"/>
        </w:numPr>
        <w:rPr>
          <w:rFonts w:ascii="Arial" w:cs="Arial" w:eastAsia="Arial" w:hAnsi="Arial"/>
          <w:sz w:val="14"/>
          <w:szCs w:val="14"/>
          <w:color w:val="auto"/>
        </w:rPr>
      </w:pPr>
      <w:r>
        <w:rPr>
          <w:rFonts w:ascii="Arial" w:cs="Arial" w:eastAsia="Arial" w:hAnsi="Arial"/>
          <w:sz w:val="14"/>
          <w:szCs w:val="14"/>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4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8"/>
          <w:szCs w:val="18"/>
          <w:color w:val="auto"/>
        </w:rPr>
        <w:t>(b) Financial Statement Schedules.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ind w:left="34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on March 24, 2022.</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NERDWALLET, INC.</w:t>
      </w:r>
    </w:p>
    <w:p>
      <w:pPr>
        <w:spacing w:after="0" w:line="337" w:lineRule="exact"/>
        <w:rPr>
          <w:sz w:val="20"/>
          <w:szCs w:val="20"/>
          <w:color w:val="auto"/>
        </w:rPr>
      </w:pPr>
    </w:p>
    <w:p>
      <w:pPr>
        <w:ind w:left="5560"/>
        <w:spacing w:after="0"/>
        <w:tabs>
          <w:tab w:leader="none" w:pos="6020" w:val="left"/>
        </w:tabs>
        <w:rPr>
          <w:sz w:val="20"/>
          <w:szCs w:val="20"/>
          <w:color w:val="auto"/>
        </w:rPr>
      </w:pPr>
      <w:r>
        <w:rPr>
          <w:rFonts w:ascii="Arial" w:cs="Arial" w:eastAsia="Arial" w:hAnsi="Arial"/>
          <w:sz w:val="18"/>
          <w:szCs w:val="18"/>
          <w:color w:val="auto"/>
        </w:rPr>
        <w:t>By:</w:t>
        <w:tab/>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26746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Tim Chen</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320" w:lineRule="exact"/>
        <w:rPr>
          <w:sz w:val="20"/>
          <w:szCs w:val="20"/>
          <w:color w:val="auto"/>
        </w:rPr>
      </w:pPr>
    </w:p>
    <w:p>
      <w:pPr>
        <w:ind w:left="5560"/>
        <w:spacing w:after="0"/>
        <w:tabs>
          <w:tab w:leader="none" w:pos="6020" w:val="left"/>
        </w:tabs>
        <w:rPr>
          <w:sz w:val="20"/>
          <w:szCs w:val="20"/>
          <w:color w:val="auto"/>
        </w:rPr>
      </w:pPr>
      <w:r>
        <w:rPr>
          <w:rFonts w:ascii="Arial" w:cs="Arial" w:eastAsia="Arial" w:hAnsi="Arial"/>
          <w:sz w:val="18"/>
          <w:szCs w:val="18"/>
          <w:color w:val="auto"/>
        </w:rPr>
        <w:t>By:</w:t>
        <w:tab/>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26746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Lauren StClair</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97"/>
        </w:trPr>
        <w:tc>
          <w:tcPr>
            <w:tcW w:w="2720" w:type="dxa"/>
            <w:vAlign w:val="bottom"/>
          </w:tcPr>
          <w:p>
            <w:pPr>
              <w:jc w:val="center"/>
              <w:spacing w:after="0"/>
              <w:rPr>
                <w:sz w:val="20"/>
                <w:szCs w:val="20"/>
                <w:color w:val="auto"/>
              </w:rPr>
            </w:pPr>
            <w:r>
              <w:rPr>
                <w:rFonts w:ascii="Arial" w:cs="Arial" w:eastAsia="Arial" w:hAnsi="Arial"/>
                <w:sz w:val="18"/>
                <w:szCs w:val="18"/>
                <w:color w:val="auto"/>
                <w:w w:val="92"/>
              </w:rPr>
              <w:t>/s/ Tim Chen</w:t>
            </w:r>
          </w:p>
        </w:tc>
        <w:tc>
          <w:tcPr>
            <w:tcW w:w="120" w:type="dxa"/>
            <w:vAlign w:val="bottom"/>
          </w:tcPr>
          <w:p>
            <w:pPr>
              <w:spacing w:after="0"/>
              <w:rPr>
                <w:sz w:val="24"/>
                <w:szCs w:val="24"/>
                <w:color w:val="auto"/>
              </w:rPr>
            </w:pP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c>
          <w:tcPr>
            <w:tcW w:w="0" w:type="dxa"/>
            <w:vAlign w:val="bottom"/>
          </w:tcPr>
          <w:p>
            <w:pPr>
              <w:spacing w:after="0"/>
              <w:rPr>
                <w:sz w:val="1"/>
                <w:szCs w:val="1"/>
                <w:color w:val="auto"/>
              </w:rPr>
            </w:pPr>
          </w:p>
        </w:tc>
      </w:tr>
      <w:tr>
        <w:trPr>
          <w:trHeight w:val="54"/>
        </w:trPr>
        <w:tc>
          <w:tcPr>
            <w:tcW w:w="27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680" w:type="dxa"/>
            <w:vAlign w:val="bottom"/>
            <w:gridSpan w:val="2"/>
            <w:vMerge w:val="restart"/>
          </w:tcPr>
          <w:p>
            <w:pPr>
              <w:jc w:val="center"/>
              <w:ind w:right="120"/>
              <w:spacing w:after="0" w:line="135" w:lineRule="exact"/>
              <w:rPr>
                <w:sz w:val="20"/>
                <w:szCs w:val="20"/>
                <w:color w:val="auto"/>
              </w:rPr>
            </w:pPr>
            <w:r>
              <w:rPr>
                <w:rFonts w:ascii="Arial" w:cs="Arial" w:eastAsia="Arial" w:hAnsi="Arial"/>
                <w:sz w:val="15"/>
                <w:szCs w:val="15"/>
                <w:color w:val="auto"/>
              </w:rPr>
              <w:t>Chairman of the Board of Directors</w:t>
            </w: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2"/>
              </w:rPr>
              <w:t>Tim Chen</w:t>
            </w:r>
          </w:p>
        </w:tc>
        <w:tc>
          <w:tcPr>
            <w:tcW w:w="120" w:type="dxa"/>
            <w:vAlign w:val="bottom"/>
            <w:vMerge w:val="continue"/>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2"/>
            <w:vMerge w:val="restart"/>
          </w:tcPr>
          <w:p>
            <w:pPr>
              <w:jc w:val="center"/>
              <w:ind w:right="140"/>
              <w:spacing w:after="0"/>
              <w:rPr>
                <w:sz w:val="20"/>
                <w:szCs w:val="20"/>
                <w:color w:val="auto"/>
              </w:rPr>
            </w:pPr>
            <w:r>
              <w:rPr>
                <w:rFonts w:ascii="Arial" w:cs="Arial" w:eastAsia="Arial" w:hAnsi="Arial"/>
                <w:sz w:val="18"/>
                <w:szCs w:val="18"/>
                <w:i w:val="1"/>
                <w:iCs w:val="1"/>
                <w:color w:val="auto"/>
                <w:w w:val="94"/>
              </w:rPr>
              <w:t>(Principal Executive Officer)</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0"/>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2"/>
              </w:rPr>
              <w:t>/s/ Lauren StClair</w:t>
            </w:r>
          </w:p>
        </w:tc>
        <w:tc>
          <w:tcPr>
            <w:tcW w:w="120" w:type="dxa"/>
            <w:vAlign w:val="bottom"/>
          </w:tcPr>
          <w:p>
            <w:pPr>
              <w:spacing w:after="0"/>
              <w:rPr>
                <w:sz w:val="24"/>
                <w:szCs w:val="24"/>
                <w:color w:val="auto"/>
              </w:rPr>
            </w:pP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1"/>
              </w:rPr>
              <w:t>March 24, 2022</w:t>
            </w:r>
          </w:p>
        </w:tc>
        <w:tc>
          <w:tcPr>
            <w:tcW w:w="0" w:type="dxa"/>
            <w:vAlign w:val="bottom"/>
          </w:tcPr>
          <w:p>
            <w:pPr>
              <w:spacing w:after="0"/>
              <w:rPr>
                <w:sz w:val="1"/>
                <w:szCs w:val="1"/>
                <w:color w:val="auto"/>
              </w:rPr>
            </w:pPr>
          </w:p>
        </w:tc>
      </w:tr>
      <w:tr>
        <w:trPr>
          <w:trHeight w:val="114"/>
        </w:trPr>
        <w:tc>
          <w:tcPr>
            <w:tcW w:w="272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3680" w:type="dxa"/>
            <w:vAlign w:val="bottom"/>
            <w:gridSpan w:val="2"/>
            <w:vMerge w:val="restart"/>
          </w:tcPr>
          <w:p>
            <w:pPr>
              <w:jc w:val="center"/>
              <w:ind w:right="120"/>
              <w:spacing w:after="0" w:line="202" w:lineRule="exact"/>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and</w:t>
            </w: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2"/>
              </w:rPr>
              <w:t>Lauren StClair</w:t>
            </w:r>
          </w:p>
        </w:tc>
        <w:tc>
          <w:tcPr>
            <w:tcW w:w="120" w:type="dxa"/>
            <w:vAlign w:val="bottom"/>
          </w:tcPr>
          <w:p>
            <w:pPr>
              <w:spacing w:after="0"/>
              <w:rPr>
                <w:sz w:val="6"/>
                <w:szCs w:val="6"/>
                <w:color w:val="auto"/>
              </w:rPr>
            </w:pPr>
          </w:p>
        </w:tc>
        <w:tc>
          <w:tcPr>
            <w:tcW w:w="3680" w:type="dxa"/>
            <w:vAlign w:val="bottom"/>
            <w:gridSpan w:val="2"/>
            <w:vMerge w:val="continue"/>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Jennifer Ceran</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89"/>
              </w:rPr>
              <w:t>Jennifer Ceran</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Lynne Laube</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0"/>
              </w:rPr>
              <w:t>Lynne Laube</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Thomas Loverro</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1"/>
              </w:rPr>
              <w:t>Thomas Loverro</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3"/>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D. Robinson III</w:t>
            </w:r>
          </w:p>
        </w:tc>
        <w:tc>
          <w:tcPr>
            <w:tcW w:w="120" w:type="dxa"/>
            <w:vAlign w:val="bottom"/>
          </w:tcPr>
          <w:p>
            <w:pPr>
              <w:spacing w:after="0"/>
              <w:rPr>
                <w:sz w:val="24"/>
                <w:szCs w:val="24"/>
                <w:color w:val="auto"/>
              </w:rPr>
            </w:pPr>
          </w:p>
        </w:tc>
        <w:tc>
          <w:tcPr>
            <w:tcW w:w="36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24, 2022</w:t>
            </w:r>
          </w:p>
        </w:tc>
        <w:tc>
          <w:tcPr>
            <w:tcW w:w="0" w:type="dxa"/>
            <w:vAlign w:val="bottom"/>
          </w:tcPr>
          <w:p>
            <w:pPr>
              <w:spacing w:after="0"/>
              <w:rPr>
                <w:sz w:val="1"/>
                <w:szCs w:val="1"/>
                <w:color w:val="auto"/>
              </w:rPr>
            </w:pPr>
          </w:p>
        </w:tc>
      </w:tr>
      <w:tr>
        <w:trPr>
          <w:trHeight w:val="88"/>
        </w:trPr>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1"/>
              </w:rPr>
              <w:t>James D. Robinson III</w:t>
            </w:r>
          </w:p>
        </w:tc>
        <w:tc>
          <w:tcPr>
            <w:tcW w:w="120" w:type="dxa"/>
            <w:vAlign w:val="bottom"/>
          </w:tcPr>
          <w:p>
            <w:pPr>
              <w:spacing w:after="0"/>
              <w:rPr>
                <w:sz w:val="7"/>
                <w:szCs w:val="7"/>
                <w:color w:val="auto"/>
              </w:rPr>
            </w:pPr>
          </w:p>
        </w:tc>
        <w:tc>
          <w:tcPr>
            <w:tcW w:w="3680" w:type="dxa"/>
            <w:vAlign w:val="bottom"/>
            <w:gridSpan w:val="2"/>
            <w:vMerge w:val="continue"/>
          </w:tcPr>
          <w:p>
            <w:pPr>
              <w:spacing w:after="0"/>
              <w:rPr>
                <w:sz w:val="7"/>
                <w:szCs w:val="7"/>
                <w:color w:val="auto"/>
              </w:rPr>
            </w:pPr>
          </w:p>
        </w:tc>
        <w:tc>
          <w:tcPr>
            <w:tcW w:w="2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0"/>
        </w:trPr>
        <w:tc>
          <w:tcPr>
            <w:tcW w:w="2720" w:type="dxa"/>
            <w:vAlign w:val="bottom"/>
          </w:tcPr>
          <w:p>
            <w:pPr>
              <w:spacing w:after="0"/>
              <w:rPr>
                <w:sz w:val="24"/>
                <w:szCs w:val="24"/>
                <w:color w:val="auto"/>
              </w:rPr>
            </w:pPr>
          </w:p>
        </w:tc>
        <w:tc>
          <w:tcPr>
            <w:tcW w:w="36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97</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As of the date of our Annual Report on Form 10-K of which this exhibit is a part, NerdWallet, Inc. (“we,” “our” or “us”) has one class of securities registered under Section 12 of the Securities Exchange Act of 1934, as amended (the “Exchange Act”): our Class A common stock, par value $0.0001 per share. The following is a summary of the rights of our capital stock and some of the provisions of our amended and restated certificate of incorporation and amended and restated bylaws, the investors’ rights agreement, and relevant provisions of Delaware General Corporation Law. The descriptions herein do not purport to be complete and are subject to, and qualified in their entirety by, our amended and restated certificate of incorporation, amended and restated bylaws, and investors’ rights agreement, copies of which have been filed as exhibits to our Annual Report on Form 10-K, as well as the relevant provisions of Delaware General Corporation Law.</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7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Our amended and restated certificate of incorporation provides for two classes of common stock: Class A common stock and Class B common stock. In addition, our amended and restated certificate of incorporation authorizes shares of undesignated preferred stock, the rights, preferences, and privileges of which may be designated from time to time by our board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Our authorized capital stock consists of shares, all with a par value of $0.0001 per share, of which:</w:t>
      </w:r>
    </w:p>
    <w:p>
      <w:pPr>
        <w:spacing w:after="0" w:line="166"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22"/>
          <w:szCs w:val="22"/>
          <w:color w:val="auto"/>
        </w:rPr>
        <w:t>265,000,000 shares are designated as Class A common stock;</w:t>
      </w:r>
    </w:p>
    <w:p>
      <w:pPr>
        <w:spacing w:after="0" w:line="21" w:lineRule="exact"/>
        <w:rPr>
          <w:rFonts w:ascii="Arial" w:cs="Arial" w:eastAsia="Arial" w:hAnsi="Arial"/>
          <w:sz w:val="20"/>
          <w:szCs w:val="20"/>
          <w:color w:val="auto"/>
        </w:rPr>
      </w:pPr>
    </w:p>
    <w:p>
      <w:pPr>
        <w:ind w:left="640" w:hanging="308"/>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22"/>
          <w:szCs w:val="22"/>
          <w:color w:val="auto"/>
        </w:rPr>
        <w:t>31,686,000 shares are designated as Class B common stock; and</w:t>
      </w:r>
    </w:p>
    <w:p>
      <w:pPr>
        <w:spacing w:after="0" w:line="3" w:lineRule="exact"/>
        <w:rPr>
          <w:rFonts w:ascii="Arial" w:cs="Arial" w:eastAsia="Arial" w:hAnsi="Arial"/>
          <w:sz w:val="20"/>
          <w:szCs w:val="20"/>
          <w:color w:val="auto"/>
        </w:rPr>
      </w:pPr>
    </w:p>
    <w:p>
      <w:pPr>
        <w:ind w:left="640" w:hanging="308"/>
        <w:spacing w:after="0"/>
        <w:tabs>
          <w:tab w:leader="none" w:pos="640" w:val="left"/>
        </w:tabs>
        <w:numPr>
          <w:ilvl w:val="0"/>
          <w:numId w:val="56"/>
        </w:numPr>
        <w:rPr>
          <w:rFonts w:ascii="Arial" w:cs="Arial" w:eastAsia="Arial" w:hAnsi="Arial"/>
          <w:sz w:val="20"/>
          <w:szCs w:val="20"/>
          <w:color w:val="auto"/>
        </w:rPr>
      </w:pPr>
      <w:r>
        <w:rPr>
          <w:rFonts w:ascii="Arial" w:cs="Arial" w:eastAsia="Arial" w:hAnsi="Arial"/>
          <w:sz w:val="22"/>
          <w:szCs w:val="22"/>
          <w:color w:val="auto"/>
        </w:rPr>
        <w:t>5,000,000 shares are designated as preferred stock.</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and Class B Common Stock</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with respect to voting, conversion, and transfer rights as described below and as otherwise expressly provided in our amended and restated certificate of incorporation or required by applicable law, shares of Class A common stock and Class B common stock have the same rights and privileges and rank equally, share ratably, and are identical in all respects as to all matters.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 and Distribution Rights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Subject to the prior rights of holders of all classes and series of stock at the time outstanding having prior rights as to dividends, the holders of Class A common stock and Class B common stock are entitled to receive, when, as and if declared by the board of directors, out of any of our assets legally available therefor, such dividends as may be declared from time to time by the Board of Directors. Any dividends paid to the holders of Class A common stock and Class B common stock shall be paid pro rata, on an equal priority, pari passu basis, unless different treatment of the shares of each such class is approved by the affirmative vote of the holders of the majority of the outstanding shares of the applicable class of common stock treated adversely, voting separately as a class. We will not declare or pay any dividend or make any other distribution to the holders of Class A common stock or Class B common stock payable in our securities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w:t>
      </w:r>
    </w:p>
    <w:p>
      <w:pPr>
        <w:sectPr>
          <w:pgSz w:w="11900" w:h="16838" w:orient="portrait"/>
          <w:cols w:equalWidth="0" w:num="1">
            <w:col w:w="11240"/>
          </w:cols>
          <w:pgMar w:left="320" w:top="118" w:right="339" w:bottom="1440" w:gutter="0" w:footer="0" w:header="0"/>
        </w:sectPr>
      </w:pPr>
    </w:p>
    <w:bookmarkStart w:id="100" w:name="page101"/>
    <w:bookmarkEnd w:id="100"/>
    <w:p>
      <w:pPr>
        <w:jc w:val="both"/>
        <w:spacing w:after="0" w:line="288" w:lineRule="auto"/>
        <w:rPr>
          <w:sz w:val="20"/>
          <w:szCs w:val="20"/>
          <w:color w:val="auto"/>
        </w:rPr>
      </w:pPr>
      <w:r>
        <w:rPr>
          <w:rFonts w:ascii="Arial" w:cs="Arial" w:eastAsia="Arial" w:hAnsi="Arial"/>
          <w:sz w:val="19"/>
          <w:szCs w:val="19"/>
          <w:color w:val="auto"/>
        </w:rPr>
        <w:t>without the same dividend or distribution being declared and paid to the holders of the Class B common stock if, and only if, a dividend payable in shares of Class B common stock, or rights to acquire shares of Class B common stock, as applicable, are declared and paid to the holders of Class B common stock at the same rate and with the same record date and payment date; and</w:t>
      </w:r>
    </w:p>
    <w:p>
      <w:pPr>
        <w:spacing w:after="0" w:line="1" w:lineRule="exact"/>
        <w:rPr>
          <w:sz w:val="20"/>
          <w:szCs w:val="20"/>
          <w:color w:val="auto"/>
        </w:rPr>
      </w:pPr>
    </w:p>
    <w:p>
      <w:pPr>
        <w:jc w:val="both"/>
        <w:ind w:firstLine="8"/>
        <w:spacing w:after="0" w:line="258" w:lineRule="auto"/>
        <w:tabs>
          <w:tab w:leader="none" w:pos="321" w:val="left"/>
        </w:tabs>
        <w:numPr>
          <w:ilvl w:val="0"/>
          <w:numId w:val="57"/>
        </w:numPr>
        <w:rPr>
          <w:rFonts w:ascii="Arial" w:cs="Arial" w:eastAsia="Arial" w:hAnsi="Arial"/>
          <w:sz w:val="21"/>
          <w:szCs w:val="21"/>
          <w:color w:val="auto"/>
        </w:rPr>
      </w:pPr>
      <w:r>
        <w:rPr>
          <w:rFonts w:ascii="Arial" w:cs="Arial" w:eastAsia="Arial" w:hAnsi="Arial"/>
          <w:sz w:val="21"/>
          <w:szCs w:val="21"/>
          <w:color w:val="auto"/>
        </w:rPr>
        <w:t>dividends or other distributions payable in shares of Class B common stock or rights to acquire shares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as applicable, are declared and paid to the holders of Class A common stock at the same rate and with the same record date and payment date.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 Rights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Holders of our Class A common stock and Class B common stock have identical voting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10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in order for us to, directly or indirectly, effect an asset transfer, acquisition, or liquidation event (each as defined in our amended and restated certificate of incorporation) pursuant to which the Class A common stock would not receive equivalent consideration (as defined in our amended and restated certificate of incorporation) to the Class B common stock, and there will be a separate vote of our Class B common stock in order for us to, directly or indirectly, take action in the following circumstances:</w:t>
      </w:r>
    </w:p>
    <w:p>
      <w:pPr>
        <w:spacing w:after="0" w:line="105" w:lineRule="exact"/>
        <w:rPr>
          <w:sz w:val="20"/>
          <w:szCs w:val="20"/>
          <w:color w:val="auto"/>
        </w:rPr>
      </w:pPr>
    </w:p>
    <w:p>
      <w:pPr>
        <w:jc w:val="both"/>
        <w:ind w:left="660" w:hanging="328"/>
        <w:spacing w:after="0" w:line="253" w:lineRule="auto"/>
        <w:tabs>
          <w:tab w:leader="none" w:pos="648" w:val="left"/>
        </w:tabs>
        <w:numPr>
          <w:ilvl w:val="0"/>
          <w:numId w:val="58"/>
        </w:numPr>
        <w:rPr>
          <w:rFonts w:ascii="Arial" w:cs="Arial" w:eastAsia="Arial" w:hAnsi="Arial"/>
          <w:sz w:val="20"/>
          <w:szCs w:val="20"/>
          <w:color w:val="auto"/>
        </w:rPr>
      </w:pPr>
      <w:r>
        <w:rPr>
          <w:rFonts w:ascii="Arial" w:cs="Arial" w:eastAsia="Arial" w:hAnsi="Arial"/>
          <w:sz w:val="22"/>
          <w:szCs w:val="22"/>
          <w:color w:val="auto"/>
        </w:rPr>
        <w:t>if we propose to amend, alter, or repeal any provision of our amended and restated certificate of incorporation or our amended and restated bylaws that modifies the voting, conversion, or other powers, preferences, or other special rights or privileges or restrictions of the Class B common stock;</w:t>
      </w:r>
    </w:p>
    <w:p>
      <w:pPr>
        <w:spacing w:after="0" w:line="131" w:lineRule="exact"/>
        <w:rPr>
          <w:rFonts w:ascii="Arial" w:cs="Arial" w:eastAsia="Arial" w:hAnsi="Arial"/>
          <w:sz w:val="20"/>
          <w:szCs w:val="20"/>
          <w:color w:val="auto"/>
        </w:rPr>
      </w:pPr>
    </w:p>
    <w:p>
      <w:pPr>
        <w:ind w:left="660" w:right="20" w:hanging="328"/>
        <w:spacing w:after="0" w:line="263" w:lineRule="auto"/>
        <w:tabs>
          <w:tab w:leader="none" w:pos="648" w:val="left"/>
        </w:tabs>
        <w:numPr>
          <w:ilvl w:val="0"/>
          <w:numId w:val="58"/>
        </w:numPr>
        <w:rPr>
          <w:rFonts w:ascii="Arial" w:cs="Arial" w:eastAsia="Arial" w:hAnsi="Arial"/>
          <w:sz w:val="20"/>
          <w:szCs w:val="20"/>
          <w:color w:val="auto"/>
        </w:rPr>
      </w:pPr>
      <w:r>
        <w:rPr>
          <w:rFonts w:ascii="Arial" w:cs="Arial" w:eastAsia="Arial" w:hAnsi="Arial"/>
          <w:sz w:val="22"/>
          <w:szCs w:val="22"/>
          <w:color w:val="auto"/>
        </w:rPr>
        <w:t>if we authorize any shares of capital stock, or reclassify any outstanding shares of the Class A common stock into shares, that are entitled to more than one vote for each share thereof; or</w:t>
      </w:r>
    </w:p>
    <w:p>
      <w:pPr>
        <w:spacing w:after="0" w:line="120" w:lineRule="exact"/>
        <w:rPr>
          <w:rFonts w:ascii="Arial" w:cs="Arial" w:eastAsia="Arial" w:hAnsi="Arial"/>
          <w:sz w:val="20"/>
          <w:szCs w:val="20"/>
          <w:color w:val="auto"/>
        </w:rPr>
      </w:pPr>
    </w:p>
    <w:p>
      <w:pPr>
        <w:jc w:val="both"/>
        <w:ind w:left="660" w:hanging="328"/>
        <w:spacing w:after="0" w:line="271" w:lineRule="auto"/>
        <w:tabs>
          <w:tab w:leader="none" w:pos="648" w:val="left"/>
        </w:tabs>
        <w:numPr>
          <w:ilvl w:val="0"/>
          <w:numId w:val="58"/>
        </w:numPr>
        <w:rPr>
          <w:rFonts w:ascii="Arial" w:cs="Arial" w:eastAsia="Arial" w:hAnsi="Arial"/>
          <w:sz w:val="19"/>
          <w:szCs w:val="19"/>
          <w:color w:val="auto"/>
        </w:rPr>
      </w:pPr>
      <w:r>
        <w:rPr>
          <w:rFonts w:ascii="Arial" w:cs="Arial" w:eastAsia="Arial" w:hAnsi="Arial"/>
          <w:sz w:val="21"/>
          <w:szCs w:val="21"/>
          <w:color w:val="auto"/>
        </w:rPr>
        <w:t>if we effect an asset transfer, acquisition, or liquidation event (each as defined in our amended and restated certificate of incorporation) pursuant to which the Class B common stock would not receive equivalent consideration (as defined in our amended and restated certificate of incorporation) to the Class A common stock.</w:t>
      </w:r>
    </w:p>
    <w:p>
      <w:pPr>
        <w:spacing w:after="0" w:line="11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addition, Delaware law would permit holders of Class A common stock to vote separately, as a single class, if an amendment of our amended and restated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amended and restated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w:t>
      </w:r>
    </w:p>
    <w:p>
      <w:pPr>
        <w:sectPr>
          <w:pgSz w:w="11900" w:h="16838" w:orient="portrait"/>
          <w:cols w:equalWidth="0" w:num="1">
            <w:col w:w="11240"/>
          </w:cols>
          <w:pgMar w:left="320" w:top="1185" w:right="339" w:bottom="1440" w:gutter="0" w:footer="0" w:header="0"/>
        </w:sectPr>
      </w:pPr>
    </w:p>
    <w:bookmarkStart w:id="101" w:name="page102"/>
    <w:bookmarkEnd w:id="101"/>
    <w:p>
      <w:pPr>
        <w:spacing w:after="0"/>
        <w:rPr>
          <w:sz w:val="20"/>
          <w:szCs w:val="20"/>
          <w:color w:val="auto"/>
        </w:rPr>
      </w:pPr>
      <w:r>
        <w:rPr>
          <w:rFonts w:ascii="Arial" w:cs="Arial" w:eastAsia="Arial" w:hAnsi="Arial"/>
          <w:sz w:val="21"/>
          <w:szCs w:val="21"/>
          <w:color w:val="auto"/>
        </w:rPr>
        <w:t>majority of Class A common stock could defeat that amendment to our amended and restated certificate of incorporation.</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Further, except as otherwise required by applicable law, holders of Class A common stock and Class B common stock shall not be entitled to vote on any amendment to our amended and restated certificate of incorporation that relates solely to the terms of one or more series of preferred stock if the holders of such affected series of preferred stock are entitled to vote thereon pursuant to our amended and restated certificate of incorporation or applicable law.</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Under our amended and restated certificate of incorporation,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w:t>
      </w:r>
    </w:p>
    <w:p>
      <w:pPr>
        <w:spacing w:after="0" w:line="79" w:lineRule="exact"/>
        <w:rPr>
          <w:sz w:val="20"/>
          <w:szCs w:val="20"/>
          <w:color w:val="auto"/>
        </w:rPr>
      </w:pPr>
    </w:p>
    <w:p>
      <w:pPr>
        <w:ind w:right="720"/>
        <w:spacing w:after="0" w:line="397" w:lineRule="auto"/>
        <w:rPr>
          <w:sz w:val="20"/>
          <w:szCs w:val="20"/>
          <w:color w:val="auto"/>
        </w:rPr>
      </w:pPr>
      <w:r>
        <w:rPr>
          <w:rFonts w:ascii="Arial" w:cs="Arial" w:eastAsia="Arial" w:hAnsi="Arial"/>
          <w:sz w:val="22"/>
          <w:szCs w:val="22"/>
          <w:color w:val="auto"/>
        </w:rPr>
        <w:t xml:space="preserve">Our amended and restated certificate of incorporation does not provide for cumulative voting for the election of directors. </w:t>
      </w:r>
      <w:r>
        <w:rPr>
          <w:rFonts w:ascii="Arial" w:cs="Arial" w:eastAsia="Arial" w:hAnsi="Arial"/>
          <w:sz w:val="22"/>
          <w:szCs w:val="22"/>
          <w:b w:val="1"/>
          <w:bCs w:val="1"/>
          <w:i w:val="1"/>
          <w:iCs w:val="1"/>
          <w:color w:val="auto"/>
        </w:rPr>
        <w:t>No Preemptive or Similar Rights</w:t>
      </w:r>
    </w:p>
    <w:p>
      <w:pPr>
        <w:jc w:val="both"/>
        <w:spacing w:after="0" w:line="271" w:lineRule="auto"/>
        <w:rPr>
          <w:sz w:val="20"/>
          <w:szCs w:val="20"/>
          <w:color w:val="auto"/>
        </w:rPr>
      </w:pPr>
      <w:r>
        <w:rPr>
          <w:rFonts w:ascii="Arial" w:cs="Arial" w:eastAsia="Arial" w:hAnsi="Arial"/>
          <w:sz w:val="21"/>
          <w:szCs w:val="21"/>
          <w:color w:val="auto"/>
        </w:rPr>
        <w:t>Our common stock is not entitled to preemptive rights and is not subject to redemption, or sinking fund provisions. The rights, preferences, and privileges of the holders of our common stock are subject to, and may be adversely affected by, the rights of the holders of any series of our preferred stock that we may designate and issue in the future.</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Liquidation Rights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of our liquidation, dissolution, or winding-up, upon the completion of the distributions required with respect to any series of preferred stock that may then be outstanding, or remaining assets legally available for distribution to stockholders shall be distributed on an equal priority, pro rata basis to the holders of Class A common stock and Class B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Subdivisions and Combinations</w:t>
      </w:r>
    </w:p>
    <w:p>
      <w:pPr>
        <w:spacing w:after="0" w:line="16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If we subdivide or combine in any manner outstanding shares of Class A common stock or Class B common stock, then the outstanding shares of all common stock will be subdivided or combined in the same proportion and manner.</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Conversion</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Each share of Class B common stock is convertible, at any time at the option of the holder, into one share of Class A common stock. Each share of Class B common stock will automatically convert into one share of Class A common stock upon any transfer, whether or not for value and whether voluntary or involuntary or by operation of law, except for certain transfers for tax and estate planning purposes so long as the transferring holder continues to hold sole voting and dispositive power, or has the direct or indirect power to replace any person having voting or dispositive power, over the applicable shares after such transfer, as described in our amended and restated certificate of incorporation, or to an entity approved by the holders of Class B common stock and a majority of the independent directors. In addition, all the outstanding shares of Class B common stock will convert automatically into Class A common stock, on a one-to-one basis, on the earlier to occur of (1) nine months following the death or permanent incapacity of Tim Chen, our Co-founder, Chief Executive Officer and Chairman of our Board of Directors, and (2) the first trading day that falls nine months after the date on which there are</w:t>
      </w:r>
    </w:p>
    <w:p>
      <w:pPr>
        <w:sectPr>
          <w:pgSz w:w="11900" w:h="16838" w:orient="portrait"/>
          <w:cols w:equalWidth="0" w:num="1">
            <w:col w:w="11240"/>
          </w:cols>
          <w:pgMar w:left="320" w:top="1185" w:right="339" w:bottom="1440" w:gutter="0" w:footer="0" w:header="0"/>
        </w:sectPr>
      </w:pPr>
    </w:p>
    <w:bookmarkStart w:id="102" w:name="page103"/>
    <w:bookmarkEnd w:id="102"/>
    <w:p>
      <w:pPr>
        <w:jc w:val="both"/>
        <w:spacing w:after="0" w:line="263" w:lineRule="auto"/>
        <w:rPr>
          <w:sz w:val="20"/>
          <w:szCs w:val="20"/>
          <w:color w:val="auto"/>
        </w:rPr>
      </w:pPr>
      <w:r>
        <w:rPr>
          <w:rFonts w:ascii="Arial" w:cs="Arial" w:eastAsia="Arial" w:hAnsi="Arial"/>
          <w:sz w:val="22"/>
          <w:szCs w:val="22"/>
          <w:color w:val="auto"/>
        </w:rPr>
        <w:t>outstanding less than 10,000,000 shares of Class B common stock (subject to adjustment for stock splits, stock dividends, stock combinations and the like). Our Class A common stock is not subject to conversion provisions.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 Rights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Holders of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Applicable insurance laws restrict the ability of our insurance subsidiary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subsidiary may in the future adopt statutory provisions more restrictive than those currently in effect.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Right to Receive Liquidation Distributions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Matters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common stock does not have preemptive rights pursuant to the terms of our amended and restated certificate of incorporation and our amended and restated bylaws. There are no redemption or sinking fund provisions applicable to the common stock. All outstanding shares of our common stock are fully paid and non-assessable.</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Preferred Stock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 and we have no present plan to issue any shares of preferred stock.</w:t>
      </w:r>
    </w:p>
    <w:p>
      <w:pPr>
        <w:sectPr>
          <w:pgSz w:w="11900" w:h="16838" w:orient="portrait"/>
          <w:cols w:equalWidth="0" w:num="1">
            <w:col w:w="11240"/>
          </w:cols>
          <w:pgMar w:left="320" w:top="1185" w:right="3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i w:val="1"/>
          <w:iCs w:val="1"/>
          <w:color w:val="auto"/>
        </w:rPr>
        <w:t>Registration Rights</w:t>
      </w:r>
    </w:p>
    <w:p>
      <w:pPr>
        <w:spacing w:after="0" w:line="1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We are party to an investors’ rights agreement and other letter agreements that provide that certain holders of our Class A common Stock, including certain holders of at least 1% of our outstanding capital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Generally, in an underwritten offering, the managing underwriter, if any, has the right, subject to specified conditions, to limit the number of shares such holders may include. The demand, piggyback and Form S-3 registration rights described below will expire three years after the closing of our initial public offering, or with respect to any particular stockholder, such time after the closing of our initial public offering that such stockholder can sell all of its shares entitled to registration rights under Rule 144 of the Securities Act during any 90-day period.</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Demand Registration Rights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holders of an aggregate of 7,515,584 shares of our Class A common stock are entitled to certain demand registration rights. At any time after May 3, 2022, certain holders of these shares may request that we register all or a portion of the registrable shares. We are obligated to effect only one such registration. Such request for registration must cover at least 40% of then outstanding registrable securities (or a lesser percent if the anticipated aggregate offering price, before deduction of underwriting discounts and commissions, is at least $25 million).</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Piggyback Registration Rights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the event that we propose to register any of our securities under the Securities Act, either for our own account or for the account of other security holders, the holders of an aggregate of 15,613,994 shares of our Class A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employee benefit plan, (ii) the offer and sale of debt securities or the stock issuable upon conversion thereof, (iii) any corporate reorganization or transaction under Rule 145 of the Securities Act, including any registration statements related to the issuance or resale of securities issued in such a transaction, or (iv) a registration on any form that does not include substantially the same information as would be required to be included a registration statement covering the sale of the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sectPr>
          <w:pgSz w:w="11900" w:h="16838" w:orient="portrait"/>
          <w:cols w:equalWidth="0" w:num="1">
            <w:col w:w="11240"/>
          </w:cols>
          <w:pgMar w:left="320" w:top="1185"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i w:val="1"/>
          <w:iCs w:val="1"/>
          <w:color w:val="auto"/>
        </w:rPr>
        <w:t>Form S-3 Registration Rights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holders of an aggregate of 7,515,584 shares of Class A common stock are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$5 million. We are not required to effect more than two registrations on Form S-3 within any 12-month period.</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Anti-Takeover Effects of Delaware Law and Our Certificate of Incorporation and Bylaws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Dual class stock</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As described above in “Class A and Class B Common Stock-Voting Rights,” our amended and restated certificate of incorporation provides for a dual class common stock structure, which provides our Co-founder and current Chief Executive Officer and Chairman of the Board of Directors with significant influence over all matters requiring stockholder approval, including the election of directors and significant corporate transactions, such as a merger or other sale of our company or our assets.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Stockholder Meetings</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amended and restated bylaws provide that a special meeting of stockholders may be called only by the chairperson of our Board of Directors, our Chief Executive Officer, by a holder of more than 21,000,000 shares of Class B common stock (subject to adjustment for stock splits, stock dividends, stock combinations and the like), or by a resolution adopted by a majority of our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Requirements for Advance Notification of Stockholder Nominations and Proposals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ectPr>
          <w:pgSz w:w="11900" w:h="16838" w:orient="portrait"/>
          <w:cols w:equalWidth="0" w:num="1">
            <w:col w:w="11240"/>
          </w:cols>
          <w:pgMar w:left="320" w:top="1185"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b w:val="1"/>
          <w:bCs w:val="1"/>
          <w:i w:val="1"/>
          <w:iCs w:val="1"/>
          <w:color w:val="auto"/>
        </w:rPr>
        <w:t>Elimination of Stockholder Action by Written Consent</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Our amended and restated certificate of incorporation and amended and restated bylaws eliminate the right of stockholders to act by written consent without a meeting unless specifically authorized therein with respect to matters upon which the holders of Class B common stock have a separate vote.</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Removal of Directors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Stockholders Not Entitled to Cumulative Voting</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Delaware Anti-Takeover Statute</w:t>
      </w:r>
    </w:p>
    <w:p>
      <w:pPr>
        <w:spacing w:after="0" w:line="16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Choice of Forum</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Our amended and restated certificate of incorporation provides that the Court of Chancery of the State of Delaware is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This choice of forum provision does not apply to suits brought to enforce a duty or liability created by the Securities Act or the Exchange Act, or any claim for which the federal courts have exclusive jurisdiction. Our amended and restated certificate of incorporation further provides that, unless we consent in writing to the selection of an alternative forum, to the fullest extent permitted by law, the federal district courts of the United States of America will be the exclusive forum for resolving any complaint asserting a cause</w:t>
      </w:r>
    </w:p>
    <w:p>
      <w:pPr>
        <w:sectPr>
          <w:pgSz w:w="11900" w:h="16838" w:orient="portrait"/>
          <w:cols w:equalWidth="0" w:num="1">
            <w:col w:w="11240"/>
          </w:cols>
          <w:pgMar w:left="320" w:top="1185" w:right="339" w:bottom="1440" w:gutter="0" w:footer="0" w:header="0"/>
        </w:sectPr>
      </w:pPr>
    </w:p>
    <w:bookmarkStart w:id="106" w:name="page107"/>
    <w:bookmarkEnd w:id="106"/>
    <w:p>
      <w:pPr>
        <w:jc w:val="both"/>
        <w:spacing w:after="0" w:line="312" w:lineRule="auto"/>
        <w:rPr>
          <w:sz w:val="20"/>
          <w:szCs w:val="20"/>
          <w:color w:val="auto"/>
        </w:rPr>
      </w:pPr>
      <w:r>
        <w:rPr>
          <w:rFonts w:ascii="Arial" w:cs="Arial" w:eastAsia="Arial" w:hAnsi="Arial"/>
          <w:sz w:val="19"/>
          <w:szCs w:val="19"/>
          <w:color w:val="auto"/>
        </w:rPr>
        <w:t>or causes of action arising under the Securities Act, including all causes of action asserted against any defendant to such complaint. 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Amendment of Charter Provisions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Transfer Agent and Registrar</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transfer agent and registrar for our Class A common stock is Broadridge Corporate Issuer Solutions, Inc. The transfer agent and registrar’s address is 51 Mercedes Way, Edgewood, New York 11717.</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Exchange Listing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Our Class A common stock is listed on Nasdaq under the symbol “NRDS.”</w:t>
      </w:r>
    </w:p>
    <w:p>
      <w:pPr>
        <w:sectPr>
          <w:pgSz w:w="11900" w:h="16838" w:orient="portrait"/>
          <w:cols w:equalWidth="0" w:num="1">
            <w:col w:w="11240"/>
          </w:cols>
          <w:pgMar w:left="320" w:top="1185"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spacing w:after="0"/>
        <w:rPr>
          <w:sz w:val="20"/>
          <w:szCs w:val="20"/>
          <w:color w:val="auto"/>
        </w:rPr>
      </w:pPr>
      <w:r>
        <w:rPr>
          <w:rFonts w:ascii="Arial" w:cs="Arial" w:eastAsia="Arial" w:hAnsi="Arial"/>
          <w:sz w:val="20"/>
          <w:szCs w:val="20"/>
          <w:b w:val="1"/>
          <w:bCs w:val="1"/>
          <w:color w:val="auto"/>
        </w:rPr>
        <w:t>AMENDED AND RESTATED SENIOR SECURED CREDIT FACILITIES</w:t>
      </w:r>
    </w:p>
    <w:p>
      <w:pPr>
        <w:spacing w:after="0" w:line="200" w:lineRule="exact"/>
        <w:rPr>
          <w:sz w:val="20"/>
          <w:szCs w:val="20"/>
          <w:color w:val="auto"/>
        </w:rPr>
      </w:pPr>
    </w:p>
    <w:p>
      <w:pPr>
        <w:spacing w:after="0" w:line="245"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CREDIT AGREEMENT</w:t>
      </w:r>
    </w:p>
    <w:p>
      <w:pPr>
        <w:spacing w:after="0" w:line="200" w:lineRule="exact"/>
        <w:rPr>
          <w:sz w:val="20"/>
          <w:szCs w:val="20"/>
          <w:color w:val="auto"/>
        </w:rPr>
      </w:pPr>
    </w:p>
    <w:p>
      <w:pPr>
        <w:spacing w:after="0" w:line="26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dated as of February 19, 2021,</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NERDWALLET, INC.</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w:t>
      </w:r>
    </w:p>
    <w:p>
      <w:pPr>
        <w:jc w:val="center"/>
        <w:ind w:right="1100"/>
        <w:spacing w:after="0"/>
        <w:rPr>
          <w:sz w:val="20"/>
          <w:szCs w:val="20"/>
          <w:color w:val="auto"/>
        </w:rPr>
      </w:pPr>
      <w:r>
        <w:rPr>
          <w:rFonts w:ascii="Arial" w:cs="Arial" w:eastAsia="Arial" w:hAnsi="Arial"/>
          <w:sz w:val="20"/>
          <w:szCs w:val="20"/>
          <w:b w:val="1"/>
          <w:bCs w:val="1"/>
          <w:color w:val="auto"/>
        </w:rPr>
        <w:t>NERDWALLET COMPARE, INC.,</w:t>
      </w:r>
    </w:p>
    <w:p>
      <w:pPr>
        <w:spacing w:after="0" w:line="254"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jointly and severally, individually and collectively,</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the Borrower,</w:t>
      </w:r>
    </w:p>
    <w:p>
      <w:pPr>
        <w:spacing w:after="0" w:line="194"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auto"/>
        </w:rPr>
        <w:t>THE SEVERAL LENDERS FROM TIME TO TIME PARTY HERETO,</w:t>
      </w:r>
    </w:p>
    <w:p>
      <w:pPr>
        <w:spacing w:after="0" w:line="200" w:lineRule="exact"/>
        <w:rPr>
          <w:sz w:val="20"/>
          <w:szCs w:val="20"/>
          <w:color w:val="auto"/>
        </w:rPr>
      </w:pPr>
    </w:p>
    <w:p>
      <w:pPr>
        <w:spacing w:after="0" w:line="245"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SILICON VALLEY BANK,</w:t>
      </w:r>
    </w:p>
    <w:p>
      <w:pPr>
        <w:spacing w:after="0" w:line="200" w:lineRule="exact"/>
        <w:rPr>
          <w:sz w:val="20"/>
          <w:szCs w:val="20"/>
          <w:color w:val="auto"/>
        </w:rPr>
      </w:pPr>
    </w:p>
    <w:p>
      <w:pPr>
        <w:spacing w:after="0" w:line="265"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as Administrative Agent, Issuing Lender and Swingline Lender,</w:t>
      </w:r>
    </w:p>
    <w:p>
      <w:pPr>
        <w:spacing w:after="0" w:line="200" w:lineRule="exact"/>
        <w:rPr>
          <w:sz w:val="20"/>
          <w:szCs w:val="20"/>
          <w:color w:val="auto"/>
        </w:rPr>
      </w:pPr>
    </w:p>
    <w:p>
      <w:pPr>
        <w:spacing w:after="0" w:line="24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SILICON VALLEY BANK,</w:t>
      </w:r>
    </w:p>
    <w:p>
      <w:pPr>
        <w:spacing w:after="0" w:line="222"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as Lead Arranger,</w:t>
      </w:r>
    </w:p>
    <w:p>
      <w:pPr>
        <w:sectPr>
          <w:pgSz w:w="11900" w:h="16838" w:orient="portrait"/>
          <w:cols w:equalWidth="0" w:num="1">
            <w:col w:w="10120"/>
          </w:cols>
          <w:pgMar w:left="144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6"/>
        </w:trPr>
        <w:tc>
          <w:tcPr>
            <w:tcW w:w="9240" w:type="dxa"/>
            <w:vAlign w:val="bottom"/>
            <w:gridSpan w:val="2"/>
          </w:tcPr>
          <w:p>
            <w:pPr>
              <w:spacing w:after="0"/>
              <w:rPr>
                <w:sz w:val="20"/>
                <w:szCs w:val="20"/>
                <w:color w:val="auto"/>
              </w:rPr>
            </w:pPr>
            <w:r>
              <w:rPr>
                <w:rFonts w:ascii="Arial" w:cs="Arial" w:eastAsia="Arial" w:hAnsi="Arial"/>
                <w:sz w:val="20"/>
                <w:szCs w:val="20"/>
                <w:color w:val="auto"/>
              </w:rPr>
              <w:t>SECTION 1 DEFINITIONS</w:t>
            </w:r>
          </w:p>
        </w:tc>
        <w:tc>
          <w:tcPr>
            <w:tcW w:w="19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1.1</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Defined Terms</w:t>
            </w:r>
          </w:p>
        </w:tc>
        <w:tc>
          <w:tcPr>
            <w:tcW w:w="19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1.2</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Other Definitional Provisions.</w:t>
            </w:r>
          </w:p>
        </w:tc>
        <w:tc>
          <w:tcPr>
            <w:tcW w:w="19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1.3</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Rounding</w:t>
            </w:r>
          </w:p>
        </w:tc>
        <w:tc>
          <w:tcPr>
            <w:tcW w:w="19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1.4</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Exchange Rates.</w:t>
            </w:r>
          </w:p>
        </w:tc>
        <w:tc>
          <w:tcPr>
            <w:tcW w:w="19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1.5</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Alternative Currencies.</w:t>
            </w:r>
          </w:p>
        </w:tc>
        <w:tc>
          <w:tcPr>
            <w:tcW w:w="19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1.6</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Limited Condition Acquisitions</w:t>
            </w:r>
          </w:p>
        </w:tc>
        <w:tc>
          <w:tcPr>
            <w:tcW w:w="19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91"/>
        </w:trPr>
        <w:tc>
          <w:tcPr>
            <w:tcW w:w="9240" w:type="dxa"/>
            <w:vAlign w:val="bottom"/>
            <w:gridSpan w:val="2"/>
          </w:tcPr>
          <w:p>
            <w:pPr>
              <w:spacing w:after="0"/>
              <w:rPr>
                <w:sz w:val="20"/>
                <w:szCs w:val="20"/>
                <w:color w:val="auto"/>
              </w:rPr>
            </w:pPr>
            <w:r>
              <w:rPr>
                <w:rFonts w:ascii="Arial" w:cs="Arial" w:eastAsia="Arial" w:hAnsi="Arial"/>
                <w:sz w:val="20"/>
                <w:szCs w:val="20"/>
                <w:color w:val="auto"/>
              </w:rPr>
              <w:t>SECTION 2 AMOUNT AND TERMS OF COMMITMENTS</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2.3</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2.4</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Revolving Commitments.</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2.5</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Procedure for Revolving Loan Borrowing</w:t>
            </w:r>
          </w:p>
        </w:tc>
        <w:tc>
          <w:tcPr>
            <w:tcW w:w="1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2.6</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Swingline Commitment</w:t>
            </w:r>
          </w:p>
        </w:tc>
        <w:tc>
          <w:tcPr>
            <w:tcW w:w="19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2.7</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Procedure for Swingline Borrowing; Refunding of Swingline Loans.</w:t>
            </w:r>
          </w:p>
        </w:tc>
        <w:tc>
          <w:tcPr>
            <w:tcW w:w="19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2.8</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Overadvances</w:t>
            </w:r>
          </w:p>
        </w:tc>
        <w:tc>
          <w:tcPr>
            <w:tcW w:w="19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2.9</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Fees.</w:t>
            </w:r>
          </w:p>
        </w:tc>
        <w:tc>
          <w:tcPr>
            <w:tcW w:w="19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2.10</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Termination or Reduction of Revolving Commitments; Prepayments.</w:t>
            </w:r>
          </w:p>
        </w:tc>
        <w:tc>
          <w:tcPr>
            <w:tcW w:w="19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2.11</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2.12</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2.13</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Conversion and Continuation Options.</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2.14</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Limitations on Eurodollar Tranches</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2.15</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Interest Rates and Payment Dates.</w:t>
            </w:r>
          </w:p>
        </w:tc>
        <w:tc>
          <w:tcPr>
            <w:tcW w:w="19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2.16</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Computation of Interest and Fees.</w:t>
            </w:r>
          </w:p>
        </w:tc>
        <w:tc>
          <w:tcPr>
            <w:tcW w:w="19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92"/>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2.17</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Inability to Determine Interest Rate.</w:t>
            </w:r>
          </w:p>
        </w:tc>
        <w:tc>
          <w:tcPr>
            <w:tcW w:w="19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2.18</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Pro Rata Treatment and Payments.</w:t>
            </w:r>
          </w:p>
        </w:tc>
        <w:tc>
          <w:tcPr>
            <w:tcW w:w="19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2.19</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Illegality; Requirements of Law.</w:t>
            </w:r>
          </w:p>
        </w:tc>
        <w:tc>
          <w:tcPr>
            <w:tcW w:w="19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2.20</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Taxes.</w:t>
            </w:r>
          </w:p>
        </w:tc>
        <w:tc>
          <w:tcPr>
            <w:tcW w:w="19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2.21</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Indemnity</w:t>
            </w:r>
          </w:p>
        </w:tc>
        <w:tc>
          <w:tcPr>
            <w:tcW w:w="1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2.22</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Change of Lending Office</w:t>
            </w:r>
          </w:p>
        </w:tc>
        <w:tc>
          <w:tcPr>
            <w:tcW w:w="1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2.23</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Substitution of Lenders</w:t>
            </w:r>
          </w:p>
        </w:tc>
        <w:tc>
          <w:tcPr>
            <w:tcW w:w="196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91"/>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2.24</w:t>
            </w:r>
          </w:p>
        </w:tc>
        <w:tc>
          <w:tcPr>
            <w:tcW w:w="7720" w:type="dxa"/>
            <w:vAlign w:val="bottom"/>
          </w:tcPr>
          <w:p>
            <w:pPr>
              <w:ind w:left="320"/>
              <w:spacing w:after="0"/>
              <w:rPr>
                <w:sz w:val="20"/>
                <w:szCs w:val="20"/>
                <w:color w:val="auto"/>
              </w:rPr>
            </w:pPr>
            <w:r>
              <w:rPr>
                <w:rFonts w:ascii="Arial" w:cs="Arial" w:eastAsia="Arial" w:hAnsi="Arial"/>
                <w:sz w:val="20"/>
                <w:szCs w:val="20"/>
                <w:b w:val="1"/>
                <w:bCs w:val="1"/>
                <w:color w:val="auto"/>
              </w:rPr>
              <w:t>Defaulting Lenders.</w:t>
            </w:r>
          </w:p>
        </w:tc>
        <w:tc>
          <w:tcPr>
            <w:tcW w:w="1960" w:type="dxa"/>
            <w:vAlign w:val="bottom"/>
          </w:tcPr>
          <w:p>
            <w:pPr>
              <w:jc w:val="right"/>
              <w:spacing w:after="0"/>
              <w:rPr>
                <w:sz w:val="20"/>
                <w:szCs w:val="20"/>
                <w:color w:val="auto"/>
              </w:rPr>
            </w:pPr>
            <w:r>
              <w:rPr>
                <w:rFonts w:ascii="Arial" w:cs="Arial" w:eastAsia="Arial" w:hAnsi="Arial"/>
                <w:sz w:val="20"/>
                <w:szCs w:val="20"/>
                <w:color w:val="auto"/>
              </w:rPr>
              <w:t>57</w:t>
            </w:r>
          </w:p>
        </w:tc>
      </w:tr>
    </w:tbl>
    <w:p>
      <w:pPr>
        <w:sectPr>
          <w:pgSz w:w="11900" w:h="16838" w:orient="portrait"/>
          <w:cols w:equalWidth="0" w:num="1">
            <w:col w:w="11200"/>
          </w:cols>
          <w:pgMar w:left="340" w:top="115" w:right="3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2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290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6"/>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2.25</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Joint and Several Liability of the Borrowers.</w:t>
            </w:r>
          </w:p>
        </w:tc>
        <w:tc>
          <w:tcPr>
            <w:tcW w:w="290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2.26</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Notes</w:t>
            </w:r>
          </w:p>
        </w:tc>
        <w:tc>
          <w:tcPr>
            <w:tcW w:w="29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2.27</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Incremental Facility</w:t>
            </w:r>
          </w:p>
        </w:tc>
        <w:tc>
          <w:tcPr>
            <w:tcW w:w="29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78"/>
        </w:trPr>
        <w:tc>
          <w:tcPr>
            <w:tcW w:w="8300" w:type="dxa"/>
            <w:vAlign w:val="bottom"/>
            <w:gridSpan w:val="2"/>
          </w:tcPr>
          <w:p>
            <w:pPr>
              <w:spacing w:after="0"/>
              <w:rPr>
                <w:sz w:val="20"/>
                <w:szCs w:val="20"/>
                <w:color w:val="auto"/>
              </w:rPr>
            </w:pPr>
            <w:r>
              <w:rPr>
                <w:rFonts w:ascii="Arial" w:cs="Arial" w:eastAsia="Arial" w:hAnsi="Arial"/>
                <w:sz w:val="20"/>
                <w:szCs w:val="20"/>
                <w:color w:val="auto"/>
              </w:rPr>
              <w:t>SECTION 3 LETTERS OF CREDIT</w:t>
            </w:r>
          </w:p>
        </w:tc>
        <w:tc>
          <w:tcPr>
            <w:tcW w:w="29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3.1</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L/C Commitment.</w:t>
            </w:r>
          </w:p>
        </w:tc>
        <w:tc>
          <w:tcPr>
            <w:tcW w:w="290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3.2</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Procedure for Issuance of Letters of Credit</w:t>
            </w:r>
          </w:p>
        </w:tc>
        <w:tc>
          <w:tcPr>
            <w:tcW w:w="290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3.3</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Fees and Other Charges.</w:t>
            </w:r>
          </w:p>
        </w:tc>
        <w:tc>
          <w:tcPr>
            <w:tcW w:w="29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3.4</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L/C Participations; Existing Letters of Credit.</w:t>
            </w:r>
          </w:p>
        </w:tc>
        <w:tc>
          <w:tcPr>
            <w:tcW w:w="290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3.5</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Reimbursement.</w:t>
            </w:r>
          </w:p>
        </w:tc>
        <w:tc>
          <w:tcPr>
            <w:tcW w:w="290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3.6</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Obligations Absolute</w:t>
            </w:r>
          </w:p>
        </w:tc>
        <w:tc>
          <w:tcPr>
            <w:tcW w:w="29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3.7</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Letter of Credit Payments</w:t>
            </w:r>
          </w:p>
        </w:tc>
        <w:tc>
          <w:tcPr>
            <w:tcW w:w="29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3.8</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Applications</w:t>
            </w:r>
          </w:p>
        </w:tc>
        <w:tc>
          <w:tcPr>
            <w:tcW w:w="29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3.9</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Interim Interest</w:t>
            </w:r>
          </w:p>
        </w:tc>
        <w:tc>
          <w:tcPr>
            <w:tcW w:w="29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3.10</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Cash Collateral.</w:t>
            </w:r>
          </w:p>
        </w:tc>
        <w:tc>
          <w:tcPr>
            <w:tcW w:w="29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3.11</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Additional Issuing Lenders</w:t>
            </w:r>
          </w:p>
        </w:tc>
        <w:tc>
          <w:tcPr>
            <w:tcW w:w="290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3.12</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Resignation of the Issuing Lender</w:t>
            </w:r>
          </w:p>
        </w:tc>
        <w:tc>
          <w:tcPr>
            <w:tcW w:w="290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3.13</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Applicability of UCP and ISP</w:t>
            </w:r>
          </w:p>
        </w:tc>
        <w:tc>
          <w:tcPr>
            <w:tcW w:w="2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78"/>
        </w:trPr>
        <w:tc>
          <w:tcPr>
            <w:tcW w:w="8300" w:type="dxa"/>
            <w:vAlign w:val="bottom"/>
            <w:gridSpan w:val="2"/>
          </w:tcPr>
          <w:p>
            <w:pPr>
              <w:spacing w:after="0"/>
              <w:rPr>
                <w:sz w:val="20"/>
                <w:szCs w:val="20"/>
                <w:color w:val="auto"/>
              </w:rPr>
            </w:pPr>
            <w:r>
              <w:rPr>
                <w:rFonts w:ascii="Arial" w:cs="Arial" w:eastAsia="Arial" w:hAnsi="Arial"/>
                <w:sz w:val="20"/>
                <w:szCs w:val="20"/>
                <w:color w:val="auto"/>
              </w:rPr>
              <w:t>SECTION 4 REPRESENTATIONS AND WARRANTIES</w:t>
            </w:r>
          </w:p>
        </w:tc>
        <w:tc>
          <w:tcPr>
            <w:tcW w:w="2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Financial Condition.</w:t>
            </w:r>
          </w:p>
        </w:tc>
        <w:tc>
          <w:tcPr>
            <w:tcW w:w="2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No Change</w:t>
            </w:r>
          </w:p>
        </w:tc>
        <w:tc>
          <w:tcPr>
            <w:tcW w:w="2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4.3</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Existence; Compliance with Law</w:t>
            </w:r>
          </w:p>
        </w:tc>
        <w:tc>
          <w:tcPr>
            <w:tcW w:w="290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4.4</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Power, Authorization; Enforceable Obligations</w:t>
            </w:r>
          </w:p>
        </w:tc>
        <w:tc>
          <w:tcPr>
            <w:tcW w:w="2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4.5</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No Legal Bar</w:t>
            </w:r>
          </w:p>
        </w:tc>
        <w:tc>
          <w:tcPr>
            <w:tcW w:w="2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4.6</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Litigation</w:t>
            </w:r>
          </w:p>
        </w:tc>
        <w:tc>
          <w:tcPr>
            <w:tcW w:w="2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4.7</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No Default</w:t>
            </w:r>
          </w:p>
        </w:tc>
        <w:tc>
          <w:tcPr>
            <w:tcW w:w="2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4.8</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Ownership of Property; Liens; Investments</w:t>
            </w:r>
          </w:p>
        </w:tc>
        <w:tc>
          <w:tcPr>
            <w:tcW w:w="290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4.9</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Intellectual Property</w:t>
            </w:r>
          </w:p>
        </w:tc>
        <w:tc>
          <w:tcPr>
            <w:tcW w:w="2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4.10</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Taxes</w:t>
            </w:r>
          </w:p>
        </w:tc>
        <w:tc>
          <w:tcPr>
            <w:tcW w:w="2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4.11</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Federal Regulations</w:t>
            </w:r>
          </w:p>
        </w:tc>
        <w:tc>
          <w:tcPr>
            <w:tcW w:w="2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4.12</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Labor Matters</w:t>
            </w:r>
          </w:p>
        </w:tc>
        <w:tc>
          <w:tcPr>
            <w:tcW w:w="2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4.13</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ERISA</w:t>
            </w:r>
          </w:p>
        </w:tc>
        <w:tc>
          <w:tcPr>
            <w:tcW w:w="290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4.14</w:t>
            </w:r>
          </w:p>
        </w:tc>
        <w:tc>
          <w:tcPr>
            <w:tcW w:w="6780" w:type="dxa"/>
            <w:vAlign w:val="bottom"/>
          </w:tcPr>
          <w:p>
            <w:pPr>
              <w:ind w:left="320"/>
              <w:spacing w:after="0"/>
              <w:rPr>
                <w:sz w:val="20"/>
                <w:szCs w:val="20"/>
                <w:color w:val="auto"/>
              </w:rPr>
            </w:pPr>
            <w:r>
              <w:rPr>
                <w:rFonts w:ascii="Arial" w:cs="Arial" w:eastAsia="Arial" w:hAnsi="Arial"/>
                <w:sz w:val="20"/>
                <w:szCs w:val="20"/>
                <w:b w:val="1"/>
                <w:bCs w:val="1"/>
                <w:color w:val="auto"/>
              </w:rPr>
              <w:t>Investment Company Act; Other Regulations</w:t>
            </w:r>
          </w:p>
        </w:tc>
        <w:tc>
          <w:tcPr>
            <w:tcW w:w="2900" w:type="dxa"/>
            <w:vAlign w:val="bottom"/>
          </w:tcPr>
          <w:p>
            <w:pPr>
              <w:jc w:val="right"/>
              <w:spacing w:after="0"/>
              <w:rPr>
                <w:sz w:val="20"/>
                <w:szCs w:val="20"/>
                <w:color w:val="auto"/>
              </w:rPr>
            </w:pPr>
            <w:r>
              <w:rPr>
                <w:rFonts w:ascii="Arial" w:cs="Arial" w:eastAsia="Arial" w:hAnsi="Arial"/>
                <w:sz w:val="20"/>
                <w:szCs w:val="20"/>
                <w:color w:val="auto"/>
              </w:rPr>
              <w:t>75</w:t>
            </w:r>
          </w:p>
        </w:tc>
      </w:tr>
    </w:tbl>
    <w:p>
      <w:pPr>
        <w:spacing w:after="0" w:line="200" w:lineRule="exact"/>
        <w:rPr>
          <w:sz w:val="20"/>
          <w:szCs w:val="20"/>
          <w:color w:val="auto"/>
        </w:rPr>
      </w:pPr>
    </w:p>
    <w:p>
      <w:pPr>
        <w:sectPr>
          <w:pgSz w:w="11900" w:h="16838" w:orient="portrait"/>
          <w:cols w:equalWidth="0" w:num="1">
            <w:col w:w="11200"/>
          </w:cols>
          <w:pgMar w:left="34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00"/>
          </w:cols>
          <w:pgMar w:left="340" w:top="115" w:right="35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7"/>
        </w:trPr>
        <w:tc>
          <w:tcPr>
            <w:tcW w:w="1520" w:type="dxa"/>
            <w:vAlign w:val="bottom"/>
          </w:tcPr>
          <w:p>
            <w:pPr>
              <w:spacing w:after="0"/>
              <w:rPr>
                <w:sz w:val="20"/>
                <w:szCs w:val="20"/>
                <w:color w:val="auto"/>
              </w:rPr>
            </w:pPr>
          </w:p>
        </w:tc>
        <w:tc>
          <w:tcPr>
            <w:tcW w:w="7060" w:type="dxa"/>
            <w:vAlign w:val="bottom"/>
          </w:tcPr>
          <w:p>
            <w:pPr>
              <w:ind w:left="3340"/>
              <w:spacing w:after="0"/>
              <w:rPr>
                <w:sz w:val="20"/>
                <w:szCs w:val="20"/>
                <w:color w:val="auto"/>
              </w:rPr>
            </w:pPr>
            <w:r>
              <w:rPr>
                <w:rFonts w:ascii="Arial" w:cs="Arial" w:eastAsia="Arial" w:hAnsi="Arial"/>
                <w:sz w:val="20"/>
                <w:szCs w:val="20"/>
                <w:b w:val="1"/>
                <w:bCs w:val="1"/>
                <w:color w:val="auto"/>
              </w:rPr>
              <w:t>Table of Contents</w:t>
            </w:r>
          </w:p>
        </w:tc>
        <w:tc>
          <w:tcPr>
            <w:tcW w:w="2620" w:type="dxa"/>
            <w:vAlign w:val="bottom"/>
          </w:tcPr>
          <w:p>
            <w:pPr>
              <w:spacing w:after="0"/>
              <w:rPr>
                <w:sz w:val="20"/>
                <w:szCs w:val="20"/>
                <w:color w:val="auto"/>
              </w:rPr>
            </w:pPr>
          </w:p>
        </w:tc>
      </w:tr>
      <w:tr>
        <w:trPr>
          <w:trHeight w:val="250"/>
        </w:trPr>
        <w:tc>
          <w:tcPr>
            <w:tcW w:w="1520" w:type="dxa"/>
            <w:vAlign w:val="bottom"/>
          </w:tcPr>
          <w:p>
            <w:pPr>
              <w:spacing w:after="0"/>
              <w:rPr>
                <w:sz w:val="21"/>
                <w:szCs w:val="21"/>
                <w:color w:val="auto"/>
              </w:rPr>
            </w:pPr>
          </w:p>
        </w:tc>
        <w:tc>
          <w:tcPr>
            <w:tcW w:w="7060" w:type="dxa"/>
            <w:vAlign w:val="bottom"/>
          </w:tcPr>
          <w:p>
            <w:pPr>
              <w:ind w:left="3620"/>
              <w:spacing w:after="0"/>
              <w:rPr>
                <w:sz w:val="20"/>
                <w:szCs w:val="20"/>
                <w:color w:val="auto"/>
              </w:rPr>
            </w:pPr>
            <w:r>
              <w:rPr>
                <w:rFonts w:ascii="Arial" w:cs="Arial" w:eastAsia="Arial" w:hAnsi="Arial"/>
                <w:sz w:val="20"/>
                <w:szCs w:val="20"/>
                <w:color w:val="auto"/>
              </w:rPr>
              <w:t>(continued)</w:t>
            </w:r>
          </w:p>
        </w:tc>
        <w:tc>
          <w:tcPr>
            <w:tcW w:w="2620" w:type="dxa"/>
            <w:vAlign w:val="bottom"/>
          </w:tcPr>
          <w:p>
            <w:pPr>
              <w:spacing w:after="0"/>
              <w:rPr>
                <w:sz w:val="21"/>
                <w:szCs w:val="21"/>
                <w:color w:val="auto"/>
              </w:rPr>
            </w:pPr>
          </w:p>
        </w:tc>
      </w:tr>
      <w:tr>
        <w:trPr>
          <w:trHeight w:val="877"/>
        </w:trPr>
        <w:tc>
          <w:tcPr>
            <w:tcW w:w="15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6"/>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4.15</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Subsidiaries</w:t>
            </w:r>
          </w:p>
        </w:tc>
        <w:tc>
          <w:tcPr>
            <w:tcW w:w="262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4.16</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Use of Proceeds</w:t>
            </w:r>
          </w:p>
        </w:tc>
        <w:tc>
          <w:tcPr>
            <w:tcW w:w="26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4.17</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Environmental Matters</w:t>
            </w:r>
          </w:p>
        </w:tc>
        <w:tc>
          <w:tcPr>
            <w:tcW w:w="26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4.18</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Accuracy of Information, etc.</w:t>
            </w:r>
          </w:p>
        </w:tc>
        <w:tc>
          <w:tcPr>
            <w:tcW w:w="26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4.19</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Security Documents.</w:t>
            </w:r>
          </w:p>
        </w:tc>
        <w:tc>
          <w:tcPr>
            <w:tcW w:w="26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4.20</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Solvency; Voidable Transaction</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4.21</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Regulation H</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4.22</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Designated Senior Indebtedness</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4.23</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4.24</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Insurance</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4.25</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No Casualty</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4.26</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4.27</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4.28</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OFAC</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4.29</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Anti-Corruption Laws</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8580" w:type="dxa"/>
            <w:vAlign w:val="bottom"/>
            <w:gridSpan w:val="2"/>
          </w:tcPr>
          <w:p>
            <w:pPr>
              <w:spacing w:after="0"/>
              <w:rPr>
                <w:sz w:val="20"/>
                <w:szCs w:val="20"/>
                <w:color w:val="auto"/>
              </w:rPr>
            </w:pPr>
            <w:r>
              <w:rPr>
                <w:rFonts w:ascii="Arial" w:cs="Arial" w:eastAsia="Arial" w:hAnsi="Arial"/>
                <w:sz w:val="20"/>
                <w:szCs w:val="20"/>
                <w:color w:val="auto"/>
              </w:rPr>
              <w:t>SECTION 5 CONDITIONS PRECEDENT</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5.1</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Conditions to Initial Extension of Credit</w:t>
            </w:r>
          </w:p>
        </w:tc>
        <w:tc>
          <w:tcPr>
            <w:tcW w:w="26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5.2</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Conditions to Each Extension of Credit</w:t>
            </w:r>
          </w:p>
        </w:tc>
        <w:tc>
          <w:tcPr>
            <w:tcW w:w="26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78"/>
        </w:trPr>
        <w:tc>
          <w:tcPr>
            <w:tcW w:w="8580" w:type="dxa"/>
            <w:vAlign w:val="bottom"/>
            <w:gridSpan w:val="2"/>
          </w:tcPr>
          <w:p>
            <w:pPr>
              <w:spacing w:after="0"/>
              <w:rPr>
                <w:sz w:val="20"/>
                <w:szCs w:val="20"/>
                <w:color w:val="auto"/>
              </w:rPr>
            </w:pPr>
            <w:r>
              <w:rPr>
                <w:rFonts w:ascii="Arial" w:cs="Arial" w:eastAsia="Arial" w:hAnsi="Arial"/>
                <w:sz w:val="20"/>
                <w:szCs w:val="20"/>
                <w:color w:val="auto"/>
              </w:rPr>
              <w:t>SECTION 6 AFFIRMATIVE COVENANTS</w:t>
            </w:r>
          </w:p>
        </w:tc>
        <w:tc>
          <w:tcPr>
            <w:tcW w:w="26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Financial Statements</w:t>
            </w:r>
          </w:p>
        </w:tc>
        <w:tc>
          <w:tcPr>
            <w:tcW w:w="26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6.2</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Certificates; Reports; Other Information</w:t>
            </w:r>
          </w:p>
        </w:tc>
        <w:tc>
          <w:tcPr>
            <w:tcW w:w="26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6.3</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6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6.4</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Payment of Obligations</w:t>
            </w:r>
          </w:p>
        </w:tc>
        <w:tc>
          <w:tcPr>
            <w:tcW w:w="26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6.5</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Maintenance of Existence; Compliance</w:t>
            </w:r>
          </w:p>
        </w:tc>
        <w:tc>
          <w:tcPr>
            <w:tcW w:w="26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6.6</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Maintenance of Property; Insurance</w:t>
            </w:r>
          </w:p>
        </w:tc>
        <w:tc>
          <w:tcPr>
            <w:tcW w:w="26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6.7</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Books and Records; Discussions</w:t>
            </w:r>
          </w:p>
        </w:tc>
        <w:tc>
          <w:tcPr>
            <w:tcW w:w="26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6.8</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Notices</w:t>
            </w:r>
          </w:p>
        </w:tc>
        <w:tc>
          <w:tcPr>
            <w:tcW w:w="26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6.9</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Environmental Laws.</w:t>
            </w:r>
          </w:p>
        </w:tc>
        <w:tc>
          <w:tcPr>
            <w:tcW w:w="26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6.10</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Operating Accounts</w:t>
            </w:r>
          </w:p>
        </w:tc>
        <w:tc>
          <w:tcPr>
            <w:tcW w:w="262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6.11</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Audits</w:t>
            </w:r>
          </w:p>
        </w:tc>
        <w:tc>
          <w:tcPr>
            <w:tcW w:w="262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6.12</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Additional Collateral, Etc.</w:t>
            </w:r>
          </w:p>
        </w:tc>
        <w:tc>
          <w:tcPr>
            <w:tcW w:w="262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6.13</w:t>
            </w:r>
          </w:p>
        </w:tc>
        <w:tc>
          <w:tcPr>
            <w:tcW w:w="7060" w:type="dxa"/>
            <w:vAlign w:val="bottom"/>
          </w:tcPr>
          <w:p>
            <w:pPr>
              <w:ind w:left="320"/>
              <w:spacing w:after="0"/>
              <w:rPr>
                <w:sz w:val="20"/>
                <w:szCs w:val="20"/>
                <w:color w:val="auto"/>
              </w:rPr>
            </w:pPr>
            <w:r>
              <w:rPr>
                <w:rFonts w:ascii="Arial" w:cs="Arial" w:eastAsia="Arial" w:hAnsi="Arial"/>
                <w:sz w:val="20"/>
                <w:szCs w:val="20"/>
                <w:b w:val="1"/>
                <w:bCs w:val="1"/>
                <w:color w:val="auto"/>
              </w:rPr>
              <w:t>Use of Proceeds</w:t>
            </w:r>
          </w:p>
        </w:tc>
        <w:tc>
          <w:tcPr>
            <w:tcW w:w="2620" w:type="dxa"/>
            <w:vAlign w:val="bottom"/>
          </w:tcPr>
          <w:p>
            <w:pPr>
              <w:jc w:val="right"/>
              <w:spacing w:after="0"/>
              <w:rPr>
                <w:sz w:val="20"/>
                <w:szCs w:val="20"/>
                <w:color w:val="auto"/>
              </w:rPr>
            </w:pPr>
            <w:r>
              <w:rPr>
                <w:rFonts w:ascii="Arial" w:cs="Arial" w:eastAsia="Arial" w:hAnsi="Arial"/>
                <w:sz w:val="20"/>
                <w:szCs w:val="20"/>
                <w:color w:val="auto"/>
              </w:rPr>
              <w:t>89</w:t>
            </w:r>
          </w:p>
        </w:tc>
      </w:tr>
    </w:tbl>
    <w:p>
      <w:pPr>
        <w:spacing w:after="0" w:line="200" w:lineRule="exact"/>
        <w:rPr>
          <w:sz w:val="20"/>
          <w:szCs w:val="20"/>
          <w:color w:val="auto"/>
        </w:rPr>
      </w:pPr>
    </w:p>
    <w:p>
      <w:pPr>
        <w:sectPr>
          <w:pgSz w:w="11900" w:h="16838" w:orient="portrait"/>
          <w:cols w:equalWidth="0" w:num="1">
            <w:col w:w="11200"/>
          </w:cols>
          <w:pgMar w:left="34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200"/>
          </w:cols>
          <w:pgMar w:left="340" w:top="115" w:right="35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37"/>
        </w:trPr>
        <w:tc>
          <w:tcPr>
            <w:tcW w:w="1520" w:type="dxa"/>
            <w:vAlign w:val="bottom"/>
          </w:tcPr>
          <w:p>
            <w:pPr>
              <w:spacing w:after="0"/>
              <w:rPr>
                <w:sz w:val="20"/>
                <w:szCs w:val="20"/>
                <w:color w:val="auto"/>
              </w:rPr>
            </w:pPr>
          </w:p>
        </w:tc>
        <w:tc>
          <w:tcPr>
            <w:tcW w:w="7560" w:type="dxa"/>
            <w:vAlign w:val="bottom"/>
          </w:tcPr>
          <w:p>
            <w:pPr>
              <w:ind w:left="3340"/>
              <w:spacing w:after="0"/>
              <w:rPr>
                <w:sz w:val="20"/>
                <w:szCs w:val="20"/>
                <w:color w:val="auto"/>
              </w:rPr>
            </w:pPr>
            <w:r>
              <w:rPr>
                <w:rFonts w:ascii="Arial" w:cs="Arial" w:eastAsia="Arial" w:hAnsi="Arial"/>
                <w:sz w:val="20"/>
                <w:szCs w:val="20"/>
                <w:b w:val="1"/>
                <w:bCs w:val="1"/>
                <w:color w:val="auto"/>
              </w:rPr>
              <w:t>Table of Contents</w:t>
            </w:r>
          </w:p>
        </w:tc>
        <w:tc>
          <w:tcPr>
            <w:tcW w:w="2120" w:type="dxa"/>
            <w:vAlign w:val="bottom"/>
          </w:tcPr>
          <w:p>
            <w:pPr>
              <w:spacing w:after="0"/>
              <w:rPr>
                <w:sz w:val="20"/>
                <w:szCs w:val="20"/>
                <w:color w:val="auto"/>
              </w:rPr>
            </w:pPr>
          </w:p>
        </w:tc>
      </w:tr>
      <w:tr>
        <w:trPr>
          <w:trHeight w:val="250"/>
        </w:trPr>
        <w:tc>
          <w:tcPr>
            <w:tcW w:w="1520" w:type="dxa"/>
            <w:vAlign w:val="bottom"/>
          </w:tcPr>
          <w:p>
            <w:pPr>
              <w:spacing w:after="0"/>
              <w:rPr>
                <w:sz w:val="21"/>
                <w:szCs w:val="21"/>
                <w:color w:val="auto"/>
              </w:rPr>
            </w:pPr>
          </w:p>
        </w:tc>
        <w:tc>
          <w:tcPr>
            <w:tcW w:w="7560" w:type="dxa"/>
            <w:vAlign w:val="bottom"/>
          </w:tcPr>
          <w:p>
            <w:pPr>
              <w:ind w:left="3620"/>
              <w:spacing w:after="0"/>
              <w:rPr>
                <w:sz w:val="20"/>
                <w:szCs w:val="20"/>
                <w:color w:val="auto"/>
              </w:rPr>
            </w:pPr>
            <w:r>
              <w:rPr>
                <w:rFonts w:ascii="Arial" w:cs="Arial" w:eastAsia="Arial" w:hAnsi="Arial"/>
                <w:sz w:val="20"/>
                <w:szCs w:val="20"/>
                <w:color w:val="auto"/>
              </w:rPr>
              <w:t>(continued)</w:t>
            </w:r>
          </w:p>
        </w:tc>
        <w:tc>
          <w:tcPr>
            <w:tcW w:w="2120" w:type="dxa"/>
            <w:vAlign w:val="bottom"/>
          </w:tcPr>
          <w:p>
            <w:pPr>
              <w:spacing w:after="0"/>
              <w:rPr>
                <w:sz w:val="21"/>
                <w:szCs w:val="21"/>
                <w:color w:val="auto"/>
              </w:rPr>
            </w:pPr>
          </w:p>
        </w:tc>
      </w:tr>
      <w:tr>
        <w:trPr>
          <w:trHeight w:val="877"/>
        </w:trPr>
        <w:tc>
          <w:tcPr>
            <w:tcW w:w="15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6"/>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6.14</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Designated Senior Indebtedness</w:t>
            </w:r>
          </w:p>
        </w:tc>
        <w:tc>
          <w:tcPr>
            <w:tcW w:w="212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6.15</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Anti-Corruption Laws</w:t>
            </w:r>
          </w:p>
        </w:tc>
        <w:tc>
          <w:tcPr>
            <w:tcW w:w="21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6.16</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Further Assurances</w:t>
            </w:r>
          </w:p>
        </w:tc>
        <w:tc>
          <w:tcPr>
            <w:tcW w:w="21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78"/>
        </w:trPr>
        <w:tc>
          <w:tcPr>
            <w:tcW w:w="9080" w:type="dxa"/>
            <w:vAlign w:val="bottom"/>
            <w:gridSpan w:val="2"/>
          </w:tcPr>
          <w:p>
            <w:pPr>
              <w:spacing w:after="0"/>
              <w:rPr>
                <w:sz w:val="20"/>
                <w:szCs w:val="20"/>
                <w:color w:val="auto"/>
              </w:rPr>
            </w:pPr>
            <w:r>
              <w:rPr>
                <w:rFonts w:ascii="Arial" w:cs="Arial" w:eastAsia="Arial" w:hAnsi="Arial"/>
                <w:sz w:val="20"/>
                <w:szCs w:val="20"/>
                <w:color w:val="auto"/>
              </w:rPr>
              <w:t>SECTION 7 NEGATIVE COVENANTS</w:t>
            </w:r>
          </w:p>
        </w:tc>
        <w:tc>
          <w:tcPr>
            <w:tcW w:w="21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Financial Condition Covenants.</w:t>
            </w:r>
          </w:p>
        </w:tc>
        <w:tc>
          <w:tcPr>
            <w:tcW w:w="21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7.2</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Indebtedness</w:t>
            </w:r>
          </w:p>
        </w:tc>
        <w:tc>
          <w:tcPr>
            <w:tcW w:w="21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7.3</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Liens</w:t>
            </w:r>
          </w:p>
        </w:tc>
        <w:tc>
          <w:tcPr>
            <w:tcW w:w="212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7.4</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Fundamental Changes</w:t>
            </w:r>
          </w:p>
        </w:tc>
        <w:tc>
          <w:tcPr>
            <w:tcW w:w="212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7.5</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Disposition of Property</w:t>
            </w:r>
          </w:p>
        </w:tc>
        <w:tc>
          <w:tcPr>
            <w:tcW w:w="212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7.6</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Restricted Payments</w:t>
            </w:r>
          </w:p>
        </w:tc>
        <w:tc>
          <w:tcPr>
            <w:tcW w:w="212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7.7</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12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7.8</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Investments</w:t>
            </w:r>
          </w:p>
        </w:tc>
        <w:tc>
          <w:tcPr>
            <w:tcW w:w="212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7.9</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ERISA</w:t>
            </w:r>
          </w:p>
        </w:tc>
        <w:tc>
          <w:tcPr>
            <w:tcW w:w="212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7.10</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Optional Payments and Modifications of Certain Preferred Stock</w:t>
            </w:r>
          </w:p>
        </w:tc>
        <w:tc>
          <w:tcPr>
            <w:tcW w:w="212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7.11</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Transactions with Affiliates</w:t>
            </w:r>
          </w:p>
        </w:tc>
        <w:tc>
          <w:tcPr>
            <w:tcW w:w="212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7.12</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Sale Leaseback Transactions</w:t>
            </w:r>
          </w:p>
        </w:tc>
        <w:tc>
          <w:tcPr>
            <w:tcW w:w="212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7.13</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Swap Agreements</w:t>
            </w:r>
          </w:p>
        </w:tc>
        <w:tc>
          <w:tcPr>
            <w:tcW w:w="212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7.14</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Accounting Changes</w:t>
            </w:r>
          </w:p>
        </w:tc>
        <w:tc>
          <w:tcPr>
            <w:tcW w:w="212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7.15</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Negative Pledge Clauses</w:t>
            </w:r>
          </w:p>
        </w:tc>
        <w:tc>
          <w:tcPr>
            <w:tcW w:w="212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7.16</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Clauses Restricting Subsidiary Distributions</w:t>
            </w:r>
          </w:p>
        </w:tc>
        <w:tc>
          <w:tcPr>
            <w:tcW w:w="212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7.17</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Lines of Business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7.18</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Designation of other Indebtedness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7.19</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[Reserved]</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7.20</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Amendments to Operating Documents and Material Contracts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7.21</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Use of Proceeds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7.22</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Subordinated Indebtedness.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7.23</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Anti-Terrorism Laws</w:t>
            </w:r>
          </w:p>
        </w:tc>
        <w:tc>
          <w:tcPr>
            <w:tcW w:w="212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378"/>
        </w:trPr>
        <w:tc>
          <w:tcPr>
            <w:tcW w:w="9080" w:type="dxa"/>
            <w:vAlign w:val="bottom"/>
            <w:gridSpan w:val="2"/>
          </w:tcPr>
          <w:p>
            <w:pPr>
              <w:spacing w:after="0"/>
              <w:rPr>
                <w:sz w:val="20"/>
                <w:szCs w:val="20"/>
                <w:color w:val="auto"/>
              </w:rPr>
            </w:pPr>
            <w:r>
              <w:rPr>
                <w:rFonts w:ascii="Arial" w:cs="Arial" w:eastAsia="Arial" w:hAnsi="Arial"/>
                <w:sz w:val="20"/>
                <w:szCs w:val="20"/>
                <w:color w:val="auto"/>
              </w:rPr>
              <w:t>SECTION 8 EVENTS OF DEFAULT</w:t>
            </w:r>
          </w:p>
        </w:tc>
        <w:tc>
          <w:tcPr>
            <w:tcW w:w="212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8.1</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Events of Default</w:t>
            </w:r>
          </w:p>
        </w:tc>
        <w:tc>
          <w:tcPr>
            <w:tcW w:w="212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8.2</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Remedies Upon Event of Default</w:t>
            </w:r>
          </w:p>
        </w:tc>
        <w:tc>
          <w:tcPr>
            <w:tcW w:w="212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378"/>
        </w:trPr>
        <w:tc>
          <w:tcPr>
            <w:tcW w:w="1520" w:type="dxa"/>
            <w:vAlign w:val="bottom"/>
          </w:tcPr>
          <w:p>
            <w:pPr>
              <w:ind w:left="840"/>
              <w:spacing w:after="0"/>
              <w:rPr>
                <w:sz w:val="20"/>
                <w:szCs w:val="20"/>
                <w:color w:val="auto"/>
              </w:rPr>
            </w:pPr>
            <w:r>
              <w:rPr>
                <w:rFonts w:ascii="Arial" w:cs="Arial" w:eastAsia="Arial" w:hAnsi="Arial"/>
                <w:sz w:val="20"/>
                <w:szCs w:val="20"/>
                <w:b w:val="1"/>
                <w:bCs w:val="1"/>
                <w:color w:val="auto"/>
              </w:rPr>
              <w:t>8.3</w:t>
            </w:r>
          </w:p>
        </w:tc>
        <w:tc>
          <w:tcPr>
            <w:tcW w:w="7560" w:type="dxa"/>
            <w:vAlign w:val="bottom"/>
          </w:tcPr>
          <w:p>
            <w:pPr>
              <w:ind w:left="320"/>
              <w:spacing w:after="0"/>
              <w:rPr>
                <w:sz w:val="20"/>
                <w:szCs w:val="20"/>
                <w:color w:val="auto"/>
              </w:rPr>
            </w:pPr>
            <w:r>
              <w:rPr>
                <w:rFonts w:ascii="Arial" w:cs="Arial" w:eastAsia="Arial" w:hAnsi="Arial"/>
                <w:sz w:val="20"/>
                <w:szCs w:val="20"/>
                <w:b w:val="1"/>
                <w:bCs w:val="1"/>
                <w:color w:val="auto"/>
              </w:rPr>
              <w:t>Application of Funds</w:t>
            </w:r>
          </w:p>
        </w:tc>
        <w:tc>
          <w:tcPr>
            <w:tcW w:w="212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378"/>
        </w:trPr>
        <w:tc>
          <w:tcPr>
            <w:tcW w:w="9080" w:type="dxa"/>
            <w:vAlign w:val="bottom"/>
            <w:gridSpan w:val="2"/>
          </w:tcPr>
          <w:p>
            <w:pPr>
              <w:spacing w:after="0"/>
              <w:rPr>
                <w:sz w:val="20"/>
                <w:szCs w:val="20"/>
                <w:color w:val="auto"/>
              </w:rPr>
            </w:pPr>
            <w:r>
              <w:rPr>
                <w:rFonts w:ascii="Arial" w:cs="Arial" w:eastAsia="Arial" w:hAnsi="Arial"/>
                <w:sz w:val="20"/>
                <w:szCs w:val="20"/>
                <w:color w:val="auto"/>
              </w:rPr>
              <w:t>SECTION 9 THE ADMINISTRATIVE AGENT</w:t>
            </w:r>
          </w:p>
        </w:tc>
        <w:tc>
          <w:tcPr>
            <w:tcW w:w="2120" w:type="dxa"/>
            <w:vAlign w:val="bottom"/>
          </w:tcPr>
          <w:p>
            <w:pPr>
              <w:jc w:val="right"/>
              <w:spacing w:after="0"/>
              <w:rPr>
                <w:sz w:val="20"/>
                <w:szCs w:val="20"/>
                <w:color w:val="auto"/>
              </w:rPr>
            </w:pPr>
            <w:r>
              <w:rPr>
                <w:rFonts w:ascii="Arial" w:cs="Arial" w:eastAsia="Arial" w:hAnsi="Arial"/>
                <w:sz w:val="20"/>
                <w:szCs w:val="20"/>
                <w:color w:val="auto"/>
              </w:rPr>
              <w:t>108</w:t>
            </w:r>
          </w:p>
        </w:tc>
      </w:tr>
    </w:tbl>
    <w:p>
      <w:pPr>
        <w:spacing w:after="0" w:line="200" w:lineRule="exact"/>
        <w:rPr>
          <w:sz w:val="20"/>
          <w:szCs w:val="20"/>
          <w:color w:val="auto"/>
        </w:rPr>
      </w:pPr>
    </w:p>
    <w:p>
      <w:pPr>
        <w:sectPr>
          <w:pgSz w:w="11900" w:h="16838" w:orient="portrait"/>
          <w:cols w:equalWidth="0" w:num="1">
            <w:col w:w="11200"/>
          </w:cols>
          <w:pgMar w:left="34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1200"/>
          </w:cols>
          <w:pgMar w:left="340" w:top="115" w:right="35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37"/>
        </w:trPr>
        <w:tc>
          <w:tcPr>
            <w:tcW w:w="1560" w:type="dxa"/>
            <w:vAlign w:val="bottom"/>
          </w:tcPr>
          <w:p>
            <w:pPr>
              <w:spacing w:after="0"/>
              <w:rPr>
                <w:sz w:val="20"/>
                <w:szCs w:val="20"/>
                <w:color w:val="auto"/>
              </w:rPr>
            </w:pPr>
          </w:p>
        </w:tc>
        <w:tc>
          <w:tcPr>
            <w:tcW w:w="7380" w:type="dxa"/>
            <w:vAlign w:val="bottom"/>
          </w:tcPr>
          <w:p>
            <w:pPr>
              <w:ind w:left="3300"/>
              <w:spacing w:after="0"/>
              <w:rPr>
                <w:sz w:val="20"/>
                <w:szCs w:val="20"/>
                <w:color w:val="auto"/>
              </w:rPr>
            </w:pPr>
            <w:r>
              <w:rPr>
                <w:rFonts w:ascii="Arial" w:cs="Arial" w:eastAsia="Arial" w:hAnsi="Arial"/>
                <w:sz w:val="20"/>
                <w:szCs w:val="20"/>
                <w:b w:val="1"/>
                <w:bCs w:val="1"/>
                <w:color w:val="auto"/>
              </w:rPr>
              <w:t>Table of Contents</w:t>
            </w:r>
          </w:p>
        </w:tc>
        <w:tc>
          <w:tcPr>
            <w:tcW w:w="2260" w:type="dxa"/>
            <w:vAlign w:val="bottom"/>
          </w:tcPr>
          <w:p>
            <w:pPr>
              <w:spacing w:after="0"/>
              <w:rPr>
                <w:sz w:val="20"/>
                <w:szCs w:val="20"/>
                <w:color w:val="auto"/>
              </w:rPr>
            </w:pPr>
          </w:p>
        </w:tc>
      </w:tr>
      <w:tr>
        <w:trPr>
          <w:trHeight w:val="250"/>
        </w:trPr>
        <w:tc>
          <w:tcPr>
            <w:tcW w:w="1560" w:type="dxa"/>
            <w:vAlign w:val="bottom"/>
          </w:tcPr>
          <w:p>
            <w:pPr>
              <w:spacing w:after="0"/>
              <w:rPr>
                <w:sz w:val="21"/>
                <w:szCs w:val="21"/>
                <w:color w:val="auto"/>
              </w:rPr>
            </w:pPr>
          </w:p>
        </w:tc>
        <w:tc>
          <w:tcPr>
            <w:tcW w:w="7380" w:type="dxa"/>
            <w:vAlign w:val="bottom"/>
          </w:tcPr>
          <w:p>
            <w:pPr>
              <w:ind w:left="3580"/>
              <w:spacing w:after="0"/>
              <w:rPr>
                <w:sz w:val="20"/>
                <w:szCs w:val="20"/>
                <w:color w:val="auto"/>
              </w:rPr>
            </w:pPr>
            <w:r>
              <w:rPr>
                <w:rFonts w:ascii="Arial" w:cs="Arial" w:eastAsia="Arial" w:hAnsi="Arial"/>
                <w:sz w:val="20"/>
                <w:szCs w:val="20"/>
                <w:color w:val="auto"/>
              </w:rPr>
              <w:t>(continued)</w:t>
            </w:r>
          </w:p>
        </w:tc>
        <w:tc>
          <w:tcPr>
            <w:tcW w:w="2260" w:type="dxa"/>
            <w:vAlign w:val="bottom"/>
          </w:tcPr>
          <w:p>
            <w:pPr>
              <w:spacing w:after="0"/>
              <w:rPr>
                <w:sz w:val="21"/>
                <w:szCs w:val="21"/>
                <w:color w:val="auto"/>
              </w:rPr>
            </w:pPr>
          </w:p>
        </w:tc>
      </w:tr>
      <w:tr>
        <w:trPr>
          <w:trHeight w:val="878"/>
        </w:trPr>
        <w:tc>
          <w:tcPr>
            <w:tcW w:w="15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5"/>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Appointment and Authority</w:t>
            </w:r>
          </w:p>
        </w:tc>
        <w:tc>
          <w:tcPr>
            <w:tcW w:w="226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9.2</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Delegation of Duties</w:t>
            </w:r>
          </w:p>
        </w:tc>
        <w:tc>
          <w:tcPr>
            <w:tcW w:w="226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9.3</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Exculpatory Provisions</w:t>
            </w:r>
          </w:p>
        </w:tc>
        <w:tc>
          <w:tcPr>
            <w:tcW w:w="226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9.4</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Reliance by Administrative Agent</w:t>
            </w:r>
          </w:p>
        </w:tc>
        <w:tc>
          <w:tcPr>
            <w:tcW w:w="226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9.5</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Notice of Default</w:t>
            </w:r>
          </w:p>
        </w:tc>
        <w:tc>
          <w:tcPr>
            <w:tcW w:w="226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9.6</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Non-Reliance on Administrative Agent and Other Lenders</w:t>
            </w:r>
          </w:p>
        </w:tc>
        <w:tc>
          <w:tcPr>
            <w:tcW w:w="226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9.7</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Indemnification</w:t>
            </w:r>
          </w:p>
        </w:tc>
        <w:tc>
          <w:tcPr>
            <w:tcW w:w="226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9.8</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Agent in Its Individual Capacity</w:t>
            </w:r>
          </w:p>
        </w:tc>
        <w:tc>
          <w:tcPr>
            <w:tcW w:w="226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9.9</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Successor Administrative Agent.</w:t>
            </w:r>
          </w:p>
        </w:tc>
        <w:tc>
          <w:tcPr>
            <w:tcW w:w="226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9.10</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Collateral and Guaranty Matters</w:t>
            </w:r>
          </w:p>
        </w:tc>
        <w:tc>
          <w:tcPr>
            <w:tcW w:w="2260" w:type="dxa"/>
            <w:vAlign w:val="bottom"/>
          </w:tcPr>
          <w:p>
            <w:pPr>
              <w:jc w:val="right"/>
              <w:spacing w:after="0"/>
              <w:rPr>
                <w:sz w:val="20"/>
                <w:szCs w:val="20"/>
                <w:color w:val="auto"/>
              </w:rPr>
            </w:pPr>
            <w:r>
              <w:rPr>
                <w:rFonts w:ascii="Arial" w:cs="Arial" w:eastAsia="Arial" w:hAnsi="Arial"/>
                <w:sz w:val="20"/>
                <w:szCs w:val="20"/>
                <w:color w:val="auto"/>
              </w:rPr>
              <w:t>112</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9.11</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Administrative Agent May File Proofs of Claim</w:t>
            </w:r>
          </w:p>
        </w:tc>
        <w:tc>
          <w:tcPr>
            <w:tcW w:w="226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9.12</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No Other Duties, etc.</w:t>
            </w:r>
          </w:p>
        </w:tc>
        <w:tc>
          <w:tcPr>
            <w:tcW w:w="226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9.13</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Cash Management Bank and Qualified Counterparty Reports</w:t>
            </w:r>
          </w:p>
        </w:tc>
        <w:tc>
          <w:tcPr>
            <w:tcW w:w="226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9.14</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Certain ERISA Matters</w:t>
            </w:r>
          </w:p>
        </w:tc>
        <w:tc>
          <w:tcPr>
            <w:tcW w:w="226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9.15</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Survival</w:t>
            </w:r>
          </w:p>
        </w:tc>
        <w:tc>
          <w:tcPr>
            <w:tcW w:w="22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378"/>
        </w:trPr>
        <w:tc>
          <w:tcPr>
            <w:tcW w:w="8940" w:type="dxa"/>
            <w:vAlign w:val="bottom"/>
            <w:gridSpan w:val="2"/>
          </w:tcPr>
          <w:p>
            <w:pPr>
              <w:spacing w:after="0"/>
              <w:rPr>
                <w:sz w:val="20"/>
                <w:szCs w:val="20"/>
                <w:color w:val="auto"/>
              </w:rPr>
            </w:pPr>
            <w:r>
              <w:rPr>
                <w:rFonts w:ascii="Arial" w:cs="Arial" w:eastAsia="Arial" w:hAnsi="Arial"/>
                <w:sz w:val="20"/>
                <w:szCs w:val="20"/>
                <w:color w:val="auto"/>
              </w:rPr>
              <w:t>SECTION 10 MISCELLANEOUS</w:t>
            </w:r>
          </w:p>
        </w:tc>
        <w:tc>
          <w:tcPr>
            <w:tcW w:w="22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Amendments and Waivers.</w:t>
            </w:r>
          </w:p>
        </w:tc>
        <w:tc>
          <w:tcPr>
            <w:tcW w:w="226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10.2</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Notices</w:t>
            </w:r>
          </w:p>
        </w:tc>
        <w:tc>
          <w:tcPr>
            <w:tcW w:w="226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10.3</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No Waiver; Cumulative Remedies</w:t>
            </w:r>
          </w:p>
        </w:tc>
        <w:tc>
          <w:tcPr>
            <w:tcW w:w="226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10.4</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Survival of Representations and Warranties</w:t>
            </w:r>
          </w:p>
        </w:tc>
        <w:tc>
          <w:tcPr>
            <w:tcW w:w="226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10.5</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Expenses; Indemnity; Damage Waiver.</w:t>
            </w:r>
          </w:p>
        </w:tc>
        <w:tc>
          <w:tcPr>
            <w:tcW w:w="226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10.6</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Successors and Assigns; Participations and Assignments.</w:t>
            </w:r>
          </w:p>
        </w:tc>
        <w:tc>
          <w:tcPr>
            <w:tcW w:w="226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10.7</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Adjustments; Set-off.</w:t>
            </w:r>
          </w:p>
        </w:tc>
        <w:tc>
          <w:tcPr>
            <w:tcW w:w="226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10.8</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Payments Set Aside</w:t>
            </w:r>
          </w:p>
        </w:tc>
        <w:tc>
          <w:tcPr>
            <w:tcW w:w="22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10.9</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Interest Rate Limitation</w:t>
            </w:r>
          </w:p>
        </w:tc>
        <w:tc>
          <w:tcPr>
            <w:tcW w:w="226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10.10</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Counterparts; Electronic Execution of Assignments.</w:t>
            </w:r>
          </w:p>
        </w:tc>
        <w:tc>
          <w:tcPr>
            <w:tcW w:w="226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10.11</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Severability</w:t>
            </w:r>
          </w:p>
        </w:tc>
        <w:tc>
          <w:tcPr>
            <w:tcW w:w="226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10.12</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Integration</w:t>
            </w:r>
          </w:p>
        </w:tc>
        <w:tc>
          <w:tcPr>
            <w:tcW w:w="226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10.13</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GOVERNING LAW</w:t>
            </w:r>
          </w:p>
        </w:tc>
        <w:tc>
          <w:tcPr>
            <w:tcW w:w="226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10.14</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Submission to Jurisdiction; Waivers</w:t>
            </w:r>
          </w:p>
        </w:tc>
        <w:tc>
          <w:tcPr>
            <w:tcW w:w="226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10.15</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Acknowledgements</w:t>
            </w:r>
          </w:p>
        </w:tc>
        <w:tc>
          <w:tcPr>
            <w:tcW w:w="2260" w:type="dxa"/>
            <w:vAlign w:val="bottom"/>
          </w:tcPr>
          <w:p>
            <w:pPr>
              <w:jc w:val="right"/>
              <w:spacing w:after="0"/>
              <w:rPr>
                <w:sz w:val="20"/>
                <w:szCs w:val="20"/>
                <w:color w:val="auto"/>
              </w:rPr>
            </w:pPr>
            <w:r>
              <w:rPr>
                <w:rFonts w:ascii="Arial" w:cs="Arial" w:eastAsia="Arial" w:hAnsi="Arial"/>
                <w:sz w:val="20"/>
                <w:szCs w:val="20"/>
                <w:color w:val="auto"/>
              </w:rPr>
              <w:t>128</w:t>
            </w:r>
          </w:p>
        </w:tc>
      </w:tr>
      <w:tr>
        <w:trPr>
          <w:trHeight w:val="378"/>
        </w:trPr>
        <w:tc>
          <w:tcPr>
            <w:tcW w:w="1560" w:type="dxa"/>
            <w:vAlign w:val="bottom"/>
          </w:tcPr>
          <w:p>
            <w:pPr>
              <w:ind w:left="840"/>
              <w:spacing w:after="0"/>
              <w:rPr>
                <w:sz w:val="20"/>
                <w:szCs w:val="20"/>
                <w:color w:val="auto"/>
              </w:rPr>
            </w:pPr>
            <w:r>
              <w:rPr>
                <w:rFonts w:ascii="Arial" w:cs="Arial" w:eastAsia="Arial" w:hAnsi="Arial"/>
                <w:sz w:val="20"/>
                <w:szCs w:val="20"/>
                <w:b w:val="1"/>
                <w:bCs w:val="1"/>
                <w:color w:val="auto"/>
              </w:rPr>
              <w:t>10.16</w:t>
            </w:r>
          </w:p>
        </w:tc>
        <w:tc>
          <w:tcPr>
            <w:tcW w:w="7380" w:type="dxa"/>
            <w:vAlign w:val="bottom"/>
          </w:tcPr>
          <w:p>
            <w:pPr>
              <w:ind w:left="280"/>
              <w:spacing w:after="0"/>
              <w:rPr>
                <w:sz w:val="20"/>
                <w:szCs w:val="20"/>
                <w:color w:val="auto"/>
              </w:rPr>
            </w:pPr>
            <w:r>
              <w:rPr>
                <w:rFonts w:ascii="Arial" w:cs="Arial" w:eastAsia="Arial" w:hAnsi="Arial"/>
                <w:sz w:val="20"/>
                <w:szCs w:val="20"/>
                <w:b w:val="1"/>
                <w:bCs w:val="1"/>
                <w:color w:val="auto"/>
              </w:rPr>
              <w:t>Releases of Guarantees and Liens.</w:t>
            </w:r>
          </w:p>
        </w:tc>
        <w:tc>
          <w:tcPr>
            <w:tcW w:w="2260" w:type="dxa"/>
            <w:vAlign w:val="bottom"/>
          </w:tcPr>
          <w:p>
            <w:pPr>
              <w:jc w:val="right"/>
              <w:spacing w:after="0"/>
              <w:rPr>
                <w:sz w:val="20"/>
                <w:szCs w:val="20"/>
                <w:color w:val="auto"/>
              </w:rPr>
            </w:pPr>
            <w:r>
              <w:rPr>
                <w:rFonts w:ascii="Arial" w:cs="Arial" w:eastAsia="Arial" w:hAnsi="Arial"/>
                <w:sz w:val="20"/>
                <w:szCs w:val="20"/>
                <w:color w:val="auto"/>
              </w:rPr>
              <w:t>129</w:t>
            </w:r>
          </w:p>
        </w:tc>
      </w:tr>
    </w:tbl>
    <w:p>
      <w:pPr>
        <w:spacing w:after="0" w:line="200" w:lineRule="exact"/>
        <w:rPr>
          <w:sz w:val="20"/>
          <w:szCs w:val="20"/>
          <w:color w:val="auto"/>
        </w:rPr>
      </w:pPr>
    </w:p>
    <w:p>
      <w:pPr>
        <w:sectPr>
          <w:pgSz w:w="11900" w:h="16838" w:orient="portrait"/>
          <w:cols w:equalWidth="0" w:num="1">
            <w:col w:w="11200"/>
          </w:cols>
          <w:pgMar w:left="34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1200"/>
          </w:cols>
          <w:pgMar w:left="340" w:top="115" w:right="359" w:bottom="1440" w:gutter="0" w:footer="0" w:header="0"/>
          <w:type w:val="continuous"/>
        </w:sectPr>
      </w:pPr>
    </w:p>
    <w:bookmarkStart w:id="113" w:name="page114"/>
    <w:bookmarkEnd w:id="113"/>
    <w:p>
      <w:pPr>
        <w:jc w:val="center"/>
        <w:ind w:right="840"/>
        <w:spacing w:after="0"/>
        <w:rPr>
          <w:sz w:val="20"/>
          <w:szCs w:val="20"/>
          <w:color w:val="auto"/>
        </w:rPr>
      </w:pPr>
      <w:r>
        <w:rPr>
          <w:rFonts w:ascii="Arial" w:cs="Arial" w:eastAsia="Arial" w:hAnsi="Arial"/>
          <w:sz w:val="20"/>
          <w:szCs w:val="20"/>
          <w:b w:val="1"/>
          <w:bCs w:val="1"/>
          <w:color w:val="auto"/>
        </w:rPr>
        <w:t>Table of Contents</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445"/>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10.17</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Treatment of Certain Information; Confidentiality</w:t>
            </w:r>
          </w:p>
        </w:tc>
        <w:tc>
          <w:tcPr>
            <w:tcW w:w="66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378"/>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10.18</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Automatic Debits</w:t>
            </w:r>
          </w:p>
        </w:tc>
        <w:tc>
          <w:tcPr>
            <w:tcW w:w="660" w:type="dxa"/>
            <w:vAlign w:val="bottom"/>
          </w:tcPr>
          <w:p>
            <w:pPr>
              <w:jc w:val="right"/>
              <w:spacing w:after="0"/>
              <w:rPr>
                <w:sz w:val="20"/>
                <w:szCs w:val="20"/>
                <w:color w:val="auto"/>
              </w:rPr>
            </w:pPr>
            <w:r>
              <w:rPr>
                <w:rFonts w:ascii="Arial" w:cs="Arial" w:eastAsia="Arial" w:hAnsi="Arial"/>
                <w:sz w:val="20"/>
                <w:szCs w:val="20"/>
                <w:color w:val="auto"/>
              </w:rPr>
              <w:t>130</w:t>
            </w:r>
          </w:p>
        </w:tc>
      </w:tr>
      <w:tr>
        <w:trPr>
          <w:trHeight w:val="378"/>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10.19</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Judgment Currency</w:t>
            </w:r>
          </w:p>
        </w:tc>
        <w:tc>
          <w:tcPr>
            <w:tcW w:w="66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378"/>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10.20</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Patriot Act; Other Regulations</w:t>
            </w:r>
          </w:p>
        </w:tc>
        <w:tc>
          <w:tcPr>
            <w:tcW w:w="66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378"/>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10.21</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Acknowledgement and Consent to Bail-In of EEA Financial Institutions</w:t>
            </w:r>
          </w:p>
        </w:tc>
        <w:tc>
          <w:tcPr>
            <w:tcW w:w="66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351"/>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10.22</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w w:val="92"/>
              </w:rPr>
              <w:t>Amendment and Restatement of Existing Credit Agreement; Acknowledgment of Prior Obligations;</w:t>
            </w:r>
          </w:p>
        </w:tc>
        <w:tc>
          <w:tcPr>
            <w:tcW w:w="660" w:type="dxa"/>
            <w:vAlign w:val="bottom"/>
          </w:tcPr>
          <w:p>
            <w:pPr>
              <w:spacing w:after="0"/>
              <w:rPr>
                <w:sz w:val="24"/>
                <w:szCs w:val="24"/>
                <w:color w:val="auto"/>
              </w:rPr>
            </w:pPr>
          </w:p>
        </w:tc>
      </w:tr>
      <w:tr>
        <w:trPr>
          <w:trHeight w:val="256"/>
        </w:trPr>
        <w:tc>
          <w:tcPr>
            <w:tcW w:w="720" w:type="dxa"/>
            <w:vAlign w:val="bottom"/>
          </w:tcPr>
          <w:p>
            <w:pPr>
              <w:spacing w:after="0"/>
              <w:rPr>
                <w:sz w:val="22"/>
                <w:szCs w:val="22"/>
                <w:color w:val="auto"/>
              </w:rPr>
            </w:pP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No Novation</w:t>
            </w:r>
          </w:p>
        </w:tc>
        <w:tc>
          <w:tcPr>
            <w:tcW w:w="66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378"/>
        </w:trPr>
        <w:tc>
          <w:tcPr>
            <w:tcW w:w="720" w:type="dxa"/>
            <w:vAlign w:val="bottom"/>
          </w:tcPr>
          <w:p>
            <w:pPr>
              <w:jc w:val="right"/>
              <w:ind w:right="181"/>
              <w:spacing w:after="0"/>
              <w:rPr>
                <w:sz w:val="20"/>
                <w:szCs w:val="20"/>
                <w:color w:val="auto"/>
              </w:rPr>
            </w:pPr>
            <w:r>
              <w:rPr>
                <w:rFonts w:ascii="Arial" w:cs="Arial" w:eastAsia="Arial" w:hAnsi="Arial"/>
                <w:sz w:val="20"/>
                <w:szCs w:val="20"/>
                <w:b w:val="1"/>
                <w:bCs w:val="1"/>
                <w:color w:val="auto"/>
                <w:w w:val="83"/>
              </w:rPr>
              <w:t>10.23</w:t>
            </w:r>
          </w:p>
        </w:tc>
        <w:tc>
          <w:tcPr>
            <w:tcW w:w="8980" w:type="dxa"/>
            <w:vAlign w:val="bottom"/>
          </w:tcPr>
          <w:p>
            <w:pPr>
              <w:ind w:left="280"/>
              <w:spacing w:after="0"/>
              <w:rPr>
                <w:sz w:val="20"/>
                <w:szCs w:val="20"/>
                <w:color w:val="auto"/>
              </w:rPr>
            </w:pPr>
            <w:r>
              <w:rPr>
                <w:rFonts w:ascii="Arial" w:cs="Arial" w:eastAsia="Arial" w:hAnsi="Arial"/>
                <w:sz w:val="20"/>
                <w:szCs w:val="20"/>
                <w:b w:val="1"/>
                <w:bCs w:val="1"/>
                <w:color w:val="auto"/>
              </w:rPr>
              <w:t>Acknowledgement Regarding Any Supported QFCs</w:t>
            </w:r>
          </w:p>
        </w:tc>
        <w:tc>
          <w:tcPr>
            <w:tcW w:w="660" w:type="dxa"/>
            <w:vAlign w:val="bottom"/>
          </w:tcPr>
          <w:p>
            <w:pPr>
              <w:jc w:val="right"/>
              <w:spacing w:after="0"/>
              <w:rPr>
                <w:sz w:val="20"/>
                <w:szCs w:val="20"/>
                <w:color w:val="auto"/>
              </w:rPr>
            </w:pPr>
            <w:r>
              <w:rPr>
                <w:rFonts w:ascii="Arial" w:cs="Arial" w:eastAsia="Arial" w:hAnsi="Arial"/>
                <w:sz w:val="20"/>
                <w:szCs w:val="20"/>
                <w:color w:val="auto"/>
              </w:rPr>
              <w:t>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-vi-</w:t>
      </w:r>
    </w:p>
    <w:p>
      <w:pPr>
        <w:sectPr>
          <w:pgSz w:w="11900" w:h="16838" w:orient="portrait"/>
          <w:cols w:equalWidth="0" w:num="1">
            <w:col w:w="10360"/>
          </w:cols>
          <w:pgMar w:left="1180" w:top="115" w:right="359" w:bottom="1440" w:gutter="0" w:footer="0" w:header="0"/>
        </w:sectPr>
      </w:pPr>
    </w:p>
    <w:bookmarkStart w:id="114" w:name="page115"/>
    <w:bookmarkEnd w:id="114"/>
    <w:p>
      <w:pPr>
        <w:jc w:val="center"/>
        <w:ind w:right="-1080"/>
        <w:spacing w:after="0"/>
        <w:rPr>
          <w:sz w:val="20"/>
          <w:szCs w:val="20"/>
          <w:color w:val="auto"/>
        </w:rPr>
      </w:pPr>
      <w:r>
        <w:rPr>
          <w:rFonts w:ascii="Arial" w:cs="Arial" w:eastAsia="Arial" w:hAnsi="Arial"/>
          <w:sz w:val="16"/>
          <w:szCs w:val="16"/>
          <w:b w:val="1"/>
          <w:bCs w:val="1"/>
          <w:color w:val="auto"/>
        </w:rPr>
        <w:t>Table of Contents</w:t>
      </w:r>
    </w:p>
    <w:p>
      <w:pPr>
        <w:spacing w:after="0" w:line="69" w:lineRule="exact"/>
        <w:rPr>
          <w:sz w:val="20"/>
          <w:szCs w:val="20"/>
          <w:color w:val="auto"/>
        </w:rPr>
      </w:pPr>
    </w:p>
    <w:p>
      <w:pPr>
        <w:jc w:val="center"/>
        <w:ind w:right="-1080"/>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SCHEDULES</w:t>
      </w:r>
    </w:p>
    <w:p>
      <w:pPr>
        <w:sectPr>
          <w:pgSz w:w="11900" w:h="16838" w:orient="portrait"/>
          <w:cols w:equalWidth="0" w:num="1">
            <w:col w:w="10119"/>
          </w:cols>
          <w:pgMar w:left="340" w:top="115" w:right="1440"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Schedule 1.1A: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Schedule 1.1B:</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Schedule 4.4:</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Schedule 4.13:</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Schedule 4.15:</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Schedule 4.17:</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Schedule 4.19(a):</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Schedule 7.2(d):</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Schedule 7.3(f):</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Schedule 7.8(e):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Commitments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Existing Letters of Credit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Governmental Approvals, Consents, Authorizations, Filings and Notices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Pension Plans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Subsidiaries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Environmental Matters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Financing Statements and Other Filings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Existing Indebtedness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Existing Liens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Existing Investments</w:t>
      </w:r>
    </w:p>
    <w:p>
      <w:pPr>
        <w:spacing w:after="0" w:line="200" w:lineRule="exact"/>
        <w:rPr>
          <w:sz w:val="20"/>
          <w:szCs w:val="20"/>
          <w:color w:val="auto"/>
        </w:rPr>
      </w:pPr>
    </w:p>
    <w:p>
      <w:pPr>
        <w:sectPr>
          <w:pgSz w:w="11900" w:h="16838" w:orient="portrait"/>
          <w:cols w:equalWidth="0" w:num="2">
            <w:col w:w="2000" w:space="720"/>
            <w:col w:w="7399"/>
          </w:cols>
          <w:pgMar w:left="340" w:top="115" w:right="1440" w:bottom="1440" w:gutter="0" w:footer="0" w:header="0"/>
          <w:type w:val="continuous"/>
        </w:sectPr>
      </w:pPr>
    </w:p>
    <w:p>
      <w:pPr>
        <w:spacing w:after="0" w:line="77"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EXHIBITS</w:t>
      </w:r>
    </w:p>
    <w:p>
      <w:pPr>
        <w:sectPr>
          <w:pgSz w:w="11900" w:h="16838" w:orient="portrait"/>
          <w:cols w:equalWidth="0" w:num="1">
            <w:col w:w="10119"/>
          </w:cols>
          <w:pgMar w:left="340" w:top="115"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Exhibit 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B:</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C:</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Exhibits F-1 – F-4:</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Exhibit G:</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H-1:</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H-2:</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I:</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J:</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K:</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Exhibit 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[Reserved]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Compliance Certificate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Form of Secretary’s/Managing Member’s Certificate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Form of Solvency Certificate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Assignment and Assumption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Forms of U.S. Tax Compliance Certificate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[Reserved]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Revolving Loan Note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Swingline Loan Note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[Reserved]</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Collateral Information Certificate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Notice of Borrowing</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Form of Notice of Conversion/Continuation</w:t>
      </w:r>
    </w:p>
    <w:p>
      <w:pPr>
        <w:spacing w:after="0" w:line="200" w:lineRule="exact"/>
        <w:rPr>
          <w:sz w:val="20"/>
          <w:szCs w:val="20"/>
          <w:color w:val="auto"/>
        </w:rPr>
      </w:pPr>
    </w:p>
    <w:p>
      <w:pPr>
        <w:sectPr>
          <w:pgSz w:w="11900" w:h="16838" w:orient="portrait"/>
          <w:cols w:equalWidth="0" w:num="2">
            <w:col w:w="2100" w:space="720"/>
            <w:col w:w="7299"/>
          </w:cols>
          <w:pgMar w:left="340" w:top="1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-vii-</w:t>
      </w:r>
    </w:p>
    <w:p>
      <w:pPr>
        <w:sectPr>
          <w:pgSz w:w="11900" w:h="16838" w:orient="portrait"/>
          <w:cols w:equalWidth="0" w:num="1">
            <w:col w:w="10119"/>
          </w:cols>
          <w:pgMar w:left="340" w:top="115" w:right="1440"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THIS AMENDED AND RESTATED CREDIT AGREEMENT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dated as of February 19, 2021, is entered into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and among </w:t>
      </w:r>
      <w:r>
        <w:rPr>
          <w:rFonts w:ascii="Arial" w:cs="Arial" w:eastAsia="Arial" w:hAnsi="Arial"/>
          <w:sz w:val="20"/>
          <w:szCs w:val="20"/>
          <w:b w:val="1"/>
          <w:bCs w:val="1"/>
          <w:color w:val="auto"/>
        </w:rPr>
        <w:t>NERDWALLET, INC.</w:t>
      </w:r>
      <w:r>
        <w:rPr>
          <w:rFonts w:ascii="Arial" w:cs="Arial" w:eastAsia="Arial" w:hAnsi="Arial"/>
          <w:sz w:val="20"/>
          <w:szCs w:val="20"/>
          <w:color w:val="auto"/>
        </w:rPr>
        <w:t>, a Delaware corporation (“</w:t>
      </w:r>
      <w:r>
        <w:rPr>
          <w:rFonts w:ascii="Arial" w:cs="Arial" w:eastAsia="Arial" w:hAnsi="Arial"/>
          <w:sz w:val="20"/>
          <w:szCs w:val="20"/>
          <w:b w:val="1"/>
          <w:bCs w:val="1"/>
          <w:i w:val="1"/>
          <w:iCs w:val="1"/>
          <w:color w:val="auto"/>
        </w:rPr>
        <w:t>NerdWallet</w:t>
      </w:r>
      <w:r>
        <w:rPr>
          <w:rFonts w:ascii="Arial" w:cs="Arial" w:eastAsia="Arial" w:hAnsi="Arial"/>
          <w:sz w:val="20"/>
          <w:szCs w:val="20"/>
          <w:color w:val="auto"/>
        </w:rPr>
        <w:t xml:space="preserve">”), </w:t>
      </w:r>
      <w:r>
        <w:rPr>
          <w:rFonts w:ascii="Arial" w:cs="Arial" w:eastAsia="Arial" w:hAnsi="Arial"/>
          <w:sz w:val="20"/>
          <w:szCs w:val="20"/>
          <w:b w:val="1"/>
          <w:bCs w:val="1"/>
          <w:color w:val="auto"/>
        </w:rPr>
        <w:t>NERDWALLET COMPARE, INC.</w:t>
      </w:r>
      <w:r>
        <w:rPr>
          <w:rFonts w:ascii="Arial" w:cs="Arial" w:eastAsia="Arial" w:hAnsi="Arial"/>
          <w:sz w:val="20"/>
          <w:szCs w:val="20"/>
          <w:color w:val="auto"/>
        </w:rPr>
        <w:t>, a Delaware corporation (“</w:t>
      </w:r>
      <w:r>
        <w:rPr>
          <w:rFonts w:ascii="Arial" w:cs="Arial" w:eastAsia="Arial" w:hAnsi="Arial"/>
          <w:sz w:val="20"/>
          <w:szCs w:val="20"/>
          <w:b w:val="1"/>
          <w:bCs w:val="1"/>
          <w:i w:val="1"/>
          <w:iCs w:val="1"/>
          <w:color w:val="auto"/>
        </w:rPr>
        <w:t>NW Compare</w:t>
      </w:r>
      <w:r>
        <w:rPr>
          <w:rFonts w:ascii="Arial" w:cs="Arial" w:eastAsia="Arial" w:hAnsi="Arial"/>
          <w:sz w:val="20"/>
          <w:szCs w:val="20"/>
          <w:color w:val="auto"/>
        </w:rPr>
        <w:t>” and together with NerdWallet, individually and collectively as the context requires, jointly and severally,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the several banks and other financial institutions or entities from time to time party to this Agreement (each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xml:space="preserve">”), </w:t>
      </w:r>
      <w:r>
        <w:rPr>
          <w:rFonts w:ascii="Arial" w:cs="Arial" w:eastAsia="Arial" w:hAnsi="Arial"/>
          <w:sz w:val="20"/>
          <w:szCs w:val="20"/>
          <w:b w:val="1"/>
          <w:bCs w:val="1"/>
          <w:color w:val="auto"/>
        </w:rPr>
        <w:t>SILICON VALLEY BANK</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SVB</w:t>
      </w:r>
      <w:r>
        <w:rPr>
          <w:rFonts w:ascii="Arial" w:cs="Arial" w:eastAsia="Arial" w:hAnsi="Arial"/>
          <w:sz w:val="20"/>
          <w:szCs w:val="20"/>
          <w:color w:val="auto"/>
        </w:rPr>
        <w:t xml:space="preserve">”), as the Issuing Lender and the Swingline Lender, and SVB, as administrative agent and collateral agent for the Lenders (in such capacities, together with any successors and assigns in such capacities,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 is a party to that certain Credit Agreement, originally dated as of September 2, 2020 (as amended,</w:t>
      </w:r>
      <w:r>
        <w:rPr>
          <w:rFonts w:ascii="Arial" w:cs="Arial" w:eastAsia="Arial" w:hAnsi="Arial"/>
          <w:sz w:val="19"/>
          <w:szCs w:val="19"/>
          <w:b w:val="1"/>
          <w:bCs w:val="1"/>
          <w:color w:val="auto"/>
        </w:rPr>
        <w:t xml:space="preserve"> </w:t>
      </w:r>
      <w:r>
        <w:rPr>
          <w:rFonts w:ascii="Arial" w:cs="Arial" w:eastAsia="Arial" w:hAnsi="Arial"/>
          <w:sz w:val="19"/>
          <w:szCs w:val="19"/>
          <w:color w:val="auto"/>
        </w:rPr>
        <w:t>restated or otherwise modified prior to date hereof, the “</w:t>
      </w:r>
      <w:r>
        <w:rPr>
          <w:rFonts w:ascii="Arial" w:cs="Arial" w:eastAsia="Arial" w:hAnsi="Arial"/>
          <w:sz w:val="19"/>
          <w:szCs w:val="19"/>
          <w:b w:val="1"/>
          <w:bCs w:val="1"/>
          <w:i w:val="1"/>
          <w:iCs w:val="1"/>
          <w:color w:val="auto"/>
        </w:rPr>
        <w:t>Existing Credit Agreement</w:t>
      </w:r>
      <w:r>
        <w:rPr>
          <w:rFonts w:ascii="Arial" w:cs="Arial" w:eastAsia="Arial" w:hAnsi="Arial"/>
          <w:sz w:val="19"/>
          <w:szCs w:val="19"/>
          <w:color w:val="auto"/>
        </w:rPr>
        <w:t>”), among the Borrower, the lenders party thereto from time to time, and SVB, as the administrative agent and collateral agent for the lenders, pursuant to which the lenders, the issuing lenders and the swingline lenders have made available to the Borrower certain extensions of credit;</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the Lenders and the Administrative Agent have agreed to enter into this Agreement in order to (a) amend</w:t>
      </w:r>
      <w:r>
        <w:rPr>
          <w:rFonts w:ascii="Arial" w:cs="Arial" w:eastAsia="Arial" w:hAnsi="Arial"/>
          <w:sz w:val="20"/>
          <w:szCs w:val="20"/>
          <w:b w:val="1"/>
          <w:bCs w:val="1"/>
          <w:color w:val="auto"/>
        </w:rPr>
        <w:t xml:space="preserve"> </w:t>
      </w:r>
      <w:r>
        <w:rPr>
          <w:rFonts w:ascii="Arial" w:cs="Arial" w:eastAsia="Arial" w:hAnsi="Arial"/>
          <w:sz w:val="20"/>
          <w:szCs w:val="20"/>
          <w:color w:val="auto"/>
        </w:rPr>
        <w:t>and restate the Existing Credit Agreement in its entirety and (b) set forth the terms and conditions under which the Lenders will from time to time make loans and extend other financial accommodations to the Borrower, as set forth below;</w:t>
      </w:r>
    </w:p>
    <w:p>
      <w:pPr>
        <w:spacing w:after="0" w:line="12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Lenders have agreed to extend a revolving credit facility to the Borrower, upon the terms and conditions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in this Agreement, in an aggregate principal amount not to exceed $100,000,000, including a letter of credit sub-facility in the aggregate availability amount of $10,000,000 (as a sublimit of the revolving loan facility), and a swingline sub-facility in the aggregate availability amount of $10,000,000; (as a sublimit of the revolving loan facility);</w:t>
      </w:r>
    </w:p>
    <w:p>
      <w:pPr>
        <w:spacing w:after="0" w:line="12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has agreed to secure all of its Obligations by granting to the Administrative Agent, for the benefit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Secured Parties, a first priority lien on substantially all of its assets; and</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each of the Guarantors has agreed to guarantee the Obligations of the Borrower and to secure its respective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in respect of such guarantee by granting to the Administrative Agent, for the benefit of the Secured Parties, a first priority lien on substantially all of its assets.</w:t>
      </w:r>
    </w:p>
    <w:p>
      <w:pPr>
        <w:spacing w:after="0" w:line="12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conditions and agreements set forth in this Agreement, and for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of which is hereby acknowledged, the parties hereto hereby agree that the Existing Credit Agreement shall be amended and restated in its entirety to read as follows (it being agreed that this Agreement shall not be deemed to evidence or result in a novation or repayment and reborrowing of the Obligations under, and as defined in, the Existing Credit Agreement):</w:t>
      </w:r>
    </w:p>
    <w:p>
      <w:pPr>
        <w:spacing w:after="0" w:line="97"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SECTION 1</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DEFINITIONS</w:t>
      </w:r>
    </w:p>
    <w:p>
      <w:pPr>
        <w:spacing w:after="0" w:line="14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1.1 Defined Terms</w:t>
      </w:r>
      <w:r>
        <w:rPr>
          <w:rFonts w:ascii="Arial" w:cs="Arial" w:eastAsia="Arial" w:hAnsi="Arial"/>
          <w:sz w:val="20"/>
          <w:szCs w:val="20"/>
          <w:color w:val="auto"/>
        </w:rPr>
        <w:t>. As used in this Agreement (including the recitals hereof), the terms listed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respective meanings set forth in this </w:t>
      </w:r>
      <w:r>
        <w:rPr>
          <w:rFonts w:ascii="Arial" w:cs="Arial" w:eastAsia="Arial" w:hAnsi="Arial"/>
          <w:sz w:val="20"/>
          <w:szCs w:val="20"/>
          <w:u w:val="single" w:color="auto"/>
          <w:color w:val="auto"/>
        </w:rPr>
        <w:t>Section 1.1</w:t>
      </w:r>
      <w:r>
        <w:rPr>
          <w:rFonts w:ascii="Arial" w:cs="Arial" w:eastAsia="Arial" w:hAnsi="Arial"/>
          <w:sz w:val="20"/>
          <w:szCs w:val="20"/>
          <w:color w:val="auto"/>
        </w:rPr>
        <w: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765" w:right="339" w:bottom="1440" w:gutter="0" w:footer="0" w:header="0"/>
        </w:sectPr>
      </w:pPr>
    </w:p>
    <w:bookmarkStart w:id="116" w:name="page117"/>
    <w:bookmarkEnd w:id="116"/>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ABR</w:t>
      </w:r>
      <w:r>
        <w:rPr>
          <w:rFonts w:ascii="Arial" w:cs="Arial" w:eastAsia="Arial" w:hAnsi="Arial"/>
          <w:sz w:val="18"/>
          <w:szCs w:val="18"/>
          <w:color w:val="auto"/>
        </w:rPr>
        <w:t>”: for any day, a rate per annum equal to the highest of (a) the Prime Rate in effect on such day, (b) the Federal Funds Effective Rate in effect for such day plus 0.50%, and (c) 3.25%. Any change in the ABR due to a change in any of the Prime Rate or the Federal Funds Effective Rate, as the case may be, shall be effective as of the opening of business on the effective day of the change in such rates.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ABR Loans</w:t>
      </w:r>
      <w:r>
        <w:rPr>
          <w:rFonts w:ascii="Arial" w:cs="Arial" w:eastAsia="Arial" w:hAnsi="Arial"/>
          <w:sz w:val="20"/>
          <w:szCs w:val="20"/>
          <w:color w:val="auto"/>
        </w:rPr>
        <w:t>”: Loans, the rate of interest applicable to which is based upon the ABR.</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Account Debtor</w:t>
      </w:r>
      <w:r>
        <w:rPr>
          <w:rFonts w:ascii="Arial" w:cs="Arial" w:eastAsia="Arial" w:hAnsi="Arial"/>
          <w:sz w:val="20"/>
          <w:szCs w:val="20"/>
          <w:color w:val="auto"/>
        </w:rPr>
        <w:t>”: any Person who may become obligated to any Person under, with respect to, or on account of, an Account, chattel paper or general intangibles (including a payment intangible). Unless otherwise stated, the term “Account Debtor,” when used herein, shall mean an Account Debtor in respect of an Account of a Group Member.</w:t>
      </w:r>
    </w:p>
    <w:p>
      <w:pPr>
        <w:spacing w:after="0" w:line="1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Accounts</w:t>
      </w:r>
      <w:r>
        <w:rPr>
          <w:rFonts w:ascii="Arial" w:cs="Arial" w:eastAsia="Arial" w:hAnsi="Arial"/>
          <w:sz w:val="18"/>
          <w:szCs w:val="18"/>
          <w:color w:val="auto"/>
        </w:rPr>
        <w:t>”: all “accounts” (as defined in the UCC) of a Person, including, without limitation,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 now or hereafter in existence, given by any Person with respect to any of the foregoing. Unless otherwise stated, the term “Account,” when used herein, shall mean an Account of a Group Member.</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Adjusted Quick Ratio</w:t>
      </w:r>
      <w:r>
        <w:rPr>
          <w:rFonts w:ascii="Arial" w:cs="Arial" w:eastAsia="Arial" w:hAnsi="Arial"/>
          <w:sz w:val="20"/>
          <w:szCs w:val="20"/>
          <w:color w:val="auto"/>
        </w:rPr>
        <w:t>”: as of any date of determination, (a) the sum of (i) Qualified Cash, plus (ii) net billed trade Accounts of the Loan Parties, plus (iii) Unbilled Accounts Receivable; divided by (b) the result of (i) Current Liabilities minus (ii) to the extent included in Current Liabilities, the current portion of Deferred Revenue.</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SVB, as the administrative agent under this Agreement and the other Loan Documents, together with any of its successors in such capacity.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Financial Institution</w:t>
      </w:r>
      <w:r>
        <w:rPr>
          <w:rFonts w:ascii="Arial" w:cs="Arial" w:eastAsia="Arial" w:hAnsi="Arial"/>
          <w:sz w:val="20"/>
          <w:szCs w:val="20"/>
          <w:color w:val="auto"/>
        </w:rPr>
        <w:t>”: (a) any EEA Financial Institution or (b) any UK Financial Institution.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xml:space="preserve">”: with respect to a specified Person, another Person that directly, or indirectly through one or more intermediaries, Controls or is Controlled by or is under common Control with the Person specified; </w:t>
      </w:r>
      <w:r>
        <w:rPr>
          <w:rFonts w:ascii="Arial" w:cs="Arial" w:eastAsia="Arial" w:hAnsi="Arial"/>
          <w:sz w:val="18"/>
          <w:szCs w:val="18"/>
          <w:u w:val="single" w:color="auto"/>
          <w:color w:val="auto"/>
        </w:rPr>
        <w:t>provided that</w:t>
      </w:r>
      <w:r>
        <w:rPr>
          <w:rFonts w:ascii="Arial" w:cs="Arial" w:eastAsia="Arial" w:hAnsi="Arial"/>
          <w:sz w:val="18"/>
          <w:szCs w:val="18"/>
          <w:color w:val="auto"/>
        </w:rPr>
        <w:t>, neither the Administrative Agent nor the Lenders shall be deemed Affiliates of the Loan Parties as a result of the exercise of their rights and remedies under the Loan Documents.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 Parties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10.2(d)(ii)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Aggregate Exposure</w:t>
      </w:r>
      <w:r>
        <w:rPr>
          <w:rFonts w:ascii="Arial" w:cs="Arial" w:eastAsia="Arial" w:hAnsi="Arial"/>
          <w:sz w:val="20"/>
          <w:szCs w:val="20"/>
          <w:color w:val="auto"/>
        </w:rPr>
        <w:t>”: with respect to any Lender at any time, an amount equal to the sum of (a) the amount of such Lender’s Revolving Commitment then in effect or, if the Revolving Commitments have been terminated, the amount of such Lender’s Revolving Extensions of Credit then outstanding, and (b) without duplication of clause (a), the L/C Commitment of such Lender then in effect (as a sublimit of the Revolving Commitment of such Lender).</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Aggregate Exposure Percentage</w:t>
      </w:r>
      <w:r>
        <w:rPr>
          <w:rFonts w:ascii="Arial" w:cs="Arial" w:eastAsia="Arial" w:hAnsi="Arial"/>
          <w:sz w:val="20"/>
          <w:szCs w:val="20"/>
          <w:color w:val="auto"/>
        </w:rPr>
        <w:t>”: with respect to any Lender at any time, the ratio (expressed as a percentage) of such Lender’s Aggregate Exposure at such time to the Aggregate Exposure of all Lenders at such time.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71"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as defined in the preamble hereto.</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Alternative Currency</w:t>
      </w:r>
      <w:r>
        <w:rPr>
          <w:rFonts w:ascii="Arial" w:cs="Arial" w:eastAsia="Arial" w:hAnsi="Arial"/>
          <w:sz w:val="20"/>
          <w:szCs w:val="20"/>
          <w:color w:val="auto"/>
        </w:rPr>
        <w:t xml:space="preserve">”: each of the following currencies: Sterling, Euro or Australian Dollars, together with each other currency (other than Dollars) that is approved in accordance with </w:t>
      </w:r>
      <w:r>
        <w:rPr>
          <w:rFonts w:ascii="Arial" w:cs="Arial" w:eastAsia="Arial" w:hAnsi="Arial"/>
          <w:sz w:val="20"/>
          <w:szCs w:val="20"/>
          <w:u w:val="single" w:color="auto"/>
          <w:color w:val="auto"/>
        </w:rPr>
        <w:t>Section 1.5</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Alternative Currency Equivalent</w:t>
      </w:r>
      <w:r>
        <w:rPr>
          <w:rFonts w:ascii="Arial" w:cs="Arial" w:eastAsia="Arial" w:hAnsi="Arial"/>
          <w:sz w:val="20"/>
          <w:szCs w:val="20"/>
          <w:color w:val="auto"/>
        </w:rPr>
        <w:t>”: at any time, with respect to any amount denominated in Dollars, the equivalent amount thereof in the applicable Alternative Currency as determined by the Administrative Agent or the Issuing Lender, as the case may be, at such time on the basis of the Spot Rate (determined in respect of the most recent Revaluation Date) for the purchase of such Alternative Currency with Dollars.</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Margin</w:t>
      </w:r>
      <w:r>
        <w:rPr>
          <w:rFonts w:ascii="Arial" w:cs="Arial" w:eastAsia="Arial" w:hAnsi="Arial"/>
          <w:sz w:val="20"/>
          <w:szCs w:val="20"/>
          <w:color w:val="auto"/>
        </w:rPr>
        <w:t>”: commencing on the first day of the second full quarter ending after the Closing Date, the rate per annum set forth under the relevant column heading below based on the applicable Average Daily Usage for the prior quarter:</w:t>
      </w:r>
    </w:p>
    <w:p>
      <w:pPr>
        <w:spacing w:after="0" w:line="147" w:lineRule="exact"/>
        <w:rPr>
          <w:sz w:val="20"/>
          <w:szCs w:val="20"/>
          <w:color w:val="auto"/>
        </w:rPr>
      </w:pPr>
    </w:p>
    <w:tbl>
      <w:tblPr>
        <w:tblLayout w:type="fixed"/>
        <w:tblInd w:w="1430" w:type="dxa"/>
        <w:tblCellMar>
          <w:top w:w="0" w:type="dxa"/>
          <w:left w:w="0" w:type="dxa"/>
          <w:bottom w:w="0" w:type="dxa"/>
          <w:right w:w="0" w:type="dxa"/>
        </w:tblCellMar>
      </w:tblPr>
      <w:tr>
        <w:trPr>
          <w:trHeight w:val="288"/>
        </w:trPr>
        <w:tc>
          <w:tcPr>
            <w:tcW w:w="1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Level</w:t>
            </w:r>
          </w:p>
        </w:tc>
        <w:tc>
          <w:tcPr>
            <w:tcW w:w="440" w:type="dxa"/>
            <w:vAlign w:val="bottom"/>
            <w:tcBorders>
              <w:top w:val="single" w:sz="8" w:color="auto"/>
            </w:tcBorders>
          </w:tcPr>
          <w:p>
            <w:pPr>
              <w:spacing w:after="0"/>
              <w:rPr>
                <w:sz w:val="24"/>
                <w:szCs w:val="24"/>
                <w:color w:val="auto"/>
              </w:rPr>
            </w:pPr>
          </w:p>
        </w:tc>
        <w:tc>
          <w:tcPr>
            <w:tcW w:w="2280" w:type="dxa"/>
            <w:vAlign w:val="bottom"/>
            <w:tcBorders>
              <w:top w:val="single" w:sz="8" w:color="auto"/>
              <w:right w:val="single" w:sz="8" w:color="auto"/>
            </w:tcBorders>
            <w:gridSpan w:val="2"/>
          </w:tcPr>
          <w:p>
            <w:pPr>
              <w:jc w:val="right"/>
              <w:ind w:right="520"/>
              <w:spacing w:after="0"/>
              <w:rPr>
                <w:sz w:val="20"/>
                <w:szCs w:val="20"/>
                <w:color w:val="auto"/>
              </w:rPr>
            </w:pPr>
            <w:r>
              <w:rPr>
                <w:rFonts w:ascii="Arial" w:cs="Arial" w:eastAsia="Arial" w:hAnsi="Arial"/>
                <w:sz w:val="20"/>
                <w:szCs w:val="20"/>
                <w:b w:val="1"/>
                <w:bCs w:val="1"/>
                <w:color w:val="auto"/>
                <w:w w:val="87"/>
              </w:rPr>
              <w:t>Average Daily Usage</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Applicable Margin for</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Applicable Margin for</w:t>
            </w:r>
          </w:p>
        </w:tc>
      </w:tr>
      <w:tr>
        <w:trPr>
          <w:trHeight w:val="243"/>
        </w:trPr>
        <w:tc>
          <w:tcPr>
            <w:tcW w:w="1300" w:type="dxa"/>
            <w:vAlign w:val="bottom"/>
            <w:tcBorders>
              <w:left w:val="single" w:sz="8" w:color="auto"/>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Eurodollar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ABR Loans</w:t>
            </w:r>
          </w:p>
        </w:tc>
      </w:tr>
      <w:tr>
        <w:trPr>
          <w:trHeight w:val="256"/>
        </w:trPr>
        <w:tc>
          <w:tcPr>
            <w:tcW w:w="1300" w:type="dxa"/>
            <w:vAlign w:val="bottom"/>
            <w:tcBorders>
              <w:left w:val="single" w:sz="8" w:color="auto"/>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Loans</w:t>
            </w:r>
          </w:p>
        </w:tc>
        <w:tc>
          <w:tcPr>
            <w:tcW w:w="2260" w:type="dxa"/>
            <w:vAlign w:val="bottom"/>
            <w:tcBorders>
              <w:right w:val="single" w:sz="8" w:color="auto"/>
            </w:tcBorders>
          </w:tcPr>
          <w:p>
            <w:pPr>
              <w:spacing w:after="0"/>
              <w:rPr>
                <w:sz w:val="22"/>
                <w:szCs w:val="22"/>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2720" w:type="dxa"/>
            <w:vAlign w:val="bottom"/>
            <w:tcBorders>
              <w:right w:val="single" w:sz="8" w:color="auto"/>
            </w:tcBorders>
            <w:gridSpan w:val="3"/>
          </w:tcPr>
          <w:p>
            <w:pPr>
              <w:jc w:val="right"/>
              <w:ind w:right="1140"/>
              <w:spacing w:after="0"/>
              <w:rPr>
                <w:sz w:val="20"/>
                <w:szCs w:val="20"/>
                <w:color w:val="auto"/>
              </w:rPr>
            </w:pPr>
            <w:r>
              <w:rPr>
                <w:rFonts w:ascii="Arial" w:cs="Arial" w:eastAsia="Arial" w:hAnsi="Arial"/>
                <w:sz w:val="20"/>
                <w:szCs w:val="20"/>
                <w:color w:val="auto"/>
              </w:rPr>
              <w:t>&gt; $50,000,000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3.00%</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2.00%</w:t>
            </w:r>
          </w:p>
        </w:tc>
      </w:tr>
      <w:tr>
        <w:trPr>
          <w:trHeight w:val="36"/>
        </w:trPr>
        <w:tc>
          <w:tcPr>
            <w:tcW w:w="130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r>
      <w:tr>
        <w:trPr>
          <w:trHeight w:val="223"/>
        </w:trPr>
        <w:tc>
          <w:tcPr>
            <w:tcW w:w="1300" w:type="dxa"/>
            <w:vAlign w:val="bottom"/>
            <w:tcBorders>
              <w:left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II</w:t>
            </w:r>
          </w:p>
        </w:tc>
        <w:tc>
          <w:tcPr>
            <w:tcW w:w="2720" w:type="dxa"/>
            <w:vAlign w:val="bottom"/>
            <w:tcBorders>
              <w:right w:val="single" w:sz="8" w:color="auto"/>
            </w:tcBorders>
            <w:gridSpan w:val="3"/>
          </w:tcPr>
          <w:p>
            <w:pPr>
              <w:jc w:val="right"/>
              <w:ind w:right="1140"/>
              <w:spacing w:after="0" w:line="223" w:lineRule="exact"/>
              <w:rPr>
                <w:sz w:val="20"/>
                <w:szCs w:val="20"/>
                <w:color w:val="auto"/>
              </w:rPr>
            </w:pPr>
            <w:r>
              <w:rPr>
                <w:rFonts w:ascii="Arial" w:cs="Arial" w:eastAsia="Arial" w:hAnsi="Arial"/>
                <w:sz w:val="20"/>
                <w:szCs w:val="20"/>
                <w:color w:val="auto"/>
              </w:rPr>
              <w:t>&lt; $50,000,000</w:t>
            </w:r>
          </w:p>
        </w:tc>
        <w:tc>
          <w:tcPr>
            <w:tcW w:w="21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2.75%</w:t>
            </w:r>
          </w:p>
        </w:tc>
        <w:tc>
          <w:tcPr>
            <w:tcW w:w="22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1.75%</w:t>
            </w:r>
          </w:p>
        </w:tc>
      </w:tr>
      <w:tr>
        <w:trPr>
          <w:trHeight w:val="61"/>
        </w:trPr>
        <w:tc>
          <w:tcPr>
            <w:tcW w:w="1300" w:type="dxa"/>
            <w:vAlign w:val="bottom"/>
            <w:tcBorders>
              <w:left w:val="single" w:sz="8" w:color="auto"/>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bl>
    <w:p>
      <w:pPr>
        <w:spacing w:after="0" w:line="2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foregoing, (a) until and including the last day of the first full calendar quarter ending after the Closing Date, the Applicable Margin shall be the rates corresponding to level II in the foregoing table, and (b) no reduction to the Applicable Margin shall become effective at any time when an Event of Default has occurred and is continuing.</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with respect to any Revolving Extensions of Credit and payments in any Alternative Currency, the local time in the place of settlement for such Alternative Currency as may be determined by the Administrative Agent or the Issuing Lender, as the case may be, to be necessary for timely settlement on the relevant date in accordance with normal banking procedures in the place of payment.</w:t>
      </w:r>
    </w:p>
    <w:p>
      <w:pPr>
        <w:spacing w:after="0" w:line="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Application</w:t>
      </w:r>
      <w:r>
        <w:rPr>
          <w:rFonts w:ascii="Arial" w:cs="Arial" w:eastAsia="Arial" w:hAnsi="Arial"/>
          <w:sz w:val="20"/>
          <w:szCs w:val="20"/>
          <w:color w:val="auto"/>
        </w:rPr>
        <w:t>”: an application, in such form as the Issuing Lender may specify from time to time, requesting the Issuing Lender to issue a Letter of Credit.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Approved Fund</w:t>
      </w:r>
      <w:r>
        <w:rPr>
          <w:rFonts w:ascii="Arial" w:cs="Arial" w:eastAsia="Arial" w:hAnsi="Arial"/>
          <w:sz w:val="20"/>
          <w:szCs w:val="20"/>
          <w:color w:val="auto"/>
        </w:rPr>
        <w:t>”: any Fund that is administered or managed by (a) a Lender, (b) an Affiliate of a Lender, or (c) an entity or an Affiliate of an entity that administers or manages a Lender.</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Assignment and Assumption</w:t>
      </w:r>
      <w:r>
        <w:rPr>
          <w:rFonts w:ascii="Arial" w:cs="Arial" w:eastAsia="Arial" w:hAnsi="Arial"/>
          <w:sz w:val="20"/>
          <w:szCs w:val="20"/>
          <w:color w:val="auto"/>
        </w:rPr>
        <w:t xml:space="preserve">”: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10.6</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or any other form approved by the Administrative Agent.</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Available Revolving Commitment</w:t>
      </w:r>
      <w:r>
        <w:rPr>
          <w:rFonts w:ascii="Arial" w:cs="Arial" w:eastAsia="Arial" w:hAnsi="Arial"/>
          <w:sz w:val="20"/>
          <w:szCs w:val="20"/>
          <w:color w:val="auto"/>
        </w:rPr>
        <w:t xml:space="preserve">”: at any time, an amount equal to (a) the Total Revolving Commitments in effect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Dollar Equivalent of the aggregate undrawn amount of all outstanding Letters of Credit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(c) the Dollar Equivalent of the aggregate amount of all L/C Disbursements that have not yet been reimbursed or converted into Revolving Loans or Swingline Loans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(d) the aggregate principal balance of any Revolving Loans and Swingline Loans outstanding at such time.</w:t>
      </w:r>
    </w:p>
    <w:p>
      <w:pPr>
        <w:spacing w:after="0" w:line="140"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Available Revolving Increase Amount</w:t>
      </w:r>
      <w:r>
        <w:rPr>
          <w:rFonts w:ascii="Arial" w:cs="Arial" w:eastAsia="Arial" w:hAnsi="Arial"/>
          <w:sz w:val="16"/>
          <w:szCs w:val="16"/>
          <w:color w:val="auto"/>
        </w:rPr>
        <w:t xml:space="preserve">”: as of any date of determination, an amount equal to the result of (a) $25,000,000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principal amount of Increases to the Revolving Commitments previously made pursuant to </w:t>
      </w:r>
      <w:r>
        <w:rPr>
          <w:rFonts w:ascii="Arial" w:cs="Arial" w:eastAsia="Arial" w:hAnsi="Arial"/>
          <w:sz w:val="16"/>
          <w:szCs w:val="16"/>
          <w:u w:val="single" w:color="auto"/>
          <w:color w:val="auto"/>
        </w:rPr>
        <w:t>Section 2.27</w:t>
      </w:r>
      <w:r>
        <w:rPr>
          <w:rFonts w:ascii="Arial" w:cs="Arial" w:eastAsia="Arial" w:hAnsi="Arial"/>
          <w:sz w:val="16"/>
          <w:szCs w:val="16"/>
          <w:color w:val="auto"/>
        </w:rPr>
        <w:t xml:space="preserve"> after the Closing Date.</w:t>
      </w:r>
    </w:p>
    <w:p>
      <w:pPr>
        <w:spacing w:after="0" w:line="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Available Tenor</w:t>
      </w:r>
      <w:r>
        <w:rPr>
          <w:rFonts w:ascii="Arial" w:cs="Arial" w:eastAsia="Arial" w:hAnsi="Arial"/>
          <w:sz w:val="20"/>
          <w:szCs w:val="20"/>
          <w:color w:val="auto"/>
        </w:rPr>
        <w:t>”: as of any date of determination and with respect to the then-current Benchmark, as applicable, any tenor for such Benchmark or payment period for interest calculated with</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71" w:right="339" w:bottom="1440" w:gutter="0" w:footer="0" w:header="0"/>
        </w:sectPr>
      </w:pPr>
    </w:p>
    <w:bookmarkStart w:id="118" w:name="page119"/>
    <w:bookmarkEnd w:id="118"/>
    <w:p>
      <w:pPr>
        <w:jc w:val="both"/>
        <w:spacing w:after="0" w:line="250" w:lineRule="auto"/>
        <w:rPr>
          <w:sz w:val="20"/>
          <w:szCs w:val="20"/>
          <w:color w:val="auto"/>
        </w:rPr>
      </w:pPr>
      <w:r>
        <w:rPr>
          <w:rFonts w:ascii="Arial" w:cs="Arial" w:eastAsia="Arial" w:hAnsi="Arial"/>
          <w:sz w:val="20"/>
          <w:szCs w:val="20"/>
          <w:color w:val="auto"/>
        </w:rPr>
        <w:t xml:space="preserve">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Arial" w:cs="Arial" w:eastAsia="Arial" w:hAnsi="Arial"/>
          <w:sz w:val="20"/>
          <w:szCs w:val="20"/>
          <w:u w:val="single" w:color="auto"/>
          <w:color w:val="auto"/>
        </w:rPr>
        <w:t>Section 2.17(e)</w:t>
      </w:r>
      <w:r>
        <w:rPr>
          <w:rFonts w:ascii="Arial" w:cs="Arial" w:eastAsia="Arial" w:hAnsi="Arial"/>
          <w:sz w:val="20"/>
          <w:szCs w:val="20"/>
          <w:color w:val="auto"/>
        </w:rPr>
        <w:t>.</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Average Daily Usage</w:t>
      </w:r>
      <w:r>
        <w:rPr>
          <w:rFonts w:ascii="Arial" w:cs="Arial" w:eastAsia="Arial" w:hAnsi="Arial"/>
          <w:sz w:val="20"/>
          <w:szCs w:val="20"/>
          <w:color w:val="auto"/>
        </w:rPr>
        <w:t>”: the average of the result of the sum of (a) the aggregate undrawn amount of all outstanding Letters of Credit at such time, (b) the aggregate amount of all Letter of Credit disbursements that have not yet been reimbursed or converted into Revolving Loans at such time, and (c) the aggregate principal balance of any Loans (including Swingline Loans) outstanding at such time for each day of the immediately preceding calendar quarter.</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Action</w:t>
      </w:r>
      <w:r>
        <w:rPr>
          <w:rFonts w:ascii="Arial" w:cs="Arial" w:eastAsia="Arial" w:hAnsi="Arial"/>
          <w:sz w:val="20"/>
          <w:szCs w:val="20"/>
          <w:color w:val="auto"/>
        </w:rPr>
        <w:t>”: the exercise of any Write-Down and Conversion Powers by the applicable EEA Resolution Authority in respect of any liability of an EEA Financial Institution.</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Legislation</w:t>
      </w:r>
      <w:r>
        <w:rPr>
          <w:rFonts w:ascii="Arial" w:cs="Arial" w:eastAsia="Arial" w:hAnsi="Arial"/>
          <w:sz w:val="20"/>
          <w:szCs w:val="20"/>
          <w:color w:val="auto"/>
        </w:rPr>
        <w:t>”: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Bankruptcy Code</w:t>
      </w:r>
      <w:r>
        <w:rPr>
          <w:rFonts w:ascii="Arial" w:cs="Arial" w:eastAsia="Arial" w:hAnsi="Arial"/>
          <w:sz w:val="20"/>
          <w:szCs w:val="20"/>
          <w:color w:val="auto"/>
        </w:rPr>
        <w:t>”: Title 11 of the United States Code entitled “Bankruptcy.”</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w:t>
      </w:r>
      <w:r>
        <w:rPr>
          <w:rFonts w:ascii="Arial" w:cs="Arial" w:eastAsia="Arial" w:hAnsi="Arial"/>
          <w:sz w:val="20"/>
          <w:szCs w:val="20"/>
          <w:color w:val="auto"/>
        </w:rPr>
        <w:t xml:space="preserve">”: initially, LIBOR;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Benchmark Transition Event, a Term SOFR Transition Event, or an Early Opt-in Election, as applicable, and its related Benchmark Replacement Date have occurred with respect to LIBOR or the then-current Benchmark, then “Benchmark” means the applicable Benchmark Replacement to the extent that such Benchmark Replacement has replaced such prior benchmark rate pursuant to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Replacement</w:t>
      </w:r>
      <w:r>
        <w:rPr>
          <w:rFonts w:ascii="Arial" w:cs="Arial" w:eastAsia="Arial" w:hAnsi="Arial"/>
          <w:sz w:val="20"/>
          <w:szCs w:val="20"/>
          <w:color w:val="auto"/>
        </w:rPr>
        <w:t>”: (a) for any Available Tenor, the first alternative set forth in the order below that can be determined by the Administrative Agent for the applicable Benchmark Replacement Date:</w:t>
      </w:r>
    </w:p>
    <w:p>
      <w:pPr>
        <w:spacing w:after="0" w:line="123" w:lineRule="exact"/>
        <w:rPr>
          <w:sz w:val="20"/>
          <w:szCs w:val="20"/>
          <w:color w:val="auto"/>
        </w:rPr>
      </w:pPr>
    </w:p>
    <w:p>
      <w:pPr>
        <w:ind w:left="1680" w:hanging="376"/>
        <w:spacing w:after="0"/>
        <w:tabs>
          <w:tab w:leader="none" w:pos="16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161" w:lineRule="exact"/>
        <w:rPr>
          <w:rFonts w:ascii="Arial" w:cs="Arial" w:eastAsia="Arial" w:hAnsi="Arial"/>
          <w:sz w:val="20"/>
          <w:szCs w:val="20"/>
          <w:color w:val="auto"/>
        </w:rPr>
      </w:pPr>
    </w:p>
    <w:p>
      <w:pPr>
        <w:jc w:val="both"/>
        <w:ind w:left="660" w:firstLine="644"/>
        <w:spacing w:after="0" w:line="243" w:lineRule="auto"/>
        <w:tabs>
          <w:tab w:leader="none" w:pos="1838"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the Administrative Agent and the Borrower as the replacement for the then-current Benchmark for the applicable Corresponding Tenor giving due consideration to (x) any selection or recommendation of a replacement benchmark rate or the mechanism for determining such a rate by the Relevant Governmental Body or (y)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clause (i), such Unadjusted Benchmark Replacement is displayed on a screen or other information service that publishes such rate from time to time as selected by the Administrative Agent in its reasonable discretion.</w:t>
      </w:r>
    </w:p>
    <w:p>
      <w:pPr>
        <w:spacing w:after="0" w:line="123" w:lineRule="exact"/>
        <w:rPr>
          <w:sz w:val="20"/>
          <w:szCs w:val="20"/>
          <w:color w:val="auto"/>
        </w:rPr>
      </w:pPr>
    </w:p>
    <w:p>
      <w:pPr>
        <w:jc w:val="both"/>
        <w:ind w:firstLine="14"/>
        <w:spacing w:after="0" w:line="269" w:lineRule="auto"/>
        <w:tabs>
          <w:tab w:leader="none" w:pos="291" w:val="left"/>
        </w:tabs>
        <w:numPr>
          <w:ilvl w:val="0"/>
          <w:numId w:val="60"/>
        </w:numPr>
        <w:rPr>
          <w:rFonts w:ascii="Arial" w:cs="Arial" w:eastAsia="Arial" w:hAnsi="Arial"/>
          <w:sz w:val="19"/>
          <w:szCs w:val="19"/>
          <w:color w:val="auto"/>
        </w:rPr>
      </w:pPr>
      <w:r>
        <w:rPr>
          <w:rFonts w:ascii="Arial" w:cs="Arial" w:eastAsia="Arial" w:hAnsi="Arial"/>
          <w:sz w:val="19"/>
          <w:szCs w:val="19"/>
          <w:color w:val="auto"/>
        </w:rPr>
        <w:t>With respect to any Term SOFR Transition Event, the sum of (i) Term SOFR and (ii) the related Benchmark Replacement Adjustment. If the Benchmark Replacement as determined pursuant to clause (a) or (b) above would be less than the Floor, the Benchmark Replacement will be deemed to be the Floor for the purposes of this Agreement and the other Loan Documents.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771" w:right="339" w:bottom="1440" w:gutter="0" w:footer="0" w:header="0"/>
        </w:sectPr>
      </w:pPr>
    </w:p>
    <w:bookmarkStart w:id="119" w:name="page120"/>
    <w:bookmarkEnd w:id="119"/>
    <w:p>
      <w:pPr>
        <w:jc w:val="both"/>
        <w:ind w:right="2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Benchmark Replacement Adjustment</w:t>
      </w:r>
      <w:r>
        <w:rPr>
          <w:rFonts w:ascii="Arial" w:cs="Arial" w:eastAsia="Arial" w:hAnsi="Arial"/>
          <w:sz w:val="16"/>
          <w:szCs w:val="16"/>
          <w:color w:val="auto"/>
        </w:rPr>
        <w:t>”: with respect to any replacement of the then current Benchmark with an Unadjusted Benchmark Replacement for any applicable Interest Period and Available Tenor for any setting of such Unadjusted Benchmark Replacement:</w:t>
      </w:r>
    </w:p>
    <w:p>
      <w:pPr>
        <w:spacing w:after="0" w:line="31" w:lineRule="exact"/>
        <w:rPr>
          <w:sz w:val="20"/>
          <w:szCs w:val="20"/>
          <w:color w:val="auto"/>
        </w:rPr>
      </w:pPr>
    </w:p>
    <w:p>
      <w:pPr>
        <w:ind w:left="660" w:firstLine="644"/>
        <w:spacing w:after="0" w:line="260" w:lineRule="auto"/>
        <w:tabs>
          <w:tab w:leader="none" w:pos="1737" w:val="left"/>
        </w:tabs>
        <w:numPr>
          <w:ilvl w:val="0"/>
          <w:numId w:val="61"/>
        </w:numPr>
        <w:rPr>
          <w:rFonts w:ascii="Arial" w:cs="Arial" w:eastAsia="Arial" w:hAnsi="Arial"/>
          <w:sz w:val="20"/>
          <w:szCs w:val="20"/>
          <w:color w:val="auto"/>
        </w:rPr>
      </w:pPr>
      <w:r>
        <w:rPr>
          <w:rFonts w:ascii="Arial" w:cs="Arial" w:eastAsia="Arial" w:hAnsi="Arial"/>
          <w:sz w:val="20"/>
          <w:szCs w:val="20"/>
          <w:color w:val="auto"/>
        </w:rPr>
        <w:t>for purposes of clauses (a)(i) and (ii) or (b) of the definition of “Benchmark Replacement,” the first alternative set forth in the order below that can be determined by the Administrative Agent:</w:t>
      </w:r>
    </w:p>
    <w:p>
      <w:pPr>
        <w:spacing w:after="0" w:line="122" w:lineRule="exact"/>
        <w:rPr>
          <w:rFonts w:ascii="Arial" w:cs="Arial" w:eastAsia="Arial" w:hAnsi="Arial"/>
          <w:sz w:val="20"/>
          <w:szCs w:val="20"/>
          <w:color w:val="auto"/>
        </w:rPr>
      </w:pPr>
    </w:p>
    <w:p>
      <w:pPr>
        <w:jc w:val="both"/>
        <w:ind w:left="1300" w:firstLine="652"/>
        <w:spacing w:after="0" w:line="263" w:lineRule="auto"/>
        <w:tabs>
          <w:tab w:leader="none" w:pos="2446"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22" w:lineRule="exact"/>
        <w:rPr>
          <w:rFonts w:ascii="Arial" w:cs="Arial" w:eastAsia="Arial" w:hAnsi="Arial"/>
          <w:sz w:val="19"/>
          <w:szCs w:val="19"/>
          <w:color w:val="auto"/>
        </w:rPr>
      </w:pPr>
    </w:p>
    <w:p>
      <w:pPr>
        <w:jc w:val="both"/>
        <w:ind w:left="1300" w:firstLine="652"/>
        <w:spacing w:after="0" w:line="246" w:lineRule="auto"/>
        <w:tabs>
          <w:tab w:leader="none" w:pos="2488"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37" w:lineRule="exact"/>
        <w:rPr>
          <w:rFonts w:ascii="Arial" w:cs="Arial" w:eastAsia="Arial" w:hAnsi="Arial"/>
          <w:sz w:val="20"/>
          <w:szCs w:val="20"/>
          <w:color w:val="auto"/>
        </w:rPr>
      </w:pPr>
    </w:p>
    <w:p>
      <w:pPr>
        <w:jc w:val="both"/>
        <w:ind w:left="660" w:firstLine="644"/>
        <w:spacing w:after="0" w:line="273" w:lineRule="auto"/>
        <w:tabs>
          <w:tab w:leader="none" w:pos="1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purposes of clause (a)(iii)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(a) above, such adjustment is displayed on a screen or other information service that publishes such Benchmark Replacement Adjustment from time to time as selected by the Administrative Agent in its reasonable discretion.</w:t>
      </w:r>
    </w:p>
    <w:p>
      <w:pPr>
        <w:spacing w:after="0" w:line="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Conforming Changes</w:t>
      </w:r>
      <w:r>
        <w:rPr>
          <w:rFonts w:ascii="Arial" w:cs="Arial" w:eastAsia="Arial" w:hAnsi="Arial"/>
          <w:sz w:val="19"/>
          <w:szCs w:val="19"/>
          <w:color w:val="auto"/>
        </w:rPr>
        <w:t>”: with respect to any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Date</w:t>
      </w:r>
      <w:r>
        <w:rPr>
          <w:rFonts w:ascii="Arial" w:cs="Arial" w:eastAsia="Arial" w:hAnsi="Arial"/>
          <w:sz w:val="19"/>
          <w:szCs w:val="19"/>
          <w:color w:val="auto"/>
        </w:rPr>
        <w:t>”: the earliest to occur of the following events with respect to the then-current Benchmark:</w:t>
      </w:r>
    </w:p>
    <w:p>
      <w:pPr>
        <w:spacing w:after="0" w:line="173" w:lineRule="exact"/>
        <w:rPr>
          <w:sz w:val="20"/>
          <w:szCs w:val="20"/>
          <w:color w:val="auto"/>
        </w:rPr>
      </w:pPr>
    </w:p>
    <w:p>
      <w:pPr>
        <w:jc w:val="both"/>
        <w:ind w:left="660" w:firstLine="644"/>
        <w:spacing w:after="0" w:line="250" w:lineRule="auto"/>
        <w:tabs>
          <w:tab w:leader="none" w:pos="1755"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771" w:right="339" w:bottom="1440" w:gutter="0" w:footer="0" w:header="0"/>
        </w:sectPr>
      </w:pPr>
    </w:p>
    <w:bookmarkStart w:id="120" w:name="page121"/>
    <w:bookmarkEnd w:id="120"/>
    <w:p>
      <w:pPr>
        <w:ind w:left="660"/>
        <w:spacing w:after="0" w:line="260" w:lineRule="auto"/>
        <w:rPr>
          <w:sz w:val="20"/>
          <w:szCs w:val="20"/>
          <w:color w:val="auto"/>
        </w:rPr>
      </w:pPr>
      <w:r>
        <w:rPr>
          <w:rFonts w:ascii="Arial" w:cs="Arial" w:eastAsia="Arial" w:hAnsi="Arial"/>
          <w:sz w:val="20"/>
          <w:szCs w:val="20"/>
          <w:color w:val="auto"/>
        </w:rPr>
        <w:t>in the calculation thereof) permanently or indefinitely ceases to provide all Available Tenors of such Benchmark (or such component thereof);</w:t>
      </w:r>
    </w:p>
    <w:p>
      <w:pPr>
        <w:spacing w:after="0" w:line="123" w:lineRule="exact"/>
        <w:rPr>
          <w:sz w:val="20"/>
          <w:szCs w:val="20"/>
          <w:color w:val="auto"/>
        </w:rPr>
      </w:pPr>
    </w:p>
    <w:p>
      <w:pPr>
        <w:ind w:left="660" w:firstLine="644"/>
        <w:spacing w:after="0" w:line="260" w:lineRule="auto"/>
        <w:tabs>
          <w:tab w:leader="none" w:pos="1877"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 the case of clause (c) of the definition of “Benchmark Transition Event,” the date of the public statement or publication of information referenced therein; or</w:t>
      </w:r>
    </w:p>
    <w:p>
      <w:pPr>
        <w:spacing w:after="0" w:line="122" w:lineRule="exact"/>
        <w:rPr>
          <w:rFonts w:ascii="Arial" w:cs="Arial" w:eastAsia="Arial" w:hAnsi="Arial"/>
          <w:sz w:val="20"/>
          <w:szCs w:val="20"/>
          <w:color w:val="auto"/>
        </w:rPr>
      </w:pPr>
    </w:p>
    <w:p>
      <w:pPr>
        <w:ind w:left="660" w:right="20" w:firstLine="644"/>
        <w:spacing w:after="0" w:line="260" w:lineRule="auto"/>
        <w:tabs>
          <w:tab w:leader="none" w:pos="1894"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 the case of a Term SOFR Transition Event, the date that is thirty (30) days after the Administrative Agent has provided the Term SOFR Notice to the Lenders and the Borrower pursuant to Section 2.17(b)(i)(B); or</w:t>
      </w:r>
    </w:p>
    <w:p>
      <w:pPr>
        <w:spacing w:after="0" w:line="203" w:lineRule="exact"/>
        <w:rPr>
          <w:rFonts w:ascii="Arial" w:cs="Arial" w:eastAsia="Arial" w:hAnsi="Arial"/>
          <w:sz w:val="20"/>
          <w:szCs w:val="20"/>
          <w:color w:val="auto"/>
        </w:rPr>
      </w:pPr>
    </w:p>
    <w:p>
      <w:pPr>
        <w:jc w:val="both"/>
        <w:ind w:left="660" w:firstLine="644"/>
        <w:spacing w:after="0" w:line="246" w:lineRule="auto"/>
        <w:tabs>
          <w:tab w:leader="none" w:pos="1756" w:val="left"/>
        </w:tabs>
        <w:numPr>
          <w:ilvl w:val="0"/>
          <w:numId w:val="63"/>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Transition Event</w:t>
      </w:r>
      <w:r>
        <w:rPr>
          <w:rFonts w:ascii="Arial" w:cs="Arial" w:eastAsia="Arial" w:hAnsi="Arial"/>
          <w:sz w:val="18"/>
          <w:szCs w:val="18"/>
          <w:color w:val="auto"/>
        </w:rPr>
        <w:t>”: the occurrence of one or more of the following events with respect to the then-current Benchmark:</w:t>
      </w:r>
    </w:p>
    <w:p>
      <w:pPr>
        <w:spacing w:after="0" w:line="185" w:lineRule="exact"/>
        <w:rPr>
          <w:sz w:val="20"/>
          <w:szCs w:val="20"/>
          <w:color w:val="auto"/>
        </w:rPr>
      </w:pPr>
    </w:p>
    <w:p>
      <w:pPr>
        <w:jc w:val="both"/>
        <w:ind w:left="660" w:firstLine="644"/>
        <w:spacing w:after="0" w:line="244" w:lineRule="auto"/>
        <w:tabs>
          <w:tab w:leader="none" w:pos="1853"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40" w:lineRule="exact"/>
        <w:rPr>
          <w:rFonts w:ascii="Arial" w:cs="Arial" w:eastAsia="Arial" w:hAnsi="Arial"/>
          <w:sz w:val="20"/>
          <w:szCs w:val="20"/>
          <w:color w:val="auto"/>
        </w:rPr>
      </w:pPr>
    </w:p>
    <w:p>
      <w:pPr>
        <w:jc w:val="both"/>
        <w:ind w:left="660" w:firstLine="644"/>
        <w:spacing w:after="0" w:line="273" w:lineRule="auto"/>
        <w:tabs>
          <w:tab w:leader="none" w:pos="17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14" w:lineRule="exact"/>
        <w:rPr>
          <w:rFonts w:ascii="Arial" w:cs="Arial" w:eastAsia="Arial" w:hAnsi="Arial"/>
          <w:sz w:val="18"/>
          <w:szCs w:val="18"/>
          <w:color w:val="auto"/>
        </w:rPr>
      </w:pPr>
    </w:p>
    <w:p>
      <w:pPr>
        <w:jc w:val="both"/>
        <w:ind w:left="660" w:right="20" w:firstLine="644"/>
        <w:spacing w:after="0" w:line="250" w:lineRule="auto"/>
        <w:tabs>
          <w:tab w:leader="none" w:pos="1761"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771" w:right="339" w:bottom="1440" w:gutter="0" w:footer="0" w:header="0"/>
        </w:sectPr>
      </w:pPr>
    </w:p>
    <w:bookmarkStart w:id="121" w:name="page122"/>
    <w:bookmarkEnd w:id="121"/>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Unavailability Period</w:t>
      </w:r>
      <w:r>
        <w:rPr>
          <w:rFonts w:ascii="Arial" w:cs="Arial" w:eastAsia="Arial" w:hAnsi="Arial"/>
          <w:sz w:val="20"/>
          <w:szCs w:val="20"/>
          <w:color w:val="auto"/>
        </w:rPr>
        <w:t xml:space="preserve">”: the period (if any) (x) beginning at the time that a Benchmark Replacement Date pursuant to clauses (a) or (b) of that definition has occurred if, at such time, no Benchmark Replacement has replaced the then-current Benchmark for all purposes hereunder and under any Loan Document in accordance with the Section titled “Benchmark Replacement Setting” and (y) ending at the time that a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Certification</w:t>
      </w:r>
      <w:r>
        <w:rPr>
          <w:rFonts w:ascii="Arial" w:cs="Arial" w:eastAsia="Arial" w:hAnsi="Arial"/>
          <w:sz w:val="20"/>
          <w:szCs w:val="20"/>
          <w:color w:val="auto"/>
        </w:rPr>
        <w:t>”: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Regulation</w:t>
      </w:r>
      <w:r>
        <w:rPr>
          <w:rFonts w:ascii="Arial" w:cs="Arial" w:eastAsia="Arial" w:hAnsi="Arial"/>
          <w:sz w:val="20"/>
          <w:szCs w:val="20"/>
          <w:color w:val="auto"/>
        </w:rPr>
        <w:t>”: United States 31 C.F.R. § 1010.230.</w:t>
      </w:r>
    </w:p>
    <w:p>
      <w:pPr>
        <w:spacing w:after="0" w:line="162"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Benefit Plan</w:t>
      </w:r>
      <w:r>
        <w:rPr>
          <w:rFonts w:ascii="Arial" w:cs="Arial" w:eastAsia="Arial" w:hAnsi="Arial"/>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Assets Regulations or otherwise for purposes of Title I of ERISA or Section 4975 of the Code) the assets of any such “employee benefit plan” or “plan”.</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Benefitted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10.7(a)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Blocked Person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7.23</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the Board of Governors of the Federal Reserve System of the United States (or any successor).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as defined in the preamble hereto.</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Borrowing Date</w:t>
      </w:r>
      <w:r>
        <w:rPr>
          <w:rFonts w:ascii="Arial" w:cs="Arial" w:eastAsia="Arial" w:hAnsi="Arial"/>
          <w:sz w:val="20"/>
          <w:szCs w:val="20"/>
          <w:color w:val="auto"/>
        </w:rPr>
        <w:t>”: any Business Day specified by the Borrower in a Notice of Borrowing as a date on which the Borrower requests the relevant Lenders to make Loans hereunder.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4.17(b)</w:t>
      </w:r>
      <w:r>
        <w:rPr>
          <w:rFonts w:ascii="Arial" w:cs="Arial" w:eastAsia="Arial" w:hAnsi="Arial"/>
          <w:sz w:val="20"/>
          <w:szCs w:val="20"/>
          <w:color w:val="auto"/>
        </w:rPr>
        <w: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771" w:right="339" w:bottom="1440" w:gutter="0" w:footer="0" w:header="0"/>
        </w:sectPr>
      </w:pPr>
    </w:p>
    <w:bookmarkStart w:id="122" w:name="page123"/>
    <w:bookmarkEnd w:id="122"/>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xml:space="preserve">”: a day other than a Saturday, Sunday or other day on which commercial banks in the State of New York or the State of California are authorized or required by law to close;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with respect to notices and determinations in connection with, and payments of principal and interest on, Eurodollar Loans, such day is also a day for trading by and between banks in Dollar deposits in the interbank eurodollar market.</w:t>
      </w:r>
    </w:p>
    <w:p>
      <w:pPr>
        <w:spacing w:after="0" w:line="1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Lease Obligations</w:t>
      </w:r>
      <w:r>
        <w:rPr>
          <w:rFonts w:ascii="Arial" w:cs="Arial" w:eastAsia="Arial" w:hAnsi="Arial"/>
          <w:sz w:val="19"/>
          <w:szCs w:val="19"/>
          <w:color w:val="auto"/>
        </w:rPr>
        <w:t xml:space="preserve">”: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for all purposes hereunder, any obligations of such Person in respect of leases of real property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2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Capital Stock</w:t>
      </w:r>
      <w:r>
        <w:rPr>
          <w:rFonts w:ascii="Arial" w:cs="Arial" w:eastAsia="Arial" w:hAnsi="Arial"/>
          <w:sz w:val="20"/>
          <w:szCs w:val="20"/>
          <w:color w:val="auto"/>
        </w:rPr>
        <w:t xml:space="preserve">”: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any Indebtedness convertible into equity interests that are not Disqualified Stock shall not constitute Capital Stock.</w:t>
      </w:r>
    </w:p>
    <w:p>
      <w:pPr>
        <w:spacing w:after="0" w:line="1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Collateralize</w:t>
      </w:r>
      <w:r>
        <w:rPr>
          <w:rFonts w:ascii="Arial" w:cs="Arial" w:eastAsia="Arial" w:hAnsi="Arial"/>
          <w:sz w:val="18"/>
          <w:szCs w:val="18"/>
          <w:color w:val="auto"/>
        </w:rPr>
        <w:t>”: to pledge and deposit with or deliver to (a) with respect to Obligations in respect of Letters of Credit, the Administrative Agent, for the benefit of the Issuing Lender and one or more of the Lenders, as applicable, as collateral for L/C Exposure or obligations of the Lenders to fund participations in respect thereof, cash or deposit account balances or, if the Administrative Agent and the Issuing Lender shall agree in their sole discretion, other credit support, in each case pursuant to documentation in form and substance satisfactory to the Administrative Agent and such Issuing Lender; (b) with respect to Obligations arising under any Cash Management Agreement in connection with Cash Management Services, the applicable Cash Management Bank, for its own or any of its applicable Affiliate’s benefit, as provider of such Cash Management Services, cash or deposit account balances or, if the Administrative Agent and the applicable Cash Management Bank shall agree in their sole discretion, other credit support, in each case pursuant to documentation in form and substance satisfactory to the Administrative Agent and such Cash Management Bank; or (c) with respect to Obligations in respect of any Specified Swap Agreements, the applicable Qualified Counterparty, as Collateral for such Obligations, cash or deposit account balances or, if such Qualified Counterparty shall agree in its sole discretion, other credit support, in each case pursuant to documentation in form and substance satisfactory to such Qualified Counterparty. “</w:t>
      </w:r>
      <w:r>
        <w:rPr>
          <w:rFonts w:ascii="Arial" w:cs="Arial" w:eastAsia="Arial" w:hAnsi="Arial"/>
          <w:sz w:val="18"/>
          <w:szCs w:val="18"/>
          <w:b w:val="1"/>
          <w:bCs w:val="1"/>
          <w:i w:val="1"/>
          <w:iCs w:val="1"/>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Equivalents</w:t>
      </w:r>
      <w:r>
        <w:rPr>
          <w:rFonts w:ascii="Arial" w:cs="Arial" w:eastAsia="Arial" w:hAnsi="Arial"/>
          <w:sz w:val="18"/>
          <w:szCs w:val="18"/>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12 months or less from the date of acquisition issued by any Lender or by any commercial bank organized under the laws of the United States or any state thereof having combined capital and surplus of not less than $250,000,000;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12 months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771" w:right="339" w:bottom="1440" w:gutter="0" w:footer="0" w:header="0"/>
        </w:sectPr>
      </w:pPr>
    </w:p>
    <w:bookmarkStart w:id="123" w:name="page124"/>
    <w:bookmarkEnd w:id="123"/>
    <w:p>
      <w:pPr>
        <w:jc w:val="both"/>
        <w:spacing w:after="0" w:line="254" w:lineRule="auto"/>
        <w:rPr>
          <w:sz w:val="20"/>
          <w:szCs w:val="20"/>
          <w:color w:val="auto"/>
        </w:rPr>
      </w:pPr>
      <w:r>
        <w:rPr>
          <w:rFonts w:ascii="Arial" w:cs="Arial" w:eastAsia="Arial" w:hAnsi="Arial"/>
          <w:sz w:val="19"/>
          <w:szCs w:val="19"/>
          <w:color w:val="auto"/>
        </w:rPr>
        <w:t>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12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(h) money market funds that (i) comply with the criteria set forth in SEC Rule 2a-7 under the Investment Company Act of 1940, as amended, (ii) are rated AAA by S&amp;P and Aaa by Moody’s and (iii) have portfolio assets of at least $5,000,000,000; (i) in the case of any Group Member organized or having its principal place of business outside the United States, investments denominated in the currency of the jurisdiction in which such Group member is organized or has its principal place of business which are similar and of comparable credit quality to the items specified in clauses (b) through (i) above; or (j) investments permitted by the Borrower’s board-approved investment policy as approved from time to time by the Administrative Agent (such approval not to be unreasonably withheld, delayed or conditioned).</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Management Agreement</w:t>
      </w:r>
      <w:r>
        <w:rPr>
          <w:rFonts w:ascii="Arial" w:cs="Arial" w:eastAsia="Arial" w:hAnsi="Arial"/>
          <w:sz w:val="20"/>
          <w:szCs w:val="20"/>
          <w:color w:val="auto"/>
        </w:rPr>
        <w:t>”: as defined in the definition of “Cash Management Services.”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Management Bank</w:t>
      </w:r>
      <w:r>
        <w:rPr>
          <w:rFonts w:ascii="Arial" w:cs="Arial" w:eastAsia="Arial" w:hAnsi="Arial"/>
          <w:sz w:val="20"/>
          <w:szCs w:val="20"/>
          <w:color w:val="auto"/>
        </w:rPr>
        <w:t>”: any Person that, at the time it enters into a Cash Management Agreement, is a Lender or an Affiliate of a Lender, in its capacity as a party to such Cash Management Agreement.</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 Management Services</w:t>
      </w:r>
      <w:r>
        <w:rPr>
          <w:rFonts w:ascii="Arial" w:cs="Arial" w:eastAsia="Arial" w:hAnsi="Arial"/>
          <w:sz w:val="19"/>
          <w:szCs w:val="19"/>
          <w:color w:val="auto"/>
        </w:rPr>
        <w:t>”: cash management and other services provided to one or more of the Group Members by a Cash Management Bank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credit card processing services, debit cards, stored value cards, and check cashing services identified in such Cash Management Bank’s various cash management services or other similar agreements (each, a “</w:t>
      </w:r>
      <w:r>
        <w:rPr>
          <w:rFonts w:ascii="Arial" w:cs="Arial" w:eastAsia="Arial" w:hAnsi="Arial"/>
          <w:sz w:val="19"/>
          <w:szCs w:val="19"/>
          <w:b w:val="1"/>
          <w:bCs w:val="1"/>
          <w:i w:val="1"/>
          <w:iCs w:val="1"/>
          <w:color w:val="auto"/>
        </w:rPr>
        <w:t>Cash Management Agreement</w:t>
      </w:r>
      <w:r>
        <w:rPr>
          <w:rFonts w:ascii="Arial" w:cs="Arial" w:eastAsia="Arial" w:hAnsi="Arial"/>
          <w:sz w:val="19"/>
          <w:szCs w:val="19"/>
          <w:color w:val="auto"/>
        </w:rPr>
        <w:t>”).</w:t>
      </w:r>
    </w:p>
    <w:p>
      <w:pPr>
        <w:spacing w:after="0" w:line="13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Casualty Event</w:t>
      </w:r>
      <w:r>
        <w:rPr>
          <w:rFonts w:ascii="Arial" w:cs="Arial" w:eastAsia="Arial" w:hAnsi="Arial"/>
          <w:sz w:val="20"/>
          <w:szCs w:val="20"/>
          <w:color w:val="auto"/>
        </w:rPr>
        <w:t>”: any damage to or any destruction of, or any condemnation or other taking by any Governmental Authority of any property of the Loan Parties.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Certificated Securities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4.19(a)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xml:space="preserve">”: (a) at any time, any “person” or “group” (as such terms are used in Sections 13(d) and 14(d) of the Exchange Act) other than Tim Chen, Institutional Venture Partners, RRE Ventures and iGlobe International or their respective Control Investment Affiliates shall become, or obtain rights (whether by means of warrants, options or otherwise) to become, the “beneficial owner” (as defined in Rules 13(d)-3 and 13(d)-5 under the Exchange Act), directly or indirectly, of 49% or more of the ordinary voting power for the election of directors of NerdWallet (determined on a fully diluted basis); (b) at any time, NerdWallet shall cease to own and control, of record and beneficially, directly or indirectly, 100% of each class of outstanding Capital Stock of each other Loan Party free and clear of all Liens other than Liens permitted by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(other than director’s qualifying shares as required by law); or (c) a “change of control” or any comparable term under and as defined in any agreement governing any other Indebtedness of the Group Members in an aggregate principal amount in excess of $2,500,000.</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xml:space="preserve">”: the date on which all of the conditions precedent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are satisfied or waived by the Administrative Agent and, as applicable, the Lenders or the Required Lenders.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771" w:right="339" w:bottom="1440" w:gutter="0" w:footer="0" w:header="0"/>
        </w:sectPr>
      </w:pPr>
    </w:p>
    <w:bookmarkStart w:id="124" w:name="page125"/>
    <w:bookmarkEnd w:id="12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 Projections</w:t>
      </w:r>
      <w:r>
        <w:rPr>
          <w:rFonts w:ascii="Arial" w:cs="Arial" w:eastAsia="Arial" w:hAnsi="Arial"/>
          <w:sz w:val="20"/>
          <w:szCs w:val="20"/>
          <w:color w:val="auto"/>
        </w:rPr>
        <w:t xml:space="preserve">”: the lender model delivered to the Administrative Agent on or around January 15, 2021 presenting projected balance sheets and income statements prepared by the Group Members and demonstrating projected compliance with the covenants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the Internal Revenue Code of 1986, as amended from time to time.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w:t>
      </w:r>
      <w:r>
        <w:rPr>
          <w:rFonts w:ascii="Arial" w:cs="Arial" w:eastAsia="Arial" w:hAnsi="Arial"/>
          <w:sz w:val="20"/>
          <w:szCs w:val="20"/>
          <w:color w:val="auto"/>
        </w:rPr>
        <w:t>”: all property of the Loan Parties, now owned or hereafter acquired, upon which a Lien is purported to be created by any Security Document. For the avoidance of doubt, no Excluded Asset shall constitute “Collateral.”</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 Information Certificate</w:t>
      </w:r>
      <w:r>
        <w:rPr>
          <w:rFonts w:ascii="Arial" w:cs="Arial" w:eastAsia="Arial" w:hAnsi="Arial"/>
          <w:sz w:val="20"/>
          <w:szCs w:val="20"/>
          <w:color w:val="auto"/>
        </w:rPr>
        <w:t xml:space="preserve">”: the Collateral Information Certificate to be executed and delivered by the Borrower pursuant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substantially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Collateral-Related Expenses</w:t>
      </w:r>
      <w:r>
        <w:rPr>
          <w:rFonts w:ascii="Arial" w:cs="Arial" w:eastAsia="Arial" w:hAnsi="Arial"/>
          <w:sz w:val="19"/>
          <w:szCs w:val="19"/>
          <w:color w:val="auto"/>
        </w:rPr>
        <w:t>”: all reasonable costs and expenses of the Administrative Agent paid or incurred in connection with any sale, collection or other realization on the Collateral, including reasonable compensation to the Administrative Agent and its agents and counsel, and reimbursement for all other reasonable costs, expenses and liabilities and advances made or incurred by the Administrative Agent in connection therewith (including as described in Section 6.6 of the Guarantee and Collateral Agreement), and all amounts for which the Administrative Agent is entitled to indemnification under the Security Documents and all advances made by the Administrative Agent under the Security Documents for the account of any Loan Party.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w:t>
      </w:r>
      <w:r>
        <w:rPr>
          <w:rFonts w:ascii="Arial" w:cs="Arial" w:eastAsia="Arial" w:hAnsi="Arial"/>
          <w:sz w:val="20"/>
          <w:szCs w:val="20"/>
          <w:color w:val="auto"/>
        </w:rPr>
        <w:t>”: as to any Lender, its Revolving Commitment.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 Fee Rate</w:t>
      </w:r>
      <w:r>
        <w:rPr>
          <w:rFonts w:ascii="Arial" w:cs="Arial" w:eastAsia="Arial" w:hAnsi="Arial"/>
          <w:sz w:val="20"/>
          <w:szCs w:val="20"/>
          <w:color w:val="auto"/>
        </w:rPr>
        <w:t>”: 0.30% per annum.</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Commodity Exchange Act</w:t>
      </w:r>
      <w:r>
        <w:rPr>
          <w:rFonts w:ascii="Arial" w:cs="Arial" w:eastAsia="Arial" w:hAnsi="Arial"/>
          <w:sz w:val="20"/>
          <w:szCs w:val="20"/>
          <w:color w:val="auto"/>
        </w:rPr>
        <w:t xml:space="preserve">”: the Commodity Exchange Act (7 U.S.C. Section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Communications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10.2(d)(ii)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Compliance Certificate</w:t>
      </w:r>
      <w:r>
        <w:rPr>
          <w:rFonts w:ascii="Arial" w:cs="Arial" w:eastAsia="Arial" w:hAnsi="Arial"/>
          <w:sz w:val="20"/>
          <w:szCs w:val="20"/>
          <w:color w:val="auto"/>
        </w:rPr>
        <w:t xml:space="preserve">”: a certificate duly executed by a Responsible Officer of the Borrower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Connection Income Taxes</w:t>
      </w:r>
      <w:r>
        <w:rPr>
          <w:rFonts w:ascii="Arial" w:cs="Arial" w:eastAsia="Arial" w:hAnsi="Arial"/>
          <w:sz w:val="20"/>
          <w:szCs w:val="20"/>
          <w:color w:val="auto"/>
        </w:rPr>
        <w:t>”: Other Connection Taxes that are imposed on or measured by net income (however denominated) or that are franchise Taxes or branch profits Taxes.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Adjusted EBITDA</w:t>
      </w:r>
      <w:r>
        <w:rPr>
          <w:rFonts w:ascii="Arial" w:cs="Arial" w:eastAsia="Arial" w:hAnsi="Arial"/>
          <w:sz w:val="20"/>
          <w:szCs w:val="20"/>
          <w:color w:val="auto"/>
        </w:rPr>
        <w:t>”: with respect to the Group Members for any period,</w:t>
      </w:r>
    </w:p>
    <w:p>
      <w:pPr>
        <w:spacing w:after="0" w:line="162" w:lineRule="exact"/>
        <w:rPr>
          <w:sz w:val="20"/>
          <w:szCs w:val="20"/>
          <w:color w:val="auto"/>
        </w:rPr>
      </w:pPr>
    </w:p>
    <w:p>
      <w:pPr>
        <w:ind w:left="920" w:hanging="264"/>
        <w:spacing w:after="0"/>
        <w:tabs>
          <w:tab w:leader="none" w:pos="9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Consolidated Net Income,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firstLine="656"/>
        <w:spacing w:after="0" w:line="260" w:lineRule="auto"/>
        <w:tabs>
          <w:tab w:leader="none" w:pos="979"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sum, without duplication, of the following amounts for such period but solely to the extent deducted in calculating Consolidated Net Income (other than in the case of clause (xviii)) for such period of:</w:t>
      </w:r>
    </w:p>
    <w:p>
      <w:pPr>
        <w:spacing w:after="0" w:line="122" w:lineRule="exact"/>
        <w:rPr>
          <w:rFonts w:ascii="Arial" w:cs="Arial" w:eastAsia="Arial" w:hAnsi="Arial"/>
          <w:sz w:val="20"/>
          <w:szCs w:val="20"/>
          <w:color w:val="auto"/>
        </w:rPr>
      </w:pPr>
    </w:p>
    <w:p>
      <w:pPr>
        <w:ind w:left="1540" w:hanging="236"/>
        <w:spacing w:after="0"/>
        <w:tabs>
          <w:tab w:leader="none" w:pos="1540"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Consolidated Interest Expense;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1600" w:hanging="296"/>
        <w:spacing w:after="0"/>
        <w:tabs>
          <w:tab w:leader="none" w:pos="1600"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provisions for Taxes based on income;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1660" w:hanging="356"/>
        <w:spacing w:after="0"/>
        <w:tabs>
          <w:tab w:leader="none" w:pos="16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total depreciation expense;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1660" w:hanging="356"/>
        <w:spacing w:after="0"/>
        <w:tabs>
          <w:tab w:leader="none" w:pos="1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total amortization expense (including, without limitation, amortization of intangibles from purchase price accounting);</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u w:val="single" w:color="auto"/>
          <w:color w:val="auto"/>
        </w:rPr>
        <w:t>plus</w:t>
      </w:r>
    </w:p>
    <w:p>
      <w:pPr>
        <w:spacing w:after="0" w:line="145" w:lineRule="exact"/>
        <w:rPr>
          <w:rFonts w:ascii="Arial" w:cs="Arial" w:eastAsia="Arial" w:hAnsi="Arial"/>
          <w:sz w:val="18"/>
          <w:szCs w:val="18"/>
          <w:color w:val="auto"/>
        </w:rPr>
      </w:pPr>
    </w:p>
    <w:p>
      <w:pPr>
        <w:ind w:left="1580" w:hanging="276"/>
        <w:spacing w:after="0"/>
        <w:tabs>
          <w:tab w:leader="none" w:pos="1580"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noncash stock based compensation expense;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660" w:firstLine="644"/>
        <w:spacing w:after="0" w:line="260" w:lineRule="auto"/>
        <w:tabs>
          <w:tab w:leader="none" w:pos="1657"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noncash exchange, transaction or performance losses relating to any foreign currency hedging transactions or currency fluctuations;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ind w:left="660" w:firstLine="644"/>
        <w:spacing w:after="0" w:line="260" w:lineRule="auto"/>
        <w:tabs>
          <w:tab w:leader="none" w:pos="1751" w:val="left"/>
        </w:tabs>
        <w:numPr>
          <w:ilvl w:val="1"/>
          <w:numId w:val="65"/>
        </w:numPr>
        <w:rPr>
          <w:rFonts w:ascii="Arial" w:cs="Arial" w:eastAsia="Arial" w:hAnsi="Arial"/>
          <w:sz w:val="20"/>
          <w:szCs w:val="20"/>
          <w:color w:val="auto"/>
        </w:rPr>
      </w:pPr>
      <w:r>
        <w:rPr>
          <w:rFonts w:ascii="Arial" w:cs="Arial" w:eastAsia="Arial" w:hAnsi="Arial"/>
          <w:sz w:val="20"/>
          <w:szCs w:val="20"/>
          <w:color w:val="auto"/>
        </w:rPr>
        <w:t>costs, fees and expenses in connection with the execution and delivery of this Agreement, the Existing Credit Agreement and the other Loan Documents and any amendments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771" w:right="339" w:bottom="1440" w:gutter="0" w:footer="0" w:header="0"/>
        </w:sectPr>
      </w:pPr>
    </w:p>
    <w:bookmarkStart w:id="125" w:name="page126"/>
    <w:bookmarkEnd w:id="125"/>
    <w:p>
      <w:pPr>
        <w:jc w:val="both"/>
        <w:ind w:left="4"/>
        <w:spacing w:after="0" w:line="250" w:lineRule="auto"/>
        <w:rPr>
          <w:sz w:val="20"/>
          <w:szCs w:val="20"/>
          <w:color w:val="auto"/>
        </w:rPr>
      </w:pPr>
      <w:r>
        <w:rPr>
          <w:rFonts w:ascii="Arial" w:cs="Arial" w:eastAsia="Arial" w:hAnsi="Arial"/>
          <w:sz w:val="20"/>
          <w:szCs w:val="20"/>
          <w:color w:val="auto"/>
        </w:rPr>
        <w:t xml:space="preserve">or other modifications thereto, in each case to the extent incurred within 6 months after the Original Closing Date, the Closing Date or the effectiveness of such amendment or other modification (or such later time period as approved in writing by the Administrative Agent in its sole discretion); </w:t>
      </w:r>
      <w:r>
        <w:rPr>
          <w:rFonts w:ascii="Arial" w:cs="Arial" w:eastAsia="Arial" w:hAnsi="Arial"/>
          <w:sz w:val="20"/>
          <w:szCs w:val="20"/>
          <w:u w:val="single" w:color="auto"/>
          <w:color w:val="auto"/>
        </w:rPr>
        <w:t>plus</w:t>
      </w:r>
    </w:p>
    <w:p>
      <w:pPr>
        <w:spacing w:after="0" w:line="132" w:lineRule="exact"/>
        <w:rPr>
          <w:sz w:val="20"/>
          <w:szCs w:val="20"/>
          <w:color w:val="auto"/>
        </w:rPr>
      </w:pPr>
    </w:p>
    <w:p>
      <w:pPr>
        <w:jc w:val="both"/>
        <w:ind w:left="4" w:firstLine="644"/>
        <w:spacing w:after="0" w:line="263" w:lineRule="auto"/>
        <w:tabs>
          <w:tab w:leader="none" w:pos="1113"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one-time costs, fees, and expenses in connection with Permitted Acquisitions, Investments, dispositions, issuances or repurchases of Capital Stock, or the incurrence, amendment or waiver of Indebtedness (in each case permitted hereunder), in each case, whether or not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amounts described in this clause (b)(viii) with respect to transactions that are not consummated shall not exceed $5,000,000 in the aggregate for any period; </w:t>
      </w:r>
      <w:r>
        <w:rPr>
          <w:rFonts w:ascii="Arial" w:cs="Arial" w:eastAsia="Arial" w:hAnsi="Arial"/>
          <w:sz w:val="19"/>
          <w:szCs w:val="19"/>
          <w:u w:val="single" w:color="auto"/>
          <w:color w:val="auto"/>
        </w:rPr>
        <w:t>plus</w:t>
      </w:r>
    </w:p>
    <w:p>
      <w:pPr>
        <w:spacing w:after="0" w:line="122" w:lineRule="exact"/>
        <w:rPr>
          <w:rFonts w:ascii="Arial" w:cs="Arial" w:eastAsia="Arial" w:hAnsi="Arial"/>
          <w:sz w:val="19"/>
          <w:szCs w:val="19"/>
          <w:color w:val="auto"/>
        </w:rPr>
      </w:pPr>
    </w:p>
    <w:p>
      <w:pPr>
        <w:jc w:val="both"/>
        <w:ind w:left="4" w:firstLine="644"/>
        <w:spacing w:after="0" w:line="244" w:lineRule="auto"/>
        <w:tabs>
          <w:tab w:leader="none" w:pos="1047" w:val="left"/>
        </w:tabs>
        <w:numPr>
          <w:ilvl w:val="1"/>
          <w:numId w:val="66"/>
        </w:numPr>
        <w:rPr>
          <w:rFonts w:ascii="Arial" w:cs="Arial" w:eastAsia="Arial" w:hAnsi="Arial"/>
          <w:sz w:val="20"/>
          <w:szCs w:val="20"/>
          <w:color w:val="auto"/>
        </w:rPr>
      </w:pPr>
      <w:r>
        <w:rPr>
          <w:rFonts w:ascii="Arial" w:cs="Arial" w:eastAsia="Arial" w:hAnsi="Arial"/>
          <w:sz w:val="20"/>
          <w:szCs w:val="20"/>
          <w:color w:val="auto"/>
        </w:rPr>
        <w:t xml:space="preserve">noncash purchase accounting adjustments (including, but not limited to deferred revenue write down) and any adjustments as required or permitted by the application of FASB 141 (requiring the use of purchase method of accounting for acquisitions and consolidations), FASB 142 (relating to changes in accounting for the amortization of goodwill and certain other intangibles) and FASB 144 (relating to the write downs of long-lived assets), in each case, in connection with Permitted Acquisitions; </w:t>
      </w:r>
      <w:r>
        <w:rPr>
          <w:rFonts w:ascii="Arial" w:cs="Arial" w:eastAsia="Arial" w:hAnsi="Arial"/>
          <w:sz w:val="20"/>
          <w:szCs w:val="20"/>
          <w:u w:val="single" w:color="auto"/>
          <w:color w:val="auto"/>
        </w:rPr>
        <w:t>plus</w:t>
      </w:r>
    </w:p>
    <w:p>
      <w:pPr>
        <w:spacing w:after="0" w:line="140" w:lineRule="exact"/>
        <w:rPr>
          <w:rFonts w:ascii="Arial" w:cs="Arial" w:eastAsia="Arial" w:hAnsi="Arial"/>
          <w:sz w:val="20"/>
          <w:szCs w:val="20"/>
          <w:color w:val="auto"/>
        </w:rPr>
      </w:pPr>
    </w:p>
    <w:p>
      <w:pPr>
        <w:ind w:left="4" w:firstLine="644"/>
        <w:spacing w:after="0" w:line="260" w:lineRule="auto"/>
        <w:tabs>
          <w:tab w:leader="none" w:pos="938" w:val="left"/>
        </w:tabs>
        <w:numPr>
          <w:ilvl w:val="1"/>
          <w:numId w:val="66"/>
        </w:numPr>
        <w:rPr>
          <w:rFonts w:ascii="Arial" w:cs="Arial" w:eastAsia="Arial" w:hAnsi="Arial"/>
          <w:sz w:val="20"/>
          <w:szCs w:val="20"/>
          <w:color w:val="auto"/>
        </w:rPr>
      </w:pPr>
      <w:r>
        <w:rPr>
          <w:rFonts w:ascii="Arial" w:cs="Arial" w:eastAsia="Arial" w:hAnsi="Arial"/>
          <w:sz w:val="20"/>
          <w:szCs w:val="20"/>
          <w:color w:val="auto"/>
        </w:rPr>
        <w:t xml:space="preserve">noncash charges for goodwill and other intangible write-offs and write-downs in connection with Permitted Acquisitions or otherwise;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jc w:val="both"/>
        <w:ind w:left="4" w:firstLine="644"/>
        <w:spacing w:after="0" w:line="303" w:lineRule="auto"/>
        <w:tabs>
          <w:tab w:leader="none" w:pos="10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amount of any restructuring charge, accrual or reserve, integration cost or other business optimization expense, including any restructuring costs incurred in connection with acquisitions, mergers or consolidations after the Original Closing Date and any other restructuring expenses, severance expenses, one-time compensation charges, post-retirement employee benefits plans, any expenses relating to reconstruction, decommissioning or recommissioning fixed assets for alternate use, expenses or charges relating to facility closing costs, acquisition integration costs and signing, retention or completion bonuses or expenses, in an amount,</w:t>
      </w:r>
    </w:p>
    <w:p>
      <w:pPr>
        <w:spacing w:after="0" w:line="2" w:lineRule="exact"/>
        <w:rPr>
          <w:rFonts w:ascii="Arial" w:cs="Arial" w:eastAsia="Arial" w:hAnsi="Arial"/>
          <w:sz w:val="16"/>
          <w:szCs w:val="16"/>
          <w:color w:val="auto"/>
        </w:rPr>
      </w:pPr>
    </w:p>
    <w:p>
      <w:pPr>
        <w:ind w:left="4" w:hanging="4"/>
        <w:spacing w:after="0" w:line="244" w:lineRule="auto"/>
        <w:tabs>
          <w:tab w:leader="none" w:pos="3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when taken together with any amounts under clause (xviii) below, not to exceed $4,000,000 in any period; and (B) when taken together with any amounts in clauses (xii) and (xviii) below, not to exceed $5,000,000 in any period; </w:t>
      </w:r>
      <w:r>
        <w:rPr>
          <w:rFonts w:ascii="Arial" w:cs="Arial" w:eastAsia="Arial" w:hAnsi="Arial"/>
          <w:sz w:val="20"/>
          <w:szCs w:val="20"/>
          <w:u w:val="single" w:color="auto"/>
          <w:color w:val="auto"/>
        </w:rPr>
        <w:t>plus</w:t>
      </w:r>
    </w:p>
    <w:p>
      <w:pPr>
        <w:spacing w:after="0" w:line="200" w:lineRule="exact"/>
        <w:rPr>
          <w:sz w:val="20"/>
          <w:szCs w:val="20"/>
          <w:color w:val="auto"/>
        </w:rPr>
      </w:pPr>
    </w:p>
    <w:p>
      <w:pPr>
        <w:spacing w:after="0" w:line="356"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584"/>
          </w:cols>
          <w:pgMar w:left="976" w:top="771" w:right="339" w:bottom="1440" w:gutter="0" w:footer="0" w:header="0"/>
        </w:sectPr>
      </w:pPr>
    </w:p>
    <w:bookmarkStart w:id="126" w:name="page127"/>
    <w:bookmarkEnd w:id="126"/>
    <w:p>
      <w:pPr>
        <w:jc w:val="both"/>
        <w:ind w:left="660" w:firstLine="644"/>
        <w:spacing w:after="0" w:line="250" w:lineRule="auto"/>
        <w:tabs>
          <w:tab w:leader="none" w:pos="1731"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(A) any extraordinary, unusual or non-recurring non-cash expenses or non-cash charges and (B) any non-recurring expenses or charges in an amount not to exceed in any period (I) $2,000,000; and (II) when taken together with any amounts in clauses (xi) and (xviii), $5,000,000; </w:t>
      </w:r>
      <w:r>
        <w:rPr>
          <w:rFonts w:ascii="Arial" w:cs="Arial" w:eastAsia="Arial" w:hAnsi="Arial"/>
          <w:sz w:val="20"/>
          <w:szCs w:val="20"/>
          <w:u w:val="single" w:color="auto"/>
          <w:color w:val="auto"/>
        </w:rPr>
        <w:t>plus</w:t>
      </w:r>
    </w:p>
    <w:p>
      <w:pPr>
        <w:spacing w:after="0" w:line="131" w:lineRule="exact"/>
        <w:rPr>
          <w:rFonts w:ascii="Arial" w:cs="Arial" w:eastAsia="Arial" w:hAnsi="Arial"/>
          <w:sz w:val="20"/>
          <w:szCs w:val="20"/>
          <w:color w:val="auto"/>
        </w:rPr>
      </w:pPr>
    </w:p>
    <w:p>
      <w:pPr>
        <w:jc w:val="both"/>
        <w:ind w:left="660" w:firstLine="644"/>
        <w:spacing w:after="0" w:line="291" w:lineRule="auto"/>
        <w:tabs>
          <w:tab w:leader="none" w:pos="1796"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other noncash items reducing Consolidated Net Income (excluding any such non cash item to the extent that it represents an accrual or reserve for potential cash items in any future period or amortization of a prepaid cash item that was paid in a prior period) approved by the Administrative Agent in writing as an ‘add-back’ to Consolidated Adjusted EBITDA; </w:t>
      </w:r>
      <w:r>
        <w:rPr>
          <w:rFonts w:ascii="Arial" w:cs="Arial" w:eastAsia="Arial" w:hAnsi="Arial"/>
          <w:sz w:val="18"/>
          <w:szCs w:val="18"/>
          <w:u w:val="single" w:color="auto"/>
          <w:color w:val="auto"/>
        </w:rPr>
        <w:t>plus</w:t>
      </w:r>
    </w:p>
    <w:p>
      <w:pPr>
        <w:spacing w:after="0" w:line="97" w:lineRule="exact"/>
        <w:rPr>
          <w:rFonts w:ascii="Arial" w:cs="Arial" w:eastAsia="Arial" w:hAnsi="Arial"/>
          <w:sz w:val="18"/>
          <w:szCs w:val="18"/>
          <w:color w:val="auto"/>
        </w:rPr>
      </w:pPr>
    </w:p>
    <w:p>
      <w:pPr>
        <w:ind w:left="1740" w:hanging="436"/>
        <w:spacing w:after="0"/>
        <w:tabs>
          <w:tab w:leader="none" w:pos="1740"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any Insurance Loss Addback;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jc w:val="both"/>
        <w:ind w:left="660" w:firstLine="644"/>
        <w:spacing w:after="0" w:line="246" w:lineRule="auto"/>
        <w:tabs>
          <w:tab w:leader="none" w:pos="1701"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expenses and payments that are covered by indemnification or purchase price adjustment provisions in any agreement entered into by a Group Member in connection with any proposed or actual Permitted Acquisition and for which (A) the indemnitor or counterparty has assumed coverage and (B) the Borrower reasonably expects to receive such expenses and payments within one year from the date of calculation; </w:t>
      </w:r>
      <w:r>
        <w:rPr>
          <w:rFonts w:ascii="Arial" w:cs="Arial" w:eastAsia="Arial" w:hAnsi="Arial"/>
          <w:sz w:val="20"/>
          <w:szCs w:val="20"/>
          <w:u w:val="single" w:color="auto"/>
          <w:color w:val="auto"/>
        </w:rPr>
        <w:t>plus</w:t>
      </w:r>
    </w:p>
    <w:p>
      <w:pPr>
        <w:spacing w:after="0" w:line="137" w:lineRule="exact"/>
        <w:rPr>
          <w:rFonts w:ascii="Arial" w:cs="Arial" w:eastAsia="Arial" w:hAnsi="Arial"/>
          <w:sz w:val="20"/>
          <w:szCs w:val="20"/>
          <w:color w:val="auto"/>
        </w:rPr>
      </w:pPr>
    </w:p>
    <w:p>
      <w:pPr>
        <w:ind w:left="660" w:firstLine="644"/>
        <w:spacing w:after="0" w:line="260" w:lineRule="auto"/>
        <w:tabs>
          <w:tab w:leader="none" w:pos="1768"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any expense deducted in calculating Consolidated Net Income and reimbursed by third parties (other than a Group Member);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ind w:left="660" w:right="20" w:firstLine="644"/>
        <w:spacing w:after="0" w:line="260" w:lineRule="auto"/>
        <w:tabs>
          <w:tab w:leader="none" w:pos="1801"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the amount of earn-out obligations incurred in connection with any Permitted Acquisition, to the extent such earn-outs are permitted under this Agreement and expensed under GAAP standards;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jc w:val="both"/>
        <w:ind w:left="660" w:firstLine="644"/>
        <w:spacing w:after="0" w:line="271" w:lineRule="auto"/>
        <w:tabs>
          <w:tab w:leader="none" w:pos="1858"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the amount of cost savings, operating expense reductions, other operating improvements and initiatives and synergies projected by the Borrower in good faith to result from actions actually taken in connection with any Investment, Disposition, merger, amalgamation, consolidation, discontinued operations, or operational changes (which will be added to Consolidated Adjusted EBITDA as so projected until fully realized and calculated on a Pro Forma Basis as though such cost savings, operating expense reductions, other operating improvements and initiatives and synergies had been realized on the first day of such period), net of the amount of actual benefits realized during such period from such actions in an amount (A) when taken together with any amounts under clause (xi) above, not to exceed $4,000,000 in any period; and (B) when taken together with any amounts under clauses (xi) and (xii) above, not to exceed $5,000,000 in any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such actions have actually been taken within 6 months after the consummation of the Investment, acquisition, Disposition, merger, amalgamation, consolidation, discontinued operations, or operational change expected to result in such cost savings or other benefits, and (y) such cost savings are reasonably identifiable and factually supportable (in the good faith determination of the Borrower); </w:t>
      </w:r>
      <w:r>
        <w:rPr>
          <w:rFonts w:ascii="Arial" w:cs="Arial" w:eastAsia="Arial" w:hAnsi="Arial"/>
          <w:sz w:val="18"/>
          <w:szCs w:val="18"/>
          <w:u w:val="single" w:color="auto"/>
          <w:color w:val="auto"/>
        </w:rPr>
        <w:t>plus</w:t>
      </w:r>
    </w:p>
    <w:p>
      <w:pPr>
        <w:spacing w:after="0" w:line="115" w:lineRule="exact"/>
        <w:rPr>
          <w:rFonts w:ascii="Arial" w:cs="Arial" w:eastAsia="Arial" w:hAnsi="Arial"/>
          <w:sz w:val="18"/>
          <w:szCs w:val="18"/>
          <w:color w:val="auto"/>
        </w:rPr>
      </w:pPr>
    </w:p>
    <w:p>
      <w:pPr>
        <w:ind w:left="1880" w:hanging="576"/>
        <w:spacing w:after="0"/>
        <w:tabs>
          <w:tab w:leader="none" w:pos="1880" w:val="left"/>
        </w:tabs>
        <w:numPr>
          <w:ilvl w:val="1"/>
          <w:numId w:val="68"/>
        </w:numPr>
        <w:rPr>
          <w:rFonts w:ascii="Arial" w:cs="Arial" w:eastAsia="Arial" w:hAnsi="Arial"/>
          <w:sz w:val="20"/>
          <w:szCs w:val="20"/>
          <w:color w:val="auto"/>
        </w:rPr>
      </w:pPr>
      <w:r>
        <w:rPr>
          <w:rFonts w:ascii="Arial" w:cs="Arial" w:eastAsia="Arial" w:hAnsi="Arial"/>
          <w:sz w:val="20"/>
          <w:szCs w:val="20"/>
          <w:color w:val="auto"/>
        </w:rPr>
        <w:t xml:space="preserve">write-downs of capitalized software development costs; </w:t>
      </w:r>
      <w:r>
        <w:rPr>
          <w:rFonts w:ascii="Arial" w:cs="Arial" w:eastAsia="Arial" w:hAnsi="Arial"/>
          <w:sz w:val="20"/>
          <w:szCs w:val="20"/>
          <w:u w:val="single" w:color="auto"/>
          <w:color w:val="auto"/>
        </w:rPr>
        <w:t>minus</w:t>
      </w:r>
    </w:p>
    <w:p>
      <w:pPr>
        <w:spacing w:after="0" w:line="161" w:lineRule="exact"/>
        <w:rPr>
          <w:rFonts w:ascii="Arial" w:cs="Arial" w:eastAsia="Arial" w:hAnsi="Arial"/>
          <w:sz w:val="20"/>
          <w:szCs w:val="20"/>
          <w:color w:val="auto"/>
        </w:rPr>
      </w:pPr>
    </w:p>
    <w:p>
      <w:pPr>
        <w:ind w:left="920" w:hanging="264"/>
        <w:spacing w:after="0"/>
        <w:tabs>
          <w:tab w:leader="none" w:pos="9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sum, without duplication of the amounts for such period of</w:t>
      </w:r>
    </w:p>
    <w:p>
      <w:pPr>
        <w:spacing w:after="0" w:line="161" w:lineRule="exact"/>
        <w:rPr>
          <w:rFonts w:ascii="Arial" w:cs="Arial" w:eastAsia="Arial" w:hAnsi="Arial"/>
          <w:sz w:val="20"/>
          <w:szCs w:val="20"/>
          <w:color w:val="auto"/>
        </w:rPr>
      </w:pPr>
    </w:p>
    <w:p>
      <w:pPr>
        <w:ind w:left="1540" w:hanging="236"/>
        <w:spacing w:after="0"/>
        <w:tabs>
          <w:tab w:leader="none" w:pos="1540"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interest income;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1600" w:hanging="296"/>
        <w:spacing w:after="0"/>
        <w:tabs>
          <w:tab w:leader="none" w:pos="1600"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capitalized software development costs; </w:t>
      </w:r>
      <w:r>
        <w:rPr>
          <w:rFonts w:ascii="Arial" w:cs="Arial" w:eastAsia="Arial" w:hAnsi="Arial"/>
          <w:sz w:val="20"/>
          <w:szCs w:val="20"/>
          <w:u w:val="single" w:color="auto"/>
          <w:color w:val="auto"/>
        </w:rPr>
        <w:t>plus</w:t>
      </w:r>
    </w:p>
    <w:p>
      <w:pPr>
        <w:spacing w:after="0" w:line="161" w:lineRule="exact"/>
        <w:rPr>
          <w:rFonts w:ascii="Arial" w:cs="Arial" w:eastAsia="Arial" w:hAnsi="Arial"/>
          <w:sz w:val="20"/>
          <w:szCs w:val="20"/>
          <w:color w:val="auto"/>
        </w:rPr>
      </w:pPr>
    </w:p>
    <w:p>
      <w:pPr>
        <w:ind w:left="660" w:firstLine="644"/>
        <w:spacing w:after="0" w:line="260" w:lineRule="auto"/>
        <w:tabs>
          <w:tab w:leader="none" w:pos="1674"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noncash items increasing Consolidated Net Income for such period (excluding any such noncash item to the extent it represents the reversal of an accrual or reserve for potential cash item in any prior period); </w:t>
      </w:r>
      <w:r>
        <w:rPr>
          <w:rFonts w:ascii="Arial" w:cs="Arial" w:eastAsia="Arial" w:hAnsi="Arial"/>
          <w:sz w:val="20"/>
          <w:szCs w:val="20"/>
          <w:u w:val="single" w:color="auto"/>
          <w:color w:val="auto"/>
        </w:rPr>
        <w:t>plus</w:t>
      </w:r>
    </w:p>
    <w:p>
      <w:pPr>
        <w:spacing w:after="0" w:line="122" w:lineRule="exact"/>
        <w:rPr>
          <w:rFonts w:ascii="Arial" w:cs="Arial" w:eastAsia="Arial" w:hAnsi="Arial"/>
          <w:sz w:val="20"/>
          <w:szCs w:val="20"/>
          <w:color w:val="auto"/>
        </w:rPr>
      </w:pPr>
    </w:p>
    <w:p>
      <w:pPr>
        <w:ind w:left="1640" w:hanging="336"/>
        <w:spacing w:after="0"/>
        <w:tabs>
          <w:tab w:leader="none" w:pos="1640" w:val="left"/>
        </w:tabs>
        <w:numPr>
          <w:ilvl w:val="1"/>
          <w:numId w:val="69"/>
        </w:numPr>
        <w:rPr>
          <w:rFonts w:ascii="Arial" w:cs="Arial" w:eastAsia="Arial" w:hAnsi="Arial"/>
          <w:sz w:val="20"/>
          <w:szCs w:val="20"/>
          <w:color w:val="auto"/>
        </w:rPr>
      </w:pPr>
      <w:r>
        <w:rPr>
          <w:rFonts w:ascii="Arial" w:cs="Arial" w:eastAsia="Arial" w:hAnsi="Arial"/>
          <w:sz w:val="20"/>
          <w:szCs w:val="20"/>
          <w:color w:val="auto"/>
        </w:rPr>
        <w:t>any extraordinary, unusual or non-recurring gains.</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Consolidated Adjusted EBITDA for any period shall be determined on a Pro Forma Basis to give effect to any Permitted Acquisitions or any Disposition of any business or assets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771" w:right="339" w:bottom="1440" w:gutter="0" w:footer="0" w:header="0"/>
        </w:sectPr>
      </w:pPr>
    </w:p>
    <w:bookmarkStart w:id="127" w:name="page128"/>
    <w:bookmarkEnd w:id="127"/>
    <w:p>
      <w:pPr>
        <w:jc w:val="both"/>
        <w:spacing w:after="0" w:line="260" w:lineRule="auto"/>
        <w:rPr>
          <w:sz w:val="20"/>
          <w:szCs w:val="20"/>
          <w:color w:val="auto"/>
        </w:rPr>
      </w:pPr>
      <w:r>
        <w:rPr>
          <w:rFonts w:ascii="Arial" w:cs="Arial" w:eastAsia="Arial" w:hAnsi="Arial"/>
          <w:sz w:val="20"/>
          <w:szCs w:val="20"/>
          <w:color w:val="auto"/>
        </w:rPr>
        <w:t>consummated during such period, in each case as if such transaction occurred on the first day of such period and in accordance with Regulation S-X promulgated by the SEC.</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Interest Expense</w:t>
      </w:r>
      <w:r>
        <w:rPr>
          <w:rFonts w:ascii="Arial" w:cs="Arial" w:eastAsia="Arial" w:hAnsi="Arial"/>
          <w:sz w:val="18"/>
          <w:szCs w:val="18"/>
          <w:color w:val="auto"/>
        </w:rPr>
        <w:t>”: for any period, total cash interest expense (including that attributable to Capital Lease Obligations) of the Group Members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Consolidated Net Income</w:t>
      </w:r>
      <w:r>
        <w:rPr>
          <w:rFonts w:ascii="Arial" w:cs="Arial" w:eastAsia="Arial" w:hAnsi="Arial"/>
          <w:sz w:val="19"/>
          <w:szCs w:val="19"/>
          <w:color w:val="auto"/>
        </w:rPr>
        <w:t xml:space="preserve">”: for any period, the consolidated net income (or loss) of the Group Members, determined on a consolidated basis in accordance with GAAP;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there shall be excluded from the calculation of “Consolidated Net Income” (a) the income (or deficit) of any such Person accrued prior to the date it becomes a Subsidiary of the Borrower or is merged into or consolidated with a Group Member, (b) the income (or deficit) of any such Person (other than a Subsidiary of the Borrower) in which a Group Member has an ownership interest, except to the extent that any such income is actually received by a Group Member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2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Contractual Obligation</w:t>
      </w:r>
      <w:r>
        <w:rPr>
          <w:rFonts w:ascii="Arial" w:cs="Arial" w:eastAsia="Arial" w:hAnsi="Arial"/>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w:t>
      </w:r>
      <w:r>
        <w:rPr>
          <w:rFonts w:ascii="Arial" w:cs="Arial" w:eastAsia="Arial" w:hAnsi="Arial"/>
          <w:sz w:val="20"/>
          <w:szCs w:val="20"/>
          <w:color w:val="auto"/>
        </w:rPr>
        <w:t>”: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b w:val="1"/>
          <w:bCs w:val="1"/>
          <w:i w:val="1"/>
          <w:i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Controlled</w:t>
      </w:r>
      <w:r>
        <w:rPr>
          <w:rFonts w:ascii="Arial" w:cs="Arial" w:eastAsia="Arial" w:hAnsi="Arial"/>
          <w:sz w:val="20"/>
          <w:szCs w:val="20"/>
          <w:color w:val="auto"/>
        </w:rPr>
        <w:t>” have meanings correlative thereto.</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 Agreement</w:t>
      </w:r>
      <w:r>
        <w:rPr>
          <w:rFonts w:ascii="Arial" w:cs="Arial" w:eastAsia="Arial" w:hAnsi="Arial"/>
          <w:sz w:val="18"/>
          <w:szCs w:val="18"/>
          <w:color w:val="auto"/>
        </w:rPr>
        <w:t>”: any account control agreement in form and substance reasonably satisfactory to the Administrative Agent entered into among the depository institution at which a Loan Party maintains a Deposit Account or the securities intermediary at which a Loan Party maintains a Securities Account, such Loan Party, and the Administrative Agent pursuant to which the Administrative Agent obtains control (within the meaning of the UCC or any other applicable law) over such Deposit Account or Securities Account.</w:t>
      </w:r>
    </w:p>
    <w:p>
      <w:pPr>
        <w:spacing w:after="0" w:line="1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 Investment Affiliate</w:t>
      </w:r>
      <w:r>
        <w:rPr>
          <w:rFonts w:ascii="Arial" w:cs="Arial" w:eastAsia="Arial" w:hAnsi="Arial"/>
          <w:sz w:val="20"/>
          <w:szCs w:val="20"/>
          <w:color w:val="auto"/>
        </w:rPr>
        <w:t>”: as to any Person, any other Person that (a) directly or indirectly, is in Control of, is Controlled by, or is under common Control with, such Person and (b) is organized by such Person primarily for the purpose of making equity or debt investments in one or more companies.</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Covenant Testing Period</w:t>
      </w:r>
      <w:r>
        <w:rPr>
          <w:rFonts w:ascii="Arial" w:cs="Arial" w:eastAsia="Arial" w:hAnsi="Arial"/>
          <w:sz w:val="19"/>
          <w:szCs w:val="19"/>
          <w:color w:val="auto"/>
        </w:rPr>
        <w:t>”: each period (a) commencing on the last day of the applicable fiscal quarter of the Borrower most recently ended at the time a Covenant Trigger Event occurs for which the Borrower was required to deliver to the Administrative Agent financial statements pursuant to Section 6.1(b) or (c), and (b) continuing until the Consolidated Adjusted Quick Ratio as of the last day of each monthly or quarterly testing period (as applicable) for one fiscal quarter is at least 1.50:1.00.</w:t>
      </w:r>
    </w:p>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Covenant Trigger Event</w:t>
      </w:r>
      <w:r>
        <w:rPr>
          <w:rFonts w:ascii="Arial" w:cs="Arial" w:eastAsia="Arial" w:hAnsi="Arial"/>
          <w:sz w:val="20"/>
          <w:szCs w:val="20"/>
          <w:color w:val="auto"/>
        </w:rPr>
        <w:t>”: the Consolidated Adjusted Quick Ratio as of the last day of any month (to the extent that monthly financial statements are required hereunder) or quarter is less than 1.50:1.00.</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Current Liabilities</w:t>
      </w:r>
      <w:r>
        <w:rPr>
          <w:rFonts w:ascii="Arial" w:cs="Arial" w:eastAsia="Arial" w:hAnsi="Arial"/>
          <w:sz w:val="20"/>
          <w:szCs w:val="20"/>
          <w:color w:val="auto"/>
        </w:rPr>
        <w:t>”: the sum of (without duplication) (a) the Obligations (including, without limitation, any outstanding drawn or undrawn Letters of Credit), plus (b) the aggregate amount of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771" w:right="339" w:bottom="1440" w:gutter="0" w:footer="0" w:header="0"/>
        </w:sectPr>
      </w:pPr>
    </w:p>
    <w:bookmarkStart w:id="128" w:name="page129"/>
    <w:bookmarkEnd w:id="128"/>
    <w:p>
      <w:pPr>
        <w:jc w:val="both"/>
        <w:spacing w:after="0" w:line="260" w:lineRule="auto"/>
        <w:rPr>
          <w:sz w:val="20"/>
          <w:szCs w:val="20"/>
          <w:color w:val="auto"/>
        </w:rPr>
      </w:pPr>
      <w:r>
        <w:rPr>
          <w:rFonts w:ascii="Arial" w:cs="Arial" w:eastAsia="Arial" w:hAnsi="Arial"/>
          <w:sz w:val="20"/>
          <w:szCs w:val="20"/>
          <w:color w:val="auto"/>
        </w:rPr>
        <w:t>Group Members’ Total Liabilities (excluding operating leases and leases of real property) that mature within one year from the applicable date of determination.</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Daily Simple SOFR</w:t>
      </w:r>
      <w:r>
        <w:rPr>
          <w:rFonts w:ascii="Arial" w:cs="Arial" w:eastAsia="Arial" w:hAnsi="Arial"/>
          <w:sz w:val="20"/>
          <w:szCs w:val="20"/>
          <w:color w:val="auto"/>
        </w:rPr>
        <w:t xml:space="preserve">”: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20"/>
          <w:szCs w:val="20"/>
          <w:u w:val="single" w:color="auto"/>
          <w:color w:val="auto"/>
        </w:rPr>
        <w:t>provided</w:t>
      </w:r>
      <w:r>
        <w:rPr>
          <w:rFonts w:ascii="Arial" w:cs="Arial" w:eastAsia="Arial" w:hAnsi="Arial"/>
          <w:sz w:val="20"/>
          <w:szCs w:val="20"/>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Debtor Relief Laws</w:t>
      </w:r>
      <w:r>
        <w:rPr>
          <w:rFonts w:ascii="Arial" w:cs="Arial" w:eastAsia="Arial" w:hAnsi="Arial"/>
          <w:sz w:val="20"/>
          <w:szCs w:val="20"/>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8.1</w:t>
      </w:r>
      <w:r>
        <w:rPr>
          <w:rFonts w:ascii="Arial" w:cs="Arial" w:eastAsia="Arial" w:hAnsi="Arial"/>
          <w:sz w:val="20"/>
          <w:szCs w:val="20"/>
          <w:color w:val="auto"/>
        </w:rPr>
        <w:t>, whether or not any requirement for the giving of notice, the lapse of time, or both, has been satisfied.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Lender</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2.24(b)</w:t>
      </w:r>
      <w:r>
        <w:rPr>
          <w:rFonts w:ascii="Arial" w:cs="Arial" w:eastAsia="Arial" w:hAnsi="Arial"/>
          <w:sz w:val="18"/>
          <w:szCs w:val="18"/>
          <w:color w:val="auto"/>
        </w:rPr>
        <w:t>, any Lender that (a) has failed to (i) fund all or any portion of its Loans within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2.24(b)</w:t>
      </w:r>
      <w:r>
        <w:rPr>
          <w:rFonts w:ascii="Arial" w:cs="Arial" w:eastAsia="Arial" w:hAnsi="Arial"/>
          <w:sz w:val="18"/>
          <w:szCs w:val="18"/>
          <w:color w:val="auto"/>
        </w:rPr>
        <w:t>) upon delivery of written notice of such determination to the Borrower, the Issuing Lender, the Swingline Lender and each Lender.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Revenue</w:t>
      </w:r>
      <w:r>
        <w:rPr>
          <w:rFonts w:ascii="Arial" w:cs="Arial" w:eastAsia="Arial" w:hAnsi="Arial"/>
          <w:sz w:val="16"/>
          <w:szCs w:val="16"/>
          <w:color w:val="auto"/>
        </w:rPr>
        <w:t>”: all amounts received or invoiced in advance of performance under contracts and not yet recognized as revenue.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771" w:right="3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Deposit Account</w:t>
      </w:r>
      <w:r>
        <w:rPr>
          <w:rFonts w:ascii="Arial" w:cs="Arial" w:eastAsia="Arial" w:hAnsi="Arial"/>
          <w:sz w:val="19"/>
          <w:szCs w:val="19"/>
          <w:color w:val="auto"/>
        </w:rPr>
        <w:t>”: any “deposit account” as defined in the UCC with such additions to such term as may hereafter be made.</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Deposit Account Control Agreement</w:t>
      </w:r>
      <w:r>
        <w:rPr>
          <w:rFonts w:ascii="Arial" w:cs="Arial" w:eastAsia="Arial" w:hAnsi="Arial"/>
          <w:sz w:val="20"/>
          <w:szCs w:val="20"/>
          <w:color w:val="auto"/>
        </w:rPr>
        <w:t>”: any Control Agreement entered into by the Administrative Agent, a Loan Party and a financial institution holding a Deposit Account of such Loan Party pursuant to which the Administrative Agent is granted “control” (for purposes of the UCC) over such Deposit Account.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Jurisdiction</w:t>
      </w:r>
      <w:r>
        <w:rPr>
          <w:rFonts w:ascii="Arial" w:cs="Arial" w:eastAsia="Arial" w:hAnsi="Arial"/>
          <w:sz w:val="18"/>
          <w:szCs w:val="18"/>
          <w:color w:val="auto"/>
        </w:rPr>
        <w:t>”: any country or territory to the extent that such country or territory itself is the subject of any Sanction.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as defined in the definition of “Pro Forma Basis”.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Discharge of Obligations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10.8</w:t>
      </w:r>
      <w:r>
        <w:rPr>
          <w:rFonts w:ascii="Arial" w:cs="Arial" w:eastAsia="Arial" w:hAnsi="Arial"/>
          <w:sz w:val="19"/>
          <w:szCs w:val="19"/>
          <w:color w:val="auto"/>
        </w:rPr>
        <w:t>, the satisfaction of the Obligations (including all such Obligations relating to Cash Management Services) by the payment in full, in cash (or, as applicable, Cash Collateralization in accordance with the terms hereof) of the principal of and interest on or other liabilities relating to each Loan and any previously provided Cash Management Services, all fees and all other expenses or amounts payable under any Loan Document (other than inchoate indemnification obligations and any other obligations which pursuant to the terms of any Loan Document specifically survive repayment of the Loans for which no claim has been made), and other Obligations under or in respect of Specified Swap Agreements and Cash Management Services, to the extent (a) no default or termination event shall have occurred and be continuing thereunder, (b) any such Obligations in respect of Specified Swap Agreements have, if required by any applicable Qualified Counterparties, been Cash Collateralized, (c) no Letter of Credit shall be outstanding (or, as applicable, each outstanding and undrawn Letter of Credit has been Cash Collateralized in accordance with the terms hereof), (d) no Obligations in respect of any Cash Management Services are outstanding (or, as applicable, all such outstanding Obligations in respect of Cash Management Services have been Cash Collateralized in accordance with the terms hereof), and (e) the aggregate Commitments of the Lenders are terminated.</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Disclosure Letter</w:t>
      </w:r>
      <w:r>
        <w:rPr>
          <w:rFonts w:ascii="Arial" w:cs="Arial" w:eastAsia="Arial" w:hAnsi="Arial"/>
          <w:sz w:val="20"/>
          <w:szCs w:val="20"/>
          <w:color w:val="auto"/>
        </w:rPr>
        <w:t>”: the disclosure letter, dated as of the date hereof, delivered by each Loan Party to Administrative Agent for the benefit of the Lenders.</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Disposition</w:t>
      </w:r>
      <w:r>
        <w:rPr>
          <w:rFonts w:ascii="Arial" w:cs="Arial" w:eastAsia="Arial" w:hAnsi="Arial"/>
          <w:sz w:val="20"/>
          <w:szCs w:val="20"/>
          <w:color w:val="auto"/>
        </w:rPr>
        <w:t>”: with respect to any property (including, without limitation, Capital Stock of any Group Member), any sale, lease, Sale Leaseback Transaction, assignment, conveyance, transfer, encumbrance or other disposition thereof (in one transaction or in a series of transactions and whether effected pursuant to a Division or otherwise) and any issuance of Capital Stock of any Group Member. The terms “</w:t>
      </w:r>
      <w:r>
        <w:rPr>
          <w:rFonts w:ascii="Arial" w:cs="Arial" w:eastAsia="Arial" w:hAnsi="Arial"/>
          <w:sz w:val="20"/>
          <w:szCs w:val="20"/>
          <w:b w:val="1"/>
          <w:bCs w:val="1"/>
          <w:i w:val="1"/>
          <w:iCs w:val="1"/>
          <w:color w:val="auto"/>
        </w:rPr>
        <w:t>Dispose</w:t>
      </w:r>
      <w:r>
        <w:rPr>
          <w:rFonts w:ascii="Arial" w:cs="Arial" w:eastAsia="Arial" w:hAnsi="Arial"/>
          <w:sz w:val="20"/>
          <w:szCs w:val="20"/>
          <w:color w:val="auto"/>
        </w:rPr>
        <w:t>” and “</w:t>
      </w:r>
      <w:r>
        <w:rPr>
          <w:rFonts w:ascii="Arial" w:cs="Arial" w:eastAsia="Arial" w:hAnsi="Arial"/>
          <w:sz w:val="20"/>
          <w:szCs w:val="20"/>
          <w:b w:val="1"/>
          <w:bCs w:val="1"/>
          <w:i w:val="1"/>
          <w:iCs w:val="1"/>
          <w:color w:val="auto"/>
        </w:rPr>
        <w:t>Disposed of</w:t>
      </w:r>
      <w:r>
        <w:rPr>
          <w:rFonts w:ascii="Arial" w:cs="Arial" w:eastAsia="Arial" w:hAnsi="Arial"/>
          <w:sz w:val="20"/>
          <w:szCs w:val="20"/>
          <w:color w:val="auto"/>
        </w:rPr>
        <w:t>” shall have correlative meanings.</w:t>
      </w:r>
    </w:p>
    <w:p>
      <w:pPr>
        <w:spacing w:after="0" w:line="1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Disqualified Stock</w:t>
      </w:r>
      <w:r>
        <w:rPr>
          <w:rFonts w:ascii="Arial" w:cs="Arial" w:eastAsia="Arial" w:hAnsi="Arial"/>
          <w:sz w:val="19"/>
          <w:szCs w:val="19"/>
          <w:color w:val="auto"/>
        </w:rPr>
        <w:t>”: any Capital Stock that, by its terms (or by the terms of any security into which it is convertible, or for which it is exchangeable, in each case at the option of the holder thereof), or upon the happening of any event (other than a change of control or similar event), matures or is mandatorily redeemable, pursuant to a sinking fund obligation or otherwise, or redeemable at the option of the holder thereof, in whole or in part, on or prior to the date that is 91 days after the date on which the Loans mature. The amount of Disqualified Stock deemed to be outstanding at any time for purposes of this Agreement will be the maximum amount that the Group Members may become obligated to pay upon maturity of, or pursuant to any mandatory redemption provisions of, such Disqualified Stock or portion thereof, plus accrued dividends. Notwithstanding the preceding sentence, any Capital Stock that would constitute Disqualified Stock solely because the holders of the Capital Stock have the right to be paid upon liquidation, dissolution, winding up or pursuant to such other applicable statutory or regulatory obligations of the issuer of such Capital Stock will not constitute Disqualified Stock if the terms of such Capital Stock provide that such payments may not be made with respect to such Capital Stock unless such payments are made after the Discharge of Obligations.</w:t>
      </w:r>
    </w:p>
    <w:p>
      <w:pPr>
        <w:spacing w:after="0" w:line="13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Division</w:t>
      </w:r>
      <w:r>
        <w:rPr>
          <w:rFonts w:ascii="Arial" w:cs="Arial" w:eastAsia="Arial" w:hAnsi="Arial"/>
          <w:sz w:val="18"/>
          <w:szCs w:val="18"/>
          <w:color w:val="auto"/>
        </w:rPr>
        <w:t>”: in reference to any Person which is an entity, the division of such Person into two (2) or more separate Persons, with the dividing Person either continuing or terminating its existence as part of such division, including as contemplated under Section 18-217 of the Delaware Limited Liability Company Act, or any analogous action taken pursuant to any other applicable Requirements of Law.</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771"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w:t>
      </w:r>
      <w:r>
        <w:rPr>
          <w:rFonts w:ascii="Arial" w:cs="Arial" w:eastAsia="Arial" w:hAnsi="Arial"/>
          <w:sz w:val="20"/>
          <w:szCs w:val="20"/>
          <w:color w:val="auto"/>
        </w:rPr>
        <w:t>”: dollars in lawful currency of the United States.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 Equivalent</w:t>
      </w:r>
      <w:r>
        <w:rPr>
          <w:rFonts w:ascii="Arial" w:cs="Arial" w:eastAsia="Arial" w:hAnsi="Arial"/>
          <w:sz w:val="20"/>
          <w:szCs w:val="20"/>
          <w:color w:val="auto"/>
        </w:rPr>
        <w:t>”: at any time, (a) with respect to any amount denominated in Dollars, such amount, (b) with respect to any amount denominated in any currency other than Dollars, the equivalent amount thereof in Dollars as determined by the Administrative Agent at such time on the basis of the Spot Rate for the purchase of Dollars with such currency.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Domestic Subsidiary</w:t>
      </w:r>
      <w:r>
        <w:rPr>
          <w:rFonts w:ascii="Arial" w:cs="Arial" w:eastAsia="Arial" w:hAnsi="Arial"/>
          <w:sz w:val="19"/>
          <w:szCs w:val="19"/>
          <w:color w:val="auto"/>
        </w:rPr>
        <w:t>”: any Subsidiary of the Borrower organized under the laws of any jurisdiction within the United States.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Early Opt-in Election</w:t>
      </w:r>
      <w:r>
        <w:rPr>
          <w:rFonts w:ascii="Arial" w:cs="Arial" w:eastAsia="Arial" w:hAnsi="Arial"/>
          <w:sz w:val="20"/>
          <w:szCs w:val="20"/>
          <w:color w:val="auto"/>
        </w:rPr>
        <w:t>”: if the then-current Benchmark is LIBOR, the occurrence of:</w:t>
      </w:r>
    </w:p>
    <w:p>
      <w:pPr>
        <w:spacing w:after="0" w:line="162" w:lineRule="exact"/>
        <w:rPr>
          <w:sz w:val="20"/>
          <w:szCs w:val="20"/>
          <w:color w:val="auto"/>
        </w:rPr>
      </w:pPr>
    </w:p>
    <w:p>
      <w:pPr>
        <w:jc w:val="both"/>
        <w:ind w:left="660" w:firstLine="644"/>
        <w:spacing w:after="0" w:line="244" w:lineRule="auto"/>
        <w:tabs>
          <w:tab w:leader="none" w:pos="1789" w:val="left"/>
        </w:tabs>
        <w:numPr>
          <w:ilvl w:val="0"/>
          <w:numId w:val="70"/>
        </w:numPr>
        <w:rPr>
          <w:rFonts w:ascii="Arial" w:cs="Arial" w:eastAsia="Arial" w:hAnsi="Arial"/>
          <w:sz w:val="20"/>
          <w:szCs w:val="20"/>
          <w:color w:val="auto"/>
        </w:rPr>
      </w:pPr>
      <w:r>
        <w:rPr>
          <w:rFonts w:ascii="Arial" w:cs="Arial" w:eastAsia="Arial" w:hAnsi="Arial"/>
          <w:sz w:val="20"/>
          <w:szCs w:val="20"/>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Term SOFR or any other rate based upon SOFR) as a benchmark rate (and such syndicated credit facilities are identified in such notice and are publicly available for review), and</w:t>
      </w:r>
    </w:p>
    <w:p>
      <w:pPr>
        <w:spacing w:after="0" w:line="140" w:lineRule="exact"/>
        <w:rPr>
          <w:rFonts w:ascii="Arial" w:cs="Arial" w:eastAsia="Arial" w:hAnsi="Arial"/>
          <w:sz w:val="20"/>
          <w:szCs w:val="20"/>
          <w:color w:val="auto"/>
        </w:rPr>
      </w:pPr>
    </w:p>
    <w:p>
      <w:pPr>
        <w:ind w:left="660" w:firstLine="644"/>
        <w:spacing w:after="0" w:line="260" w:lineRule="auto"/>
        <w:tabs>
          <w:tab w:leader="none" w:pos="1751"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the Borrower to trigger a fallback from LIBOR and the provision by the Administrative Agent of written notice of such election to the Lenders.</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Financial Institution</w:t>
      </w:r>
      <w:r>
        <w:rPr>
          <w:rFonts w:ascii="Arial" w:cs="Arial" w:eastAsia="Arial" w:hAnsi="Arial"/>
          <w:sz w:val="19"/>
          <w:szCs w:val="19"/>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EEA Member Country</w:t>
      </w:r>
      <w:r>
        <w:rPr>
          <w:rFonts w:ascii="Arial" w:cs="Arial" w:eastAsia="Arial" w:hAnsi="Arial"/>
          <w:sz w:val="20"/>
          <w:szCs w:val="20"/>
          <w:color w:val="auto"/>
        </w:rPr>
        <w:t>”: any of the member states of the European Union, Iceland, Liechtenstein, and Norway.</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Resolution Authority</w:t>
      </w:r>
      <w:r>
        <w:rPr>
          <w:rFonts w:ascii="Arial" w:cs="Arial" w:eastAsia="Arial" w:hAnsi="Arial"/>
          <w:sz w:val="19"/>
          <w:szCs w:val="19"/>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771" w:right="339" w:bottom="1440" w:gutter="0" w:footer="0" w:header="0"/>
        </w:sectPr>
      </w:pPr>
    </w:p>
    <w:bookmarkStart w:id="131" w:name="page132"/>
    <w:bookmarkEnd w:id="131"/>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Eligible Assignee</w:t>
      </w:r>
      <w:r>
        <w:rPr>
          <w:rFonts w:ascii="Arial" w:cs="Arial" w:eastAsia="Arial" w:hAnsi="Arial"/>
          <w:sz w:val="20"/>
          <w:szCs w:val="20"/>
          <w:color w:val="auto"/>
        </w:rPr>
        <w:t xml:space="preserve">”: any Person that meets the requirements to be an assignee under </w:t>
      </w:r>
      <w:r>
        <w:rPr>
          <w:rFonts w:ascii="Arial" w:cs="Arial" w:eastAsia="Arial" w:hAnsi="Arial"/>
          <w:sz w:val="20"/>
          <w:szCs w:val="20"/>
          <w:u w:val="single" w:color="auto"/>
          <w:color w:val="auto"/>
        </w:rPr>
        <w:t>Section 10.6(b)(iii)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10.6(b)(iii)</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Laws</w:t>
      </w:r>
      <w:r>
        <w:rPr>
          <w:rFonts w:ascii="Arial" w:cs="Arial" w:eastAsia="Arial" w:hAnsi="Arial"/>
          <w:sz w:val="20"/>
          <w:szCs w:val="20"/>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3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Liability</w:t>
      </w:r>
      <w:r>
        <w:rPr>
          <w:rFonts w:ascii="Arial" w:cs="Arial" w:eastAsia="Arial" w:hAnsi="Arial"/>
          <w:sz w:val="20"/>
          <w:szCs w:val="20"/>
          <w:color w:val="auto"/>
        </w:rPr>
        <w:t>”: any liability, contingent or otherwise (including any liability for damages, costs of environmental remediation, fines, penalties or indemnities), of any Group Member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the Employee Retirement Income Security Act of 1974, as amended, including (unless the context otherwise requires) any rules or regulations promulgated thereunder.</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ERISA Affiliate</w:t>
      </w:r>
      <w:r>
        <w:rPr>
          <w:rFonts w:ascii="Arial" w:cs="Arial" w:eastAsia="Arial" w:hAnsi="Arial"/>
          <w:sz w:val="19"/>
          <w:szCs w:val="19"/>
          <w:color w:val="auto"/>
        </w:rPr>
        <w:t>”: each business or entity which is, or within the last six years was, a member of a “controlled group of corporations,” under “common control” or an “affiliated service group” with any Loan Party within the meaning of Section 414(b), (c), (m) or (n) of the Code, required to be aggregated with any Loan Party under Section 414(o) of the Code, or is, or within the last six years was, under “common control” with any Loan Party, within the meaning of Section 4001(a)(14) of ERISA.</w:t>
      </w:r>
    </w:p>
    <w:p>
      <w:pPr>
        <w:spacing w:after="0" w:line="1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Event</w:t>
      </w:r>
      <w:r>
        <w:rPr>
          <w:rFonts w:ascii="Arial" w:cs="Arial" w:eastAsia="Arial" w:hAnsi="Arial"/>
          <w:sz w:val="18"/>
          <w:szCs w:val="18"/>
          <w:color w:val="auto"/>
        </w:rPr>
        <w:t>”: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 respect to such plan within the following 30 days; (c) a withdrawal by any Loan Party or any ERISA Affiliate thereof from a Pension Plan or the termination of any Pension Plan resulting in liability to a Loan Party under Sections 4063 or 4064 of ERISA; (d) the withdrawal of any Loan Party or any ERISA Affiliate thereof in a complete or partial withdrawal (within the meaning of Section 4203 and 4205 of ERISA) from any Multiemployer Plan if there is any potential liability to a Loan Party therefor, or the receipt by any Loan Party or any ERISA Affiliate thereof of notice from any Multiemployer Plan that it is in reorganization or insolvency pursuant to Section 4241 or 4245 of ERISA; (e) the filing of a notice of intent to terminate, the treatment of a Pension Plan or Multiemployer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would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771" w:right="339" w:bottom="1440" w:gutter="0" w:footer="0" w:header="0"/>
        </w:sectPr>
      </w:pPr>
    </w:p>
    <w:bookmarkStart w:id="132" w:name="page133"/>
    <w:bookmarkEnd w:id="132"/>
    <w:p>
      <w:pPr>
        <w:jc w:val="both"/>
        <w:spacing w:after="0" w:line="269" w:lineRule="auto"/>
        <w:rPr>
          <w:sz w:val="20"/>
          <w:szCs w:val="20"/>
          <w:color w:val="auto"/>
        </w:rPr>
      </w:pPr>
      <w:r>
        <w:rPr>
          <w:rFonts w:ascii="Arial" w:cs="Arial" w:eastAsia="Arial" w:hAnsi="Arial"/>
          <w:sz w:val="18"/>
          <w:szCs w:val="18"/>
          <w:color w:val="auto"/>
        </w:rPr>
        <w:t>ERISA Affiliate thereof; (k) an application for a funding waiver under Section 303 of ERISA or an extension of any amortization period pursuant to Section 412 of the Code with respect to any Pension Plan; (l) the occurrence of a non-exempt prohibited transaction under Sections 406 or 407 of ERISA for which any Group Member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fines, penalties, taxes or related charges under Chapter 43 of the Code or under Sections 409, 502(c), (i) or (1) or 4071 of ERISA; (o) the assertion of a material claim (other than routine claims for benefits) against any Plan or the assets thereof, or against any Group Member in connection with any such Plan; (p) receipt from the IRS of notice of the failure of any Qualified Plan to qualify under Section 401(a) of the Code, or the failure of any trust forming part of any Qualified Plan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of ERISA, including Section 302(f) or 303(k) of ERISA or to Section 401(a)(29) or 430(k) of the Code; or (r) the establishment or amendment by any Group Member of any “welfare plan” as such term is defined in Section 3(1) of ERISA, that provides post-employment welfare benefits in a manner that would increase the liability of any Loan Party.</w:t>
      </w:r>
    </w:p>
    <w:p>
      <w:pPr>
        <w:spacing w:after="0" w:line="1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Funding Rules</w:t>
      </w:r>
      <w:r>
        <w:rPr>
          <w:rFonts w:ascii="Arial" w:cs="Arial" w:eastAsia="Arial" w:hAnsi="Arial"/>
          <w:sz w:val="20"/>
          <w:szCs w:val="20"/>
          <w:color w:val="auto"/>
        </w:rPr>
        <w:t>”: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w:t>
      </w:r>
      <w:r>
        <w:rPr>
          <w:rFonts w:ascii="Arial" w:cs="Arial" w:eastAsia="Arial" w:hAnsi="Arial"/>
          <w:sz w:val="20"/>
          <w:szCs w:val="20"/>
          <w:color w:val="auto"/>
        </w:rPr>
        <w:t>”: as defined in Section 9.15(a).</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Deficiency Assignment</w:t>
      </w:r>
      <w:r>
        <w:rPr>
          <w:rFonts w:ascii="Arial" w:cs="Arial" w:eastAsia="Arial" w:hAnsi="Arial"/>
          <w:sz w:val="20"/>
          <w:szCs w:val="20"/>
          <w:color w:val="auto"/>
        </w:rPr>
        <w:t>”: as defined in Section 9.15(d).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Return Deficiency</w:t>
      </w:r>
      <w:r>
        <w:rPr>
          <w:rFonts w:ascii="Arial" w:cs="Arial" w:eastAsia="Arial" w:hAnsi="Arial"/>
          <w:sz w:val="20"/>
          <w:szCs w:val="20"/>
          <w:color w:val="auto"/>
        </w:rPr>
        <w:t>”: as defined in Section 9.15(d).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Subrogation Rights</w:t>
      </w:r>
      <w:r>
        <w:rPr>
          <w:rFonts w:ascii="Arial" w:cs="Arial" w:eastAsia="Arial" w:hAnsi="Arial"/>
          <w:sz w:val="20"/>
          <w:szCs w:val="20"/>
          <w:color w:val="auto"/>
        </w:rPr>
        <w:t>”: as defined in Section 9.15(d).</w:t>
      </w:r>
    </w:p>
    <w:p>
      <w:pPr>
        <w:spacing w:after="0" w:line="25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 Bail-In Legislation Schedule</w:t>
      </w:r>
      <w:r>
        <w:rPr>
          <w:rFonts w:ascii="Arial" w:cs="Arial" w:eastAsia="Arial" w:hAnsi="Arial"/>
          <w:sz w:val="20"/>
          <w:szCs w:val="20"/>
          <w:color w:val="auto"/>
        </w:rPr>
        <w:t>”: the EU Bail-In Legislation Schedule published by the Loan Market Association (or any successor Person), as in effect from time to time.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Eurocurrency Reserve Requirements</w:t>
      </w:r>
      <w:r>
        <w:rPr>
          <w:rFonts w:ascii="Arial" w:cs="Arial" w:eastAsia="Arial" w:hAnsi="Arial"/>
          <w:sz w:val="19"/>
          <w:szCs w:val="19"/>
          <w:color w:val="auto"/>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12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Eurodollar Base Rate</w:t>
      </w:r>
      <w:r>
        <w:rPr>
          <w:rFonts w:ascii="Arial" w:cs="Arial" w:eastAsia="Arial" w:hAnsi="Arial"/>
          <w:sz w:val="20"/>
          <w:szCs w:val="20"/>
          <w:color w:val="auto"/>
        </w:rPr>
        <w:t>”: with respect to each day during each Interest Period pertaining to (a) a Eurodollar Loan, the rate per annum determined by the Administrative Agent by reference to the ICE Benchmark Administration London Interbank Offered Rate (“</w:t>
      </w:r>
      <w:r>
        <w:rPr>
          <w:rFonts w:ascii="Arial" w:cs="Arial" w:eastAsia="Arial" w:hAnsi="Arial"/>
          <w:sz w:val="20"/>
          <w:szCs w:val="20"/>
          <w:b w:val="1"/>
          <w:bCs w:val="1"/>
          <w:i w:val="1"/>
          <w:iCs w:val="1"/>
          <w:color w:val="auto"/>
        </w:rPr>
        <w:t>LIBOR</w:t>
      </w:r>
      <w:r>
        <w:rPr>
          <w:rFonts w:ascii="Arial" w:cs="Arial" w:eastAsia="Arial" w:hAnsi="Arial"/>
          <w:sz w:val="20"/>
          <w:szCs w:val="20"/>
          <w:color w:val="auto"/>
        </w:rPr>
        <w:t xml:space="preserve">”) (or any successor thereto if the ICE Benchmark Administration is no longer making LIBOR available) for deposits (for delivery on the first day of such Interest Period) with a term equivalent to such Interest Period in Dollars, determined as of approximately 11:00 A.M. (London, England time) 2 Business Days prior to the beginning of such Interest Period (as set forth by Bloomberg Information Service or any successor thereto or any other commercially available service selected by the Administrative Agent which provides quotations of LIBOR);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Eurodollar Base Rate shall not be less than 1.00%. In the event that the Administrative Agent determines that LIBOR is not available, the “Eurodollar Base Rate” shall be determined by reference to the rate per annum equal to the offered quotation rate to first class banks in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771" w:right="339" w:bottom="1440" w:gutter="0" w:footer="0" w:header="0"/>
        </w:sectPr>
      </w:pPr>
    </w:p>
    <w:bookmarkStart w:id="133" w:name="page134"/>
    <w:bookmarkEnd w:id="133"/>
    <w:p>
      <w:pPr>
        <w:jc w:val="both"/>
        <w:spacing w:after="0" w:line="244" w:lineRule="auto"/>
        <w:rPr>
          <w:sz w:val="20"/>
          <w:szCs w:val="20"/>
          <w:color w:val="auto"/>
        </w:rPr>
      </w:pPr>
      <w:r>
        <w:rPr>
          <w:rFonts w:ascii="Arial" w:cs="Arial" w:eastAsia="Arial" w:hAnsi="Arial"/>
          <w:sz w:val="20"/>
          <w:szCs w:val="20"/>
          <w:color w:val="auto"/>
        </w:rPr>
        <w:t xml:space="preserve">London interbank market by SVB for deposits (for delivery on the first day of the relevant Interest Period) in Dollars of amounts in Same Day Funds comparable to the principal amount of the applicable Loan of the Administrative Agent, in its capacity as a Lender, for which the Eurodollar Base Rate is then being determined with maturities comparable to such period as of approximately 11:00 A.M. (London, England time) 2 Business Days prior to the beginning of such Interest Period; </w:t>
      </w:r>
      <w:r>
        <w:rPr>
          <w:rFonts w:ascii="Arial" w:cs="Arial" w:eastAsia="Arial" w:hAnsi="Arial"/>
          <w:sz w:val="20"/>
          <w:szCs w:val="20"/>
          <w:u w:val="single" w:color="auto"/>
          <w:color w:val="auto"/>
        </w:rPr>
        <w:t>provided that</w:t>
      </w:r>
      <w:r>
        <w:rPr>
          <w:rFonts w:ascii="Arial" w:cs="Arial" w:eastAsia="Arial" w:hAnsi="Arial"/>
          <w:sz w:val="20"/>
          <w:szCs w:val="20"/>
          <w:color w:val="auto"/>
        </w:rPr>
        <w:t>, in all events, such Eurodollar Base Rate shall not be less than 1.00%.</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Eurodollar Loans</w:t>
      </w:r>
      <w:r>
        <w:rPr>
          <w:rFonts w:ascii="Arial" w:cs="Arial" w:eastAsia="Arial" w:hAnsi="Arial"/>
          <w:sz w:val="18"/>
          <w:szCs w:val="18"/>
          <w:color w:val="auto"/>
        </w:rPr>
        <w:t>”: Loans the rate of interest applicable to which is based upon clause (a) of the definition of “Eurodollar Base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Eurodollar Rate</w:t>
      </w:r>
      <w:r>
        <w:rPr>
          <w:rFonts w:ascii="Arial" w:cs="Arial" w:eastAsia="Arial" w:hAnsi="Arial"/>
          <w:sz w:val="20"/>
          <w:szCs w:val="20"/>
          <w:color w:val="auto"/>
        </w:rPr>
        <w:t>”: with respect to each day during each Interest Period pertaining to a Eurodollar Loan, a rate per annum determined for such day in accordance with the following formula:</w:t>
      </w:r>
    </w:p>
    <w:p>
      <w:pPr>
        <w:spacing w:after="0" w:line="177"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27305</wp:posOffset>
            </wp:positionV>
            <wp:extent cx="34715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1.00 - Eurocurrency Reserve Requirements</w:t>
      </w:r>
    </w:p>
    <w:p>
      <w:pPr>
        <w:spacing w:after="0" w:line="2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The Eurodollar Rate shall be adjusted automatically as of the effective date of any change in the Eurocurrency Reserve Requirements;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Eurodollar Rate shall not be less than 1.00%.</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Eurodollar Tranche</w:t>
      </w:r>
      <w:r>
        <w:rPr>
          <w:rFonts w:ascii="Arial" w:cs="Arial" w:eastAsia="Arial" w:hAnsi="Arial"/>
          <w:sz w:val="20"/>
          <w:szCs w:val="20"/>
          <w:color w:val="auto"/>
        </w:rPr>
        <w:t>”: the collective reference to Eurodollar Loans under a particular Facility (other than the L/C Facility), the then current Interest Periods with respect to all of which begin on the same date and end on the same later date (whether or not such Loans shall originally have been made on the same day).</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Event of 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any requirement for the giving of notice, the lapse of time, or both, has been satisfied.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the Securities Exchange Act of 1934, as amended from time to time and any successor statute.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Assets</w:t>
      </w:r>
      <w:r>
        <w:rPr>
          <w:rFonts w:ascii="Arial" w:cs="Arial" w:eastAsia="Arial" w:hAnsi="Arial"/>
          <w:sz w:val="20"/>
          <w:szCs w:val="20"/>
          <w:color w:val="auto"/>
        </w:rPr>
        <w:t>”: as defined in the Guarantee and Collateral Agreement.</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Swap Obligations</w:t>
      </w:r>
      <w:r>
        <w:rPr>
          <w:rFonts w:ascii="Arial" w:cs="Arial" w:eastAsia="Arial" w:hAnsi="Arial"/>
          <w:sz w:val="20"/>
          <w:szCs w:val="20"/>
          <w:color w:val="auto"/>
        </w:rPr>
        <w:t>”: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w:t>
      </w:r>
    </w:p>
    <w:p>
      <w:pPr>
        <w:spacing w:after="0" w:line="14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 2.23</w:t>
      </w:r>
      <w:r>
        <w:rPr>
          <w:rFonts w:ascii="Arial" w:cs="Arial" w:eastAsia="Arial" w:hAnsi="Arial"/>
          <w:sz w:val="18"/>
          <w:szCs w:val="18"/>
          <w:color w:val="auto"/>
        </w:rPr>
        <w:t>) or</w:t>
      </w:r>
    </w:p>
    <w:p>
      <w:pPr>
        <w:spacing w:after="0" w:line="5" w:lineRule="exact"/>
        <w:rPr>
          <w:sz w:val="20"/>
          <w:szCs w:val="20"/>
          <w:color w:val="auto"/>
        </w:rPr>
      </w:pPr>
    </w:p>
    <w:p>
      <w:pPr>
        <w:ind w:right="20" w:firstLine="8"/>
        <w:spacing w:after="0" w:line="269" w:lineRule="auto"/>
        <w:tabs>
          <w:tab w:leader="none" w:pos="312"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such Lender changes its lending office, except in each case to the extent that,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amounts with respect to such Taxes were payable either to such Lender’s assignor immediately before such Lender became a party hereto or to such Lender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771" w:right="339" w:bottom="1440" w:gutter="0" w:footer="0" w:header="0"/>
        </w:sectPr>
      </w:pPr>
    </w:p>
    <w:bookmarkStart w:id="134" w:name="page135"/>
    <w:bookmarkEnd w:id="134"/>
    <w:p>
      <w:pPr>
        <w:jc w:val="both"/>
        <w:ind w:right="20"/>
        <w:spacing w:after="0" w:line="260" w:lineRule="auto"/>
        <w:rPr>
          <w:sz w:val="20"/>
          <w:szCs w:val="20"/>
          <w:color w:val="auto"/>
        </w:rPr>
      </w:pPr>
      <w:r>
        <w:rPr>
          <w:rFonts w:ascii="Arial" w:cs="Arial" w:eastAsia="Arial" w:hAnsi="Arial"/>
          <w:sz w:val="20"/>
          <w:szCs w:val="20"/>
          <w:color w:val="auto"/>
        </w:rPr>
        <w:t xml:space="preserve">immediately before it changed its lending office, (c) Taxes attributable to such Recipient’s failure to comply with </w:t>
      </w:r>
      <w:r>
        <w:rPr>
          <w:rFonts w:ascii="Arial" w:cs="Arial" w:eastAsia="Arial" w:hAnsi="Arial"/>
          <w:sz w:val="20"/>
          <w:szCs w:val="20"/>
          <w:u w:val="single" w:color="auto"/>
          <w:color w:val="auto"/>
        </w:rPr>
        <w:t>Section 2.20(f)</w:t>
      </w:r>
      <w:r>
        <w:rPr>
          <w:rFonts w:ascii="Arial" w:cs="Arial" w:eastAsia="Arial" w:hAnsi="Arial"/>
          <w:sz w:val="20"/>
          <w:szCs w:val="20"/>
          <w:color w:val="auto"/>
        </w:rPr>
        <w:t xml:space="preserve"> and (d) any withholding Taxes imposed under FATCA.</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Credit Agreement</w:t>
      </w:r>
      <w:r>
        <w:rPr>
          <w:rFonts w:ascii="Arial" w:cs="Arial" w:eastAsia="Arial" w:hAnsi="Arial"/>
          <w:sz w:val="20"/>
          <w:szCs w:val="20"/>
          <w:color w:val="auto"/>
        </w:rPr>
        <w:t>”: as defined in the recitals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Fee Letter</w:t>
      </w:r>
      <w:r>
        <w:rPr>
          <w:rFonts w:ascii="Arial" w:cs="Arial" w:eastAsia="Arial" w:hAnsi="Arial"/>
          <w:sz w:val="20"/>
          <w:szCs w:val="20"/>
          <w:color w:val="auto"/>
        </w:rPr>
        <w:t>”: the letter agreement dated August 11, 2020, between the Borrower and SVB.</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Letters of Credit</w:t>
      </w:r>
      <w:r>
        <w:rPr>
          <w:rFonts w:ascii="Arial" w:cs="Arial" w:eastAsia="Arial" w:hAnsi="Arial"/>
          <w:sz w:val="20"/>
          <w:szCs w:val="20"/>
          <w:color w:val="auto"/>
        </w:rPr>
        <w:t xml:space="preserve">”: the letters of credit as in effect on the Original Closing Date and described on </w:t>
      </w:r>
      <w:r>
        <w:rPr>
          <w:rFonts w:ascii="Arial" w:cs="Arial" w:eastAsia="Arial" w:hAnsi="Arial"/>
          <w:sz w:val="20"/>
          <w:szCs w:val="20"/>
          <w:u w:val="single" w:color="auto"/>
          <w:color w:val="auto"/>
        </w:rPr>
        <w:t>Schedule 1.1B</w:t>
      </w:r>
      <w:r>
        <w:rPr>
          <w:rFonts w:ascii="Arial" w:cs="Arial" w:eastAsia="Arial" w:hAnsi="Arial"/>
          <w:sz w:val="20"/>
          <w:szCs w:val="20"/>
          <w:color w:val="auto"/>
        </w:rPr>
        <w:t xml:space="preserve"> of the Disclosure Letter.</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Facility</w:t>
      </w:r>
      <w:r>
        <w:rPr>
          <w:rFonts w:ascii="Arial" w:cs="Arial" w:eastAsia="Arial" w:hAnsi="Arial"/>
          <w:sz w:val="20"/>
          <w:szCs w:val="20"/>
          <w:color w:val="auto"/>
        </w:rPr>
        <w:t>”: each of (a) the L/C Facility (which is a sub-facility of the Revolving Facility), (b) the Revolving Facility and (c) the Swingline Facility (which is a sub-facility of the Revolving Facility).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FASB ASC</w:t>
      </w:r>
      <w:r>
        <w:rPr>
          <w:rFonts w:ascii="Arial" w:cs="Arial" w:eastAsia="Arial" w:hAnsi="Arial"/>
          <w:sz w:val="20"/>
          <w:szCs w:val="20"/>
          <w:color w:val="auto"/>
        </w:rPr>
        <w:t>”: the Accounting Standards certification of the Financial Accounting Standards Board</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FATCA</w:t>
      </w:r>
      <w:r>
        <w:rPr>
          <w:rFonts w:ascii="Arial" w:cs="Arial" w:eastAsia="Arial" w:hAnsi="Arial"/>
          <w:sz w:val="20"/>
          <w:szCs w:val="20"/>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Federal Funds Effective Rate</w:t>
      </w:r>
      <w:r>
        <w:rPr>
          <w:rFonts w:ascii="Arial" w:cs="Arial" w:eastAsia="Arial" w:hAnsi="Arial"/>
          <w:sz w:val="19"/>
          <w:szCs w:val="19"/>
          <w:color w:val="auto"/>
        </w:rPr>
        <w:t>”: for any day, the greater of (a) 0.00% and (b)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Fee Letter</w:t>
      </w:r>
      <w:r>
        <w:rPr>
          <w:rFonts w:ascii="Arial" w:cs="Arial" w:eastAsia="Arial" w:hAnsi="Arial"/>
          <w:sz w:val="20"/>
          <w:szCs w:val="20"/>
          <w:color w:val="auto"/>
        </w:rPr>
        <w:t>”: the letter agreement dated February 19, 2021, between the Borrower and SVB.</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First Amendment</w:t>
      </w:r>
      <w:r>
        <w:rPr>
          <w:rFonts w:ascii="Arial" w:cs="Arial" w:eastAsia="Arial" w:hAnsi="Arial"/>
          <w:sz w:val="19"/>
          <w:szCs w:val="19"/>
          <w:color w:val="auto"/>
        </w:rPr>
        <w:t>” : that certain First Amendment to Amended and Restated Credit Agreement dated as of May 19, 2021 by and among the Borrower, the Lenders party thereto, the Administrative Agent and consented to and acknowledged by Fundera, Inc.</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First Amendment Effective Date</w:t>
      </w:r>
      <w:r>
        <w:rPr>
          <w:rFonts w:ascii="Arial" w:cs="Arial" w:eastAsia="Arial" w:hAnsi="Arial"/>
          <w:sz w:val="20"/>
          <w:szCs w:val="20"/>
          <w:color w:val="auto"/>
        </w:rPr>
        <w:t>”: as defined in the First Amendment.</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Flood Laws</w:t>
      </w:r>
      <w:r>
        <w:rPr>
          <w:rFonts w:ascii="Arial" w:cs="Arial" w:eastAsia="Arial" w:hAnsi="Arial"/>
          <w:sz w:val="20"/>
          <w:szCs w:val="20"/>
          <w:color w:val="auto"/>
        </w:rPr>
        <w:t>”: the National Flood Insurance Reform Act of 1994 and related legislation (including the regulations of the Board of Governors of the Federal Reserve System).</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Floor</w:t>
      </w:r>
      <w:r>
        <w:rPr>
          <w:rFonts w:ascii="Arial" w:cs="Arial" w:eastAsia="Arial" w:hAnsi="Arial"/>
          <w:sz w:val="20"/>
          <w:szCs w:val="20"/>
          <w:color w:val="auto"/>
        </w:rPr>
        <w:t>”: 1.00% per annum.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Foreclosed Borrowers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2.25</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Lender</w:t>
      </w:r>
      <w:r>
        <w:rPr>
          <w:rFonts w:ascii="Arial" w:cs="Arial" w:eastAsia="Arial" w:hAnsi="Arial"/>
          <w:sz w:val="20"/>
          <w:szCs w:val="20"/>
          <w:color w:val="auto"/>
        </w:rPr>
        <w:t>”: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Subsidiary</w:t>
      </w:r>
      <w:r>
        <w:rPr>
          <w:rFonts w:ascii="Arial" w:cs="Arial" w:eastAsia="Arial" w:hAnsi="Arial"/>
          <w:sz w:val="20"/>
          <w:szCs w:val="20"/>
          <w:color w:val="auto"/>
        </w:rPr>
        <w:t>”: any Subsidiary of the Borrower that is not a Domestic Subsidiary.</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Fronting Exposure</w:t>
      </w:r>
      <w:r>
        <w:rPr>
          <w:rFonts w:ascii="Arial" w:cs="Arial" w:eastAsia="Arial" w:hAnsi="Arial"/>
          <w:sz w:val="18"/>
          <w:szCs w:val="18"/>
          <w:color w:val="auto"/>
        </w:rPr>
        <w:t>”: at any time there is a Defaulting Lender, as applicable, (a) with respect to the Issuing Lender, such Defaulting Lender’s L/C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771" w:right="339" w:bottom="1440" w:gutter="0" w:footer="0" w:header="0"/>
        </w:sectPr>
      </w:pPr>
    </w:p>
    <w:bookmarkStart w:id="135" w:name="page136"/>
    <w:bookmarkEnd w:id="135"/>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Fund</w:t>
      </w:r>
      <w:r>
        <w:rPr>
          <w:rFonts w:ascii="Arial" w:cs="Arial" w:eastAsia="Arial" w:hAnsi="Arial"/>
          <w:sz w:val="20"/>
          <w:szCs w:val="20"/>
          <w:color w:val="auto"/>
        </w:rPr>
        <w:t>”: any Person (other than a natural Person) that is (or will be) engaged in making, purchasing, holding or otherwise investing in commercial loans, bonds and similar extensions of credit in the ordinary course of its activities.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Funding Office</w:t>
      </w:r>
      <w:r>
        <w:rPr>
          <w:rFonts w:ascii="Arial" w:cs="Arial" w:eastAsia="Arial" w:hAnsi="Arial"/>
          <w:sz w:val="20"/>
          <w:szCs w:val="20"/>
          <w:color w:val="auto"/>
        </w:rPr>
        <w:t>”: the Revolving Loan Funding Office.</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xml:space="preserve">”: generally accepted accounting principles in the United States as in effect from time to time, except that for purposes of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GAAP shall be determined on the basis of such principles in effect on the date hereof and consistent with those used in the preparation of the most recent audited financial statements referred to in </w:t>
      </w:r>
      <w:r>
        <w:rPr>
          <w:rFonts w:ascii="Arial" w:cs="Arial" w:eastAsia="Arial" w:hAnsi="Arial"/>
          <w:sz w:val="19"/>
          <w:szCs w:val="19"/>
          <w:u w:val="single" w:color="auto"/>
          <w:color w:val="auto"/>
        </w:rPr>
        <w:t>Section 4.1(b)</w:t>
      </w:r>
      <w:r>
        <w:rPr>
          <w:rFonts w:ascii="Arial" w:cs="Arial" w:eastAsia="Arial" w:hAnsi="Arial"/>
          <w:sz w:val="19"/>
          <w:szCs w:val="19"/>
          <w:color w:val="auto"/>
        </w:rPr>
        <w:t>. In the event that any “</w:t>
      </w:r>
      <w:r>
        <w:rPr>
          <w:rFonts w:ascii="Arial" w:cs="Arial" w:eastAsia="Arial" w:hAnsi="Arial"/>
          <w:sz w:val="19"/>
          <w:szCs w:val="19"/>
          <w:b w:val="1"/>
          <w:bCs w:val="1"/>
          <w:i w:val="1"/>
          <w:iCs w:val="1"/>
          <w:color w:val="auto"/>
        </w:rPr>
        <w:t>Accounting Change</w:t>
      </w:r>
      <w:r>
        <w:rPr>
          <w:rFonts w:ascii="Arial" w:cs="Arial" w:eastAsia="Arial" w:hAnsi="Arial"/>
          <w:sz w:val="19"/>
          <w:szCs w:val="19"/>
          <w:color w:val="auto"/>
        </w:rPr>
        <w:t>” (as defined below) shall 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Arial" w:cs="Arial" w:eastAsia="Arial" w:hAnsi="Arial"/>
          <w:sz w:val="19"/>
          <w:szCs w:val="19"/>
          <w:b w:val="1"/>
          <w:bCs w:val="1"/>
          <w:i w:val="1"/>
          <w:iCs w:val="1"/>
          <w:color w:val="auto"/>
        </w:rPr>
        <w:t>Accounting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Changes</w:t>
      </w:r>
      <w:r>
        <w:rPr>
          <w:rFonts w:ascii="Arial" w:cs="Arial" w:eastAsia="Arial" w:hAnsi="Arial"/>
          <w:sz w:val="19"/>
          <w:szCs w:val="19"/>
          <w:color w:val="auto"/>
        </w:rPr>
        <w:t>” refers to changes in accounting principles required by the promulgation of any rule, regulation, pronouncement or opinion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Accounting Standards Board of the American Institute of Certified Public Accountants or, if applicable, the SEC, or the adoption of IFRS.</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Approval</w:t>
      </w:r>
      <w:r>
        <w:rPr>
          <w:rFonts w:ascii="Arial" w:cs="Arial" w:eastAsia="Arial" w:hAnsi="Arial"/>
          <w:sz w:val="20"/>
          <w:szCs w:val="20"/>
          <w:color w:val="auto"/>
        </w:rPr>
        <w:t>”: any consent, authorization, approval, order, license, franchise, permit, certificate, accreditation, registration, filing or notice, of, issued by, from or to, or other act by or in respect of, any Governmental Authority.</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Authority</w:t>
      </w:r>
      <w:r>
        <w:rPr>
          <w:rFonts w:ascii="Arial" w:cs="Arial" w:eastAsia="Arial" w:hAnsi="Arial"/>
          <w:sz w:val="19"/>
          <w:szCs w:val="19"/>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Group Members</w:t>
      </w:r>
      <w:r>
        <w:rPr>
          <w:rFonts w:ascii="Arial" w:cs="Arial" w:eastAsia="Arial" w:hAnsi="Arial"/>
          <w:sz w:val="20"/>
          <w:szCs w:val="20"/>
          <w:color w:val="auto"/>
        </w:rPr>
        <w:t>”: the collective reference to the Borrower and its Subsidiaries.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Guarantee and Collateral Agreement</w:t>
      </w:r>
      <w:r>
        <w:rPr>
          <w:rFonts w:ascii="Arial" w:cs="Arial" w:eastAsia="Arial" w:hAnsi="Arial"/>
          <w:sz w:val="20"/>
          <w:szCs w:val="20"/>
          <w:color w:val="auto"/>
        </w:rPr>
        <w:t>”: the Guarantee and Collateral Agreement dated as of the Original Closing Date by and among the Loan Parties and the Administrative Agent.</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 Obligation</w:t>
      </w:r>
      <w:r>
        <w:rPr>
          <w:rFonts w:ascii="Arial" w:cs="Arial" w:eastAsia="Arial" w:hAnsi="Arial"/>
          <w:sz w:val="18"/>
          <w:szCs w:val="18"/>
          <w:color w:val="auto"/>
        </w:rPr>
        <w:t>”: as to any Person (the “</w:t>
      </w:r>
      <w:r>
        <w:rPr>
          <w:rFonts w:ascii="Arial" w:cs="Arial" w:eastAsia="Arial" w:hAnsi="Arial"/>
          <w:sz w:val="18"/>
          <w:szCs w:val="18"/>
          <w:b w:val="1"/>
          <w:bCs w:val="1"/>
          <w:i w:val="1"/>
          <w:iCs w:val="1"/>
          <w:color w:val="auto"/>
        </w:rPr>
        <w:t>guaranteeing person</w:t>
      </w:r>
      <w:r>
        <w:rPr>
          <w:rFonts w:ascii="Arial" w:cs="Arial" w:eastAsia="Arial" w:hAnsi="Arial"/>
          <w:sz w:val="18"/>
          <w:szCs w:val="18"/>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Arial" w:cs="Arial" w:eastAsia="Arial" w:hAnsi="Arial"/>
          <w:sz w:val="18"/>
          <w:szCs w:val="18"/>
          <w:b w:val="1"/>
          <w:bCs w:val="1"/>
          <w:i w:val="1"/>
          <w:iCs w:val="1"/>
          <w:color w:val="auto"/>
        </w:rPr>
        <w:t>primary obligations</w:t>
      </w:r>
      <w:r>
        <w:rPr>
          <w:rFonts w:ascii="Arial" w:cs="Arial" w:eastAsia="Arial" w:hAnsi="Arial"/>
          <w:sz w:val="18"/>
          <w:szCs w:val="18"/>
          <w:color w:val="auto"/>
        </w:rPr>
        <w:t>”) of any other third Person (the “</w:t>
      </w:r>
      <w:r>
        <w:rPr>
          <w:rFonts w:ascii="Arial" w:cs="Arial" w:eastAsia="Arial" w:hAnsi="Arial"/>
          <w:sz w:val="18"/>
          <w:szCs w:val="18"/>
          <w:b w:val="1"/>
          <w:bCs w:val="1"/>
          <w:i w:val="1"/>
          <w:iCs w:val="1"/>
          <w:color w:val="auto"/>
        </w:rPr>
        <w:t>primary obligor</w:t>
      </w:r>
      <w:r>
        <w:rPr>
          <w:rFonts w:ascii="Arial" w:cs="Arial" w:eastAsia="Arial" w:hAnsi="Arial"/>
          <w:sz w:val="18"/>
          <w:szCs w:val="18"/>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771" w:right="339" w:bottom="1440" w:gutter="0" w:footer="0" w:header="0"/>
        </w:sectPr>
      </w:pPr>
    </w:p>
    <w:bookmarkStart w:id="136" w:name="page137"/>
    <w:bookmarkEnd w:id="136"/>
    <w:p>
      <w:pPr>
        <w:jc w:val="both"/>
        <w:spacing w:after="0" w:line="246" w:lineRule="auto"/>
        <w:rPr>
          <w:sz w:val="20"/>
          <w:szCs w:val="20"/>
          <w:color w:val="auto"/>
        </w:rPr>
      </w:pPr>
      <w:r>
        <w:rPr>
          <w:rFonts w:ascii="Arial" w:cs="Arial" w:eastAsia="Arial" w:hAnsi="Arial"/>
          <w:sz w:val="20"/>
          <w:szCs w:val="20"/>
          <w:color w:val="auto"/>
        </w:rPr>
        <w:t>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xml:space="preserve">”: a collective reference to each Subsidiary of the Borrower which has become a Guarantor pursuant to the requirements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hereof and the Guarantee and Collateral Agreement. Notwithstanding the foregoing or any contrary provision herein or in any other Loan Document, no Immaterial Subsidiary shall be required to be a Guarantor, and no Subsidiary shall be required to become a Guarantor if, in the reasonable judgment of the Administrative Agent and the Borrower, the burden or cost of providing a guarantee shall be excessive in view of the benefits to be obtained by the Secured Parties therefrom.</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IFRS</w:t>
      </w:r>
      <w:r>
        <w:rPr>
          <w:rFonts w:ascii="Arial" w:cs="Arial" w:eastAsia="Arial" w:hAnsi="Arial"/>
          <w:sz w:val="20"/>
          <w:szCs w:val="20"/>
          <w:color w:val="auto"/>
        </w:rPr>
        <w:t>”: international accounting standards within the meaning of IAS Regulation 1606/2002 to the extent applicable to the relevant financial statements delivered under or referred to herein.</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Immaterial Subsidiary</w:t>
      </w:r>
      <w:r>
        <w:rPr>
          <w:rFonts w:ascii="Arial" w:cs="Arial" w:eastAsia="Arial" w:hAnsi="Arial"/>
          <w:sz w:val="18"/>
          <w:szCs w:val="18"/>
          <w:color w:val="auto"/>
        </w:rPr>
        <w:t xml:space="preserve">”: as of the last day of each fiscal quarter and at any other date of determination, any Subsidiary of any Loan Party (other than a Borrower or a Guarantor) designated as such by the Borrower in writing and which as of such date (a) holds assets representing 10% or less of the Borrower’s consolidated total assets as of such date (determined in accordance with GAAP), (b) has generated 10% or less of the Borrower’s consolidated total revenues determined in accordance with GAAP for the four fiscal quarter period ending on the last day of the most recent period for which financial statements have been delivered after the Closing Date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6.1(b),</w:t>
      </w:r>
      <w:r>
        <w:rPr>
          <w:rFonts w:ascii="Arial" w:cs="Arial" w:eastAsia="Arial" w:hAnsi="Arial"/>
          <w:sz w:val="18"/>
          <w:szCs w:val="18"/>
          <w:color w:val="auto"/>
        </w:rPr>
        <w:t xml:space="preserve"> (c) has contributed 10% or less of Borrower’s Consolidated Adjusted EBITDA for the four fiscal quarter period ending on the last day of the most recent period for which financial statements have been delivered after the Closing Date pursuant to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all Subsidiaries that are individually </w:t>
      </w:r>
      <w:r>
        <w:rPr>
          <w:rFonts w:ascii="Arial" w:cs="Arial" w:eastAsia="Arial" w:hAnsi="Arial"/>
          <w:sz w:val="18"/>
          <w:szCs w:val="18"/>
          <w:b w:val="1"/>
          <w:bCs w:val="1"/>
          <w:i w:val="1"/>
          <w:iCs w:val="1"/>
          <w:color w:val="auto"/>
        </w:rPr>
        <w:t>“Immaterial Subsidiaries”</w:t>
      </w:r>
      <w:r>
        <w:rPr>
          <w:rFonts w:ascii="Arial" w:cs="Arial" w:eastAsia="Arial" w:hAnsi="Arial"/>
          <w:sz w:val="18"/>
          <w:szCs w:val="18"/>
          <w:color w:val="auto"/>
        </w:rPr>
        <w:t xml:space="preserve"> shall not have (i) aggregate consolidated total assets that would represent 20% or more of the Borrower’s consolidated total assets as of such date, (ii) generated 20% or more of the Borrower’s consolidated total revenues for such four fiscal quarter period, in each case of clauses (i) and (ii) determined in accordance with GAAP, or (iii) contributed 20% or more of the Borrower’s Consolidated Adjusted EBITDA for such four fiscal quarter period, (d) owns no Capital Stock of any Subsidiary that is not an Immaterial Subsidiary, and (e) owns no material Intellectual Property.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Increase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Increase Joinder</w:t>
      </w:r>
      <w:r>
        <w:rPr>
          <w:rFonts w:ascii="Arial" w:cs="Arial" w:eastAsia="Arial" w:hAnsi="Arial"/>
          <w:sz w:val="18"/>
          <w:szCs w:val="18"/>
          <w:color w:val="auto"/>
        </w:rPr>
        <w:t>”: an instrument, in form and substance reasonably satisfactory to the Administrative Agent, by which a Lender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becomes a party to this Agreement pursuant to </w:t>
      </w:r>
      <w:r>
        <w:rPr>
          <w:rFonts w:ascii="Arial" w:cs="Arial" w:eastAsia="Arial" w:hAnsi="Arial"/>
          <w:sz w:val="20"/>
          <w:szCs w:val="20"/>
          <w:u w:val="single" w:color="auto"/>
          <w:color w:val="auto"/>
        </w:rPr>
        <w:t>Section 2.27</w:t>
      </w:r>
      <w:r>
        <w:rPr>
          <w:rFonts w:ascii="Arial" w:cs="Arial" w:eastAsia="Arial" w:hAnsi="Arial"/>
          <w:sz w:val="20"/>
          <w:szCs w:val="20"/>
          <w:color w:val="auto"/>
        </w:rPr>
        <w:t>.“</w:t>
      </w:r>
      <w:r>
        <w:rPr>
          <w:rFonts w:ascii="Arial" w:cs="Arial" w:eastAsia="Arial" w:hAnsi="Arial"/>
          <w:sz w:val="20"/>
          <w:szCs w:val="20"/>
          <w:b w:val="1"/>
          <w:bCs w:val="1"/>
          <w:i w:val="1"/>
          <w:iCs w:val="1"/>
          <w:color w:val="auto"/>
        </w:rPr>
        <w:t>Incurred</w:t>
      </w:r>
      <w:r>
        <w:rPr>
          <w:rFonts w:ascii="Arial" w:cs="Arial" w:eastAsia="Arial" w:hAnsi="Arial"/>
          <w:sz w:val="20"/>
          <w:szCs w:val="20"/>
          <w:color w:val="auto"/>
        </w:rPr>
        <w:t>”: as defined in the definition of “Pro Forma Basis”.</w:t>
      </w:r>
    </w:p>
    <w:p>
      <w:pPr>
        <w:spacing w:after="0" w:line="14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of any Person at any date, without duplication, (a) all indebtedness of such Person for borrowed money, (b) all obligations of such Person for the deferred purchase price of property or services (other than (i) current trade payables incurred in the ordinary course of such Person’s business, (ii) any earn-out obligation unless either such obligation is not paid after becoming due and payable or such obligation is required to be reflected on the Borrower’s balance sheet in accordance with GAAP and (iii) accruals for payroll and other liabilities, including deferred compensation arrangements, in each case, accrued in the ordinary course of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Disqualified Stock, (h) all Guarantee Obligations of such Person in respect of obligations of the kind referred to in clauses (a) through (g) above, (i) all obligations of the kind referred to in clauses (a)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771" w:right="339" w:bottom="1440" w:gutter="0" w:footer="0" w:header="0"/>
        </w:sectPr>
      </w:pPr>
    </w:p>
    <w:bookmarkStart w:id="137" w:name="page138"/>
    <w:bookmarkEnd w:id="137"/>
    <w:p>
      <w:pPr>
        <w:jc w:val="both"/>
        <w:spacing w:after="0" w:line="259" w:lineRule="auto"/>
        <w:rPr>
          <w:sz w:val="20"/>
          <w:szCs w:val="20"/>
          <w:color w:val="auto"/>
        </w:rPr>
      </w:pPr>
      <w:r>
        <w:rPr>
          <w:rFonts w:ascii="Arial" w:cs="Arial" w:eastAsia="Arial" w:hAnsi="Arial"/>
          <w:sz w:val="19"/>
          <w:szCs w:val="19"/>
          <w:color w:val="auto"/>
        </w:rPr>
        <w:t>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2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10.5(b)</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Insolvency Proceeding</w:t>
      </w:r>
      <w:r>
        <w:rPr>
          <w:rFonts w:ascii="Arial" w:cs="Arial" w:eastAsia="Arial" w:hAnsi="Arial"/>
          <w:sz w:val="20"/>
          <w:szCs w:val="20"/>
          <w:color w:val="auto"/>
        </w:rPr>
        <w:t>”: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 Debtor Relief Law.</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Insurance Loss Addback</w:t>
      </w:r>
      <w:r>
        <w:rPr>
          <w:rFonts w:ascii="Arial" w:cs="Arial" w:eastAsia="Arial" w:hAnsi="Arial"/>
          <w:sz w:val="20"/>
          <w:szCs w:val="20"/>
          <w:color w:val="auto"/>
        </w:rPr>
        <w:t>”: with respect to any fiscal period, the amount of any loss incurred during such fiscal period for which there is insurance or indemnity coverage and for which a related insurance or indemnity recovery is not recorded in accordance with GAAP, but for which such insurance or indemnity recovery is reasonably expected to be received by a Loan Party in a subsequent fiscal period and within one year of the date of the underlying loss.</w:t>
      </w:r>
    </w:p>
    <w:p>
      <w:pPr>
        <w:spacing w:after="0" w:line="13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Intellectual Property</w:t>
      </w:r>
      <w:r>
        <w:rPr>
          <w:rFonts w:ascii="Arial" w:cs="Arial" w:eastAsia="Arial" w:hAnsi="Arial"/>
          <w:sz w:val="20"/>
          <w:szCs w:val="20"/>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771" w:right="339" w:bottom="1440" w:gutter="0" w:footer="0" w:header="0"/>
        </w:sectPr>
      </w:pPr>
    </w:p>
    <w:bookmarkStart w:id="138" w:name="page139"/>
    <w:bookmarkEnd w:id="138"/>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Payment Date</w:t>
      </w:r>
      <w:r>
        <w:rPr>
          <w:rFonts w:ascii="Arial" w:cs="Arial" w:eastAsia="Arial" w:hAnsi="Arial"/>
          <w:sz w:val="19"/>
          <w:szCs w:val="19"/>
          <w:color w:val="auto"/>
        </w:rPr>
        <w:t>”: (a) as to any ABR Loan (including any Swingline Loan), the last calendar day of each month to occur while such Loan is outstanding and the final maturity date of such Loan, (b) as to any Eurodollar Loan having an Interest Period of 3 months or less, the last Business Day of such Interest Period, (c) as to any Eurodollar Loan having an Interest Period longer than 3 months, each day that is 3 months (or, if such date is not a Business Day, the Business Day next succeeding such date) after the first day of such Interest Period and the last Business Day of such Interest Period, and (d) as to any Loan (other than any Revolving Loan that is an ABR Loan and any Swingline Loan), the date of any repayment or prepayment made in respect thereof.</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Period</w:t>
      </w:r>
      <w:r>
        <w:rPr>
          <w:rFonts w:ascii="Arial" w:cs="Arial" w:eastAsia="Arial" w:hAnsi="Arial"/>
          <w:sz w:val="19"/>
          <w:szCs w:val="19"/>
          <w:color w:val="auto"/>
        </w:rPr>
        <w:t xml:space="preserve">”: as to any Eurodollar Loan, (a) initially, the period commencing on the borrowing or conversion date, as the case may be, with respect to such Eurodollar Loan and ending 1, 3 or 6 months thereafter, as selected by the Borrower in its Notice of Borrowing or Notice of Conversion/Continuation, as the case may be, given with respect thereto; and (b) thereafter, each period commencing on the last day of the next preceding Interest Period applicable to such Eurodollar Loan and ending 1, 3 or 6 months thereafter, as selected by the Borrower by irrevocable notice to the Administrative Agent in a Notice of Conversion/Continuation not later than 10:00 A.M. on the date that is 3 Business Days prior to the last day of the then current Interest Period with respect thereto;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all of the foregoing provisions relating to Interest Periods are subject to the following:</w:t>
      </w:r>
    </w:p>
    <w:p>
      <w:pPr>
        <w:spacing w:after="0" w:line="131" w:lineRule="exact"/>
        <w:rPr>
          <w:sz w:val="20"/>
          <w:szCs w:val="20"/>
          <w:color w:val="auto"/>
        </w:rPr>
      </w:pPr>
    </w:p>
    <w:p>
      <w:pPr>
        <w:jc w:val="both"/>
        <w:ind w:firstLine="1952"/>
        <w:spacing w:after="0" w:line="250" w:lineRule="auto"/>
        <w:tabs>
          <w:tab w:leader="none" w:pos="2394" w:val="left"/>
        </w:tabs>
        <w:numPr>
          <w:ilvl w:val="0"/>
          <w:numId w:val="72"/>
        </w:numPr>
        <w:rPr>
          <w:rFonts w:ascii="Arial" w:cs="Arial" w:eastAsia="Arial" w:hAnsi="Arial"/>
          <w:sz w:val="20"/>
          <w:szCs w:val="20"/>
          <w:color w:val="auto"/>
        </w:rPr>
      </w:pPr>
      <w:r>
        <w:rPr>
          <w:rFonts w:ascii="Arial" w:cs="Arial" w:eastAsia="Arial" w:hAnsi="Arial"/>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31" w:lineRule="exact"/>
        <w:rPr>
          <w:rFonts w:ascii="Arial" w:cs="Arial" w:eastAsia="Arial" w:hAnsi="Arial"/>
          <w:sz w:val="20"/>
          <w:szCs w:val="20"/>
          <w:color w:val="auto"/>
        </w:rPr>
      </w:pPr>
    </w:p>
    <w:p>
      <w:pPr>
        <w:ind w:left="2520" w:hanging="568"/>
        <w:spacing w:after="0"/>
        <w:tabs>
          <w:tab w:leader="none" w:pos="25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Borrower may not select an Interest Period under a particular Facility that would extend beyond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Revolving Termination Date;</w:t>
      </w:r>
    </w:p>
    <w:p>
      <w:pPr>
        <w:spacing w:after="0" w:line="145" w:lineRule="exact"/>
        <w:rPr>
          <w:rFonts w:ascii="Arial" w:cs="Arial" w:eastAsia="Arial" w:hAnsi="Arial"/>
          <w:sz w:val="19"/>
          <w:szCs w:val="19"/>
          <w:color w:val="auto"/>
        </w:rPr>
      </w:pPr>
    </w:p>
    <w:p>
      <w:pPr>
        <w:jc w:val="both"/>
        <w:ind w:right="20" w:firstLine="1952"/>
        <w:spacing w:after="0" w:line="250" w:lineRule="auto"/>
        <w:tabs>
          <w:tab w:leader="none" w:pos="2449"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31" w:lineRule="exact"/>
        <w:rPr>
          <w:rFonts w:ascii="Arial" w:cs="Arial" w:eastAsia="Arial" w:hAnsi="Arial"/>
          <w:sz w:val="20"/>
          <w:szCs w:val="20"/>
          <w:color w:val="auto"/>
        </w:rPr>
      </w:pPr>
    </w:p>
    <w:p>
      <w:pPr>
        <w:ind w:right="20" w:firstLine="1952"/>
        <w:spacing w:after="0" w:line="260" w:lineRule="auto"/>
        <w:tabs>
          <w:tab w:leader="none" w:pos="243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Borrower shall select Interest Periods so as not to require a payment or prepayment of any Eurodollar Loan during an Interest Period for such Loan.</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Interest Rate Agreement</w:t>
      </w:r>
      <w:r>
        <w:rPr>
          <w:rFonts w:ascii="Arial" w:cs="Arial" w:eastAsia="Arial" w:hAnsi="Arial"/>
          <w:sz w:val="20"/>
          <w:szCs w:val="20"/>
          <w:color w:val="auto"/>
        </w:rPr>
        <w:t>”: any interest rate swap agreement, interest rate cap agreement, interest rate collar agreement, interest rate hedging agreement or other similar agreement or arrangement, each of which is (a) for the purpose of hedging the interest rate exposure associated with the Group Members’ operations and (b) not for speculative purposes.</w:t>
      </w:r>
    </w:p>
    <w:p>
      <w:pPr>
        <w:spacing w:after="0" w:line="132"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Inventory</w:t>
      </w:r>
      <w:r>
        <w:rPr>
          <w:rFonts w:ascii="Arial" w:cs="Arial" w:eastAsia="Arial" w:hAnsi="Arial"/>
          <w:sz w:val="16"/>
          <w:szCs w:val="16"/>
          <w:color w:val="auto"/>
        </w:rPr>
        <w:t>”: all “inventory,” as such term is defined in the UCC, now owned or hereafter acquired by any Loan Party, wherever 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 returned goods, or materials or supplies of any kind used or consumed or to be used or consumed in such Loan Party’s business or in the processing, production, packaging, promotion, delivery or shipping of the same, including all supplies and embedded software.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7.8</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Investor Indebtedness</w:t>
      </w:r>
      <w:r>
        <w:rPr>
          <w:rFonts w:ascii="Arial" w:cs="Arial" w:eastAsia="Arial" w:hAnsi="Arial"/>
          <w:sz w:val="20"/>
          <w:szCs w:val="20"/>
          <w:color w:val="auto"/>
        </w:rPr>
        <w:t>”: Indebtedness evidenced by (a) that certain Subordinated Promissory Note dated as of January 23, 2017 between NerdWallet and The Kai R. Gibson 2014 Irrevocable Trust, (b) that certain Subordinated Promissory Note dated as of April 29, 2019 between NerdWallet and Beverly Picardo Living Trust, (c) that certain Subordinated Promissory Note dated as of January 23, 2017 between NerdWallet and The Gabriella I. Gibson 2014 Irrevocable Trust and (d) that certain Subordinated Promissory Note dated as of April 29, 2019 between NerdWallet and JakeG Living Trust.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771" w:right="339" w:bottom="1440" w:gutter="0" w:footer="0" w:header="0"/>
        </w:sectPr>
      </w:pPr>
    </w:p>
    <w:bookmarkStart w:id="139" w:name="page140"/>
    <w:bookmarkEnd w:id="139"/>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Investor Subordination Agreement</w:t>
      </w:r>
      <w:r>
        <w:rPr>
          <w:rFonts w:ascii="Arial" w:cs="Arial" w:eastAsia="Arial" w:hAnsi="Arial"/>
          <w:sz w:val="20"/>
          <w:szCs w:val="20"/>
          <w:color w:val="auto"/>
        </w:rPr>
        <w:t>”: that certain Subordination Agreement dated as of the Original Closing Date, between the Administrative Agent, on the one hand, and JakeG Living Trust, Beverly Picardo Living Trust, The Gabriella I. Gibson 2014 Irrevocable Trust and The Kai R. Gibson 2014 Irrevocable Trust, on the other, and acknowledged by NerdWallet.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the Internal Revenue Service, or any successor thereto.</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ISDA Definitions</w:t>
      </w:r>
      <w:r>
        <w:rPr>
          <w:rFonts w:ascii="Arial" w:cs="Arial" w:eastAsia="Arial" w:hAnsi="Arial"/>
          <w:sz w:val="20"/>
          <w:szCs w:val="20"/>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ISP</w:t>
      </w:r>
      <w:r>
        <w:rPr>
          <w:rFonts w:ascii="Arial" w:cs="Arial" w:eastAsia="Arial" w:hAnsi="Arial"/>
          <w:sz w:val="20"/>
          <w:szCs w:val="20"/>
          <w:color w:val="auto"/>
        </w:rPr>
        <w:t>”: with respect to any Letter of Credit, the “International Standby Practices 1998” published by the Institute of International Banking Law &amp; Practice (or such later version thereof as may be in effect at the time of issuance).</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Issuing Lender</w:t>
      </w:r>
      <w:r>
        <w:rPr>
          <w:rFonts w:ascii="Arial" w:cs="Arial" w:eastAsia="Arial" w:hAnsi="Arial"/>
          <w:sz w:val="18"/>
          <w:szCs w:val="18"/>
          <w:color w:val="auto"/>
        </w:rPr>
        <w:t xml:space="preserve">”: as the context may require, (a) SVB or any Affiliate thereof, in its capacity as issuer of any Letter of Credit (including, without limitation, each Existing Letter of Credit), and (b) any other Lender or an Affiliate thereof that may become an Issuing Lender pursuant to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3.12</w:t>
      </w:r>
      <w:r>
        <w:rPr>
          <w:rFonts w:ascii="Arial" w:cs="Arial" w:eastAsia="Arial" w:hAnsi="Arial"/>
          <w:sz w:val="18"/>
          <w:szCs w:val="18"/>
          <w:color w:val="auto"/>
        </w:rPr>
        <w:t>, with respect to Letters of Credit issued by such Lender or its Affiliate. The Issuing Lender may, in its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 For the avoidance of doubt, no Lender shall become an Issuing Lender unless it shall so agree.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Issuing Lender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Advance</w:t>
      </w:r>
      <w:r>
        <w:rPr>
          <w:rFonts w:ascii="Arial" w:cs="Arial" w:eastAsia="Arial" w:hAnsi="Arial"/>
          <w:sz w:val="20"/>
          <w:szCs w:val="20"/>
          <w:color w:val="auto"/>
        </w:rPr>
        <w:t>”: each L/C Lender’s funding of its participation in any L/C Disbursement in accordance with its L/C Percentage of the L/C Commitment. All L/C Advances shall be denominated in Dollars.</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Commitment</w:t>
      </w:r>
      <w:r>
        <w:rPr>
          <w:rFonts w:ascii="Arial" w:cs="Arial" w:eastAsia="Arial" w:hAnsi="Arial"/>
          <w:sz w:val="20"/>
          <w:szCs w:val="20"/>
          <w:color w:val="auto"/>
        </w:rPr>
        <w:t xml:space="preserve">”: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w:t>
      </w:r>
      <w:r>
        <w:rPr>
          <w:rFonts w:ascii="Arial" w:cs="Arial" w:eastAsia="Arial" w:hAnsi="Arial"/>
          <w:sz w:val="20"/>
          <w:szCs w:val="20"/>
          <w:u w:val="single" w:color="auto"/>
          <w:color w:val="auto"/>
        </w:rPr>
        <w:t>Section 3.5(b)</w:t>
      </w:r>
      <w:r>
        <w:rPr>
          <w:rFonts w:ascii="Arial" w:cs="Arial" w:eastAsia="Arial" w:hAnsi="Arial"/>
          <w:sz w:val="20"/>
          <w:szCs w:val="20"/>
          <w:color w:val="auto"/>
        </w:rPr>
        <w:t xml:space="preserve">) in an aggregate principal amount not to exceed the amount set forth under the heading “L/C Commitment” opposite such L/C Lender’s name on </w:t>
      </w:r>
      <w:r>
        <w:rPr>
          <w:rFonts w:ascii="Arial" w:cs="Arial" w:eastAsia="Arial" w:hAnsi="Arial"/>
          <w:sz w:val="20"/>
          <w:szCs w:val="20"/>
          <w:u w:val="single" w:color="auto"/>
          <w:color w:val="auto"/>
        </w:rPr>
        <w:t>Schedule 1.1A</w:t>
      </w:r>
      <w:r>
        <w:rPr>
          <w:rFonts w:ascii="Arial" w:cs="Arial" w:eastAsia="Arial" w:hAnsi="Arial"/>
          <w:sz w:val="20"/>
          <w:szCs w:val="20"/>
          <w:color w:val="auto"/>
        </w:rPr>
        <w:t xml:space="preserve"> or in the Assignment and Assumption or Increase Joinder pursuant to which such L/C Lender becomes a party hereto, as the same may be changed from time to time pursuant to the terms hereof. The L/C Commitment is a sublimit of the Revolving Commitment and the aggregate amount of the L/C Commitments shall not exceed the amount of the Total L/C Commitments at any time.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Disbursements</w:t>
      </w:r>
      <w:r>
        <w:rPr>
          <w:rFonts w:ascii="Arial" w:cs="Arial" w:eastAsia="Arial" w:hAnsi="Arial"/>
          <w:sz w:val="20"/>
          <w:szCs w:val="20"/>
          <w:color w:val="auto"/>
        </w:rPr>
        <w:t>”: a payment or disbursement made by the Issuing Lender pursuant to a Letter of Credit.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Exposure</w:t>
      </w:r>
      <w:r>
        <w:rPr>
          <w:rFonts w:ascii="Arial" w:cs="Arial" w:eastAsia="Arial" w:hAnsi="Arial"/>
          <w:sz w:val="20"/>
          <w:szCs w:val="20"/>
          <w:color w:val="auto"/>
        </w:rPr>
        <w:t>”: at any time, the sum of (a) the Dollar Equivalent of the aggregate undrawn amount of all outstanding Letters of Credit at such time, and (b) the aggregate amount of all L/C Disbursements that have not yet been reimbursed or converted into Revolving Loans or Swingline Loans at such time. The L/C Exposure of any L/C Lender at any time shall equal its L/C Percentage of the aggregate L/C Exposure at such time.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Facility</w:t>
      </w:r>
      <w:r>
        <w:rPr>
          <w:rFonts w:ascii="Arial" w:cs="Arial" w:eastAsia="Arial" w:hAnsi="Arial"/>
          <w:sz w:val="20"/>
          <w:szCs w:val="20"/>
          <w:color w:val="auto"/>
        </w:rPr>
        <w:t>”: the L/C Commitments and the extensions of credit made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Fee Payment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Lender</w:t>
      </w:r>
      <w:r>
        <w:rPr>
          <w:rFonts w:ascii="Arial" w:cs="Arial" w:eastAsia="Arial" w:hAnsi="Arial"/>
          <w:sz w:val="20"/>
          <w:szCs w:val="20"/>
          <w:color w:val="auto"/>
        </w:rPr>
        <w:t>”: a Lender with an L/C Commitment.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771" w:right="339" w:bottom="1440" w:gutter="0" w:footer="0" w:header="0"/>
        </w:sectPr>
      </w:pPr>
    </w:p>
    <w:bookmarkStart w:id="140" w:name="page141"/>
    <w:bookmarkEnd w:id="140"/>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Percentage</w:t>
      </w:r>
      <w:r>
        <w:rPr>
          <w:rFonts w:ascii="Arial" w:cs="Arial" w:eastAsia="Arial" w:hAnsi="Arial"/>
          <w:sz w:val="20"/>
          <w:szCs w:val="20"/>
          <w:color w:val="auto"/>
        </w:rPr>
        <w:t xml:space="preserve">”: as to any L/C Lender at any time, the percentage of the Total L/C Commitments represented by such L/C Lender’s L/C Commitment, as such percentage may be adjusted as provided in </w:t>
      </w:r>
      <w:r>
        <w:rPr>
          <w:rFonts w:ascii="Arial" w:cs="Arial" w:eastAsia="Arial" w:hAnsi="Arial"/>
          <w:sz w:val="20"/>
          <w:szCs w:val="20"/>
          <w:u w:val="single" w:color="auto"/>
          <w:color w:val="auto"/>
        </w:rPr>
        <w:t>Section 2.24</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L/C-Related Documents</w:t>
      </w:r>
      <w:r>
        <w:rPr>
          <w:rFonts w:ascii="Arial" w:cs="Arial" w:eastAsia="Arial" w:hAnsi="Arial"/>
          <w:sz w:val="20"/>
          <w:szCs w:val="20"/>
          <w:color w:val="auto"/>
        </w:rPr>
        <w:t>”: collectively, each Letter of Credit (including any Existing Letter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 documents for letter of credit issuances.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LCA Election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LCA Test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xml:space="preserve">”: as defined in the preamble hereto;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unless the context otherwise requires, each reference herein to the Lenders shall be deemed to include the Issuing Lender, the L/C Lenders, and the Swingline Lender.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3.1(a)</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term shall include each Existing Letter of Credit.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Letter of Credit Availability Period</w:t>
      </w:r>
      <w:r>
        <w:rPr>
          <w:rFonts w:ascii="Arial" w:cs="Arial" w:eastAsia="Arial" w:hAnsi="Arial"/>
          <w:sz w:val="18"/>
          <w:szCs w:val="18"/>
          <w:color w:val="auto"/>
        </w:rPr>
        <w:t>”: the period from and including the Closing Date to but excluding the Letter of Credit Maturity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Fronting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Maturity Date</w:t>
      </w:r>
      <w:r>
        <w:rPr>
          <w:rFonts w:ascii="Arial" w:cs="Arial" w:eastAsia="Arial" w:hAnsi="Arial"/>
          <w:sz w:val="20"/>
          <w:szCs w:val="20"/>
          <w:color w:val="auto"/>
        </w:rPr>
        <w:t>”: the date occurring 15 days prior to the Revolving Termination Date then in effect (or, if such day is not a Business Day, the next preceding Business Day).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LIBOR</w:t>
      </w:r>
      <w:r>
        <w:rPr>
          <w:rFonts w:ascii="Arial" w:cs="Arial" w:eastAsia="Arial" w:hAnsi="Arial"/>
          <w:sz w:val="20"/>
          <w:szCs w:val="20"/>
          <w:color w:val="auto"/>
        </w:rPr>
        <w:t>”: as defined in the definition of “Eurodollar Base Rate.”</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Lien</w:t>
      </w:r>
      <w:r>
        <w:rPr>
          <w:rFonts w:ascii="Arial" w:cs="Arial" w:eastAsia="Arial" w:hAnsi="Arial"/>
          <w:sz w:val="20"/>
          <w:szCs w:val="20"/>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Limited Condition Acquisition</w:t>
      </w:r>
      <w:r>
        <w:rPr>
          <w:rFonts w:ascii="Arial" w:cs="Arial" w:eastAsia="Arial" w:hAnsi="Arial"/>
          <w:sz w:val="18"/>
          <w:szCs w:val="18"/>
          <w:color w:val="auto"/>
        </w:rPr>
        <w:t xml:space="preserve">”: any Permitted Acquisition, the consummation of which is not conditioned on the availability of, or on obtaining, third party financing and is being financed with an Increase;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the event the consummation of any such Permitted Acquisition shall not have occurred on or prior to the date that is 90 days following the signing of the applicable Limited Condition Acquisition Agreement, such Permitted Acquisition shall no longer constitute a Limited Condition Acquisition for any purpose.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Limited Condition Acquisition Agreement</w:t>
      </w:r>
      <w:r>
        <w:rPr>
          <w:rFonts w:ascii="Arial" w:cs="Arial" w:eastAsia="Arial" w:hAnsi="Arial"/>
          <w:sz w:val="20"/>
          <w:szCs w:val="20"/>
          <w:color w:val="auto"/>
        </w:rPr>
        <w:t>”: any agreement providing for a Limited Condition Acquisition.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w:t>
      </w:r>
      <w:r>
        <w:rPr>
          <w:rFonts w:ascii="Arial" w:cs="Arial" w:eastAsia="Arial" w:hAnsi="Arial"/>
          <w:sz w:val="20"/>
          <w:szCs w:val="20"/>
          <w:color w:val="auto"/>
        </w:rPr>
        <w:t>”: any loan made or maintained by any Lender pursuant to this Agreement.</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 xml:space="preserve">”: this Agreement, each Security Document, each Note, the Existing Fee Letter, the Fee Letter, each Assignment and Assumption, each Compliance Certificate, each Increase Joinder, each Notice of Borrowing, each Notice of Conversion/Continuation, the Solvency Certificate, the Collateral Information Certificate, each L/C-Related Document, the Investor Subordination Agreement, each subordination or intercreditor agreement and any agreement creating or perfecting rights in cash collateral pursuant to the provisions of </w:t>
      </w:r>
      <w:r>
        <w:rPr>
          <w:rFonts w:ascii="Arial" w:cs="Arial" w:eastAsia="Arial" w:hAnsi="Arial"/>
          <w:sz w:val="18"/>
          <w:szCs w:val="18"/>
          <w:u w:val="single" w:color="auto"/>
          <w:color w:val="auto"/>
        </w:rPr>
        <w:t>Section 3.10</w:t>
      </w:r>
      <w:r>
        <w:rPr>
          <w:rFonts w:ascii="Arial" w:cs="Arial" w:eastAsia="Arial" w:hAnsi="Arial"/>
          <w:sz w:val="18"/>
          <w:szCs w:val="18"/>
          <w:color w:val="auto"/>
        </w:rPr>
        <w:t>, or otherwise, and any amendment, waiver, supplement or other modification to any of the foregoing.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771" w:right="339" w:bottom="1440" w:gutter="0" w:footer="0" w:header="0"/>
        </w:sectPr>
      </w:pPr>
    </w:p>
    <w:bookmarkStart w:id="141" w:name="page142"/>
    <w:bookmarkEnd w:id="14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 Parties</w:t>
      </w:r>
      <w:r>
        <w:rPr>
          <w:rFonts w:ascii="Arial" w:cs="Arial" w:eastAsia="Arial" w:hAnsi="Arial"/>
          <w:sz w:val="20"/>
          <w:szCs w:val="20"/>
          <w:color w:val="auto"/>
        </w:rPr>
        <w:t>”: each Group Member that is a party to a Loan Document, as a Borrower or a Guarantor.</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 Adverse Effect</w:t>
      </w:r>
      <w:r>
        <w:rPr>
          <w:rFonts w:ascii="Arial" w:cs="Arial" w:eastAsia="Arial" w:hAnsi="Arial"/>
          <w:sz w:val="19"/>
          <w:szCs w:val="19"/>
          <w:color w:val="auto"/>
        </w:rPr>
        <w:t>”: (a) a material adverse change in, or a material adverse effect on, the operations, business, assets, properties, liabilities (actual or contingent), or financial condition of the Group Members, taken as a whole; (b) a material impairment of the rights and remedies, taken as a whole, of the Administrative Agent or any Lender under any Loan Document, or of the ability of the Loan Parties, taken as a whole, to perform their obligations under the Loan Documents; or (c) a material adverse effect upon the legality, validity, binding effect or enforceability against any Loan Party of any Loan Document to which it is a party.</w:t>
      </w:r>
    </w:p>
    <w:p>
      <w:pPr>
        <w:spacing w:after="0" w:line="1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Materials of Environmental Concern</w:t>
      </w:r>
      <w:r>
        <w:rPr>
          <w:rFonts w:ascii="Arial" w:cs="Arial" w:eastAsia="Arial" w:hAnsi="Arial"/>
          <w:sz w:val="19"/>
          <w:szCs w:val="19"/>
          <w:color w:val="auto"/>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Minority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10.1(b)</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Moody’s</w:t>
      </w:r>
      <w:r>
        <w:rPr>
          <w:rFonts w:ascii="Arial" w:cs="Arial" w:eastAsia="Arial" w:hAnsi="Arial"/>
          <w:sz w:val="20"/>
          <w:szCs w:val="20"/>
          <w:color w:val="auto"/>
        </w:rPr>
        <w:t>”: Moody’s Investors Service, Inc.</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Mortgaged Properties</w:t>
      </w:r>
      <w:r>
        <w:rPr>
          <w:rFonts w:ascii="Arial" w:cs="Arial" w:eastAsia="Arial" w:hAnsi="Arial"/>
          <w:sz w:val="20"/>
          <w:szCs w:val="20"/>
          <w:color w:val="auto"/>
        </w:rPr>
        <w:t xml:space="preserve">”: the real properties as to which, pursuant to </w:t>
      </w:r>
      <w:r>
        <w:rPr>
          <w:rFonts w:ascii="Arial" w:cs="Arial" w:eastAsia="Arial" w:hAnsi="Arial"/>
          <w:sz w:val="20"/>
          <w:szCs w:val="20"/>
          <w:u w:val="single" w:color="auto"/>
          <w:color w:val="auto"/>
        </w:rPr>
        <w:t>Section 6.12(b)</w:t>
      </w:r>
      <w:r>
        <w:rPr>
          <w:rFonts w:ascii="Arial" w:cs="Arial" w:eastAsia="Arial" w:hAnsi="Arial"/>
          <w:sz w:val="20"/>
          <w:szCs w:val="20"/>
          <w:color w:val="auto"/>
        </w:rPr>
        <w:t xml:space="preserve"> or otherwise, the Administrative Agent, for the benefit of the Secured Parties, shall be granted a Lien pursuant to the Mortgages.</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Mortgages</w:t>
      </w:r>
      <w:r>
        <w:rPr>
          <w:rFonts w:ascii="Arial" w:cs="Arial" w:eastAsia="Arial" w:hAnsi="Arial"/>
          <w:sz w:val="20"/>
          <w:szCs w:val="20"/>
          <w:color w:val="auto"/>
        </w:rPr>
        <w:t>”: each of the mortgages, deeds of trust, deeds to secure debt or such equivalent 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Multiemployer Plan</w:t>
      </w:r>
      <w:r>
        <w:rPr>
          <w:rFonts w:ascii="Arial" w:cs="Arial" w:eastAsia="Arial" w:hAnsi="Arial"/>
          <w:sz w:val="20"/>
          <w:szCs w:val="20"/>
          <w:color w:val="auto"/>
        </w:rPr>
        <w:t>”: a “multiemployer plan” (within the meaning of Section 3(37) of ERISA) to which any Loan Party or any ERISA Affiliate thereof makes, is making, or is obligated to make, contributions or has any liability.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771" w:right="339" w:bottom="1440" w:gutter="0" w:footer="0" w:header="0"/>
        </w:sectPr>
      </w:pPr>
    </w:p>
    <w:bookmarkStart w:id="142" w:name="page143"/>
    <w:bookmarkEnd w:id="14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NerdWallet</w:t>
      </w:r>
      <w:r>
        <w:rPr>
          <w:rFonts w:ascii="Arial" w:cs="Arial" w:eastAsia="Arial" w:hAnsi="Arial"/>
          <w:sz w:val="20"/>
          <w:szCs w:val="20"/>
          <w:color w:val="auto"/>
        </w:rPr>
        <w:t>”: as defined in the preamble hereto.</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Non-Consenting Lender</w:t>
      </w:r>
      <w:r>
        <w:rPr>
          <w:rFonts w:ascii="Arial" w:cs="Arial" w:eastAsia="Arial" w:hAnsi="Arial"/>
          <w:sz w:val="19"/>
          <w:szCs w:val="19"/>
          <w:color w:val="auto"/>
        </w:rPr>
        <w:t xml:space="preserve">”: any Lender that does not approve any consent, waiver or amendment that (a) requires the approval of all affected Lenders in accordance with the terms of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(b) has been approved by the Required Lenders.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Non-Defaulting Lender</w:t>
      </w:r>
      <w:r>
        <w:rPr>
          <w:rFonts w:ascii="Arial" w:cs="Arial" w:eastAsia="Arial" w:hAnsi="Arial"/>
          <w:sz w:val="20"/>
          <w:szCs w:val="20"/>
          <w:color w:val="auto"/>
        </w:rPr>
        <w:t>”: at any time, each Lender that is not a Defaulting Lender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Note</w:t>
      </w:r>
      <w:r>
        <w:rPr>
          <w:rFonts w:ascii="Arial" w:cs="Arial" w:eastAsia="Arial" w:hAnsi="Arial"/>
          <w:sz w:val="20"/>
          <w:szCs w:val="20"/>
          <w:color w:val="auto"/>
        </w:rPr>
        <w:t>”: a Revolving Loan Note or a Swingline Loan Note.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 of Borrowing</w:t>
      </w:r>
      <w:r>
        <w:rPr>
          <w:rFonts w:ascii="Arial" w:cs="Arial" w:eastAsia="Arial" w:hAnsi="Arial"/>
          <w:sz w:val="20"/>
          <w:szCs w:val="20"/>
          <w:color w:val="auto"/>
        </w:rPr>
        <w:t xml:space="preserve">”: a notice substantially in the form of </w:t>
      </w:r>
      <w:r>
        <w:rPr>
          <w:rFonts w:ascii="Arial" w:cs="Arial" w:eastAsia="Arial" w:hAnsi="Arial"/>
          <w:sz w:val="20"/>
          <w:szCs w:val="20"/>
          <w:u w:val="single" w:color="auto"/>
          <w:color w:val="auto"/>
        </w:rPr>
        <w:t>Exhibit K</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 of Conversion/Continuation</w:t>
      </w:r>
      <w:r>
        <w:rPr>
          <w:rFonts w:ascii="Arial" w:cs="Arial" w:eastAsia="Arial" w:hAnsi="Arial"/>
          <w:sz w:val="20"/>
          <w:szCs w:val="20"/>
          <w:color w:val="auto"/>
        </w:rPr>
        <w:t xml:space="preserve">”: a notice substantially in the form of </w:t>
      </w:r>
      <w:r>
        <w:rPr>
          <w:rFonts w:ascii="Arial" w:cs="Arial" w:eastAsia="Arial" w:hAnsi="Arial"/>
          <w:sz w:val="20"/>
          <w:szCs w:val="20"/>
          <w:u w:val="single" w:color="auto"/>
          <w:color w:val="auto"/>
        </w:rPr>
        <w:t>Exhibit L</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NW Compare</w:t>
      </w:r>
      <w:r>
        <w:rPr>
          <w:rFonts w:ascii="Arial" w:cs="Arial" w:eastAsia="Arial" w:hAnsi="Arial"/>
          <w:sz w:val="20"/>
          <w:szCs w:val="20"/>
          <w:color w:val="auto"/>
        </w:rPr>
        <w:t>”: as defined in the preamble hereto.</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(a) the unpaid principal of and interest on (including interest accruing after the maturity of the Loans and interest accruing after the filing of any petition in bankruptcy, or the commencement of any Insolvency Proceeding relating to any Loan Party, whether or not a claim for post-filing or post-petition interest is allowed or allowable in such proceeding) the Loans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(and the other Group Members in the cash of obligations in respect of Cash Management Services) to the Administrative Agent, the Issuing Lender, any other Lender, any applicable Cash Management Bank, and any Qualified Counterparty, whether direct or indirect, absolute or contingent, due or to become due, or now existing or hereafter incurred, which may arise under, out of, or in connection with, this Agreement, any other Loan Document, the Letters of Credit, any Cash Management Agreement, any Specified Swap Agreement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Administrative Agent, the Issuing Lender, any other Lender, any applicable Cash Management Bank, to the extent that any applicable Cash Management Agreement requires the reimbursement by any applicable Group Member of any such expenses, and any Qualified Counterparty) that are required to be paid by any Group Member pursuant any Loan Document, Cash Management Agreement, Specified Swap Agreement or otherwise, and (b) Erroneous Payment Subrogation Rights. For the avoidance of doubt, the Obligations shall not include (a) any obligations arising under any warrants or other equity instruments issued by any Loan Party to any Lender, or (b) solely with respect to any Guarantor that is not a Qualified ECP Guarantor, any Excluded Swap Obligations of such Guarantor.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OFAC</w:t>
      </w:r>
      <w:r>
        <w:rPr>
          <w:rFonts w:ascii="Arial" w:cs="Arial" w:eastAsia="Arial" w:hAnsi="Arial"/>
          <w:sz w:val="19"/>
          <w:szCs w:val="19"/>
          <w:color w:val="auto"/>
        </w:rPr>
        <w:t>”: the Office of Foreign Assets Control of the United States Department of the Treasury and any successor thereto.</w:t>
      </w:r>
    </w:p>
    <w:p>
      <w:pPr>
        <w:spacing w:after="0" w:line="1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Operating Documents</w:t>
      </w:r>
      <w:r>
        <w:rPr>
          <w:rFonts w:ascii="Arial" w:cs="Arial" w:eastAsia="Arial" w:hAnsi="Arial"/>
          <w:sz w:val="20"/>
          <w:szCs w:val="20"/>
          <w:color w:val="auto"/>
        </w:rPr>
        <w:t>”: for any Person as of any date, such Person’s constitutional documents, formation documents and/or certificate of incorporation (or equivalent thereof),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Original Closing Date</w:t>
      </w:r>
      <w:r>
        <w:rPr>
          <w:rFonts w:ascii="Arial" w:cs="Arial" w:eastAsia="Arial" w:hAnsi="Arial"/>
          <w:sz w:val="20"/>
          <w:szCs w:val="20"/>
          <w:color w:val="auto"/>
        </w:rPr>
        <w:t>”: the “Closing Date” as defined in in the Existing Credit Agreement.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771" w:right="339" w:bottom="1440" w:gutter="0" w:footer="0" w:header="0"/>
        </w:sectPr>
      </w:pPr>
    </w:p>
    <w:bookmarkStart w:id="143" w:name="page144"/>
    <w:bookmarkEnd w:id="14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Original Loan Documents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10.22</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Taxes</w:t>
      </w:r>
      <w:r>
        <w:rPr>
          <w:rFonts w:ascii="Arial" w:cs="Arial" w:eastAsia="Arial" w:hAnsi="Arial"/>
          <w:sz w:val="20"/>
          <w:szCs w:val="20"/>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Overadvance</w:t>
      </w:r>
      <w:r>
        <w:rPr>
          <w:rFonts w:ascii="Arial" w:cs="Arial" w:eastAsia="Arial" w:hAnsi="Arial"/>
          <w:sz w:val="20"/>
          <w:szCs w:val="20"/>
          <w:i w:val="1"/>
          <w:iCs w:val="1"/>
          <w:color w:val="auto"/>
        </w:rPr>
        <w:t>”</w:t>
      </w:r>
      <w:r>
        <w:rPr>
          <w:rFonts w:ascii="Arial" w:cs="Arial" w:eastAsia="Arial" w:hAnsi="Arial"/>
          <w:sz w:val="20"/>
          <w:szCs w:val="20"/>
          <w:color w:val="auto"/>
        </w:rPr>
        <w:t>: as defined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10.6(d)</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 Register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10.6(d)</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Patriot Act</w:t>
      </w:r>
      <w:r>
        <w:rPr>
          <w:rFonts w:ascii="Arial" w:cs="Arial" w:eastAsia="Arial" w:hAnsi="Arial"/>
          <w:sz w:val="20"/>
          <w:szCs w:val="20"/>
          <w:color w:val="auto"/>
        </w:rPr>
        <w:t>”: the Uniting and Strengthening America by Providing Appropriate Tools Required to Intercept and Obstruct Terrorism (USA PATRIOT ACT) Act of 2001, Title III of Pub. L. 107-56, signed into law October 26, 2001.</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Payment Recipient</w:t>
      </w:r>
      <w:r>
        <w:rPr>
          <w:rFonts w:ascii="Arial" w:cs="Arial" w:eastAsia="Arial" w:hAnsi="Arial"/>
          <w:sz w:val="20"/>
          <w:szCs w:val="20"/>
          <w:color w:val="auto"/>
        </w:rPr>
        <w:t>” : as defined in Section 9.15(a).</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PBGC</w:t>
      </w:r>
      <w:r>
        <w:rPr>
          <w:rFonts w:ascii="Arial" w:cs="Arial" w:eastAsia="Arial" w:hAnsi="Arial"/>
          <w:sz w:val="20"/>
          <w:szCs w:val="20"/>
          <w:color w:val="auto"/>
        </w:rPr>
        <w:t>”: the Pension Benefit Guaranty Corporation, or any successor thereto.</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Pension Plan</w:t>
      </w:r>
      <w:r>
        <w:rPr>
          <w:rFonts w:ascii="Arial" w:cs="Arial" w:eastAsia="Arial" w:hAnsi="Arial"/>
          <w:sz w:val="20"/>
          <w:szCs w:val="20"/>
          <w:color w:val="auto"/>
        </w:rPr>
        <w:t>”: an employee benefit plan (as defined in Section 3(3) of ERISA) other than a Multiemployer Plan (a) that is sponsored by any Loan Party or any ERISA Affiliate thereof or to which any Loan Party or any ERISA Affiliate thereof has any obligation to make contributions or has any liability (contingent or otherwise), and (b) that is or was subject to Section 412 of the Code, Section 302 of ERISA or Title IV of ERISA.</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Permitted Acquisition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7.8(p)</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any natural Person, corporation, limited liability company, trust, joint venture, association, company, partnership, Governmental Authority or other entity.</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 an employee benefit plan (as defined in Section 3(3) of ERISA) other than a Multiemployer Plan which is maintained or sponsored by any Group Member or to which any Group Member is obligated to make, contributions or has any liability, (b) a Pension Plan, or (c) a Qualified Plan.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 Assets Regulation</w:t>
      </w:r>
      <w:r>
        <w:rPr>
          <w:rFonts w:ascii="Arial" w:cs="Arial" w:eastAsia="Arial" w:hAnsi="Arial"/>
          <w:sz w:val="19"/>
          <w:szCs w:val="19"/>
          <w:color w:val="auto"/>
        </w:rPr>
        <w:t>”: 29 CFR § 2510.3-101, as modified by Section 3(42) of ERISA, as amended from time to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Platform</w:t>
      </w:r>
      <w:r>
        <w:rPr>
          <w:rFonts w:ascii="Arial" w:cs="Arial" w:eastAsia="Arial" w:hAnsi="Arial"/>
          <w:sz w:val="20"/>
          <w:szCs w:val="20"/>
          <w:color w:val="auto"/>
        </w:rPr>
        <w:t>”: is any of Debt Domain, Intralinks, Syndtrak, DebtX or a substantially similar electronic transmission system.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Preferred Stock</w:t>
      </w:r>
      <w:r>
        <w:rPr>
          <w:rFonts w:ascii="Arial" w:cs="Arial" w:eastAsia="Arial" w:hAnsi="Arial"/>
          <w:sz w:val="20"/>
          <w:szCs w:val="20"/>
          <w:color w:val="auto"/>
        </w:rPr>
        <w:t>”: the preferred Capital Stock of the Borrower, if any.</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Prime Rate</w:t>
      </w:r>
      <w:r>
        <w:rPr>
          <w:rFonts w:ascii="Arial" w:cs="Arial" w:eastAsia="Arial" w:hAnsi="Arial"/>
          <w:sz w:val="20"/>
          <w:szCs w:val="20"/>
          <w:color w:val="auto"/>
        </w:rPr>
        <w:t xml:space="preserve">”: for any day, a rate per annum equal to the rate of interest per annum published in the money rates section of the Wall Street Journal or any successor publication thereto as the “prime rate” then in effect;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in the State of California (such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771" w:right="339" w:bottom="1440" w:gutter="0" w:footer="0" w:header="0"/>
        </w:sectPr>
      </w:pPr>
    </w:p>
    <w:bookmarkStart w:id="144" w:name="page145"/>
    <w:bookmarkEnd w:id="144"/>
    <w:p>
      <w:pPr>
        <w:spacing w:after="0" w:line="260" w:lineRule="auto"/>
        <w:rPr>
          <w:sz w:val="20"/>
          <w:szCs w:val="20"/>
          <w:color w:val="auto"/>
        </w:rPr>
      </w:pPr>
      <w:r>
        <w:rPr>
          <w:rFonts w:ascii="Arial" w:cs="Arial" w:eastAsia="Arial" w:hAnsi="Arial"/>
          <w:sz w:val="20"/>
          <w:szCs w:val="20"/>
          <w:color w:val="auto"/>
        </w:rPr>
        <w:t>announced Prime Rate not being intended to be the lowest rate of interest charged by the Administrative Agent in connection with extensions of credit to debtors).</w:t>
      </w:r>
    </w:p>
    <w:p>
      <w:pPr>
        <w:spacing w:after="0" w:line="12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 Forma Basis</w:t>
      </w:r>
      <w:r>
        <w:rPr>
          <w:rFonts w:ascii="Arial" w:cs="Arial" w:eastAsia="Arial" w:hAnsi="Arial"/>
          <w:sz w:val="20"/>
          <w:szCs w:val="20"/>
          <w:color w:val="auto"/>
        </w:rPr>
        <w:t>”: with respect to any calculation or determination for any period, in making such calculation or determination on the specified date of determination (the “</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w:t>
      </w:r>
    </w:p>
    <w:p>
      <w:pPr>
        <w:spacing w:after="0" w:line="123" w:lineRule="exact"/>
        <w:rPr>
          <w:sz w:val="20"/>
          <w:szCs w:val="20"/>
          <w:color w:val="auto"/>
        </w:rPr>
      </w:pPr>
    </w:p>
    <w:p>
      <w:pPr>
        <w:jc w:val="both"/>
        <w:ind w:firstLine="1304"/>
        <w:spacing w:after="0" w:line="246" w:lineRule="auto"/>
        <w:tabs>
          <w:tab w:leader="none" w:pos="1804" w:val="left"/>
        </w:tabs>
        <w:numPr>
          <w:ilvl w:val="0"/>
          <w:numId w:val="73"/>
        </w:numPr>
        <w:rPr>
          <w:rFonts w:ascii="Arial" w:cs="Arial" w:eastAsia="Arial" w:hAnsi="Arial"/>
          <w:sz w:val="20"/>
          <w:szCs w:val="20"/>
          <w:color w:val="auto"/>
        </w:rPr>
      </w:pPr>
      <w:r>
        <w:rPr>
          <w:rFonts w:ascii="Arial" w:cs="Arial" w:eastAsia="Arial" w:hAnsi="Arial"/>
          <w:sz w:val="20"/>
          <w:szCs w:val="20"/>
          <w:color w:val="auto"/>
        </w:rPr>
        <w:t>pro forma effect will be given to any Indebtedness incurred by a Group Member (including by assumption of then outstanding Indebtedness or by a Person becoming a Subsidiary) (“</w:t>
      </w:r>
      <w:r>
        <w:rPr>
          <w:rFonts w:ascii="Arial" w:cs="Arial" w:eastAsia="Arial" w:hAnsi="Arial"/>
          <w:sz w:val="20"/>
          <w:szCs w:val="20"/>
          <w:b w:val="1"/>
          <w:bCs w:val="1"/>
          <w:i w:val="1"/>
          <w:iCs w:val="1"/>
          <w:color w:val="auto"/>
        </w:rPr>
        <w:t>Incurred</w:t>
      </w:r>
      <w:r>
        <w:rPr>
          <w:rFonts w:ascii="Arial" w:cs="Arial" w:eastAsia="Arial" w:hAnsi="Arial"/>
          <w:sz w:val="20"/>
          <w:szCs w:val="20"/>
          <w:color w:val="auto"/>
        </w:rPr>
        <w:t>”) after the beginning of the applicable period and on or before the Determination Date to the extent the Indebtedness is outstanding or is to be Incurred on the Determination Date, as if such Indebtedness had been Incurred on the first day of such period;</w:t>
      </w:r>
    </w:p>
    <w:p>
      <w:pPr>
        <w:spacing w:after="0" w:line="137" w:lineRule="exact"/>
        <w:rPr>
          <w:rFonts w:ascii="Arial" w:cs="Arial" w:eastAsia="Arial" w:hAnsi="Arial"/>
          <w:sz w:val="20"/>
          <w:szCs w:val="20"/>
          <w:color w:val="auto"/>
        </w:rPr>
      </w:pPr>
    </w:p>
    <w:p>
      <w:pPr>
        <w:jc w:val="both"/>
        <w:ind w:firstLine="1304"/>
        <w:spacing w:after="0" w:line="250" w:lineRule="auto"/>
        <w:tabs>
          <w:tab w:leader="none" w:pos="1738" w:val="left"/>
        </w:tabs>
        <w:numPr>
          <w:ilvl w:val="0"/>
          <w:numId w:val="73"/>
        </w:numPr>
        <w:rPr>
          <w:rFonts w:ascii="Arial" w:cs="Arial" w:eastAsia="Arial" w:hAnsi="Arial"/>
          <w:sz w:val="20"/>
          <w:szCs w:val="20"/>
          <w:color w:val="auto"/>
        </w:rPr>
      </w:pPr>
      <w:r>
        <w:rPr>
          <w:rFonts w:ascii="Arial" w:cs="Arial" w:eastAsia="Arial" w:hAnsi="Arial"/>
          <w:sz w:val="20"/>
          <w:szCs w:val="20"/>
          <w:color w:val="auto"/>
        </w:rPr>
        <w:t>pro forma calculations of interest on Indebtedness bearing a floating interest rate will be made as if the rate in effect on the Determination Date (taking into account any Swap Agreement applicable to the Indebtedness) had been the applicable rate for the entire reference period; and</w:t>
      </w:r>
    </w:p>
    <w:p>
      <w:pPr>
        <w:spacing w:after="0" w:line="131" w:lineRule="exact"/>
        <w:rPr>
          <w:rFonts w:ascii="Arial" w:cs="Arial" w:eastAsia="Arial" w:hAnsi="Arial"/>
          <w:sz w:val="20"/>
          <w:szCs w:val="20"/>
          <w:color w:val="auto"/>
        </w:rPr>
      </w:pPr>
    </w:p>
    <w:p>
      <w:pPr>
        <w:jc w:val="both"/>
        <w:ind w:firstLine="1304"/>
        <w:spacing w:after="0" w:line="273" w:lineRule="auto"/>
        <w:tabs>
          <w:tab w:leader="none" w:pos="1743"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 forma effect will be given to: (A) the acquisition or disposition of companies, divisions or lines of businesses by a Group Member, including any acquisition or disposition of a company, division or line of business since the beginning of the reference period by a Person that became a Subsidiary after the beginning of the applicable period; and (B) the discontinuation of any discontinued operations; in each case of clauses (A) and (B), that have occurred since the beginning of the applicable period and before the Determination Date as if such events had occurred, and, in the case of any disposition, the proceeds thereof applied, on the first day of such period. To the extent that pro forma effect is to be given to an acquisition or disposition of a company, division or line of business, the pro forma calculation will be calculated in good faith by a responsible financial or accounting officer of the Borrower in accordance with Regulation S-X under the Securities Act based upon the most recent four full fiscal quarters for which the relevant financial information is available.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Projections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6.2(c)</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Properties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4.17(a)</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Cash</w:t>
      </w:r>
      <w:r>
        <w:rPr>
          <w:rFonts w:ascii="Arial" w:cs="Arial" w:eastAsia="Arial" w:hAnsi="Arial"/>
          <w:sz w:val="18"/>
          <w:szCs w:val="18"/>
          <w:color w:val="auto"/>
        </w:rPr>
        <w:t>”: as of any date of determination, the aggregate amount of unrestricted cash and Cash Equivalents held at such time by the Loan Parties in Deposit Accounts that are subject to a first priority perfected Lien in favor of the Administrative Agent.</w:t>
      </w:r>
    </w:p>
    <w:p>
      <w:pPr>
        <w:spacing w:after="0" w:line="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Counterparty</w:t>
      </w:r>
      <w:r>
        <w:rPr>
          <w:rFonts w:ascii="Arial" w:cs="Arial" w:eastAsia="Arial" w:hAnsi="Arial"/>
          <w:sz w:val="20"/>
          <w:szCs w:val="20"/>
          <w:color w:val="auto"/>
        </w:rPr>
        <w:t>”: with respect to any Specified Swap Agreement, any counterparty thereto that is a Lender or an Affiliate of a Lender or, at the time such Specified Swap Agreement was entered into or as of the Closing Date, was the Administrative Agent or a Lender or an Affiliate of the Administrative Agent or a Lender.</w:t>
      </w:r>
    </w:p>
    <w:p>
      <w:pPr>
        <w:spacing w:after="0" w:line="13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ECP Guarantor</w:t>
      </w:r>
      <w:r>
        <w:rPr>
          <w:rFonts w:ascii="Arial" w:cs="Arial" w:eastAsia="Arial" w:hAnsi="Arial"/>
          <w:sz w:val="18"/>
          <w:szCs w:val="18"/>
          <w:color w:val="auto"/>
        </w:rPr>
        <w:t>”: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 (b) any other Guarantor that</w:t>
      </w:r>
    </w:p>
    <w:p>
      <w:pPr>
        <w:spacing w:after="0" w:line="1" w:lineRule="exact"/>
        <w:rPr>
          <w:sz w:val="20"/>
          <w:szCs w:val="20"/>
          <w:color w:val="auto"/>
        </w:rPr>
      </w:pPr>
    </w:p>
    <w:p>
      <w:pPr>
        <w:jc w:val="both"/>
        <w:ind w:firstLine="8"/>
        <w:spacing w:after="0" w:line="241" w:lineRule="auto"/>
        <w:tabs>
          <w:tab w:leader="none" w:pos="250" w:val="left"/>
        </w:tabs>
        <w:numPr>
          <w:ilvl w:val="0"/>
          <w:numId w:val="74"/>
        </w:numPr>
        <w:rPr>
          <w:rFonts w:ascii="Arial" w:cs="Arial" w:eastAsia="Arial" w:hAnsi="Arial"/>
          <w:sz w:val="20"/>
          <w:szCs w:val="20"/>
          <w:color w:val="auto"/>
        </w:rPr>
      </w:pPr>
      <w:r>
        <w:rPr>
          <w:rFonts w:ascii="Arial" w:cs="Arial" w:eastAsia="Arial" w:hAnsi="Arial"/>
          <w:sz w:val="20"/>
          <w:szCs w:val="20"/>
          <w:color w:val="auto"/>
        </w:rPr>
        <w:t>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IPO</w:t>
      </w:r>
      <w:r>
        <w:rPr>
          <w:rFonts w:ascii="Arial" w:cs="Arial" w:eastAsia="Arial" w:hAnsi="Arial"/>
          <w:sz w:val="20"/>
          <w:szCs w:val="20"/>
          <w:color w:val="auto"/>
        </w:rPr>
        <w:t>”: an underwritten primary public offering (other than a public offering pursuant to a registration statement on Form S-8) pursuant to an effective registration statement filed with the SEC in accordance with the Exchange Act (whether alone or in connection with any secondary public offering).</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Plan</w:t>
      </w:r>
      <w:r>
        <w:rPr>
          <w:rFonts w:ascii="Arial" w:cs="Arial" w:eastAsia="Arial" w:hAnsi="Arial"/>
          <w:sz w:val="20"/>
          <w:szCs w:val="20"/>
          <w:color w:val="auto"/>
        </w:rPr>
        <w:t>”: an employee benefit plan (as defined in Section 3(3) of ERISA) other than a Multiemployer Plan (a) that is maintained or sponsored by any Loan Party or any ERISA Affiliate thereof</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771" w:right="339" w:bottom="1440" w:gutter="0" w:footer="0" w:header="0"/>
        </w:sectPr>
      </w:pPr>
    </w:p>
    <w:bookmarkStart w:id="145" w:name="page146"/>
    <w:bookmarkEnd w:id="145"/>
    <w:p>
      <w:pPr>
        <w:jc w:val="both"/>
        <w:spacing w:after="0" w:line="260" w:lineRule="auto"/>
        <w:rPr>
          <w:sz w:val="20"/>
          <w:szCs w:val="20"/>
          <w:color w:val="auto"/>
        </w:rPr>
      </w:pPr>
      <w:r>
        <w:rPr>
          <w:rFonts w:ascii="Arial" w:cs="Arial" w:eastAsia="Arial" w:hAnsi="Arial"/>
          <w:sz w:val="20"/>
          <w:szCs w:val="20"/>
          <w:color w:val="auto"/>
        </w:rPr>
        <w:t>or to which any Loan Party or any ERISA Affiliate is obligated to make contributions or has liability (contingent or otherwise), and (b) that is intended to be taxqualified under Section 401(a) of the Code.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Recipient</w:t>
      </w:r>
      <w:r>
        <w:rPr>
          <w:rFonts w:ascii="Arial" w:cs="Arial" w:eastAsia="Arial" w:hAnsi="Arial"/>
          <w:sz w:val="20"/>
          <w:szCs w:val="20"/>
          <w:color w:val="auto"/>
        </w:rPr>
        <w:t>”: the (a) Administrative Agent, (b) any Lender or (c) the Issuing Lender, as applicable.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Reference Time</w:t>
      </w:r>
      <w:r>
        <w:rPr>
          <w:rFonts w:ascii="Arial" w:cs="Arial" w:eastAsia="Arial" w:hAnsi="Arial"/>
          <w:sz w:val="20"/>
          <w:szCs w:val="20"/>
          <w:color w:val="auto"/>
        </w:rPr>
        <w:t>”: with respect to any setting of the then-current Benchmark means (i) if such Benchmark is LIBOR, 11:00 a.m. (London time) on the day that is two London banking days preceding the date of such setting, and (ii) if such Benchmark is not LIBOR, the time determined by the Administrative Agent in its reasonable discretion.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Refunded Swingline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2.7(b)</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10.6(c)</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T</w:t>
      </w:r>
      <w:r>
        <w:rPr>
          <w:rFonts w:ascii="Arial" w:cs="Arial" w:eastAsia="Arial" w:hAnsi="Arial"/>
          <w:sz w:val="20"/>
          <w:szCs w:val="20"/>
          <w:color w:val="auto"/>
        </w:rPr>
        <w:t>”: Regulation T of the Board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U</w:t>
      </w:r>
      <w:r>
        <w:rPr>
          <w:rFonts w:ascii="Arial" w:cs="Arial" w:eastAsia="Arial" w:hAnsi="Arial"/>
          <w:sz w:val="20"/>
          <w:szCs w:val="20"/>
          <w:color w:val="auto"/>
        </w:rPr>
        <w:t>”: Regulation U of the Board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X</w:t>
      </w:r>
      <w:r>
        <w:rPr>
          <w:rFonts w:ascii="Arial" w:cs="Arial" w:eastAsia="Arial" w:hAnsi="Arial"/>
          <w:sz w:val="20"/>
          <w:szCs w:val="20"/>
          <w:color w:val="auto"/>
        </w:rPr>
        <w:t>”: Regulation X of the Board as in effect from time to time.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Parties</w:t>
      </w:r>
      <w:r>
        <w:rPr>
          <w:rFonts w:ascii="Arial" w:cs="Arial" w:eastAsia="Arial" w:hAnsi="Arial"/>
          <w:sz w:val="20"/>
          <w:szCs w:val="20"/>
          <w:color w:val="auto"/>
        </w:rPr>
        <w:t>”: with respect to any Person, such Person’s Affiliates and the partners, directors, officers, employees, agents, trustees, administrators, managers, advisors and representatives of such Person and of such Person’s Affiliates.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Relevant Governmental Body</w:t>
      </w:r>
      <w:r>
        <w:rPr>
          <w:rFonts w:ascii="Arial" w:cs="Arial" w:eastAsia="Arial" w:hAnsi="Arial"/>
          <w:sz w:val="20"/>
          <w:szCs w:val="20"/>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Replacement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Required Lenders</w:t>
      </w:r>
      <w:r>
        <w:rPr>
          <w:rFonts w:ascii="Arial" w:cs="Arial" w:eastAsia="Arial" w:hAnsi="Arial"/>
          <w:sz w:val="20"/>
          <w:szCs w:val="20"/>
          <w:color w:val="auto"/>
        </w:rPr>
        <w:t xml:space="preserve">”: at any time, (a) if only one Lender holds the Total Revolving Commitments, such Lender; and (b) if more than one Lender holds the Total Revolving Commitments, then at least two Lenders who together hold more than 50% of the Total Revolving Commitments (including, without duplication, the L/C Commitments) then in effect or, if the Revolving Commitments have been terminated, the Total Revolving Extensions of Credit then outstanding;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for the purposes of this clause (b), the Revolving Commitments of, and the portion of the Revolving Loans and participations in L/C Exposure and Swingline Loans held or deemed held by, any Defaulting Lender shall be excluded for purposes of making a determination of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further that a Lender and its Affiliates shall be deemed one Lender.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771" w:right="339" w:bottom="1440" w:gutter="0" w:footer="0" w:header="0"/>
        </w:sectPr>
      </w:pPr>
    </w:p>
    <w:bookmarkStart w:id="146" w:name="page147"/>
    <w:bookmarkEnd w:id="146"/>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Requirement of Law</w:t>
      </w:r>
      <w:r>
        <w:rPr>
          <w:rFonts w:ascii="Arial" w:cs="Arial" w:eastAsia="Arial" w:hAnsi="Arial"/>
          <w:sz w:val="20"/>
          <w:szCs w:val="20"/>
          <w:color w:val="auto"/>
        </w:rPr>
        <w:t>”: as to any Person, the Operating Documents of such Person, and any law, treaty, rule or regulation or 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 its property or to which such Person or any of its property is subject.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Resolution Authority</w:t>
      </w:r>
      <w:r>
        <w:rPr>
          <w:rFonts w:ascii="Arial" w:cs="Arial" w:eastAsia="Arial" w:hAnsi="Arial"/>
          <w:sz w:val="18"/>
          <w:szCs w:val="18"/>
          <w:color w:val="auto"/>
        </w:rPr>
        <w:t>”: an EEA Resolution Authority or, with respect to any UK Financial Institution, a UK Resolution Authority.</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Responsible Officer</w:t>
      </w:r>
      <w:r>
        <w:rPr>
          <w:rFonts w:ascii="Arial" w:cs="Arial" w:eastAsia="Arial" w:hAnsi="Arial"/>
          <w:sz w:val="20"/>
          <w:szCs w:val="20"/>
          <w:color w:val="auto"/>
        </w:rPr>
        <w:t>”: with respect to any Loan Party, the chief executive officer, president, vice president, chief financial officer, treasurer, controller or comptroller of such Loan Party, but in any event, with respect to financial matters, the chief financial officer, treasurer, controller or comptroller of such Loan Party.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Payments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7.6</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Revaluation Date</w:t>
      </w:r>
      <w:r>
        <w:rPr>
          <w:rFonts w:ascii="Arial" w:cs="Arial" w:eastAsia="Arial" w:hAnsi="Arial"/>
          <w:sz w:val="20"/>
          <w:szCs w:val="20"/>
          <w:color w:val="auto"/>
        </w:rPr>
        <w:t>”: with respect to any Letter of Credit, each of the following: (a) each date of issuance, amendment and/or extension of a Letter of Credit denominated in an Alternative Currency, (b) each date of any payment by the Issuing Lender under any Letter of Credit denominated in an Alternative Currency, (c) in the case of all Existing Letters of Credit denominated in Alternative Currencies, the Original Closing Date, and (d) such additional dates as the Administrative Agent or the Issuing Lender shall determine or the Required Lenders shall require.</w:t>
      </w:r>
    </w:p>
    <w:p>
      <w:pPr>
        <w:spacing w:after="0" w:line="14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Commitment</w:t>
      </w:r>
      <w:r>
        <w:rPr>
          <w:rFonts w:ascii="Arial" w:cs="Arial" w:eastAsia="Arial" w:hAnsi="Arial"/>
          <w:sz w:val="18"/>
          <w:szCs w:val="18"/>
          <w:color w:val="auto"/>
        </w:rPr>
        <w:t xml:space="preserve">”: as to any Lender, the obligation of such Lender, if any, to make Revolving Loans and participate in Swingline Loans and Letters of Credit in an aggregate principal amount not to exceed the amount set forth under the heading “Revolving Commitment” opposite such Lender’s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in the Assignment and Assumption or Increase Joinder pursuant to which such Lender became a party hereto, as the same may be changed from time to time pursuant to the terms hereof (including in connection with assignments and Increases permitted hereunder). The amount of the Total Revolving Commitments as of the Closing Date is $100,000,000. The L/C Commitment and the Swingline Commitment are each sublimits of the Total Revolving Commitments.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Commitment Period</w:t>
      </w:r>
      <w:r>
        <w:rPr>
          <w:rFonts w:ascii="Arial" w:cs="Arial" w:eastAsia="Arial" w:hAnsi="Arial"/>
          <w:sz w:val="20"/>
          <w:szCs w:val="20"/>
          <w:color w:val="auto"/>
        </w:rPr>
        <w:t>”: the period from and including the Closing Date to the Revolving Termination Date.</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Extensions of Credit</w:t>
      </w:r>
      <w:r>
        <w:rPr>
          <w:rFonts w:ascii="Arial" w:cs="Arial" w:eastAsia="Arial" w:hAnsi="Arial"/>
          <w:sz w:val="20"/>
          <w:szCs w:val="20"/>
          <w:color w:val="auto"/>
        </w:rPr>
        <w:t xml:space="preserve">”: as to any Revolving Lender at any time, an amount equal to the </w:t>
      </w:r>
      <w:r>
        <w:rPr>
          <w:rFonts w:ascii="Arial" w:cs="Arial" w:eastAsia="Arial" w:hAnsi="Arial"/>
          <w:sz w:val="20"/>
          <w:szCs w:val="20"/>
          <w:u w:val="single" w:color="auto"/>
          <w:color w:val="auto"/>
        </w:rPr>
        <w:t>sum</w:t>
      </w:r>
      <w:r>
        <w:rPr>
          <w:rFonts w:ascii="Arial" w:cs="Arial" w:eastAsia="Arial" w:hAnsi="Arial"/>
          <w:sz w:val="20"/>
          <w:szCs w:val="20"/>
          <w:color w:val="auto"/>
        </w:rPr>
        <w:t xml:space="preserve"> of (a) the aggregate principal amount of all Revolving Loans held by such Lender then outstanding,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such Lender’s L/C Percentage of the Dollar Equivalent of the aggregate undrawn amount of all outstanding Letters of Credit (including the Existing Letter of Credit)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Dollar Equivalent of such Lender’s L/C Percentage of the aggregate amount of all L/C Disbursements that have not yet been reimbursed or converted into Revolving Loans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(d) such Lender’s Revolving Percentage of the aggregate principal amount of Swingline Loans then outstanding.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Facility</w:t>
      </w:r>
      <w:r>
        <w:rPr>
          <w:rFonts w:ascii="Arial" w:cs="Arial" w:eastAsia="Arial" w:hAnsi="Arial"/>
          <w:sz w:val="20"/>
          <w:szCs w:val="20"/>
          <w:color w:val="auto"/>
        </w:rPr>
        <w:t>”: the Revolving Commitments and the extensions of credit made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Lender</w:t>
      </w:r>
      <w:r>
        <w:rPr>
          <w:rFonts w:ascii="Arial" w:cs="Arial" w:eastAsia="Arial" w:hAnsi="Arial"/>
          <w:sz w:val="20"/>
          <w:szCs w:val="20"/>
          <w:color w:val="auto"/>
        </w:rPr>
        <w:t>”: each Lender that has a Revolving Commitment or that holds Revolving Loans.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 Conversion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3.5(b)</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Revolving Loan Funding Office</w:t>
      </w:r>
      <w:r>
        <w:rPr>
          <w:rFonts w:ascii="Arial" w:cs="Arial" w:eastAsia="Arial" w:hAnsi="Arial"/>
          <w:sz w:val="19"/>
          <w:szCs w:val="19"/>
          <w:color w:val="auto"/>
        </w:rPr>
        <w:t xml:space="preserve">”: the office of the Administrative Agent specified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or such other office as may be specified from time to time by the Administrative Agent as its funding office by written notice to the Borrower and the Lenders.</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 Note</w:t>
      </w:r>
      <w:r>
        <w:rPr>
          <w:rFonts w:ascii="Arial" w:cs="Arial" w:eastAsia="Arial" w:hAnsi="Arial"/>
          <w:sz w:val="20"/>
          <w:szCs w:val="20"/>
          <w:color w:val="auto"/>
        </w:rPr>
        <w:t xml:space="preserve">”: a promissory note in the form of </w:t>
      </w:r>
      <w:r>
        <w:rPr>
          <w:rFonts w:ascii="Arial" w:cs="Arial" w:eastAsia="Arial" w:hAnsi="Arial"/>
          <w:sz w:val="20"/>
          <w:szCs w:val="20"/>
          <w:u w:val="single" w:color="auto"/>
          <w:color w:val="auto"/>
        </w:rPr>
        <w:t>Exhibit H-1</w:t>
      </w:r>
      <w:r>
        <w:rPr>
          <w:rFonts w:ascii="Arial" w:cs="Arial" w:eastAsia="Arial" w:hAnsi="Arial"/>
          <w:sz w:val="20"/>
          <w:szCs w:val="20"/>
          <w:color w:val="auto"/>
        </w:rPr>
        <w:t>, as it may be amended, supplemented or otherwise modified from time to time.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771" w:right="339" w:bottom="1440" w:gutter="0" w:footer="0" w:header="0"/>
        </w:sectPr>
      </w:pPr>
    </w:p>
    <w:bookmarkStart w:id="147" w:name="page148"/>
    <w:bookmarkEnd w:id="14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Percentage</w:t>
      </w:r>
      <w:r>
        <w:rPr>
          <w:rFonts w:ascii="Arial" w:cs="Arial" w:eastAsia="Arial" w:hAnsi="Arial"/>
          <w:sz w:val="18"/>
          <w:szCs w:val="18"/>
          <w:color w:val="auto"/>
        </w:rPr>
        <w:t xml:space="preserve">”: as to any Revolving Lender at any time, the percentage which such Lender’s Revolving Commitment then constitutes of the Total Revolving Commitments or, at any time after the Revolving Commitments of all Lenders shall have expired or terminated, the percentage which the aggregate principal amount of such Lender’s Revolving Loans then outstanding constitutes of the aggregate principal amount of all Revolving Loans then outstanding;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the event that the Revolving Loans are paid in full prior to the reduction to zero of the Total Revolving Commitments, the Revolving Percentages shall be determined in a manner designed to ensure that the other outstanding Revolving Extensions of Credit shall be held by the Revolving Lenders on a comparable basis.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Termination Date</w:t>
      </w:r>
      <w:r>
        <w:rPr>
          <w:rFonts w:ascii="Arial" w:cs="Arial" w:eastAsia="Arial" w:hAnsi="Arial"/>
          <w:sz w:val="20"/>
          <w:szCs w:val="20"/>
          <w:color w:val="auto"/>
        </w:rPr>
        <w:t>”: is September 2, 2023.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S&amp;P</w:t>
      </w:r>
      <w:r>
        <w:rPr>
          <w:rFonts w:ascii="Arial" w:cs="Arial" w:eastAsia="Arial" w:hAnsi="Arial"/>
          <w:sz w:val="20"/>
          <w:szCs w:val="20"/>
          <w:color w:val="auto"/>
        </w:rPr>
        <w:t>”: Standard &amp; Poor’s Ratings Services.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Sale Leaseback Transaction</w:t>
      </w:r>
      <w:r>
        <w:rPr>
          <w:rFonts w:ascii="Arial" w:cs="Arial" w:eastAsia="Arial" w:hAnsi="Arial"/>
          <w:sz w:val="20"/>
          <w:szCs w:val="20"/>
          <w:color w:val="auto"/>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Same Day Funds</w:t>
      </w:r>
      <w:r>
        <w:rPr>
          <w:rFonts w:ascii="Arial" w:cs="Arial" w:eastAsia="Arial" w:hAnsi="Arial"/>
          <w:sz w:val="20"/>
          <w:szCs w:val="20"/>
          <w:color w:val="auto"/>
        </w:rPr>
        <w:t>”: (a) with respect to disbursements and payments in Dollars, immediately available funds, and (b) with respect to disbursements and payments in an Alternative Currency, same day or other funds as may be determined by the Administrative Agent or the Issuing Lender, as the case may be, to be customary in the place of disbursement or payment for the settlement of international banking transactions in the relevant Alternative Currency.</w:t>
      </w:r>
    </w:p>
    <w:p>
      <w:pPr>
        <w:spacing w:after="0" w:line="1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Sanction(s)</w:t>
      </w:r>
      <w:r>
        <w:rPr>
          <w:rFonts w:ascii="Arial" w:cs="Arial" w:eastAsia="Arial" w:hAnsi="Arial"/>
          <w:sz w:val="19"/>
          <w:szCs w:val="19"/>
          <w:color w:val="auto"/>
        </w:rPr>
        <w:t>”: any international economic sanction administered or enforced by the United States Government (including OFAC), the United Nations Security Council, the European Union, Her Majesty’s Treasury or other relevant sanctions authority.</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w:t>
      </w:r>
      <w:r>
        <w:rPr>
          <w:rFonts w:ascii="Arial" w:cs="Arial" w:eastAsia="Arial" w:hAnsi="Arial"/>
          <w:sz w:val="20"/>
          <w:szCs w:val="20"/>
          <w:color w:val="auto"/>
        </w:rPr>
        <w:t>”: the Securities and Exchange Commission, any successor thereto and any analogous Governmental Authority.</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Secured Parties</w:t>
      </w:r>
      <w:r>
        <w:rPr>
          <w:rFonts w:ascii="Arial" w:cs="Arial" w:eastAsia="Arial" w:hAnsi="Arial"/>
          <w:sz w:val="20"/>
          <w:szCs w:val="20"/>
          <w:color w:val="auto"/>
        </w:rPr>
        <w:t>”: the collective reference to the Administrative Agent, the Lenders (including any Issuing Lender in its capacity as Issuing Lender and any Swingline Lender in its capacity as Swingline Lender), any Cash Management Bank (in its or their respective capacities as providers of Cash Management Services), and any Qualified Counterparties.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Account</w:t>
      </w:r>
      <w:r>
        <w:rPr>
          <w:rFonts w:ascii="Arial" w:cs="Arial" w:eastAsia="Arial" w:hAnsi="Arial"/>
          <w:sz w:val="18"/>
          <w:szCs w:val="18"/>
          <w:color w:val="auto"/>
        </w:rPr>
        <w:t>”: any “securities account” as defined in the UCC with such additions to such term as may hereafter be made.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Account Control Agreement</w:t>
      </w:r>
      <w:r>
        <w:rPr>
          <w:rFonts w:ascii="Arial" w:cs="Arial" w:eastAsia="Arial" w:hAnsi="Arial"/>
          <w:sz w:val="20"/>
          <w:szCs w:val="20"/>
          <w:color w:val="auto"/>
        </w:rPr>
        <w:t>”: any Control Agreement entered into by the Administrative Agent, a Loan Party and a securities intermediary holding a Securities Account of such Loan Party pursuant to which the Administrative Agent is granted “control” (for purposes of the UCC) over such Securities Account.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771" w:right="339" w:bottom="1440" w:gutter="0" w:footer="0" w:header="0"/>
        </w:sectPr>
      </w:pPr>
    </w:p>
    <w:bookmarkStart w:id="148" w:name="page149"/>
    <w:bookmarkEnd w:id="14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the Securities Act of 1933, as amended from time to time and any successor statute.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Security Documents</w:t>
      </w:r>
      <w:r>
        <w:rPr>
          <w:rFonts w:ascii="Arial" w:cs="Arial" w:eastAsia="Arial" w:hAnsi="Arial"/>
          <w:sz w:val="19"/>
          <w:szCs w:val="19"/>
          <w:color w:val="auto"/>
        </w:rPr>
        <w:t>”: the collective reference to (a) the Guarantee and Collateral Agreement, (b) the Mortgages (if any), (c) each Deposit Account Control Agreement, (d) each Securities Account Control Agreement, (e) all other security documents hereafter delivered to the Administrative Agent granting a Lien on any property of any Person to secure the Obligations of any Loan Party arising under any Loan Document, (f) each Pledge Supplement, (g) each Assumption Agreement, (h) all other security documents hereafter delivered to any applicable Cash Management Bank granting a Lien on any property of any Person to secure the Obligations of any Group Member arising under any Cash Management Agreement and (i) all financing statements, fixture filings, assignments, acknowledgments and other filings, documents and agreements made or delivered pursuant to any of the foregoing.</w:t>
      </w:r>
    </w:p>
    <w:p>
      <w:pPr>
        <w:spacing w:after="0" w:line="1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Solvency Certificate</w:t>
      </w:r>
      <w:r>
        <w:rPr>
          <w:rFonts w:ascii="Arial" w:cs="Arial" w:eastAsia="Arial" w:hAnsi="Arial"/>
          <w:sz w:val="20"/>
          <w:szCs w:val="20"/>
          <w:color w:val="auto"/>
        </w:rPr>
        <w:t xml:space="preserve">”: the Solvency Certificate, dated the Closing Date, delivered to the Administrative Agent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5.1(o)</w:t>
      </w:r>
      <w:r>
        <w:rPr>
          <w:rFonts w:ascii="Arial" w:cs="Arial" w:eastAsia="Arial" w:hAnsi="Arial"/>
          <w:sz w:val="20"/>
          <w:szCs w:val="20"/>
          <w:color w:val="auto"/>
        </w:rPr>
        <w:t xml:space="preserve">, which Solvency Certificate shall be in substantially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SOFR</w:t>
      </w:r>
      <w:r>
        <w:rPr>
          <w:rFonts w:ascii="Arial" w:cs="Arial" w:eastAsia="Arial" w:hAnsi="Arial"/>
          <w:sz w:val="19"/>
          <w:szCs w:val="19"/>
          <w:color w:val="auto"/>
        </w:rPr>
        <w:t>”: with respect to any Business Day, a rate per annum equal to the secured overnight financing rate for such Business Day published by the SOFR Administrator on the SOFR Administrator’s Website on the immediately succeeding Business Day.</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SOFR Administrator</w:t>
      </w:r>
      <w:r>
        <w:rPr>
          <w:rFonts w:ascii="Arial" w:cs="Arial" w:eastAsia="Arial" w:hAnsi="Arial"/>
          <w:sz w:val="18"/>
          <w:szCs w:val="18"/>
          <w:color w:val="auto"/>
        </w:rPr>
        <w:t>”: the Federal Reserve Bank of New York (or a successor administrator of the secured overnight financing</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14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SOFR Administrator’s Website</w:t>
      </w:r>
      <w:r>
        <w:rPr>
          <w:rFonts w:ascii="Arial" w:cs="Arial" w:eastAsia="Arial" w:hAnsi="Arial"/>
          <w:sz w:val="18"/>
          <w:szCs w:val="18"/>
          <w:color w:val="auto"/>
        </w:rPr>
        <w:t>”: the website of the Federal Reserve Bank of New York, currently at http://www.newyorkfed.org, or any successor source for the secured overnight financing rate identified as such by the SOFR Administrator from time to time.</w:t>
      </w:r>
    </w:p>
    <w:p>
      <w:pPr>
        <w:spacing w:after="0" w:line="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Solvent</w:t>
      </w:r>
      <w:r>
        <w:rPr>
          <w:rFonts w:ascii="Arial" w:cs="Arial" w:eastAsia="Arial" w:hAnsi="Arial"/>
          <w:sz w:val="19"/>
          <w:szCs w:val="19"/>
          <w:color w:val="auto"/>
        </w:rPr>
        <w:t>”: when used with respect to any Person,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generally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Acquisition Agreement Representations</w:t>
      </w:r>
      <w:r>
        <w:rPr>
          <w:rFonts w:ascii="Arial" w:cs="Arial" w:eastAsia="Arial" w:hAnsi="Arial"/>
          <w:sz w:val="20"/>
          <w:szCs w:val="20"/>
          <w:color w:val="auto"/>
        </w:rPr>
        <w:t>”: such of the representations and warranties made by the sellers and their Affiliates in the Limited Condition Acquisition Agreement as are material to the interests of the Lenders, but only to the extent that the Borrower (or its applicable Affiliates) has the right (taking into account any applicable cure provisions) to terminate its (or such Affiliates’) obligations under the Limited Condition Acquisition Agreement, or decline to consummate the acquisition (in each case, in accordance with the terms thereof), as a result of a breach of such representations and warranties.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771" w:right="339" w:bottom="1440" w:gutter="0" w:footer="0" w:header="0"/>
        </w:sectPr>
      </w:pPr>
    </w:p>
    <w:bookmarkStart w:id="149" w:name="page150"/>
    <w:bookmarkEnd w:id="149"/>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Specified Representations</w:t>
      </w:r>
      <w:r>
        <w:rPr>
          <w:rFonts w:ascii="Arial" w:cs="Arial" w:eastAsia="Arial" w:hAnsi="Arial"/>
          <w:sz w:val="19"/>
          <w:szCs w:val="19"/>
          <w:color w:val="auto"/>
        </w:rPr>
        <w:t xml:space="preserve">”: those representations and warranties made in </w:t>
      </w:r>
      <w:r>
        <w:rPr>
          <w:rFonts w:ascii="Arial" w:cs="Arial" w:eastAsia="Arial" w:hAnsi="Arial"/>
          <w:sz w:val="19"/>
          <w:szCs w:val="19"/>
          <w:u w:val="single" w:color="auto"/>
          <w:color w:val="auto"/>
        </w:rPr>
        <w:t>Sections 4.3(a)</w:t>
      </w:r>
      <w:r>
        <w:rPr>
          <w:rFonts w:ascii="Arial" w:cs="Arial" w:eastAsia="Arial" w:hAnsi="Arial"/>
          <w:sz w:val="19"/>
          <w:szCs w:val="19"/>
          <w:color w:val="auto"/>
        </w:rPr>
        <w:t xml:space="preserve"> (with respect to the organizational existence of the Loan Parties only after giving effect to the Limited Condition Acquisition),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(excluding the third sentence thereof),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(solely with respect to the first sentence and with respect to Operating Documents), </w:t>
      </w:r>
      <w:r>
        <w:rPr>
          <w:rFonts w:ascii="Arial" w:cs="Arial" w:eastAsia="Arial" w:hAnsi="Arial"/>
          <w:sz w:val="19"/>
          <w:szCs w:val="19"/>
          <w:u w:val="single" w:color="auto"/>
          <w:color w:val="auto"/>
        </w:rPr>
        <w:t>4.11</w:t>
      </w:r>
      <w:r>
        <w:rPr>
          <w:rFonts w:ascii="Arial" w:cs="Arial" w:eastAsia="Arial" w:hAnsi="Arial"/>
          <w:sz w:val="19"/>
          <w:szCs w:val="19"/>
          <w:color w:val="auto"/>
        </w:rPr>
        <w:t xml:space="preserve">, </w:t>
      </w:r>
      <w:r>
        <w:rPr>
          <w:rFonts w:ascii="Arial" w:cs="Arial" w:eastAsia="Arial" w:hAnsi="Arial"/>
          <w:sz w:val="19"/>
          <w:szCs w:val="19"/>
          <w:u w:val="single" w:color="auto"/>
          <w:color w:val="auto"/>
        </w:rPr>
        <w:t>4.14</w:t>
      </w:r>
      <w:r>
        <w:rPr>
          <w:rFonts w:ascii="Arial" w:cs="Arial" w:eastAsia="Arial" w:hAnsi="Arial"/>
          <w:sz w:val="19"/>
          <w:szCs w:val="19"/>
          <w:color w:val="auto"/>
        </w:rPr>
        <w:t xml:space="preserve">, </w:t>
      </w:r>
      <w:r>
        <w:rPr>
          <w:rFonts w:ascii="Arial" w:cs="Arial" w:eastAsia="Arial" w:hAnsi="Arial"/>
          <w:sz w:val="19"/>
          <w:szCs w:val="19"/>
          <w:u w:val="single" w:color="auto"/>
          <w:color w:val="auto"/>
        </w:rPr>
        <w:t>4.19</w:t>
      </w:r>
      <w:r>
        <w:rPr>
          <w:rFonts w:ascii="Arial" w:cs="Arial" w:eastAsia="Arial" w:hAnsi="Arial"/>
          <w:sz w:val="19"/>
          <w:szCs w:val="19"/>
          <w:color w:val="auto"/>
        </w:rPr>
        <w:t xml:space="preserve">, </w:t>
      </w:r>
      <w:r>
        <w:rPr>
          <w:rFonts w:ascii="Arial" w:cs="Arial" w:eastAsia="Arial" w:hAnsi="Arial"/>
          <w:sz w:val="19"/>
          <w:szCs w:val="19"/>
          <w:u w:val="single" w:color="auto"/>
          <w:color w:val="auto"/>
        </w:rPr>
        <w:t>4.20</w:t>
      </w:r>
      <w:r>
        <w:rPr>
          <w:rFonts w:ascii="Arial" w:cs="Arial" w:eastAsia="Arial" w:hAnsi="Arial"/>
          <w:sz w:val="19"/>
          <w:szCs w:val="19"/>
          <w:color w:val="auto"/>
        </w:rPr>
        <w:t xml:space="preserve"> (giving effect to the Limited Condition Acquisition and the incurrence of the Increase loans in connection therewith), </w:t>
      </w:r>
      <w:r>
        <w:rPr>
          <w:rFonts w:ascii="Arial" w:cs="Arial" w:eastAsia="Arial" w:hAnsi="Arial"/>
          <w:sz w:val="19"/>
          <w:szCs w:val="19"/>
          <w:u w:val="single" w:color="auto"/>
          <w:color w:val="auto"/>
        </w:rPr>
        <w:t>4.28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4.29</w:t>
      </w:r>
      <w:r>
        <w:rPr>
          <w:rFonts w:ascii="Arial" w:cs="Arial" w:eastAsia="Arial" w:hAnsi="Arial"/>
          <w:sz w:val="19"/>
          <w:szCs w:val="19"/>
          <w:color w:val="auto"/>
        </w:rPr>
        <w:t>.</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Swap Agreement</w:t>
      </w:r>
      <w:r>
        <w:rPr>
          <w:rFonts w:ascii="Arial" w:cs="Arial" w:eastAsia="Arial" w:hAnsi="Arial"/>
          <w:sz w:val="20"/>
          <w:szCs w:val="20"/>
          <w:color w:val="auto"/>
        </w:rPr>
        <w:t>”: any Swap Agreement entered into by a Loan Party (or in the sole discretion of the Administrative Agent, any other Group Member) and any Qualified Counterparty (or any Person who was a Qualified Counterparty as of the Closing Date or as of the date such Swap Agreement was entered into).</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Spot Rate</w:t>
      </w:r>
      <w:r>
        <w:rPr>
          <w:rFonts w:ascii="Arial" w:cs="Arial" w:eastAsia="Arial" w:hAnsi="Arial"/>
          <w:sz w:val="19"/>
          <w:szCs w:val="19"/>
          <w:color w:val="auto"/>
        </w:rPr>
        <w:t xml:space="preserve">”: for any currency, the rate determined by the Administrative Agent to be the rate quoted by the Administrative Agent as the spot rate for the purchase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Administrative Agent may obtain such spot rate from another financial institution designated by it if the Administrative Agent does not have as of the date of determination a spot buying rate for any such currency.</w:t>
      </w:r>
    </w:p>
    <w:p>
      <w:pPr>
        <w:spacing w:after="0" w:line="1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Subordinated Debt Document</w:t>
      </w:r>
      <w:r>
        <w:rPr>
          <w:rFonts w:ascii="Arial" w:cs="Arial" w:eastAsia="Arial" w:hAnsi="Arial"/>
          <w:sz w:val="20"/>
          <w:szCs w:val="20"/>
          <w:color w:val="auto"/>
        </w:rPr>
        <w:t>”: any agreement, certificate, document or instrument executed or delivered by any Group Member and evidencing Indebtedness of any Group Member which is subordinated to the Obligations (including payment, lien and remedies subordination terms, as applicable) in a manner approved in writing by the Administrative Agent, and any renewals, modifications, or amendments thereof which are not prohibited by this Agreement or the applicable subordination agreement or are otherwise approved in writing by the Administrative Agent.</w:t>
      </w:r>
    </w:p>
    <w:p>
      <w:pPr>
        <w:spacing w:after="0" w:line="1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Subordinated Indebtedness</w:t>
      </w:r>
      <w:r>
        <w:rPr>
          <w:rFonts w:ascii="Arial" w:cs="Arial" w:eastAsia="Arial" w:hAnsi="Arial"/>
          <w:sz w:val="19"/>
          <w:szCs w:val="19"/>
          <w:color w:val="auto"/>
        </w:rPr>
        <w:t>”: Indebtedness of a Loan Party subordinated to the Obligations pursuant to subordination terms (including payment, lien and remedies subordination terms, as applicable) reasonably acceptable to the Administrative Agent.</w:t>
      </w:r>
    </w:p>
    <w:p>
      <w:pPr>
        <w:spacing w:after="0" w:line="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or to “</w:t>
      </w:r>
      <w:r>
        <w:rPr>
          <w:rFonts w:ascii="Arial" w:cs="Arial" w:eastAsia="Arial" w:hAnsi="Arial"/>
          <w:sz w:val="20"/>
          <w:szCs w:val="20"/>
          <w:b w:val="1"/>
          <w:bCs w:val="1"/>
          <w:i w:val="1"/>
          <w:iCs w:val="1"/>
          <w:color w:val="auto"/>
        </w:rPr>
        <w:t>Subsidiaries</w:t>
      </w:r>
      <w:r>
        <w:rPr>
          <w:rFonts w:ascii="Arial" w:cs="Arial" w:eastAsia="Arial" w:hAnsi="Arial"/>
          <w:sz w:val="20"/>
          <w:szCs w:val="20"/>
          <w:color w:val="auto"/>
        </w:rPr>
        <w:t>” in this Agreement shall refer to a Subsidiary or Subsidiaries of NerdWallet.</w:t>
      </w:r>
    </w:p>
    <w:p>
      <w:pPr>
        <w:spacing w:after="0" w:line="14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Surety Indebtedness</w:t>
      </w:r>
      <w:r>
        <w:rPr>
          <w:rFonts w:ascii="Arial" w:cs="Arial" w:eastAsia="Arial" w:hAnsi="Arial"/>
          <w:sz w:val="20"/>
          <w:szCs w:val="20"/>
          <w:color w:val="auto"/>
        </w:rPr>
        <w:t>”: as of any date of determination, indebtedness (contingent or otherwise) owing to sureties arising from surety bonds issued on behalf of any Group Member as support for, among other things, their contracts with customers, whether such indebtedness is owing directly or indirectly by such Group Member.</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SVB</w:t>
      </w:r>
      <w:r>
        <w:rPr>
          <w:rFonts w:ascii="Arial" w:cs="Arial" w:eastAsia="Arial" w:hAnsi="Arial"/>
          <w:sz w:val="20"/>
          <w:szCs w:val="20"/>
          <w:color w:val="auto"/>
        </w:rPr>
        <w:t>”: as defined in the preamble hereto.</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Agreement</w:t>
      </w:r>
      <w:r>
        <w:rPr>
          <w:rFonts w:ascii="Arial" w:cs="Arial" w:eastAsia="Arial" w:hAnsi="Arial"/>
          <w:sz w:val="20"/>
          <w:szCs w:val="20"/>
          <w:color w:val="auto"/>
        </w:rPr>
        <w:t xml:space="preserve">”: any agreement with respect to any swap, hedge, forward, future or derivative transaction or option or similar agreement (including without limitation, any Interest Rate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following shall not constitute “Swap Agreements”: (a) any phantom stock or similar plan providing for payments only on account of services provided by current or former directors, officers, employees or consultants of the Group Members, (b) any stock option or warrant agreement for the purchase of Capital Stock of the Borrower, (c) the purchase of Capital Stock or Indebtedness (including securities convertible into Capital Stock) of the Borrower pursuant to delayed delivery contracts, accelerated stock repurchase agreements, forward contracts or other similar agreements and (d) any of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771" w:right="339" w:bottom="1440" w:gutter="0" w:footer="0" w:header="0"/>
        </w:sectPr>
      </w:pPr>
    </w:p>
    <w:bookmarkStart w:id="150" w:name="page151"/>
    <w:bookmarkEnd w:id="150"/>
    <w:p>
      <w:pPr>
        <w:jc w:val="both"/>
        <w:spacing w:after="0" w:line="260" w:lineRule="auto"/>
        <w:rPr>
          <w:sz w:val="20"/>
          <w:szCs w:val="20"/>
          <w:color w:val="auto"/>
        </w:rPr>
      </w:pPr>
      <w:r>
        <w:rPr>
          <w:rFonts w:ascii="Arial" w:cs="Arial" w:eastAsia="Arial" w:hAnsi="Arial"/>
          <w:sz w:val="20"/>
          <w:szCs w:val="20"/>
          <w:color w:val="auto"/>
        </w:rPr>
        <w:t>items specified in the foregoing clauses (a) through (c), to the extent the same constitutes a derivative embedded in a convertible security issued by the Borrower.</w:t>
      </w:r>
    </w:p>
    <w:p>
      <w:pPr>
        <w:spacing w:after="0" w:line="1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Swap Obligation</w:t>
      </w:r>
      <w:r>
        <w:rPr>
          <w:rFonts w:ascii="Arial" w:cs="Arial" w:eastAsia="Arial" w:hAnsi="Arial"/>
          <w:sz w:val="19"/>
          <w:szCs w:val="19"/>
          <w:color w:val="auto"/>
        </w:rPr>
        <w:t>”: with respect to any Guarantor, any obligation of such Guarantor to pay or perform under any agreement, contract or transaction that constitutes a “swap” within the meaning of Section 1a(47) of the Commodity Exchange Act.</w:t>
      </w:r>
    </w:p>
    <w:p>
      <w:pPr>
        <w:spacing w:after="0" w:line="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Termination Value</w:t>
      </w:r>
      <w:r>
        <w:rPr>
          <w:rFonts w:ascii="Arial" w:cs="Arial" w:eastAsia="Arial" w:hAnsi="Arial"/>
          <w:sz w:val="20"/>
          <w:szCs w:val="20"/>
          <w:color w:val="auto"/>
        </w:rPr>
        <w:t>”: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provided by any recognized dealer in such Swap Agreements (which may include a Qualified Counterparty).</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Commitment</w:t>
      </w:r>
      <w:r>
        <w:rPr>
          <w:rFonts w:ascii="Arial" w:cs="Arial" w:eastAsia="Arial" w:hAnsi="Arial"/>
          <w:sz w:val="20"/>
          <w:szCs w:val="20"/>
          <w:color w:val="auto"/>
        </w:rPr>
        <w:t xml:space="preserve">”: the obligation of the Swingline Lender to make Swingline Loans pursuant to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in an aggregate principal amount at any one time outstanding not to exceed $10,000,000.</w:t>
      </w:r>
    </w:p>
    <w:p>
      <w:pPr>
        <w:spacing w:after="0" w:line="12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Swingline Lender</w:t>
      </w:r>
      <w:r>
        <w:rPr>
          <w:rFonts w:ascii="Arial" w:cs="Arial" w:eastAsia="Arial" w:hAnsi="Arial"/>
          <w:sz w:val="18"/>
          <w:szCs w:val="18"/>
          <w:color w:val="auto"/>
        </w:rPr>
        <w:t xml:space="preserve">”: SVB, in its capacity as the lender of Swingline Loans or such other Lender as the Borrower may from time to time select as the Swingline Lender hereunder pursuant to </w:t>
      </w:r>
      <w:r>
        <w:rPr>
          <w:rFonts w:ascii="Arial" w:cs="Arial" w:eastAsia="Arial" w:hAnsi="Arial"/>
          <w:sz w:val="18"/>
          <w:szCs w:val="18"/>
          <w:u w:val="single" w:color="auto"/>
          <w:color w:val="auto"/>
        </w:rPr>
        <w:t>Section 2.7(f)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Lender has agreed to be a Swingline Lender.</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Loan Note</w:t>
      </w:r>
      <w:r>
        <w:rPr>
          <w:rFonts w:ascii="Arial" w:cs="Arial" w:eastAsia="Arial" w:hAnsi="Arial"/>
          <w:sz w:val="20"/>
          <w:szCs w:val="20"/>
          <w:color w:val="auto"/>
        </w:rPr>
        <w:t xml:space="preserve">”: a promissory note in the form of </w:t>
      </w:r>
      <w:r>
        <w:rPr>
          <w:rFonts w:ascii="Arial" w:cs="Arial" w:eastAsia="Arial" w:hAnsi="Arial"/>
          <w:sz w:val="20"/>
          <w:szCs w:val="20"/>
          <w:u w:val="single" w:color="auto"/>
          <w:color w:val="auto"/>
        </w:rPr>
        <w:t>Exhibit H-2</w:t>
      </w:r>
      <w:r>
        <w:rPr>
          <w:rFonts w:ascii="Arial" w:cs="Arial" w:eastAsia="Arial" w:hAnsi="Arial"/>
          <w:sz w:val="20"/>
          <w:szCs w:val="20"/>
          <w:color w:val="auto"/>
        </w:rPr>
        <w:t>, as it may be amended, supplemented or otherwise modified from time to time.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2.6</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Participation Amount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2.7(c)</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Synthetic Lease Obligation</w:t>
      </w:r>
      <w:r>
        <w:rPr>
          <w:rFonts w:ascii="Arial" w:cs="Arial" w:eastAsia="Arial" w:hAnsi="Arial"/>
          <w:sz w:val="20"/>
          <w:szCs w:val="20"/>
          <w:color w:val="auto"/>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w:t>
      </w:r>
      <w:r>
        <w:rPr>
          <w:rFonts w:ascii="Arial" w:cs="Arial" w:eastAsia="Arial" w:hAnsi="Arial"/>
          <w:sz w:val="20"/>
          <w:szCs w:val="20"/>
          <w:color w:val="auto"/>
        </w:rPr>
        <w:t>”: for the applicable Corresponding Tenor as of the applicable Reference Time, the forward-looking term rate based on SOFR that has been selected or recommended by the Relevant Governmental Body.</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 Notice</w:t>
      </w:r>
      <w:r>
        <w:rPr>
          <w:rFonts w:ascii="Arial" w:cs="Arial" w:eastAsia="Arial" w:hAnsi="Arial"/>
          <w:sz w:val="20"/>
          <w:szCs w:val="20"/>
          <w:color w:val="auto"/>
        </w:rPr>
        <w:t>” : a notification by the Administrative Agent to the Lenders and the Borrower of the occurrence of a Term SOFR Transition Event.</w:t>
      </w:r>
    </w:p>
    <w:p>
      <w:pPr>
        <w:spacing w:after="0" w:line="20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 Transition Event</w:t>
      </w:r>
      <w:r>
        <w:rPr>
          <w:rFonts w:ascii="Arial" w:cs="Arial" w:eastAsia="Arial" w:hAnsi="Arial"/>
          <w:sz w:val="20"/>
          <w:szCs w:val="20"/>
          <w:color w:val="auto"/>
        </w:rPr>
        <w:t>” : the determination by the Administrative Agent that (a) Term SOFR has been recommended for use by the Relevant Governmental Body, and is determinable for each Available Tenor, (b) the administration of Term SOFR is administratively feasible for the Administrative Agent and (c) a Benchmark Transition Event or an Early Opt-in Election, as applicable, has previously occurred resulting in a Benchmark Replacement that is not Term SOFR.</w:t>
      </w:r>
    </w:p>
    <w:p>
      <w:pPr>
        <w:spacing w:after="0" w:line="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L/C Commitments</w:t>
      </w:r>
      <w:r>
        <w:rPr>
          <w:rFonts w:ascii="Arial" w:cs="Arial" w:eastAsia="Arial" w:hAnsi="Arial"/>
          <w:sz w:val="19"/>
          <w:szCs w:val="19"/>
          <w:color w:val="auto"/>
        </w:rPr>
        <w:t xml:space="preserve">”: at any time, the sum of all L/C Commitments at such time, as the same may be reduced from time to time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3.5(b)</w:t>
      </w:r>
      <w:r>
        <w:rPr>
          <w:rFonts w:ascii="Arial" w:cs="Arial" w:eastAsia="Arial" w:hAnsi="Arial"/>
          <w:sz w:val="19"/>
          <w:szCs w:val="19"/>
          <w:color w:val="auto"/>
        </w:rPr>
        <w:t>. The initial amount of the Total L/C Commitments on the Closing Date is $10,000,000.</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771" w:right="339" w:bottom="1440" w:gutter="0" w:footer="0" w:header="0"/>
        </w:sectPr>
      </w:pPr>
    </w:p>
    <w:bookmarkStart w:id="151" w:name="page152"/>
    <w:bookmarkEnd w:id="151"/>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Liabilities</w:t>
      </w:r>
      <w:r>
        <w:rPr>
          <w:rFonts w:ascii="Arial" w:cs="Arial" w:eastAsia="Arial" w:hAnsi="Arial"/>
          <w:sz w:val="20"/>
          <w:szCs w:val="20"/>
          <w:color w:val="auto"/>
        </w:rPr>
        <w:t>”: on any date of determination, obligations that should, under GAAP, be classified as liabilities on the Borrower’s consolidated balance sheet, including all Indebtedness.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Revolving Commitments</w:t>
      </w:r>
      <w:r>
        <w:rPr>
          <w:rFonts w:ascii="Arial" w:cs="Arial" w:eastAsia="Arial" w:hAnsi="Arial"/>
          <w:sz w:val="20"/>
          <w:szCs w:val="20"/>
          <w:color w:val="auto"/>
        </w:rPr>
        <w:t>”: at any time, the aggregate amount of the Revolving Commitments then in effect.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Revolving Extensions of Credit</w:t>
      </w:r>
      <w:r>
        <w:rPr>
          <w:rFonts w:ascii="Arial" w:cs="Arial" w:eastAsia="Arial" w:hAnsi="Arial"/>
          <w:sz w:val="20"/>
          <w:szCs w:val="20"/>
          <w:color w:val="auto"/>
        </w:rPr>
        <w:t>”: at any time, the aggregate amount of the Revolving Extensions of Credit outstanding at such time.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Trade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10.6(b)(i)(B)</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Transferee</w:t>
      </w:r>
      <w:r>
        <w:rPr>
          <w:rFonts w:ascii="Arial" w:cs="Arial" w:eastAsia="Arial" w:hAnsi="Arial"/>
          <w:sz w:val="20"/>
          <w:szCs w:val="20"/>
          <w:color w:val="auto"/>
        </w:rPr>
        <w:t>”: any Eligible Assignee or Participant.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Type</w:t>
      </w:r>
      <w:r>
        <w:rPr>
          <w:rFonts w:ascii="Arial" w:cs="Arial" w:eastAsia="Arial" w:hAnsi="Arial"/>
          <w:sz w:val="20"/>
          <w:szCs w:val="20"/>
          <w:color w:val="auto"/>
        </w:rPr>
        <w:t>”: as to any Loan, its nature as an ABR Loan or a Eurodollar Loan.</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UK Financial Institution</w:t>
      </w:r>
      <w:r>
        <w:rPr>
          <w:rFonts w:ascii="Arial" w:cs="Arial" w:eastAsia="Arial" w:hAnsi="Arial"/>
          <w:sz w:val="20"/>
          <w:szCs w:val="20"/>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UK Resolution Authority</w:t>
      </w:r>
      <w:r>
        <w:rPr>
          <w:rFonts w:ascii="Arial" w:cs="Arial" w:eastAsia="Arial" w:hAnsi="Arial"/>
          <w:sz w:val="20"/>
          <w:szCs w:val="20"/>
          <w:color w:val="auto"/>
        </w:rPr>
        <w:t>”: the Bank of England or any other public administrative authority having responsibility for the resolution of any UK Financial Institution.</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Unadjusted Benchmark Replacement</w:t>
      </w:r>
      <w:r>
        <w:rPr>
          <w:rFonts w:ascii="Arial" w:cs="Arial" w:eastAsia="Arial" w:hAnsi="Arial"/>
          <w:sz w:val="20"/>
          <w:szCs w:val="20"/>
          <w:color w:val="auto"/>
        </w:rPr>
        <w:t>”: the applicable Benchmark Replacement excluding the related Benchmark Replacement Adjustment.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Unbilled Accounts Receivable</w:t>
      </w:r>
      <w:r>
        <w:rPr>
          <w:rFonts w:ascii="Arial" w:cs="Arial" w:eastAsia="Arial" w:hAnsi="Arial"/>
          <w:sz w:val="20"/>
          <w:szCs w:val="20"/>
          <w:color w:val="auto"/>
        </w:rPr>
        <w:t>”: Accounts of the Loan Parties with respect to which the invoice and other necessary billing documentation have not been submitted to the applicable Account Debtor in connection with a completed (or contracted) sale of goods, rendition of services or licensing of software, that are fully earned and are verifiable by the Administrative Agent and that will be collected under standard commercial terms acceptable to the Administrative Agent.</w:t>
      </w:r>
    </w:p>
    <w:p>
      <w:pPr>
        <w:spacing w:after="0" w:line="1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Unfriendly Acquisition</w:t>
      </w:r>
      <w:r>
        <w:rPr>
          <w:rFonts w:ascii="Arial" w:cs="Arial" w:eastAsia="Arial" w:hAnsi="Arial"/>
          <w:sz w:val="18"/>
          <w:szCs w:val="18"/>
          <w:color w:val="auto"/>
        </w:rPr>
        <w:t>”: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Uniform Commercial Code</w:t>
      </w:r>
      <w:r>
        <w:rPr>
          <w:rFonts w:ascii="Arial" w:cs="Arial" w:eastAsia="Arial" w:hAnsi="Arial"/>
          <w:sz w:val="20"/>
          <w:szCs w:val="20"/>
          <w:color w:val="auto"/>
        </w:rPr>
        <w:t>” or “</w:t>
      </w:r>
      <w:r>
        <w:rPr>
          <w:rFonts w:ascii="Arial" w:cs="Arial" w:eastAsia="Arial" w:hAnsi="Arial"/>
          <w:sz w:val="20"/>
          <w:szCs w:val="20"/>
          <w:b w:val="1"/>
          <w:bCs w:val="1"/>
          <w:i w:val="1"/>
          <w:iCs w:val="1"/>
          <w:color w:val="auto"/>
        </w:rPr>
        <w:t>UCC</w:t>
      </w:r>
      <w:r>
        <w:rPr>
          <w:rFonts w:ascii="Arial" w:cs="Arial" w:eastAsia="Arial" w:hAnsi="Arial"/>
          <w:sz w:val="20"/>
          <w:szCs w:val="20"/>
          <w:color w:val="auto"/>
        </w:rPr>
        <w:t>”: the Uniform Commercial Code (or any similar or equivalent legislation) as in effect from time to time in the State of New York, or as the context may require, any other applicable jurisdiction.</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United States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U.S.</w:t>
      </w:r>
      <w:r>
        <w:rPr>
          <w:rFonts w:ascii="Arial" w:cs="Arial" w:eastAsia="Arial" w:hAnsi="Arial"/>
          <w:sz w:val="20"/>
          <w:szCs w:val="20"/>
          <w:color w:val="auto"/>
        </w:rPr>
        <w:t>”: the United States of America.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USCRO</w:t>
      </w:r>
      <w:r>
        <w:rPr>
          <w:rFonts w:ascii="Arial" w:cs="Arial" w:eastAsia="Arial" w:hAnsi="Arial"/>
          <w:sz w:val="20"/>
          <w:szCs w:val="20"/>
          <w:color w:val="auto"/>
        </w:rPr>
        <w:t>”: the U.S. Copyright Office.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USPTO</w:t>
      </w:r>
      <w:r>
        <w:rPr>
          <w:rFonts w:ascii="Arial" w:cs="Arial" w:eastAsia="Arial" w:hAnsi="Arial"/>
          <w:sz w:val="20"/>
          <w:szCs w:val="20"/>
          <w:color w:val="auto"/>
        </w:rPr>
        <w:t>”: the U.S. Patent and Trademark Office.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Person</w:t>
      </w:r>
      <w:r>
        <w:rPr>
          <w:rFonts w:ascii="Arial" w:cs="Arial" w:eastAsia="Arial" w:hAnsi="Arial"/>
          <w:sz w:val="20"/>
          <w:szCs w:val="20"/>
          <w:color w:val="auto"/>
        </w:rPr>
        <w:t>”: any Person that is a “United States person” as defined in Section 7701(a)(30) of the Code.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771" w:right="339" w:bottom="1440" w:gutter="0" w:footer="0" w:header="0"/>
        </w:sectPr>
      </w:pPr>
    </w:p>
    <w:bookmarkStart w:id="152" w:name="page153"/>
    <w:bookmarkEnd w:id="15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2.20(f)</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Agent</w:t>
      </w:r>
      <w:r>
        <w:rPr>
          <w:rFonts w:ascii="Arial" w:cs="Arial" w:eastAsia="Arial" w:hAnsi="Arial"/>
          <w:sz w:val="18"/>
          <w:szCs w:val="18"/>
          <w:color w:val="auto"/>
        </w:rPr>
        <w:t>”: as applicable, any of any applicable Loan Party and the Administrative Agent, as the context may require.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Write-Down and Conversion Powers</w:t>
      </w:r>
      <w:r>
        <w:rPr>
          <w:rFonts w:ascii="Arial" w:cs="Arial" w:eastAsia="Arial" w:hAnsi="Arial"/>
          <w:sz w:val="19"/>
          <w:szCs w:val="19"/>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Other Definitional Provisions</w:t>
      </w:r>
      <w:r>
        <w:rPr>
          <w:rFonts w:ascii="Arial" w:cs="Arial" w:eastAsia="Arial" w:hAnsi="Arial"/>
          <w:sz w:val="18"/>
          <w:szCs w:val="18"/>
          <w:color w:val="auto"/>
        </w:rPr>
        <w:t>.</w:t>
      </w:r>
    </w:p>
    <w:p>
      <w:pPr>
        <w:spacing w:after="0" w:line="168" w:lineRule="exact"/>
        <w:rPr>
          <w:sz w:val="20"/>
          <w:szCs w:val="20"/>
          <w:color w:val="auto"/>
        </w:rPr>
      </w:pPr>
    </w:p>
    <w:p>
      <w:pPr>
        <w:ind w:firstLine="1304"/>
        <w:spacing w:after="0" w:line="260" w:lineRule="auto"/>
        <w:tabs>
          <w:tab w:leader="none" w:pos="1755" w:val="left"/>
        </w:tabs>
        <w:numPr>
          <w:ilvl w:val="1"/>
          <w:numId w:val="75"/>
        </w:numPr>
        <w:rPr>
          <w:rFonts w:ascii="Arial" w:cs="Arial" w:eastAsia="Arial" w:hAnsi="Arial"/>
          <w:sz w:val="20"/>
          <w:szCs w:val="20"/>
          <w:color w:val="auto"/>
        </w:rPr>
      </w:pPr>
      <w:r>
        <w:rPr>
          <w:rFonts w:ascii="Arial" w:cs="Arial" w:eastAsia="Arial" w:hAnsi="Arial"/>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22" w:lineRule="exact"/>
        <w:rPr>
          <w:rFonts w:ascii="Arial" w:cs="Arial" w:eastAsia="Arial" w:hAnsi="Arial"/>
          <w:sz w:val="20"/>
          <w:szCs w:val="20"/>
          <w:color w:val="auto"/>
        </w:rPr>
      </w:pPr>
    </w:p>
    <w:p>
      <w:pPr>
        <w:jc w:val="both"/>
        <w:ind w:firstLine="1304"/>
        <w:spacing w:after="0" w:line="269" w:lineRule="auto"/>
        <w:tabs>
          <w:tab w:leader="none" w:pos="1744"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As used herein and in the other Loan Documents, and in any certificate or other document made or delivered pursuant hereto or thereto, (i) accounting terms relating to any Group Member not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accounting terms partly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w:t>
      </w:r>
    </w:p>
    <w:p>
      <w:pPr>
        <w:spacing w:after="0" w:line="3" w:lineRule="exact"/>
        <w:rPr>
          <w:rFonts w:ascii="Arial" w:cs="Arial" w:eastAsia="Arial" w:hAnsi="Arial"/>
          <w:sz w:val="18"/>
          <w:szCs w:val="18"/>
          <w:color w:val="auto"/>
        </w:rPr>
      </w:pPr>
    </w:p>
    <w:p>
      <w:pPr>
        <w:jc w:val="both"/>
        <w:ind w:firstLine="8"/>
        <w:spacing w:after="0" w:line="252" w:lineRule="auto"/>
        <w:tabs>
          <w:tab w:leader="none" w:pos="367"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words “asset” and “property” shall be construed to have the same meaning and effect and to refer to any and all tangible and intangible assets and properties, including cash, Capital Stock, securities, revenues, accounts, leasehold interests and contract rights,</w:t>
      </w:r>
    </w:p>
    <w:p>
      <w:pPr>
        <w:jc w:val="both"/>
        <w:ind w:firstLine="8"/>
        <w:spacing w:after="0" w:line="281" w:lineRule="auto"/>
        <w:tabs>
          <w:tab w:leader="none" w:pos="291"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w:t>
      </w:r>
    </w:p>
    <w:p>
      <w:pPr>
        <w:spacing w:after="0" w:line="107" w:lineRule="exact"/>
        <w:rPr>
          <w:rFonts w:ascii="Arial" w:cs="Arial" w:eastAsia="Arial" w:hAnsi="Arial"/>
          <w:sz w:val="18"/>
          <w:szCs w:val="18"/>
          <w:color w:val="auto"/>
        </w:rPr>
      </w:pPr>
    </w:p>
    <w:p>
      <w:pPr>
        <w:jc w:val="both"/>
        <w:ind w:firstLine="1304"/>
        <w:spacing w:after="0" w:line="243" w:lineRule="auto"/>
        <w:tabs>
          <w:tab w:leader="none" w:pos="1737"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words “</w:t>
      </w:r>
      <w:r>
        <w:rPr>
          <w:rFonts w:ascii="Arial" w:cs="Arial" w:eastAsia="Arial" w:hAnsi="Arial"/>
          <w:sz w:val="20"/>
          <w:szCs w:val="20"/>
          <w:b w:val="1"/>
          <w:bCs w:val="1"/>
          <w:i w:val="1"/>
          <w:iCs w:val="1"/>
          <w:color w:val="auto"/>
        </w:rPr>
        <w:t>hereof</w:t>
      </w:r>
      <w:r>
        <w:rPr>
          <w:rFonts w:ascii="Arial" w:cs="Arial" w:eastAsia="Arial" w:hAnsi="Arial"/>
          <w:sz w:val="20"/>
          <w:szCs w:val="20"/>
          <w:color w:val="auto"/>
        </w:rPr>
        <w:t>,” “</w:t>
      </w:r>
      <w:r>
        <w:rPr>
          <w:rFonts w:ascii="Arial" w:cs="Arial" w:eastAsia="Arial" w:hAnsi="Arial"/>
          <w:sz w:val="20"/>
          <w:szCs w:val="20"/>
          <w:b w:val="1"/>
          <w:bCs w:val="1"/>
          <w:i w:val="1"/>
          <w:iCs w:val="1"/>
          <w:color w:val="auto"/>
        </w:rPr>
        <w:t>herein</w:t>
      </w:r>
      <w:r>
        <w:rPr>
          <w:rFonts w:ascii="Arial" w:cs="Arial" w:eastAsia="Arial" w:hAnsi="Arial"/>
          <w:sz w:val="20"/>
          <w:szCs w:val="20"/>
          <w:color w:val="auto"/>
        </w:rPr>
        <w:t>” and “</w:t>
      </w:r>
      <w:r>
        <w:rPr>
          <w:rFonts w:ascii="Arial" w:cs="Arial" w:eastAsia="Arial" w:hAnsi="Arial"/>
          <w:sz w:val="20"/>
          <w:szCs w:val="20"/>
          <w:b w:val="1"/>
          <w:bCs w:val="1"/>
          <w:i w:val="1"/>
          <w:iCs w:val="1"/>
          <w:color w:val="auto"/>
        </w:rPr>
        <w:t>hereunder</w:t>
      </w:r>
      <w:r>
        <w:rPr>
          <w:rFonts w:ascii="Arial" w:cs="Arial" w:eastAsia="Arial" w:hAnsi="Arial"/>
          <w:sz w:val="20"/>
          <w:szCs w:val="20"/>
          <w:color w:val="auto"/>
        </w:rPr>
        <w:t>”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spacing w:after="0" w:line="138" w:lineRule="exact"/>
        <w:rPr>
          <w:rFonts w:ascii="Arial" w:cs="Arial" w:eastAsia="Arial" w:hAnsi="Arial"/>
          <w:sz w:val="20"/>
          <w:szCs w:val="20"/>
          <w:color w:val="auto"/>
        </w:rPr>
      </w:pPr>
    </w:p>
    <w:p>
      <w:pPr>
        <w:ind w:right="20" w:firstLine="1304"/>
        <w:spacing w:after="0" w:line="287" w:lineRule="auto"/>
        <w:tabs>
          <w:tab w:leader="none" w:pos="1773"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98" w:lineRule="exact"/>
        <w:rPr>
          <w:rFonts w:ascii="Arial" w:cs="Arial" w:eastAsia="Arial" w:hAnsi="Arial"/>
          <w:sz w:val="19"/>
          <w:szCs w:val="19"/>
          <w:color w:val="auto"/>
        </w:rPr>
      </w:pPr>
    </w:p>
    <w:p>
      <w:pPr>
        <w:ind w:firstLine="1304"/>
        <w:spacing w:after="0" w:line="260" w:lineRule="auto"/>
        <w:tabs>
          <w:tab w:leader="none" w:pos="1776" w:val="left"/>
        </w:tabs>
        <w:numPr>
          <w:ilvl w:val="1"/>
          <w:numId w:val="76"/>
        </w:numPr>
        <w:rPr>
          <w:rFonts w:ascii="Arial" w:cs="Arial" w:eastAsia="Arial" w:hAnsi="Arial"/>
          <w:sz w:val="20"/>
          <w:szCs w:val="20"/>
          <w:color w:val="auto"/>
        </w:rPr>
      </w:pPr>
      <w:r>
        <w:rPr>
          <w:rFonts w:ascii="Arial" w:cs="Arial" w:eastAsia="Arial" w:hAnsi="Arial"/>
          <w:sz w:val="20"/>
          <w:szCs w:val="20"/>
          <w:color w:val="auto"/>
        </w:rPr>
        <w:t>Any reference in any Loan Document to a merger, transfer, consolidation, amalgamation, consolidation, assignment, sale, disposition or transfer, or similar term, shall be deemed to</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771" w:right="339" w:bottom="1440" w:gutter="0" w:footer="0" w:header="0"/>
        </w:sectPr>
      </w:pPr>
    </w:p>
    <w:bookmarkStart w:id="153" w:name="page154"/>
    <w:bookmarkEnd w:id="153"/>
    <w:p>
      <w:pPr>
        <w:jc w:val="both"/>
        <w:spacing w:after="0" w:line="257" w:lineRule="auto"/>
        <w:rPr>
          <w:sz w:val="20"/>
          <w:szCs w:val="20"/>
          <w:color w:val="auto"/>
        </w:rPr>
      </w:pPr>
      <w:r>
        <w:rPr>
          <w:rFonts w:ascii="Arial" w:cs="Arial" w:eastAsia="Arial" w:hAnsi="Arial"/>
          <w:sz w:val="19"/>
          <w:szCs w:val="19"/>
          <w:color w:val="auto"/>
        </w:rPr>
        <w:t>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1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1.3 Rounding</w:t>
      </w:r>
      <w:r>
        <w:rPr>
          <w:rFonts w:ascii="Arial" w:cs="Arial" w:eastAsia="Arial" w:hAnsi="Arial"/>
          <w:sz w:val="18"/>
          <w:szCs w:val="18"/>
          <w:color w:val="auto"/>
        </w:rPr>
        <w:t>. Any financial ratios required to be maintained by the Borrower pursuant to this Agreement shall be calculated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Exchange Rates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43" w:lineRule="auto"/>
        <w:tabs>
          <w:tab w:leader="none" w:pos="1754"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Administrative Agent or the Issuing Lender, as applicable, shall determine the Spot Rates as of each Revaluation Date to be used for calculating Dollar Equivalent amounts of Revolving Extensions of Credit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Issuing Lender, as applicable.</w:t>
      </w:r>
    </w:p>
    <w:p>
      <w:pPr>
        <w:spacing w:after="0" w:line="138" w:lineRule="exact"/>
        <w:rPr>
          <w:rFonts w:ascii="Arial" w:cs="Arial" w:eastAsia="Arial" w:hAnsi="Arial"/>
          <w:sz w:val="20"/>
          <w:szCs w:val="20"/>
          <w:color w:val="auto"/>
        </w:rPr>
      </w:pPr>
    </w:p>
    <w:p>
      <w:pPr>
        <w:jc w:val="both"/>
        <w:ind w:firstLine="1304"/>
        <w:spacing w:after="0" w:line="282" w:lineRule="auto"/>
        <w:tabs>
          <w:tab w:leader="none" w:pos="17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Wherever in this Agreement the issuance, amendment or extension of a Letter of Credit, an amount, such as a required minimum or multiple amount, is expressed in Dollars, but such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Issuing Lender, as the case may be.</w:t>
      </w:r>
    </w:p>
    <w:p>
      <w:pPr>
        <w:spacing w:after="0" w:line="10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8"/>
          <w:szCs w:val="18"/>
          <w:b w:val="1"/>
          <w:bCs w:val="1"/>
          <w:color w:val="auto"/>
        </w:rPr>
        <w:t>Alternative Currencies</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46" w:lineRule="auto"/>
        <w:tabs>
          <w:tab w:leader="none" w:pos="1728"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The Borrower may from time to time request that Letters of Credit be issued in a currency other than those specifically listed in the definition of “Alternative Currency”;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requested currency is a lawful currency that is readily available and freely transferable and convertible into Dollars, Any such request shall be subject to the approval of the Administrative Agent and the Issuing Lender.</w:t>
      </w:r>
    </w:p>
    <w:p>
      <w:pPr>
        <w:spacing w:after="0" w:line="137" w:lineRule="exact"/>
        <w:rPr>
          <w:rFonts w:ascii="Arial" w:cs="Arial" w:eastAsia="Arial" w:hAnsi="Arial"/>
          <w:sz w:val="20"/>
          <w:szCs w:val="20"/>
          <w:color w:val="auto"/>
        </w:rPr>
      </w:pPr>
    </w:p>
    <w:p>
      <w:pPr>
        <w:jc w:val="both"/>
        <w:ind w:firstLine="1304"/>
        <w:spacing w:after="0" w:line="260" w:lineRule="auto"/>
        <w:tabs>
          <w:tab w:leader="none" w:pos="173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such request shall be made to the Administrative Agent not later than 11:00 a.m., twenty (20) Business Days prior to the date of the desired Credit Extension (or such other time or date as may be agreed by the Administrative Agent and Issuing Lender, in their sole discretion). After receipt of such request, the Administrative Agent shall promptly notify the Issuing Lender thereof. The Issuing Lender shall notify the Administrative Agent, not later than ten (10) Business Days after receipt of such request whether it consents, in its sole discretion, to the issuance of Letters of Credit in such requested currency.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771" w:right="339" w:bottom="1440" w:gutter="0" w:footer="0" w:header="0"/>
        </w:sectPr>
      </w:pPr>
    </w:p>
    <w:bookmarkStart w:id="154" w:name="page155"/>
    <w:bookmarkEnd w:id="154"/>
    <w:p>
      <w:pPr>
        <w:jc w:val="both"/>
        <w:ind w:firstLine="1304"/>
        <w:spacing w:after="0" w:line="274" w:lineRule="auto"/>
        <w:tabs>
          <w:tab w:leader="none" w:pos="172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failure by the Issuing Lender to respond to such request within the time period specified in the preceding sentence shall be deemed to be a refusal by the Issuing Lender of Letters of Credit to be issued in such requested currency. If the Administrative Agent and the Issuing Lender consent to the issuance of Letters of Credit in such requested currency, the Administrative Agent shall so notify the Borrower and such currency shall thereupon be deemed for all purposes to be an Alternative Currency. If the Administrative Agent shall fail to obtain consent to any request for an additional currency under this Section 1.5, the Administrative Agent shall promptly so notify the Borrower.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114" w:lineRule="exact"/>
        <w:rPr>
          <w:rFonts w:ascii="Arial" w:cs="Arial" w:eastAsia="Arial" w:hAnsi="Arial"/>
          <w:sz w:val="18"/>
          <w:szCs w:val="18"/>
          <w:color w:val="auto"/>
        </w:rPr>
      </w:pPr>
    </w:p>
    <w:p>
      <w:pPr>
        <w:jc w:val="both"/>
        <w:ind w:firstLine="1304"/>
        <w:spacing w:after="0" w:line="250" w:lineRule="auto"/>
        <w:tabs>
          <w:tab w:leader="none" w:pos="1753" w:val="left"/>
        </w:tabs>
        <w:numPr>
          <w:ilvl w:val="0"/>
          <w:numId w:val="79"/>
        </w:numPr>
        <w:rPr>
          <w:rFonts w:ascii="Arial" w:cs="Arial" w:eastAsia="Arial" w:hAnsi="Arial"/>
          <w:sz w:val="20"/>
          <w:szCs w:val="20"/>
          <w:color w:val="auto"/>
        </w:rPr>
      </w:pPr>
      <w:r>
        <w:rPr>
          <w:rFonts w:ascii="Arial" w:cs="Arial" w:eastAsia="Arial" w:hAnsi="Arial"/>
          <w:sz w:val="20"/>
          <w:szCs w:val="20"/>
          <w:color w:val="auto"/>
        </w:rPr>
        <w:t>Each obligation of the Borrower to make a payment denominated in the national currency unit of any member state of the European Union that adopts the Euro as its lawful currency after the Original Closing Date shall be redenominated into Euro at the time of such adoption.</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792" w:val="left"/>
        </w:tabs>
        <w:numPr>
          <w:ilvl w:val="0"/>
          <w:numId w:val="79"/>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699" w:val="left"/>
        </w:tabs>
        <w:numPr>
          <w:ilvl w:val="0"/>
          <w:numId w:val="79"/>
        </w:numPr>
        <w:rPr>
          <w:rFonts w:ascii="Arial" w:cs="Arial" w:eastAsia="Arial" w:hAnsi="Arial"/>
          <w:sz w:val="20"/>
          <w:szCs w:val="20"/>
          <w:color w:val="auto"/>
        </w:rPr>
      </w:pPr>
      <w:r>
        <w:rPr>
          <w:rFonts w:ascii="Arial" w:cs="Arial" w:eastAsia="Arial" w:hAnsi="Arial"/>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2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1.6 Limited Condition Acquisitions</w:t>
      </w:r>
      <w:r>
        <w:rPr>
          <w:rFonts w:ascii="Arial" w:cs="Arial" w:eastAsia="Arial" w:hAnsi="Arial"/>
          <w:sz w:val="18"/>
          <w:szCs w:val="18"/>
          <w:color w:val="auto"/>
        </w:rPr>
        <w:t>. In connection with any action being taken in connection with a Limited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for purposes of determining compliance with any provision of this Agreement which requires the calculation of any financial ratio or metric, at the option of the Borrower (and, if the Borrower elects to exercise such option, such option shall be exercised on or prior to the date on which the definitive agreement for such Limited Condition Acquisition is executed) (the Borrower’s election to exercise such option in connection with any Limited Condition Acquisition, an “</w:t>
      </w:r>
      <w:r>
        <w:rPr>
          <w:rFonts w:ascii="Arial" w:cs="Arial" w:eastAsia="Arial" w:hAnsi="Arial"/>
          <w:sz w:val="18"/>
          <w:szCs w:val="18"/>
          <w:b w:val="1"/>
          <w:bCs w:val="1"/>
          <w:i w:val="1"/>
          <w:iCs w:val="1"/>
          <w:color w:val="auto"/>
        </w:rPr>
        <w:t>LCA Election</w:t>
      </w:r>
      <w:r>
        <w:rPr>
          <w:rFonts w:ascii="Arial" w:cs="Arial" w:eastAsia="Arial" w:hAnsi="Arial"/>
          <w:sz w:val="18"/>
          <w:szCs w:val="18"/>
          <w:color w:val="auto"/>
        </w:rPr>
        <w:t>”), then notwithstanding anything else to the contrary contained in this Agreement, the date of determination of whether any such action is permitted hereunder, shall be deemed to be the date the definitive agreements for such Limited Condition Acquisition are entered into (the “</w:t>
      </w:r>
      <w:r>
        <w:rPr>
          <w:rFonts w:ascii="Arial" w:cs="Arial" w:eastAsia="Arial" w:hAnsi="Arial"/>
          <w:sz w:val="18"/>
          <w:szCs w:val="18"/>
          <w:b w:val="1"/>
          <w:bCs w:val="1"/>
          <w:i w:val="1"/>
          <w:iCs w:val="1"/>
          <w:color w:val="auto"/>
        </w:rPr>
        <w:t>LCA Test Date</w:t>
      </w:r>
      <w:r>
        <w:rPr>
          <w:rFonts w:ascii="Arial" w:cs="Arial" w:eastAsia="Arial" w:hAnsi="Arial"/>
          <w:sz w:val="18"/>
          <w:szCs w:val="18"/>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most recent period of four fiscal quarters then ended prior to the LCA Test Date for which consolidated financial statements of the Borrower are available, the Borrower could have taken such action on the relevant LCA Test Date in compliance with such ratio or basket, such ratio or basket shall be deemed to have been complied with. If the Borrower has made an LCA Election for any Limited Condition Acquisition, then in connection with any subsequent calculation of any basket availability with respect to the incurrence of Indebtedness, the grant of Liens, or the making of Investments, Restricted Payments, Dispositions, mergers and consolidations or other transfer of all or substantially all of the assets of any Group Member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on a Pro Forma Basis assuming both that such Limited Condition Acquisition and other transactions in connection therewith (including any incurrence of Indebtedness and the use of proceeds thereof) have been consummated and have not been consummated.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771"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0"/>
          <w:szCs w:val="20"/>
          <w:b w:val="1"/>
          <w:bCs w:val="1"/>
          <w:color w:val="auto"/>
        </w:rPr>
        <w:t>SECTION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AMOUNT AND TERMS OF COMMITMENTS</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6"/>
          <w:szCs w:val="16"/>
          <w:b w:val="1"/>
          <w:bCs w:val="1"/>
          <w:color w:val="auto"/>
        </w:rPr>
        <w:t>Revolving Commitments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5" w:lineRule="auto"/>
        <w:tabs>
          <w:tab w:leader="none" w:pos="1803" w:val="left"/>
        </w:tabs>
        <w:numPr>
          <w:ilvl w:val="0"/>
          <w:numId w:val="80"/>
        </w:numPr>
        <w:rPr>
          <w:rFonts w:ascii="Arial" w:cs="Arial" w:eastAsia="Arial" w:hAnsi="Arial"/>
          <w:sz w:val="19"/>
          <w:szCs w:val="19"/>
          <w:color w:val="auto"/>
        </w:rPr>
      </w:pPr>
      <w:r>
        <w:rPr>
          <w:rFonts w:ascii="Arial" w:cs="Arial" w:eastAsia="Arial" w:hAnsi="Arial"/>
          <w:sz w:val="19"/>
          <w:szCs w:val="19"/>
          <w:color w:val="auto"/>
        </w:rPr>
        <w:t>Subject to the terms and conditions hereof, each Revolving Lender severally agrees to make revolving credit loans (each, a “</w:t>
      </w:r>
      <w:r>
        <w:rPr>
          <w:rFonts w:ascii="Arial" w:cs="Arial" w:eastAsia="Arial" w:hAnsi="Arial"/>
          <w:sz w:val="19"/>
          <w:szCs w:val="19"/>
          <w:b w:val="1"/>
          <w:bCs w:val="1"/>
          <w:i w:val="1"/>
          <w:iCs w:val="1"/>
          <w:color w:val="auto"/>
        </w:rPr>
        <w:t>Revolving Loan</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Revolving Loans</w:t>
      </w:r>
      <w:r>
        <w:rPr>
          <w:rFonts w:ascii="Arial" w:cs="Arial" w:eastAsia="Arial" w:hAnsi="Arial"/>
          <w:sz w:val="19"/>
          <w:szCs w:val="19"/>
          <w:color w:val="auto"/>
        </w:rPr>
        <w:t xml:space="preserve">”) to the Borrower from time to time during the Revolving Commitment Period in an aggregate principal amount at any one time outstanding which, when added to the aggregate outstanding amount of the Swingline Loans, the Dollar Equivalent of the aggregate undrawn amount of all outstanding Letters of Credit, and the Dollar Equivalent of the aggregate amount of all L/C Disbursements that have not yet been reimbursed or converted into Revolving Loans or Swingline Loans, incurred on behalf of the Borrower and owing to such Lender, does not exceed the amount of such Lender’s Revolving Commitment. In addition, such aggregate obligations shall not at any time exceed the Total Revolving Commitments in effect at such time. During the Revolving Commitment Period the Borrower may use the Revolving Commitments by borrowing, prepaying the Revolving Loans in whole or in part, and reborrowing, all in accordance with the terms and conditions hereof. The Revolving Loans may from time to time be Eurodollar Loans or ABR Loans, as determined by the Borrower and notified to the Administrative Agent in accordance with </w:t>
      </w:r>
      <w:r>
        <w:rPr>
          <w:rFonts w:ascii="Arial" w:cs="Arial" w:eastAsia="Arial" w:hAnsi="Arial"/>
          <w:sz w:val="19"/>
          <w:szCs w:val="19"/>
          <w:u w:val="single" w:color="auto"/>
          <w:color w:val="auto"/>
        </w:rPr>
        <w:t>Sections 2.5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2.13</w:t>
      </w:r>
      <w:r>
        <w:rPr>
          <w:rFonts w:ascii="Arial" w:cs="Arial" w:eastAsia="Arial" w:hAnsi="Arial"/>
          <w:sz w:val="19"/>
          <w:szCs w:val="19"/>
          <w:color w:val="auto"/>
        </w:rPr>
        <w:t>.</w:t>
      </w:r>
    </w:p>
    <w:p>
      <w:pPr>
        <w:spacing w:after="0" w:line="132" w:lineRule="exact"/>
        <w:rPr>
          <w:rFonts w:ascii="Arial" w:cs="Arial" w:eastAsia="Arial" w:hAnsi="Arial"/>
          <w:sz w:val="19"/>
          <w:szCs w:val="19"/>
          <w:color w:val="auto"/>
        </w:rPr>
      </w:pPr>
    </w:p>
    <w:p>
      <w:pPr>
        <w:jc w:val="both"/>
        <w:ind w:firstLine="1304"/>
        <w:spacing w:after="0" w:line="250" w:lineRule="auto"/>
        <w:tabs>
          <w:tab w:leader="none" w:pos="1832"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Borrower shall repay all outstanding Revolving Loans (including, without limitation, all Overadvances to the extent not previously repaid) on the Revolving Termination Date. All accrued and unpaid interest as well as the accrued and unpaid Letter of Credit Fees shall be repaid on the Closing Date.</w:t>
      </w:r>
    </w:p>
    <w:p>
      <w:pPr>
        <w:spacing w:after="0" w:line="12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2.5 Procedure for Revolving Loan Borrowing</w:t>
      </w:r>
      <w:r>
        <w:rPr>
          <w:rFonts w:ascii="Arial" w:cs="Arial" w:eastAsia="Arial" w:hAnsi="Arial"/>
          <w:sz w:val="18"/>
          <w:szCs w:val="18"/>
          <w:color w:val="auto"/>
        </w:rPr>
        <w:t>. The Borrower may borrow under the Revolving Commitments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Commitment Period on any Business Day;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Borrower shall give the Administrative Agent an irrevocable Notice of Borrowing (which must be received by the Administrative Agent prior to 10:00 A.M. (a) 3 Business Days prior to the requested Borrowing Date, in the case of Eurodollar Loans, or (b) 1 Business Day prior to the requested Borrowing Date, in the case of ABR Loans)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such Notice of Borrowing of ABR Loans under the Revolving Facility to finance payments under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may be given not later than 10:00 A.M. on the date of the proposed borrowing), in each such case specifying (i) the amount and Type of Revolving Loans to be borrowed, (ii) the requested Borrowing Date, (iii) in the case of Eurodollar Loans, the respective amounts of each such Type of Loan and the respective lengths of the initial Interest Period therefor, and (iv) instructions for remittance of the proceeds of the applicable Loans to be borrowed. Unless otherwise agreed by the Administrative Agent in its sole discretion, no Revolving Loan may be made as, converted into or continued as a Eurodollar Loan having an Interest Period in excess of 1 month prior to the date that is 30 days after the Closing Date. Each borrowing under the Revolving Commitments shall be in an amount equal to $1,000,000 or a whole multiple of $100,000 in excess thereof (or, if the then Available Revolving Commitments are less than $1,000,000, such lesser amount);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Swingline Lender may request, on behalf of the Borrower, borrowings under the Revolving Commitments that are ABR Loans in other amounts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Upon receipt of any such Notice of Borrowing from the Borrower, the Administrative Agent shall promptly notify each Revolving Lender thereof. Each Revolving Lender will make the amount of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each such borrowing available to the Administrative Agent for the account of the Borrower at the Revolving Loan Funding Office prior to 12:00 P.M. on the Borrowing Date requested by the Borrower in Same Day Funds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765" w:right="339" w:bottom="1440" w:gutter="0" w:footer="0" w:header="0"/>
        </w:sectPr>
      </w:pPr>
    </w:p>
    <w:bookmarkStart w:id="156" w:name="page157"/>
    <w:bookmarkEnd w:id="156"/>
    <w:p>
      <w:pPr>
        <w:jc w:val="both"/>
        <w:ind w:firstLine="648"/>
        <w:spacing w:after="0" w:line="270" w:lineRule="auto"/>
        <w:rPr>
          <w:sz w:val="20"/>
          <w:szCs w:val="20"/>
          <w:color w:val="auto"/>
        </w:rPr>
      </w:pPr>
      <w:r>
        <w:rPr>
          <w:rFonts w:ascii="Arial" w:cs="Arial" w:eastAsia="Arial" w:hAnsi="Arial"/>
          <w:sz w:val="18"/>
          <w:szCs w:val="18"/>
          <w:b w:val="1"/>
          <w:bCs w:val="1"/>
          <w:color w:val="auto"/>
        </w:rPr>
        <w:t>2.6 Swingline Commitment</w:t>
      </w:r>
      <w:r>
        <w:rPr>
          <w:rFonts w:ascii="Arial" w:cs="Arial" w:eastAsia="Arial" w:hAnsi="Arial"/>
          <w:sz w:val="18"/>
          <w:szCs w:val="18"/>
          <w:color w:val="auto"/>
        </w:rPr>
        <w:t>. Subject to the terms and conditions hereof, the Swingline Lender agrees to make available a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accommodations otherwise available to the Borrower under the Revolving Commitments from time to time during the Revolving Commitment Period by making swing line loans (each a “</w:t>
      </w:r>
      <w:r>
        <w:rPr>
          <w:rFonts w:ascii="Arial" w:cs="Arial" w:eastAsia="Arial" w:hAnsi="Arial"/>
          <w:sz w:val="18"/>
          <w:szCs w:val="18"/>
          <w:b w:val="1"/>
          <w:bCs w:val="1"/>
          <w:i w:val="1"/>
          <w:iCs w:val="1"/>
          <w:color w:val="auto"/>
        </w:rPr>
        <w:t>Swingline Loan</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Swingline Loans</w:t>
      </w:r>
      <w:r>
        <w:rPr>
          <w:rFonts w:ascii="Arial" w:cs="Arial" w:eastAsia="Arial" w:hAnsi="Arial"/>
          <w:sz w:val="18"/>
          <w:szCs w:val="18"/>
          <w:color w:val="auto"/>
        </w:rPr>
        <w:t xml:space="preserve">”) to the Borrower;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the aggregate principal amount of Swingline Loans outstanding at any time shall not exceed the Swingline Commitment then in effect, (b) the Borrower shall not request, and the Swingline Lender shall not make, any Swingline Loan if, after giving effect to the making of such Swingline Loan, the amount of the Available Revolving Commitments would be less than zero, and (c) the Borrower shall not use the proceeds of any Swingline Loan to refinance any then outstanding Swingline Loan. During the Revolving Commitment Period, the Borrower may use the Swingline Commitment by borrowing, repaying and reborrowing, all in accordance with the terms and conditions hereof. Swingline Loans shall be ABR Loans only. The Borrower shall repay to the Swingline Lender the then unpaid principal amount of each Swingline Loan on the Revolving Termination Date. The Swingline Lender shall not make a Swingline Loan during the period commencing at the time it has received notice (by telephone or in writing) from the Administrative Agent at the request of any Lender, acting in good faith, that one or more of the applicable conditions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5.2(c)</w:t>
      </w:r>
      <w:r>
        <w:rPr>
          <w:rFonts w:ascii="Arial" w:cs="Arial" w:eastAsia="Arial" w:hAnsi="Arial"/>
          <w:sz w:val="18"/>
          <w:szCs w:val="18"/>
          <w:color w:val="auto"/>
        </w:rPr>
        <w:t>) is not then satisfied and has had a reasonable opportunity to react to such notice and ending when such conditions are satisfied or duly waived.</w:t>
      </w:r>
    </w:p>
    <w:p>
      <w:pPr>
        <w:spacing w:after="0" w:line="11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6"/>
          <w:szCs w:val="16"/>
          <w:b w:val="1"/>
          <w:bCs w:val="1"/>
          <w:color w:val="auto"/>
        </w:rPr>
        <w:t>Procedure for Swingline Borrowing; Refunding of Swingline Loans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5" w:lineRule="auto"/>
        <w:tabs>
          <w:tab w:leader="none" w:pos="1886"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Whenever the Borrower desires that the Swingline Lender make Swingline Loans the Borrower shall give the Swingline Lender irrevocable telephonic notice (which telephonic notice must be received by the Swingline Lender not later than 12:00 P.M.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$500,000 or a whole multiple of $100,000 in excess thereof. Promptly thereafter, on the Borrowing Date specified in a notice in respect of Swingline Loans, the Swingline Lender shall make available to the Borrower an amount in Same Day Funds equal to the amount of the Swingline Loan to be made by depositing such amount in the account designated in writing to the Administrative Agent by the Borrower. Unless a Swingline Loan is sooner refinanced by the advance of a Revolving Loan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such Swingline Loan shall be repaid by the Borrower no later than 5 Business Days after the advance of such Swingline Loan.</w:t>
      </w:r>
    </w:p>
    <w:p>
      <w:pPr>
        <w:spacing w:after="0" w:line="135" w:lineRule="exact"/>
        <w:rPr>
          <w:rFonts w:ascii="Arial" w:cs="Arial" w:eastAsia="Arial" w:hAnsi="Arial"/>
          <w:sz w:val="19"/>
          <w:szCs w:val="19"/>
          <w:color w:val="auto"/>
        </w:rPr>
      </w:pPr>
    </w:p>
    <w:p>
      <w:pPr>
        <w:jc w:val="both"/>
        <w:ind w:firstLine="1304"/>
        <w:spacing w:after="0" w:line="271" w:lineRule="auto"/>
        <w:tabs>
          <w:tab w:leader="none" w:pos="181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Swingline Lender, at any time and from time to time in its sole and absolute discretion may, on behalf of the Borrower (which hereby irrevocably directs the Swingline Lender to act on its behalf), on 1 Business Day’s telephonic notice given by the Swingline Lender no later than 12:00 P.M.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Arial" w:cs="Arial" w:eastAsia="Arial" w:hAnsi="Arial"/>
          <w:sz w:val="18"/>
          <w:szCs w:val="18"/>
          <w:b w:val="1"/>
          <w:bCs w:val="1"/>
          <w:i w:val="1"/>
          <w:iCs w:val="1"/>
          <w:color w:val="auto"/>
        </w:rPr>
        <w:t>Refunded Swingline Loan</w:t>
      </w:r>
      <w:r>
        <w:rPr>
          <w:rFonts w:ascii="Arial" w:cs="Arial" w:eastAsia="Arial" w:hAnsi="Arial"/>
          <w:sz w:val="18"/>
          <w:szCs w:val="18"/>
          <w:color w:val="auto"/>
        </w:rPr>
        <w:t>”) outstanding on the date of such notice, to repay the Swingline Lender. Each Revolving Lender shall make the amount of such Revolving Loan available to the Administrative Agent at the Revolving Loan Funding Office in Same Day Funds, not later than 10:00 A.M. 1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w:t>
      </w:r>
    </w:p>
    <w:p>
      <w:pPr>
        <w:spacing w:after="0" w:line="115" w:lineRule="exact"/>
        <w:rPr>
          <w:rFonts w:ascii="Arial" w:cs="Arial" w:eastAsia="Arial" w:hAnsi="Arial"/>
          <w:sz w:val="18"/>
          <w:szCs w:val="18"/>
          <w:color w:val="auto"/>
        </w:rPr>
      </w:pPr>
    </w:p>
    <w:p>
      <w:pPr>
        <w:jc w:val="both"/>
        <w:ind w:firstLine="1304"/>
        <w:spacing w:after="0" w:line="263" w:lineRule="auto"/>
        <w:tabs>
          <w:tab w:leader="none" w:pos="1762"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If prior to the time that the Borrower has repaid the Swingline Loans pursuant to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or a Revolving Loan has been made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one of the events described in </w:t>
      </w:r>
      <w:r>
        <w:rPr>
          <w:rFonts w:ascii="Arial" w:cs="Arial" w:eastAsia="Arial" w:hAnsi="Arial"/>
          <w:sz w:val="19"/>
          <w:szCs w:val="19"/>
          <w:u w:val="single" w:color="auto"/>
          <w:color w:val="auto"/>
        </w:rPr>
        <w:t>Section 8.1(f)</w:t>
      </w:r>
      <w:r>
        <w:rPr>
          <w:rFonts w:ascii="Arial" w:cs="Arial" w:eastAsia="Arial" w:hAnsi="Arial"/>
          <w:sz w:val="19"/>
          <w:szCs w:val="19"/>
          <w:color w:val="auto"/>
        </w:rPr>
        <w:t xml:space="preserve"> shall have occurred or if for any other reason, as determined by the Swingline Lender in its sole discretion, Revolving Loans may not be made as contemplated by </w:t>
      </w:r>
      <w:r>
        <w:rPr>
          <w:rFonts w:ascii="Arial" w:cs="Arial" w:eastAsia="Arial" w:hAnsi="Arial"/>
          <w:sz w:val="19"/>
          <w:szCs w:val="19"/>
          <w:u w:val="single" w:color="auto"/>
          <w:color w:val="auto"/>
        </w:rPr>
        <w:t>Section 2.7(b)</w:t>
      </w:r>
      <w:r>
        <w:rPr>
          <w:rFonts w:ascii="Arial" w:cs="Arial" w:eastAsia="Arial" w:hAnsi="Arial"/>
          <w:sz w:val="19"/>
          <w:szCs w:val="19"/>
          <w:color w:val="auto"/>
        </w:rPr>
        <w:t>, each Revolving Lender shall, on the date such Revolving Loan was to have been made pursuant to the notice referred to in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765" w:right="339" w:bottom="1440" w:gutter="0" w:footer="0" w:header="0"/>
        </w:sectPr>
      </w:pPr>
    </w:p>
    <w:bookmarkStart w:id="157" w:name="page158"/>
    <w:bookmarkEnd w:id="157"/>
    <w:p>
      <w:pPr>
        <w:jc w:val="both"/>
        <w:spacing w:after="0" w:line="263" w:lineRule="auto"/>
        <w:rPr>
          <w:sz w:val="20"/>
          <w:szCs w:val="20"/>
          <w:color w:val="auto"/>
        </w:rPr>
      </w:pP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or on the date requested by the Swingline Lender (with at least 1 Business Day notice to the Revolving Lenders), purchase for cash an undivided participating interest in the then outstanding Swingline Loans by paying to the Swingline Lender an amount (the “</w:t>
      </w:r>
      <w:r>
        <w:rPr>
          <w:rFonts w:ascii="Arial" w:cs="Arial" w:eastAsia="Arial" w:hAnsi="Arial"/>
          <w:sz w:val="19"/>
          <w:szCs w:val="19"/>
          <w:b w:val="1"/>
          <w:bCs w:val="1"/>
          <w:i w:val="1"/>
          <w:iCs w:val="1"/>
          <w:color w:val="auto"/>
        </w:rPr>
        <w:t>Swingline Participation Amount</w:t>
      </w:r>
      <w:r>
        <w:rPr>
          <w:rFonts w:ascii="Arial" w:cs="Arial" w:eastAsia="Arial" w:hAnsi="Arial"/>
          <w:sz w:val="19"/>
          <w:szCs w:val="19"/>
          <w:color w:val="auto"/>
        </w:rPr>
        <w:t xml:space="preserve">”) equal to (i) such Revolving Lender’s Revolving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(ii) the sum of the aggregate principal amount of the outstanding Swingline Loans that were to have been repaid with such Revolving Loans.</w:t>
      </w:r>
    </w:p>
    <w:p>
      <w:pPr>
        <w:spacing w:after="0" w:line="122" w:lineRule="exact"/>
        <w:rPr>
          <w:sz w:val="20"/>
          <w:szCs w:val="20"/>
          <w:color w:val="auto"/>
        </w:rPr>
      </w:pPr>
    </w:p>
    <w:p>
      <w:pPr>
        <w:jc w:val="both"/>
        <w:ind w:firstLine="1304"/>
        <w:spacing w:after="0" w:line="274" w:lineRule="auto"/>
        <w:tabs>
          <w:tab w:leader="none" w:pos="17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the event that such payment received by the Swingline Lender is required to be returned, such Revolving Lender will return to the Swingline Lender any portion thereof previously distributed to it by the Swingline Lender.</w:t>
      </w:r>
    </w:p>
    <w:p>
      <w:pPr>
        <w:spacing w:after="0" w:line="114" w:lineRule="exact"/>
        <w:rPr>
          <w:rFonts w:ascii="Arial" w:cs="Arial" w:eastAsia="Arial" w:hAnsi="Arial"/>
          <w:sz w:val="18"/>
          <w:szCs w:val="18"/>
          <w:color w:val="auto"/>
        </w:rPr>
      </w:pPr>
    </w:p>
    <w:p>
      <w:pPr>
        <w:jc w:val="both"/>
        <w:ind w:firstLine="1304"/>
        <w:spacing w:after="0" w:line="274" w:lineRule="auto"/>
        <w:tabs>
          <w:tab w:leader="none" w:pos="1821"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Each Revolving Lender’s obligation to make the Loans referred to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and to purchase participating interests pursuant to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14" w:lineRule="exact"/>
        <w:rPr>
          <w:rFonts w:ascii="Arial" w:cs="Arial" w:eastAsia="Arial" w:hAnsi="Arial"/>
          <w:sz w:val="18"/>
          <w:szCs w:val="18"/>
          <w:color w:val="auto"/>
        </w:rPr>
      </w:pPr>
    </w:p>
    <w:p>
      <w:pPr>
        <w:jc w:val="both"/>
        <w:ind w:firstLine="1304"/>
        <w:spacing w:after="0" w:line="276" w:lineRule="auto"/>
        <w:tabs>
          <w:tab w:leader="none" w:pos="17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Swingline Lender may resign at any time by giving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w:t>
      </w:r>
    </w:p>
    <w:p>
      <w:pPr>
        <w:spacing w:after="0" w:line="1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6"/>
          <w:szCs w:val="16"/>
          <w:b w:val="1"/>
          <w:bCs w:val="1"/>
          <w:color w:val="auto"/>
        </w:rPr>
        <w:t>Overadvances</w:t>
      </w:r>
      <w:r>
        <w:rPr>
          <w:rFonts w:ascii="Arial" w:cs="Arial" w:eastAsia="Arial" w:hAnsi="Arial"/>
          <w:sz w:val="16"/>
          <w:szCs w:val="16"/>
          <w:color w:val="auto"/>
        </w:rPr>
        <w:t>.</w:t>
      </w:r>
    </w:p>
    <w:p>
      <w:pPr>
        <w:spacing w:after="0" w:line="16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If at any time or for any reason the aggregate amount of the Total Revolving Extensions of Credit exceeds the amount of the Total Revolving Commitments then in effect (any such excess, an “</w:t>
      </w:r>
      <w:r>
        <w:rPr>
          <w:rFonts w:ascii="Arial" w:cs="Arial" w:eastAsia="Arial" w:hAnsi="Arial"/>
          <w:sz w:val="19"/>
          <w:szCs w:val="19"/>
          <w:b w:val="1"/>
          <w:bCs w:val="1"/>
          <w:i w:val="1"/>
          <w:iCs w:val="1"/>
          <w:color w:val="auto"/>
        </w:rPr>
        <w:t>Overadvance</w:t>
      </w:r>
      <w:r>
        <w:rPr>
          <w:rFonts w:ascii="Arial" w:cs="Arial" w:eastAsia="Arial" w:hAnsi="Arial"/>
          <w:sz w:val="19"/>
          <w:szCs w:val="19"/>
          <w:color w:val="auto"/>
        </w:rPr>
        <w:t xml:space="preserve">”), the Borrower shall immediately pay the full amount of such Overadvance to the Administrative Agent, without notice or demand. Any prepayment of any Revolving Loan that is a Eurodollar Loan hereunder shall be subject to Borrower’s obligation to pay any amounts owing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w:t>
      </w:r>
    </w:p>
    <w:p>
      <w:pPr>
        <w:spacing w:after="0" w:line="19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91" w:lineRule="auto"/>
        <w:tabs>
          <w:tab w:leader="none" w:pos="171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Fee Letters</w:t>
      </w:r>
      <w:r>
        <w:rPr>
          <w:rFonts w:ascii="Arial" w:cs="Arial" w:eastAsia="Arial" w:hAnsi="Arial"/>
          <w:sz w:val="18"/>
          <w:szCs w:val="18"/>
          <w:color w:val="auto"/>
        </w:rPr>
        <w:t>. The Borrower agrees to pay to the Administrative Agent for the benefit of (x) the Administrative Agent for its own account, the fees in the amounts and on the dates as set forth in the Existing Fee Letter, and (y) the Lenders, the fees in the amounts and on the dates as set forth in the Fee Letter, and, in each case, to perform any other obligations contained therein.</w:t>
      </w:r>
    </w:p>
    <w:p>
      <w:pPr>
        <w:spacing w:after="0" w:line="97" w:lineRule="exact"/>
        <w:rPr>
          <w:rFonts w:ascii="Arial" w:cs="Arial" w:eastAsia="Arial" w:hAnsi="Arial"/>
          <w:sz w:val="18"/>
          <w:szCs w:val="18"/>
          <w:color w:val="auto"/>
        </w:rPr>
      </w:pPr>
    </w:p>
    <w:p>
      <w:pPr>
        <w:jc w:val="both"/>
        <w:ind w:firstLine="1304"/>
        <w:spacing w:after="0" w:line="250" w:lineRule="auto"/>
        <w:tabs>
          <w:tab w:leader="none" w:pos="190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Commitment Fee</w:t>
      </w:r>
      <w:r>
        <w:rPr>
          <w:rFonts w:ascii="Arial" w:cs="Arial" w:eastAsia="Arial" w:hAnsi="Arial"/>
          <w:sz w:val="20"/>
          <w:szCs w:val="20"/>
          <w:color w:val="auto"/>
        </w:rPr>
        <w:t>. As additional compensation for the Revolving Commitments, the Borrower shall pay to the Administrative Agent for the account of the Lenders, in arrears, on the last day of each calendar quarter prior to the Revolving Termination Date and on the Revolving Termination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771" w:right="339" w:bottom="1440" w:gutter="0" w:footer="0" w:header="0"/>
        </w:sectPr>
      </w:pPr>
    </w:p>
    <w:bookmarkStart w:id="158" w:name="page159"/>
    <w:bookmarkEnd w:id="158"/>
    <w:p>
      <w:pPr>
        <w:jc w:val="both"/>
        <w:spacing w:after="0" w:line="259" w:lineRule="auto"/>
        <w:rPr>
          <w:sz w:val="20"/>
          <w:szCs w:val="20"/>
          <w:color w:val="auto"/>
        </w:rPr>
      </w:pPr>
      <w:r>
        <w:rPr>
          <w:rFonts w:ascii="Arial" w:cs="Arial" w:eastAsia="Arial" w:hAnsi="Arial"/>
          <w:sz w:val="19"/>
          <w:szCs w:val="19"/>
          <w:color w:val="auto"/>
        </w:rPr>
        <w:t xml:space="preserve">Date, a fee for the Borrower’s non-use of available funds in an amount equal to the Commitment Fee Rate per annum multiplied by the </w:t>
      </w:r>
      <w:r>
        <w:rPr>
          <w:rFonts w:ascii="Arial" w:cs="Arial" w:eastAsia="Arial" w:hAnsi="Arial"/>
          <w:sz w:val="19"/>
          <w:szCs w:val="19"/>
          <w:u w:val="single" w:color="auto"/>
          <w:color w:val="auto"/>
        </w:rPr>
        <w:t>difference</w:t>
      </w:r>
      <w:r>
        <w:rPr>
          <w:rFonts w:ascii="Arial" w:cs="Arial" w:eastAsia="Arial" w:hAnsi="Arial"/>
          <w:sz w:val="19"/>
          <w:szCs w:val="19"/>
          <w:color w:val="auto"/>
        </w:rPr>
        <w:t xml:space="preserve"> between (x) the Total Revolving Commitments (as they may be reduced or increased from time to time) and (y) the sum of (A) the average for the period of the daily closing balance of the Revolving Loans outstanding excluding the aggregate principal amount of Swingline Loans which shall be deemed to be zero for purposes hereof, (B) the Dollar Equivalent of the aggregate undrawn amount of all Letters of Credit outstanding at such time and (C) the Dollar Equivalent of the aggregate amount of all L/C Disbursements that have not yet been reimbursed or converted into Revolving Loans or Swingline Loans at such time.</w:t>
      </w:r>
    </w:p>
    <w:p>
      <w:pPr>
        <w:spacing w:after="0" w:line="124" w:lineRule="exact"/>
        <w:rPr>
          <w:sz w:val="20"/>
          <w:szCs w:val="20"/>
          <w:color w:val="auto"/>
        </w:rPr>
      </w:pPr>
    </w:p>
    <w:p>
      <w:pPr>
        <w:ind w:left="1720" w:hanging="416"/>
        <w:spacing w:after="0"/>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Fees Nonrefundable</w:t>
      </w:r>
      <w:r>
        <w:rPr>
          <w:rFonts w:ascii="Arial" w:cs="Arial" w:eastAsia="Arial" w:hAnsi="Arial"/>
          <w:sz w:val="18"/>
          <w:szCs w:val="18"/>
          <w:color w:val="auto"/>
        </w:rPr>
        <w:t xml:space="preserve">. All fees payable under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be fully earned on the date paid and nonrefundable.</w:t>
      </w:r>
    </w:p>
    <w:p>
      <w:pPr>
        <w:spacing w:after="0" w:line="184" w:lineRule="exact"/>
        <w:rPr>
          <w:rFonts w:ascii="Arial" w:cs="Arial" w:eastAsia="Arial" w:hAnsi="Arial"/>
          <w:sz w:val="18"/>
          <w:szCs w:val="18"/>
          <w:color w:val="auto"/>
        </w:rPr>
      </w:pPr>
    </w:p>
    <w:p>
      <w:pPr>
        <w:ind w:firstLine="1304"/>
        <w:spacing w:after="0" w:line="260" w:lineRule="auto"/>
        <w:tabs>
          <w:tab w:leader="none" w:pos="1751"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Increase in Fees</w:t>
      </w:r>
      <w:r>
        <w:rPr>
          <w:rFonts w:ascii="Arial" w:cs="Arial" w:eastAsia="Arial" w:hAnsi="Arial"/>
          <w:sz w:val="20"/>
          <w:szCs w:val="20"/>
          <w:color w:val="auto"/>
        </w:rPr>
        <w:t>. At any time that an Event of Default exists, upon the request of the Required Lenders, the amount of any of the foregoing fees due under subsection (b) shall be increased by adding 2.0% per annum thereto.</w:t>
      </w:r>
    </w:p>
    <w:p>
      <w:pPr>
        <w:spacing w:after="0" w:line="1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6"/>
          <w:szCs w:val="16"/>
          <w:b w:val="1"/>
          <w:bCs w:val="1"/>
          <w:color w:val="auto"/>
        </w:rPr>
        <w:t>Termination or Reduction of Revolving Commitments; Prepayments</w:t>
      </w:r>
      <w:r>
        <w:rPr>
          <w:rFonts w:ascii="Arial" w:cs="Arial" w:eastAsia="Arial" w:hAnsi="Arial"/>
          <w:sz w:val="16"/>
          <w:szCs w:val="16"/>
          <w:color w:val="auto"/>
        </w:rPr>
        <w:t>.</w:t>
      </w:r>
    </w:p>
    <w:p>
      <w:pPr>
        <w:spacing w:after="0" w:line="16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 xml:space="preserve">The Borrower shall have the right, upon not less than 3 Business Days’ notice to the Administrative Agent, to terminate the Revolving Commitments or, from time to time, to reduce the amount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of the Revolving Commitments shall be permitted if, after giving effect thereto and to any prepayments of the Revolving Loans and Swingline Loans made on the effective date thereof, the Total Revolving Extensions of Credit then outstanding would exceed the Total Revolving Commitments then in effect. Any such reduction shall be in an amount equal to $1,000,000, or a whole multiple thereof (or, if the then Total Revolving Commitments are less than $1,000,000, such lesser amount), and shall reduce permanently the Revolving Commitments then in effect;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if in connection with any such reduction or termination of the Revolving Commitments a Eurodollar Loan is prepaid on any day other than the last day of the Interest Period applicable thereto, the Borrower shall also pay any amounts owing (if any)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The Borrower shall have the right, without penalty or premium, upon not less than 3 Business Days’ notice to the Administrative Agent, to terminate the L/C Commitments or, from time to time, to reduce the amount of the L/C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or reduction of L/C Commitments shall be permitted if, after giving effect thereto, the Total L/C Commitments shall be reduced to an amount that would result in the aggregate L/C Exposure exceeding the Total L/C Commitments (as so reduced). Any such reduction shall be in an amount equal to $1,000,000, or a whole multiple thereof (or, if the then Total L/C Commitments are less than $1,000,000, such lesser amount), and shall reduce permanently the L/C Commitments then in effect. The Borrower shall have the right, at any time and from time to time to prepay any Loan in whole or in part, upon not less than 3 Business Days’ notice to the Administrative Agent.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Revolving Loans shall be in an aggregate principal amount of $100,000 or a whole multiple thereof. Partial prepayments of Swingline Loans shall be in an aggregate principal amount of $100,000 or a whole multiple thereof.</w:t>
      </w:r>
    </w:p>
    <w:p>
      <w:pPr>
        <w:spacing w:after="0" w:line="12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6"/>
          <w:szCs w:val="16"/>
          <w:b w:val="1"/>
          <w:bCs w:val="1"/>
          <w:color w:val="auto"/>
        </w:rPr>
        <w:t>Conversion and Continuation Options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63" w:lineRule="auto"/>
        <w:tabs>
          <w:tab w:leader="none" w:pos="1774"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Borrower may elect from time to time to convert Eurodollar Loans to ABR Loans by giving the Administrative Agent prior irrevocable notice in a Notice of Conversion/Continuation of such election no later than 10:00 A.M. on the Business Day preceding the proposed conversion date;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such conversion of Eurodollar Loans may only be made on the last day of an Interest Period with respect thereto. The Borrower may elect from time to time to convert ABR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771" w:right="339" w:bottom="1440" w:gutter="0" w:footer="0" w:header="0"/>
        </w:sectPr>
      </w:pPr>
    </w:p>
    <w:bookmarkStart w:id="159" w:name="page160"/>
    <w:bookmarkEnd w:id="159"/>
    <w:p>
      <w:pPr>
        <w:jc w:val="both"/>
        <w:spacing w:after="0" w:line="282" w:lineRule="auto"/>
        <w:rPr>
          <w:sz w:val="20"/>
          <w:szCs w:val="20"/>
          <w:color w:val="auto"/>
        </w:rPr>
      </w:pPr>
      <w:r>
        <w:rPr>
          <w:rFonts w:ascii="Arial" w:cs="Arial" w:eastAsia="Arial" w:hAnsi="Arial"/>
          <w:sz w:val="18"/>
          <w:szCs w:val="18"/>
          <w:color w:val="auto"/>
        </w:rPr>
        <w:t xml:space="preserve">Loans to Eurodollar Loans by giving the Administrative Agent prior irrevocable notice in a Notice of Conversion/Continuation of such election no later than 10:00 A.M. on the third Business Day preceding the proposed conversion date (which notice shall specify the length of the initial Interest Period therefor);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ABR Loan may be converted into a Eurodollar Loan when any Event of Default has occurred and is continuing. Upon receipt of any such notice, the Administrative Agent shall promptly notify each relevant Lender thereof.</w:t>
      </w:r>
    </w:p>
    <w:p>
      <w:pPr>
        <w:spacing w:after="0" w:line="107" w:lineRule="exact"/>
        <w:rPr>
          <w:sz w:val="20"/>
          <w:szCs w:val="20"/>
          <w:color w:val="auto"/>
        </w:rPr>
      </w:pPr>
    </w:p>
    <w:p>
      <w:pPr>
        <w:jc w:val="both"/>
        <w:ind w:firstLine="1304"/>
        <w:spacing w:after="0" w:line="274" w:lineRule="auto"/>
        <w:tabs>
          <w:tab w:leader="none" w:pos="17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Eurodollar Loan may be continued as such upon the expiration of the then current Interest Period with respect thereto by the Borrower giving irrevocable notice in a Notice of Conversion/Continuation to the Administrative Agent, in accordance with the applicable provisions of the term “Interest Period”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length of the next Interest Period to be applicable to such Loans;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Eurodollar Loan may be continued as such when any Event of Default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1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2.14 Limitations on Eurodollar Tranches</w:t>
      </w:r>
      <w:r>
        <w:rPr>
          <w:rFonts w:ascii="Arial" w:cs="Arial" w:eastAsia="Arial" w:hAnsi="Arial"/>
          <w:sz w:val="20"/>
          <w:szCs w:val="20"/>
          <w:color w:val="auto"/>
        </w:rPr>
        <w:t>. Notwithstanding anything to the contrary in this Agreement, all borrowings,</w:t>
      </w:r>
      <w:r>
        <w:rPr>
          <w:rFonts w:ascii="Arial" w:cs="Arial" w:eastAsia="Arial" w:hAnsi="Arial"/>
          <w:sz w:val="20"/>
          <w:szCs w:val="20"/>
          <w:b w:val="1"/>
          <w:bCs w:val="1"/>
          <w:color w:val="auto"/>
        </w:rPr>
        <w:t xml:space="preserve"> </w:t>
      </w:r>
      <w:r>
        <w:rPr>
          <w:rFonts w:ascii="Arial" w:cs="Arial" w:eastAsia="Arial" w:hAnsi="Arial"/>
          <w:sz w:val="20"/>
          <w:szCs w:val="20"/>
          <w:color w:val="auto"/>
        </w:rPr>
        <w:t>conversions and continuations of Eurodollar Loans and all selections of Interest Periods shall be in such amounts and be made pursuant to such elections so that, (a) after giving effect thereto, the aggregate principal amount of the Eurodollar Loans comprising each Eurodollar Tranche shall be equal to $1,000,000 or a whole multiple of $100,000 in excess thereof, and (b) no more than seven (7) Eurodollar Tranches shall be outstanding at any one time.</w:t>
      </w:r>
    </w:p>
    <w:p>
      <w:pPr>
        <w:spacing w:after="0" w:line="13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6"/>
          <w:szCs w:val="16"/>
          <w:b w:val="1"/>
          <w:bCs w:val="1"/>
          <w:color w:val="auto"/>
        </w:rPr>
        <w:t>Interest Rates and Payment Dates</w:t>
      </w:r>
      <w:r>
        <w:rPr>
          <w:rFonts w:ascii="Arial" w:cs="Arial" w:eastAsia="Arial" w:hAnsi="Arial"/>
          <w:sz w:val="16"/>
          <w:szCs w:val="16"/>
          <w:color w:val="auto"/>
        </w:rPr>
        <w:t>.</w:t>
      </w:r>
    </w:p>
    <w:p>
      <w:pPr>
        <w:spacing w:after="0" w:line="168" w:lineRule="exact"/>
        <w:rPr>
          <w:sz w:val="20"/>
          <w:szCs w:val="20"/>
          <w:color w:val="auto"/>
        </w:rPr>
      </w:pPr>
    </w:p>
    <w:p>
      <w:pPr>
        <w:ind w:right="20" w:firstLine="1304"/>
        <w:spacing w:after="0" w:line="260" w:lineRule="auto"/>
        <w:tabs>
          <w:tab w:leader="none" w:pos="1803" w:val="left"/>
        </w:tabs>
        <w:numPr>
          <w:ilvl w:val="0"/>
          <w:numId w:val="87"/>
        </w:numPr>
        <w:rPr>
          <w:rFonts w:ascii="Arial" w:cs="Arial" w:eastAsia="Arial" w:hAnsi="Arial"/>
          <w:sz w:val="20"/>
          <w:szCs w:val="20"/>
          <w:color w:val="auto"/>
        </w:rPr>
      </w:pPr>
      <w:r>
        <w:rPr>
          <w:rFonts w:ascii="Arial" w:cs="Arial" w:eastAsia="Arial" w:hAnsi="Arial"/>
          <w:sz w:val="20"/>
          <w:szCs w:val="20"/>
          <w:color w:val="auto"/>
        </w:rPr>
        <w:t xml:space="preserve">Each Eurodollar Loan shall bear interest for each day during each Interest Period with respect thereto at a rate per annum equal to (i) the Eurodollar Rate determined for such day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Margin.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771" w:right="339" w:bottom="1440" w:gutter="0" w:footer="0" w:header="0"/>
        </w:sectPr>
      </w:pPr>
    </w:p>
    <w:bookmarkStart w:id="160" w:name="page161"/>
    <w:bookmarkEnd w:id="160"/>
    <w:p>
      <w:pPr>
        <w:ind w:right="20" w:firstLine="1304"/>
        <w:spacing w:after="0" w:line="260" w:lineRule="auto"/>
        <w:tabs>
          <w:tab w:leader="none" w:pos="1770"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Each ABR Loan (including any Swingline Loan) shall bear interest at a rate per annum equal to (i) the ABR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Margin.</w:t>
      </w:r>
    </w:p>
    <w:p>
      <w:pPr>
        <w:spacing w:after="0" w:line="122" w:lineRule="exact"/>
        <w:rPr>
          <w:rFonts w:ascii="Arial" w:cs="Arial" w:eastAsia="Arial" w:hAnsi="Arial"/>
          <w:sz w:val="20"/>
          <w:szCs w:val="20"/>
          <w:color w:val="auto"/>
        </w:rPr>
      </w:pPr>
    </w:p>
    <w:p>
      <w:pPr>
        <w:jc w:val="both"/>
        <w:ind w:firstLine="1304"/>
        <w:spacing w:after="0" w:line="263" w:lineRule="auto"/>
        <w:tabs>
          <w:tab w:leader="none" w:pos="1770"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During the existence of an Event of Default, at the request of the Required Lenders, all outstanding Loans shall bear interest at a rate per annum equal to the rate that would otherwise be applicable thereto pursuant to the foregoing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plus 2.00% (the “</w:t>
      </w:r>
      <w:r>
        <w:rPr>
          <w:rFonts w:ascii="Arial" w:cs="Arial" w:eastAsia="Arial" w:hAnsi="Arial"/>
          <w:sz w:val="19"/>
          <w:szCs w:val="19"/>
          <w:b w:val="1"/>
          <w:bCs w:val="1"/>
          <w:i w:val="1"/>
          <w:iCs w:val="1"/>
          <w:color w:val="auto"/>
        </w:rPr>
        <w:t>Default 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Default Rate shall apply to all outstanding Loans automatically and without any Required Lender consent therefor upon the occurrence of any Event of Default arising under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w:t>
      </w:r>
    </w:p>
    <w:p>
      <w:pPr>
        <w:spacing w:after="0" w:line="122" w:lineRule="exact"/>
        <w:rPr>
          <w:rFonts w:ascii="Arial" w:cs="Arial" w:eastAsia="Arial" w:hAnsi="Arial"/>
          <w:sz w:val="19"/>
          <w:szCs w:val="19"/>
          <w:color w:val="auto"/>
        </w:rPr>
      </w:pPr>
    </w:p>
    <w:p>
      <w:pPr>
        <w:ind w:firstLine="1304"/>
        <w:spacing w:after="0" w:line="260" w:lineRule="auto"/>
        <w:tabs>
          <w:tab w:leader="none" w:pos="1901"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Interest shall be payable in arrears on each Interest Payment Date;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interest accruing pursuant to </w:t>
      </w:r>
      <w:r>
        <w:rPr>
          <w:rFonts w:ascii="Arial" w:cs="Arial" w:eastAsia="Arial" w:hAnsi="Arial"/>
          <w:sz w:val="20"/>
          <w:szCs w:val="20"/>
          <w:u w:val="single" w:color="auto"/>
          <w:color w:val="auto"/>
        </w:rPr>
        <w:t>Section 2.15(c)</w:t>
      </w:r>
      <w:r>
        <w:rPr>
          <w:rFonts w:ascii="Arial" w:cs="Arial" w:eastAsia="Arial" w:hAnsi="Arial"/>
          <w:sz w:val="20"/>
          <w:szCs w:val="20"/>
          <w:color w:val="auto"/>
        </w:rPr>
        <w:t xml:space="preserve"> shall be payable from time to time on demand.</w:t>
      </w:r>
    </w:p>
    <w:p>
      <w:pPr>
        <w:spacing w:after="0" w:line="1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6"/>
          <w:szCs w:val="16"/>
          <w:b w:val="1"/>
          <w:bCs w:val="1"/>
          <w:color w:val="auto"/>
        </w:rPr>
        <w:t>Computation of Interest and Fees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8" w:lineRule="auto"/>
        <w:tabs>
          <w:tab w:leader="none" w:pos="173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Interest and fees payable pursuant hereto shall be calculated on the basis of a 360-day year for the actual days elapsed. The Administrative Agent shall as soon as practicable notify the Borrower and the relevant Lenders of each determination of a Eurodollar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10" w:lineRule="exact"/>
        <w:rPr>
          <w:rFonts w:ascii="Arial" w:cs="Arial" w:eastAsia="Arial" w:hAnsi="Arial"/>
          <w:sz w:val="18"/>
          <w:szCs w:val="18"/>
          <w:color w:val="auto"/>
        </w:rPr>
      </w:pPr>
    </w:p>
    <w:p>
      <w:pPr>
        <w:jc w:val="both"/>
        <w:ind w:firstLine="1304"/>
        <w:spacing w:after="0" w:line="246" w:lineRule="auto"/>
        <w:tabs>
          <w:tab w:leader="none" w:pos="1727"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13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8"/>
          <w:szCs w:val="18"/>
          <w:b w:val="1"/>
          <w:bCs w:val="1"/>
          <w:color w:val="auto"/>
        </w:rPr>
        <w:t>Inability to Determine Interest Rate</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68" w:lineRule="auto"/>
        <w:tabs>
          <w:tab w:leader="none" w:pos="1744"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prior to the first day of any Interest Period the Administrative Agent or the Required Lenders shall have determined (which determination shall be conclusive and binding upon the Borrower) in connection with any request for a Eurodollar Loan or a conversion to or a continuation thereof that, by reason of circumstances affecting the relevant market, (i) Dollar deposits are not being offered to banks in the London interbank market for the applicable amount and Interest Period of such requested Loan or conversion or continuation, as applicable, (ii) adequate and reasonable means do not exist for ascertaining the Eurodollar Rate for such Interest Period, or (iii) the Eurodollar Rate determined or to be determined for such Interest Period will not adequately and fairly reflect the cost to such Lenders (as conclusively certified by such Lenders) of making or maintaining their affected Loans during such Interest Period, then, in any such case (i),</w:t>
      </w:r>
    </w:p>
    <w:p>
      <w:pPr>
        <w:spacing w:after="0" w:line="4" w:lineRule="exact"/>
        <w:rPr>
          <w:rFonts w:ascii="Arial" w:cs="Arial" w:eastAsia="Arial" w:hAnsi="Arial"/>
          <w:sz w:val="18"/>
          <w:szCs w:val="18"/>
          <w:color w:val="auto"/>
        </w:rPr>
      </w:pPr>
    </w:p>
    <w:p>
      <w:pPr>
        <w:jc w:val="both"/>
        <w:ind w:firstLine="8"/>
        <w:spacing w:after="0" w:line="254" w:lineRule="auto"/>
        <w:tabs>
          <w:tab w:leader="none" w:pos="305" w:val="left"/>
        </w:tabs>
        <w:numPr>
          <w:ilvl w:val="0"/>
          <w:numId w:val="91"/>
        </w:numPr>
        <w:rPr>
          <w:rFonts w:ascii="Arial" w:cs="Arial" w:eastAsia="Arial" w:hAnsi="Arial"/>
          <w:sz w:val="19"/>
          <w:szCs w:val="19"/>
          <w:color w:val="auto"/>
        </w:rPr>
      </w:pPr>
      <w:r>
        <w:rPr>
          <w:rFonts w:ascii="Arial" w:cs="Arial" w:eastAsia="Arial" w:hAnsi="Arial"/>
          <w:sz w:val="19"/>
          <w:szCs w:val="19"/>
          <w:color w:val="auto"/>
        </w:rPr>
        <w:t>or (iii), the Administrative Agent shall promptly notify the Borrower and the relevant Lenders thereof as soon as practicable thereafter. Any such determination shall specify the basis for such determination and shall, in the absence of manifest error, be conclusive and binding for all purposes. Thereafter, (x) any Eurodollar Loans requested to be made on the first day of such Interest Period shall be made as ABR Loans, (y) any Loans that were to have been converted on the first day of such Interest Period to Eurodollar Loans shall be continued as ABR Loans and (z) any outstanding Eurodollar Loans shall be converted, on the last day of the then-current Interest Period, to ABR Loans. Until such notice has been withdrawn by the Administrative Agent, no further Eurodollar Loans shall be made or continued as such, nor shall the Borrower have the right to convert Loans to Eurodollar Loans.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771" w:right="339" w:bottom="1440" w:gutter="0" w:footer="0" w:header="0"/>
        </w:sectPr>
      </w:pPr>
    </w:p>
    <w:bookmarkStart w:id="161" w:name="page162"/>
    <w:bookmarkEnd w:id="161"/>
    <w:p>
      <w:pPr>
        <w:ind w:left="1740" w:hanging="436"/>
        <w:spacing w:after="0"/>
        <w:tabs>
          <w:tab w:leader="none" w:pos="174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Benchmark Replacement Setting</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2180" w:hanging="228"/>
        <w:spacing w:after="0"/>
        <w:tabs>
          <w:tab w:leader="none" w:pos="2180" w:val="left"/>
        </w:tabs>
        <w:numPr>
          <w:ilvl w:val="1"/>
          <w:numId w:val="92"/>
        </w:numPr>
        <w:rPr>
          <w:rFonts w:ascii="Arial" w:cs="Arial" w:eastAsia="Arial" w:hAnsi="Arial"/>
          <w:sz w:val="20"/>
          <w:szCs w:val="20"/>
          <w:color w:val="auto"/>
        </w:rPr>
      </w:pPr>
      <w:r>
        <w:rPr>
          <w:rFonts w:ascii="Arial" w:cs="Arial" w:eastAsia="Arial" w:hAnsi="Arial"/>
          <w:sz w:val="20"/>
          <w:szCs w:val="20"/>
          <w:color w:val="auto"/>
        </w:rPr>
        <w:t>Benchmark Replacement.</w:t>
      </w:r>
    </w:p>
    <w:p>
      <w:pPr>
        <w:spacing w:after="0" w:line="242" w:lineRule="exact"/>
        <w:rPr>
          <w:rFonts w:ascii="Arial" w:cs="Arial" w:eastAsia="Arial" w:hAnsi="Arial"/>
          <w:sz w:val="20"/>
          <w:szCs w:val="20"/>
          <w:color w:val="auto"/>
        </w:rPr>
      </w:pPr>
    </w:p>
    <w:p>
      <w:pPr>
        <w:jc w:val="both"/>
        <w:ind w:firstLine="2600"/>
        <w:spacing w:after="0" w:line="270" w:lineRule="auto"/>
        <w:tabs>
          <w:tab w:leader="none" w:pos="3256" w:val="left"/>
        </w:tabs>
        <w:numPr>
          <w:ilvl w:val="2"/>
          <w:numId w:val="92"/>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(and any Swap Agreement shall be deemed not to be a "Loan Document" for purposes of this Section titled “</w:t>
      </w:r>
      <w:r>
        <w:rPr>
          <w:rFonts w:ascii="Arial" w:cs="Arial" w:eastAsia="Arial" w:hAnsi="Arial"/>
          <w:sz w:val="18"/>
          <w:szCs w:val="18"/>
          <w:b w:val="1"/>
          <w:bCs w:val="1"/>
          <w:i w:val="1"/>
          <w:iCs w:val="1"/>
          <w:color w:val="auto"/>
        </w:rPr>
        <w:t>Benchmark Replacement Setting</w:t>
      </w:r>
      <w:r>
        <w:rPr>
          <w:rFonts w:ascii="Arial" w:cs="Arial" w:eastAsia="Arial" w:hAnsi="Arial"/>
          <w:sz w:val="18"/>
          <w:szCs w:val="18"/>
          <w:color w:val="auto"/>
        </w:rPr>
        <w:t>”), if a Benchmark Transition Event or an Early Opt-in Election, as applicable, and its related Benchmark Replacement Date have occurred prior to the Reference Time in respect of any setting of the then-current Benchmark, then (1) if a Benchmark Replacement is determined in accordance with clause (a)(i) or (a)(ii)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(2) if a Benchmark Replacement is determined in accordance with clause (a)(iii)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9" w:lineRule="exact"/>
        <w:rPr>
          <w:rFonts w:ascii="Arial" w:cs="Arial" w:eastAsia="Arial" w:hAnsi="Arial"/>
          <w:sz w:val="18"/>
          <w:szCs w:val="18"/>
          <w:color w:val="auto"/>
        </w:rPr>
      </w:pPr>
    </w:p>
    <w:p>
      <w:pPr>
        <w:jc w:val="both"/>
        <w:ind w:firstLine="2600"/>
        <w:spacing w:after="0" w:line="257" w:lineRule="auto"/>
        <w:tabs>
          <w:tab w:leader="none" w:pos="3136" w:val="left"/>
        </w:tabs>
        <w:numPr>
          <w:ilvl w:val="2"/>
          <w:numId w:val="92"/>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(B) shall not be effective unless the Administrative Agent has delivered to the Lenders and the Borrower a Term SOFR Notice. For the avoidance of doubt, the Administrative Agent shall not be required to deliver a Term SOFR Notice after a Term SOFR Transition Event and may do so in its sole discretion.</w:t>
      </w:r>
    </w:p>
    <w:p>
      <w:pPr>
        <w:spacing w:after="0" w:line="207" w:lineRule="exact"/>
        <w:rPr>
          <w:sz w:val="20"/>
          <w:szCs w:val="20"/>
          <w:color w:val="auto"/>
        </w:rPr>
      </w:pPr>
    </w:p>
    <w:p>
      <w:pPr>
        <w:jc w:val="both"/>
        <w:ind w:firstLine="1304"/>
        <w:spacing w:after="0" w:line="282" w:lineRule="auto"/>
        <w:tabs>
          <w:tab w:leader="none" w:pos="176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07" w:lineRule="exact"/>
        <w:rPr>
          <w:rFonts w:ascii="Arial" w:cs="Arial" w:eastAsia="Arial" w:hAnsi="Arial"/>
          <w:sz w:val="18"/>
          <w:szCs w:val="18"/>
          <w:color w:val="auto"/>
        </w:rPr>
      </w:pPr>
    </w:p>
    <w:p>
      <w:pPr>
        <w:jc w:val="both"/>
        <w:ind w:firstLine="1304"/>
        <w:spacing w:after="0" w:line="255" w:lineRule="auto"/>
        <w:tabs>
          <w:tab w:leader="none" w:pos="185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xml:space="preserve">. The Administrative Agent will promptly notify the Borrower and the Lenders of (A) any occurrence of a Benchmark Transition Event, a Term SOFR Transition Event, or an Early Opt-in Election, as applicable, and its related Benchmark Replacement Date, (B) the implementation of any Benchmark Replacement, (C) the effectiveness of any Benchmark Replacement Conforming Changes, (D) the removal or reinstatement of any tenor of a Benchmark pursuant to clause (iv) below and (E)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19"/>
          <w:szCs w:val="19"/>
          <w:u w:val="single" w:color="auto"/>
          <w:color w:val="auto"/>
        </w:rPr>
        <w:t>Section 2.17(b)</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2.17(b)</w:t>
      </w:r>
      <w:r>
        <w:rPr>
          <w:rFonts w:ascii="Arial" w:cs="Arial" w:eastAsia="Arial" w:hAnsi="Arial"/>
          <w:sz w:val="19"/>
          <w:szCs w:val="19"/>
          <w:color w:val="auto"/>
        </w:rPr>
        <w: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771" w:right="339" w:bottom="1440" w:gutter="0" w:footer="0" w:header="0"/>
        </w:sectPr>
      </w:pPr>
    </w:p>
    <w:bookmarkStart w:id="162" w:name="page163"/>
    <w:bookmarkEnd w:id="162"/>
    <w:p>
      <w:pPr>
        <w:jc w:val="both"/>
        <w:ind w:firstLine="1304"/>
        <w:spacing w:after="0" w:line="271" w:lineRule="auto"/>
        <w:tabs>
          <w:tab w:leader="none" w:pos="195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Notwithstanding anything to the contrary herein or in any other Loan Document, at any time (including in connection with the implementation of a Benchmark Replacement), (A) if the then current Benchmark is a term rate (including Term SOFR or LIBOR)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15" w:lineRule="exact"/>
        <w:rPr>
          <w:rFonts w:ascii="Arial" w:cs="Arial" w:eastAsia="Arial" w:hAnsi="Arial"/>
          <w:sz w:val="18"/>
          <w:szCs w:val="18"/>
          <w:color w:val="auto"/>
        </w:rPr>
      </w:pPr>
    </w:p>
    <w:p>
      <w:pPr>
        <w:jc w:val="both"/>
        <w:ind w:firstLine="1304"/>
        <w:spacing w:after="0" w:line="246" w:lineRule="auto"/>
        <w:tabs>
          <w:tab w:leader="none" w:pos="1859"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xml:space="preserve"> Upon the Borrower’s receipt of notice of the commencement of a Benchmark Unavailability Period, the Borrower may revoke any request for a borrowing of, conversion to or continuation of Eurodollar Loans to be made, converted or continued during any Benchmark Unavailability Period and, failing that, the Borrower will be deemed to have converted any such request into a request for a borrowing of or conversion to ABR Loans.</w:t>
      </w:r>
    </w:p>
    <w:p>
      <w:pPr>
        <w:spacing w:after="0" w:line="137" w:lineRule="exact"/>
        <w:rPr>
          <w:sz w:val="20"/>
          <w:szCs w:val="20"/>
          <w:color w:val="auto"/>
        </w:rPr>
      </w:pPr>
    </w:p>
    <w:p>
      <w:pPr>
        <w:jc w:val="both"/>
        <w:ind w:firstLine="1304"/>
        <w:spacing w:after="0" w:line="257" w:lineRule="auto"/>
        <w:tabs>
          <w:tab w:leader="none" w:pos="1835"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Exculpation</w:t>
      </w:r>
      <w:r>
        <w:rPr>
          <w:rFonts w:ascii="Arial" w:cs="Arial" w:eastAsia="Arial" w:hAnsi="Arial"/>
          <w:sz w:val="19"/>
          <w:szCs w:val="19"/>
          <w:color w:val="auto"/>
        </w:rPr>
        <w:t xml:space="preserve">. The Administrative Agent does not warrant or accept any responsibility for, and shall not have any liability with respect to, the administration, submission or any other matter related to LIBOR, other rates in the definition of “Eurodollar Rate” or with respect to any alternative or successor rate thereto, or replacement rate thereof (including, without limitation, (i) any such alternative, successor or replacement rate implemented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whether upon the occurrence of a Benchmark Transition Event or an Early Opt-in Election, and (ii) the implementation of any Benchmark Replacement Conforming Changes, including without limitation, whether the composition or characteristics of any such alternative, successor or replacement reference rate will be similar to, or produce the same value or economic equivalence of, the Eurodollar Rate or have the same volume or liquidity as did the London interbank offered rate prior to its discontinuance or unavailability).</w:t>
      </w:r>
    </w:p>
    <w:p>
      <w:pPr>
        <w:spacing w:after="0" w:line="1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6"/>
          <w:szCs w:val="16"/>
          <w:b w:val="1"/>
          <w:bCs w:val="1"/>
          <w:color w:val="auto"/>
        </w:rPr>
        <w:t>Pro Rata Treatment and Payments</w:t>
      </w:r>
      <w:r>
        <w:rPr>
          <w:rFonts w:ascii="Arial" w:cs="Arial" w:eastAsia="Arial" w:hAnsi="Arial"/>
          <w:sz w:val="16"/>
          <w:szCs w:val="16"/>
          <w:color w:val="auto"/>
        </w:rPr>
        <w:t>.</w:t>
      </w:r>
    </w:p>
    <w:p>
      <w:pPr>
        <w:spacing w:after="0" w:line="168" w:lineRule="exact"/>
        <w:rPr>
          <w:sz w:val="20"/>
          <w:szCs w:val="20"/>
          <w:color w:val="auto"/>
        </w:rPr>
      </w:pPr>
    </w:p>
    <w:p>
      <w:pPr>
        <w:jc w:val="both"/>
        <w:ind w:right="20" w:firstLine="1304"/>
        <w:spacing w:after="0" w:line="250" w:lineRule="auto"/>
        <w:tabs>
          <w:tab w:leader="none" w:pos="1837"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Each borrowing by the Borrower from the Lenders hereunder, each payment by the Borrower on account of any commitment fee and any reduction of the Commitments shall be made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according to the respective L/C Percentages or Revolving Percentages, as the case may be, of the relevant Lenders.</w:t>
      </w:r>
    </w:p>
    <w:p>
      <w:pPr>
        <w:spacing w:after="0" w:line="131" w:lineRule="exact"/>
        <w:rPr>
          <w:rFonts w:ascii="Arial" w:cs="Arial" w:eastAsia="Arial" w:hAnsi="Arial"/>
          <w:sz w:val="20"/>
          <w:szCs w:val="20"/>
          <w:color w:val="auto"/>
        </w:rPr>
      </w:pPr>
    </w:p>
    <w:p>
      <w:pPr>
        <w:ind w:left="1740" w:hanging="436"/>
        <w:spacing w:after="0"/>
        <w:tabs>
          <w:tab w:leader="none" w:pos="17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7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Each payment (including each prepayment) by the Borrower on account of principal of and interest on the Revolving Loans shall be made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according to the respective outstanding principal amounts of the Revolving Loans then held by the Revolving Lenders.</w:t>
      </w:r>
    </w:p>
    <w:p>
      <w:pPr>
        <w:spacing w:after="0" w:line="131" w:lineRule="exact"/>
        <w:rPr>
          <w:rFonts w:ascii="Arial" w:cs="Arial" w:eastAsia="Arial" w:hAnsi="Arial"/>
          <w:sz w:val="20"/>
          <w:szCs w:val="20"/>
          <w:color w:val="auto"/>
        </w:rPr>
      </w:pPr>
    </w:p>
    <w:p>
      <w:pPr>
        <w:jc w:val="both"/>
        <w:ind w:firstLine="1304"/>
        <w:spacing w:after="0" w:line="256" w:lineRule="auto"/>
        <w:tabs>
          <w:tab w:leader="none" w:pos="1716" w:val="left"/>
        </w:tabs>
        <w:numPr>
          <w:ilvl w:val="0"/>
          <w:numId w:val="96"/>
        </w:numPr>
        <w:rPr>
          <w:rFonts w:ascii="Arial" w:cs="Arial" w:eastAsia="Arial" w:hAnsi="Arial"/>
          <w:sz w:val="19"/>
          <w:szCs w:val="19"/>
          <w:color w:val="auto"/>
        </w:rPr>
      </w:pPr>
      <w:r>
        <w:rPr>
          <w:rFonts w:ascii="Arial" w:cs="Arial" w:eastAsia="Arial" w:hAnsi="Arial"/>
          <w:sz w:val="19"/>
          <w:szCs w:val="19"/>
          <w:color w:val="auto"/>
        </w:rPr>
        <w:t>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applicable Funding Office, in Dollars (except as otherwise provided herein with respect to Letters of Credit denominated in an Alternative Currency) and in Same Day Funds. If, for any reason, the Borrower is prohibited by any Law from making any required payment hereunder in an Alternative Currency, the Borrower shall make such payment in Dollars in the Dollar Equivalent of the Alternative Currency payment amount. The Administrative Agent shall distribute such payments to the Lenders promptly upon receipt in like funds as received. Any payment in Dollars received by the Administrative Agent after 10:00 A.M. shall be deemed received on the next succeeding Business Day and any applicable interest or fee shall continue to accrue.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771" w:right="339" w:bottom="1440" w:gutter="0" w:footer="0" w:header="0"/>
        </w:sectPr>
      </w:pPr>
    </w:p>
    <w:bookmarkStart w:id="163" w:name="page164"/>
    <w:bookmarkEnd w:id="163"/>
    <w:p>
      <w:pPr>
        <w:jc w:val="both"/>
        <w:spacing w:after="0" w:line="273" w:lineRule="auto"/>
        <w:rPr>
          <w:sz w:val="20"/>
          <w:szCs w:val="20"/>
          <w:color w:val="auto"/>
        </w:rPr>
      </w:pPr>
      <w:r>
        <w:rPr>
          <w:rFonts w:ascii="Arial" w:cs="Arial" w:eastAsia="Arial" w:hAnsi="Arial"/>
          <w:sz w:val="18"/>
          <w:szCs w:val="18"/>
          <w:color w:val="auto"/>
        </w:rPr>
        <w:t>All payments received by the Administrative Agent after the Applicable Time specified by the Administrative Agent, in the case of payments in an Alternative Currency, shall in each case be deemed received on the next succeeding Business Day and any applicable interest or fee shall continue to accrue. If any payment hereunder (other than payments on the Eurodollar Loans) becomes due and payable on 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14" w:lineRule="exact"/>
        <w:rPr>
          <w:sz w:val="20"/>
          <w:szCs w:val="20"/>
          <w:color w:val="auto"/>
        </w:rPr>
      </w:pPr>
    </w:p>
    <w:p>
      <w:pPr>
        <w:jc w:val="both"/>
        <w:ind w:firstLine="1304"/>
        <w:spacing w:after="0" w:line="269" w:lineRule="auto"/>
        <w:tabs>
          <w:tab w:leader="none" w:pos="177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24" w:lineRule="exact"/>
        <w:rPr>
          <w:rFonts w:ascii="Arial" w:cs="Arial" w:eastAsia="Arial" w:hAnsi="Arial"/>
          <w:sz w:val="18"/>
          <w:szCs w:val="18"/>
          <w:color w:val="auto"/>
        </w:rPr>
      </w:pPr>
    </w:p>
    <w:p>
      <w:pPr>
        <w:jc w:val="both"/>
        <w:ind w:firstLine="1304"/>
        <w:spacing w:after="0" w:line="272" w:lineRule="auto"/>
        <w:tabs>
          <w:tab w:leader="none" w:pos="1719"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w:t>
      </w:r>
    </w:p>
    <w:p>
      <w:pPr>
        <w:spacing w:after="0" w:line="116" w:lineRule="exact"/>
        <w:rPr>
          <w:rFonts w:ascii="Arial" w:cs="Arial" w:eastAsia="Arial" w:hAnsi="Arial"/>
          <w:sz w:val="18"/>
          <w:szCs w:val="18"/>
          <w:color w:val="auto"/>
        </w:rPr>
      </w:pPr>
    </w:p>
    <w:p>
      <w:pPr>
        <w:jc w:val="both"/>
        <w:ind w:firstLine="1304"/>
        <w:spacing w:after="0" w:line="282" w:lineRule="auto"/>
        <w:tabs>
          <w:tab w:leader="none" w:pos="17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If any Lender makes available to the Administrative Agent funds for any Loan to be made by such Lender as provided in the foregoing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such funds are not made available to the Borrower by the Administrative Agent because the conditions to the applicable extension of credit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07" w:lineRule="exact"/>
        <w:rPr>
          <w:rFonts w:ascii="Arial" w:cs="Arial" w:eastAsia="Arial" w:hAnsi="Arial"/>
          <w:sz w:val="18"/>
          <w:szCs w:val="18"/>
          <w:color w:val="auto"/>
        </w:rPr>
      </w:pPr>
    </w:p>
    <w:p>
      <w:pPr>
        <w:jc w:val="both"/>
        <w:ind w:firstLine="1304"/>
        <w:spacing w:after="0" w:line="250" w:lineRule="auto"/>
        <w:tabs>
          <w:tab w:leader="none" w:pos="1724"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obligations of the Lenders hereunder to (i) make Revolving Loans, (ii) fund its participations in L/C Disbursements in accordance with its respective L/C Percentage, (iii) fund its respective Swingline Participation Amount of any Swingline Loan, and (iv) make payments pursuant to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771" w:right="339" w:bottom="1440" w:gutter="0" w:footer="0" w:header="0"/>
        </w:sectPr>
      </w:pPr>
    </w:p>
    <w:bookmarkStart w:id="164" w:name="page165"/>
    <w:bookmarkEnd w:id="164"/>
    <w:p>
      <w:pPr>
        <w:jc w:val="both"/>
        <w:spacing w:after="0" w:line="246" w:lineRule="auto"/>
        <w:rPr>
          <w:sz w:val="20"/>
          <w:szCs w:val="20"/>
          <w:color w:val="auto"/>
        </w:rPr>
      </w:pPr>
      <w:r>
        <w:rPr>
          <w:rFonts w:ascii="Arial" w:cs="Arial" w:eastAsia="Arial" w:hAnsi="Arial"/>
          <w:sz w:val="20"/>
          <w:szCs w:val="20"/>
          <w:u w:val="single" w:color="auto"/>
          <w:color w:val="auto"/>
        </w:rPr>
        <w:t>Section 9.7</w:t>
      </w:r>
      <w:r>
        <w:rPr>
          <w:rFonts w:ascii="Arial" w:cs="Arial" w:eastAsia="Arial" w:hAnsi="Arial"/>
          <w:sz w:val="20"/>
          <w:szCs w:val="20"/>
          <w:color w:val="auto"/>
        </w:rPr>
        <w:t xml:space="preserve">, as applicable, are several and not joint. The failure of any Lender to make any such Loan, to fund any such participation or to make any such payment under </w:t>
      </w:r>
      <w:r>
        <w:rPr>
          <w:rFonts w:ascii="Arial" w:cs="Arial" w:eastAsia="Arial" w:hAnsi="Arial"/>
          <w:sz w:val="20"/>
          <w:szCs w:val="20"/>
          <w:u w:val="single" w:color="auto"/>
          <w:color w:val="auto"/>
        </w:rPr>
        <w:t>Section 9.7</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0"/>
          <w:szCs w:val="20"/>
          <w:u w:val="single" w:color="auto"/>
          <w:color w:val="auto"/>
        </w:rPr>
        <w:t>Section 9.7</w:t>
      </w:r>
      <w:r>
        <w:rPr>
          <w:rFonts w:ascii="Arial" w:cs="Arial" w:eastAsia="Arial" w:hAnsi="Arial"/>
          <w:sz w:val="20"/>
          <w:szCs w:val="20"/>
          <w:color w:val="auto"/>
        </w:rPr>
        <w:t>.</w:t>
      </w:r>
    </w:p>
    <w:p>
      <w:pPr>
        <w:spacing w:after="0" w:line="137" w:lineRule="exact"/>
        <w:rPr>
          <w:sz w:val="20"/>
          <w:szCs w:val="20"/>
          <w:color w:val="auto"/>
        </w:rPr>
      </w:pPr>
    </w:p>
    <w:p>
      <w:pPr>
        <w:jc w:val="both"/>
        <w:ind w:firstLine="1304"/>
        <w:spacing w:after="0" w:line="250" w:lineRule="auto"/>
        <w:tabs>
          <w:tab w:leader="none" w:pos="1775" w:val="left"/>
        </w:tabs>
        <w:numPr>
          <w:ilvl w:val="1"/>
          <w:numId w:val="98"/>
        </w:numPr>
        <w:rPr>
          <w:rFonts w:ascii="Arial" w:cs="Arial" w:eastAsia="Arial" w:hAnsi="Arial"/>
          <w:sz w:val="20"/>
          <w:szCs w:val="20"/>
          <w:color w:val="auto"/>
        </w:rPr>
      </w:pPr>
      <w:r>
        <w:rPr>
          <w:rFonts w:ascii="Arial" w:cs="Arial" w:eastAsia="Arial" w:hAnsi="Arial"/>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31" w:lineRule="exact"/>
        <w:rPr>
          <w:rFonts w:ascii="Arial" w:cs="Arial" w:eastAsia="Arial" w:hAnsi="Arial"/>
          <w:sz w:val="20"/>
          <w:szCs w:val="20"/>
          <w:color w:val="auto"/>
        </w:rPr>
      </w:pPr>
    </w:p>
    <w:p>
      <w:pPr>
        <w:jc w:val="both"/>
        <w:ind w:firstLine="1304"/>
        <w:spacing w:after="0" w:line="244" w:lineRule="auto"/>
        <w:tabs>
          <w:tab w:leader="none" w:pos="1728" w:val="left"/>
        </w:tabs>
        <w:numPr>
          <w:ilvl w:val="1"/>
          <w:numId w:val="98"/>
        </w:numPr>
        <w:rPr>
          <w:rFonts w:ascii="Arial" w:cs="Arial" w:eastAsia="Arial" w:hAnsi="Arial"/>
          <w:sz w:val="20"/>
          <w:szCs w:val="20"/>
          <w:color w:val="auto"/>
        </w:rPr>
      </w:pPr>
      <w:r>
        <w:rPr>
          <w:rFonts w:ascii="Arial" w:cs="Arial" w:eastAsia="Arial" w:hAnsi="Arial"/>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toward payment of interest and fees and Overadvances then due hereunder, ratably among the parties entitled thereto in accordance with the amounts of interest and fees and Overadvances then due to such parties, and (ii) </w:t>
      </w:r>
      <w:r>
        <w:rPr>
          <w:rFonts w:ascii="Arial" w:cs="Arial" w:eastAsia="Arial" w:hAnsi="Arial"/>
          <w:sz w:val="20"/>
          <w:szCs w:val="20"/>
          <w:u w:val="single" w:color="auto"/>
          <w:color w:val="auto"/>
        </w:rPr>
        <w:t>second</w:t>
      </w:r>
      <w:r>
        <w:rPr>
          <w:rFonts w:ascii="Arial" w:cs="Arial" w:eastAsia="Arial" w:hAnsi="Arial"/>
          <w:sz w:val="20"/>
          <w:szCs w:val="20"/>
          <w:color w:val="auto"/>
        </w:rPr>
        <w:t>, toward payment of principal then due hereunder, ratably among the parties entitled thereto in accordance with the amounts of principal then due to such parties.</w:t>
      </w:r>
    </w:p>
    <w:p>
      <w:pPr>
        <w:spacing w:after="0" w:line="140" w:lineRule="exact"/>
        <w:rPr>
          <w:rFonts w:ascii="Arial" w:cs="Arial" w:eastAsia="Arial" w:hAnsi="Arial"/>
          <w:sz w:val="20"/>
          <w:szCs w:val="20"/>
          <w:color w:val="auto"/>
        </w:rPr>
      </w:pPr>
    </w:p>
    <w:p>
      <w:pPr>
        <w:jc w:val="both"/>
        <w:ind w:firstLine="1304"/>
        <w:spacing w:after="0" w:line="266" w:lineRule="auto"/>
        <w:tabs>
          <w:tab w:leader="none" w:pos="1749"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Revolving Percentage or L/C Percentage, as applicable, of such payment on account of the Loans or participations obtained by all of the Lenders, such Lender shall (a) notify the Administrative Agent of the receipt of such payment, and (b) within 5 Business Days of such receipt purchase (for cash at face value) from the other Revolving Lenders or L/C Lenders, as applicable (through the Administrative Agent), without recourse, such participations in the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Revolving Percentages or L/C Percentages,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clause (k)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of its Affiliates (as to which the provisions of this clause (k) shall apply). The Borrower agrees that any Lender so purchasing a participation from another Lender pursuant to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shall be required to implement the terms of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The Administrative Agent shall keep records (which shall be conclusive and binding in the absence of manifest error) of participations purchased pursuant to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and shall in each case notify the Revolving Lenders or the L/C Lenders, as applicable, following any such purchase. The provisions of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w:t>
      </w:r>
      <w:r>
        <w:rPr>
          <w:rFonts w:ascii="Arial" w:cs="Arial" w:eastAsia="Arial" w:hAnsi="Arial"/>
          <w:sz w:val="18"/>
          <w:szCs w:val="18"/>
          <w:u w:val="single" w:color="auto"/>
          <w:color w:val="auto"/>
        </w:rPr>
        <w:t>Section 3.10</w:t>
      </w:r>
      <w:r>
        <w:rPr>
          <w:rFonts w:ascii="Arial" w:cs="Arial" w:eastAsia="Arial" w:hAnsi="Arial"/>
          <w:sz w:val="18"/>
          <w:szCs w:val="18"/>
          <w:color w:val="auto"/>
        </w:rPr>
        <w:t>, or</w:t>
      </w:r>
    </w:p>
    <w:p>
      <w:pPr>
        <w:spacing w:after="0" w:line="18" w:lineRule="exact"/>
        <w:rPr>
          <w:rFonts w:ascii="Arial" w:cs="Arial" w:eastAsia="Arial" w:hAnsi="Arial"/>
          <w:sz w:val="18"/>
          <w:szCs w:val="18"/>
          <w:color w:val="auto"/>
        </w:rPr>
      </w:pPr>
    </w:p>
    <w:p>
      <w:pPr>
        <w:jc w:val="both"/>
        <w:ind w:firstLine="8"/>
        <w:spacing w:after="0" w:line="256" w:lineRule="auto"/>
        <w:tabs>
          <w:tab w:leader="none" w:pos="387"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any payment obtained by a Lender as consideration for the assignment of or sale of a participation in any of its Loans or sub-participations in any L/C Exposure to any assignee or participant, other than an assignment to the Borrower or any Affiliate thereof (as to which the provisions of this </w:t>
      </w:r>
      <w:r>
        <w:rPr>
          <w:rFonts w:ascii="Arial" w:cs="Arial" w:eastAsia="Arial" w:hAnsi="Arial"/>
          <w:sz w:val="19"/>
          <w:szCs w:val="19"/>
          <w:u w:val="single" w:color="auto"/>
          <w:color w:val="auto"/>
        </w:rPr>
        <w:t>Section 2.18(k)</w:t>
      </w:r>
      <w:r>
        <w:rPr>
          <w:rFonts w:ascii="Arial" w:cs="Arial" w:eastAsia="Arial" w:hAnsi="Arial"/>
          <w:sz w:val="19"/>
          <w:szCs w:val="19"/>
          <w:color w:val="auto"/>
        </w:rPr>
        <w:t xml:space="preserve">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771" w:right="339" w:bottom="1440" w:gutter="0" w:footer="0" w:header="0"/>
        </w:sectPr>
      </w:pPr>
    </w:p>
    <w:bookmarkStart w:id="165" w:name="page166"/>
    <w:bookmarkEnd w:id="165"/>
    <w:p>
      <w:pPr>
        <w:jc w:val="both"/>
        <w:spacing w:after="0" w:line="250" w:lineRule="auto"/>
        <w:rPr>
          <w:sz w:val="20"/>
          <w:szCs w:val="20"/>
          <w:color w:val="auto"/>
        </w:rPr>
      </w:pPr>
      <w:r>
        <w:rPr>
          <w:rFonts w:ascii="Arial" w:cs="Arial" w:eastAsia="Arial" w:hAnsi="Arial"/>
          <w:sz w:val="20"/>
          <w:szCs w:val="20"/>
          <w:color w:val="auto"/>
        </w:rPr>
        <w:t>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132" w:lineRule="exact"/>
        <w:rPr>
          <w:sz w:val="20"/>
          <w:szCs w:val="20"/>
          <w:color w:val="auto"/>
        </w:rPr>
      </w:pPr>
    </w:p>
    <w:p>
      <w:pPr>
        <w:jc w:val="both"/>
        <w:ind w:firstLine="1304"/>
        <w:spacing w:after="0" w:line="243" w:lineRule="auto"/>
        <w:tabs>
          <w:tab w:leader="none" w:pos="169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in this Agreement, the Administrative Agent may, in its discretion at any time or from time to time, without the Borrower’s request and even if the conditions set forth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after giving effect to any such Revolving Loan, the aggregate outstanding Revolving Loans will not exceed the Total Revolving Commitments then in effect.</w:t>
      </w:r>
    </w:p>
    <w:p>
      <w:pPr>
        <w:spacing w:after="0" w:line="13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8"/>
          <w:szCs w:val="18"/>
          <w:b w:val="1"/>
          <w:bCs w:val="1"/>
          <w:color w:val="auto"/>
        </w:rPr>
        <w:t>Illegality; Requirements of Law</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71" w:lineRule="auto"/>
        <w:tabs>
          <w:tab w:leader="none" w:pos="1754"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Illegality</w:t>
      </w:r>
      <w:r>
        <w:rPr>
          <w:rFonts w:ascii="Arial" w:cs="Arial" w:eastAsia="Arial" w:hAnsi="Arial"/>
          <w:sz w:val="18"/>
          <w:szCs w:val="18"/>
          <w:color w:val="auto"/>
        </w:rPr>
        <w:t>. If after the Closing Date any Lender determines that any Requirement of Law has made it unlawful, or that any Governmental Authority has asserted that it is unlawful, for such Lender to make, maintain or fund Eurodollar Loans,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any obligation of such Lender to make or continue Eurodollar Loans or to convert ABR Loans to Eurodollar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Eurodollar Loans of such Lender to ABR Loans, either on the last day of the Interest Period therefor, if such Lender may lawfully continue to maintain such Eurodollar Loans to such day, or immediately, if such Lender may not lawfully continue to maintain such Eurodollar. Upon any such prepayment or conversion, the Borrower shall also pay accrued interest on the amount so prepaid or converted.</w:t>
      </w:r>
    </w:p>
    <w:p>
      <w:pPr>
        <w:spacing w:after="0" w:line="115" w:lineRule="exact"/>
        <w:rPr>
          <w:rFonts w:ascii="Arial" w:cs="Arial" w:eastAsia="Arial" w:hAnsi="Arial"/>
          <w:sz w:val="18"/>
          <w:szCs w:val="18"/>
          <w:color w:val="auto"/>
        </w:rPr>
      </w:pPr>
    </w:p>
    <w:p>
      <w:pPr>
        <w:jc w:val="both"/>
        <w:ind w:firstLine="1304"/>
        <w:spacing w:after="0" w:line="246" w:lineRule="auto"/>
        <w:tabs>
          <w:tab w:leader="none" w:pos="1900" w:val="left"/>
        </w:tabs>
        <w:numPr>
          <w:ilvl w:val="1"/>
          <w:numId w:val="101"/>
        </w:numPr>
        <w:rPr>
          <w:rFonts w:ascii="Arial" w:cs="Arial" w:eastAsia="Arial" w:hAnsi="Arial"/>
          <w:sz w:val="20"/>
          <w:szCs w:val="20"/>
          <w:color w:val="auto"/>
        </w:rPr>
      </w:pPr>
      <w:r>
        <w:rPr>
          <w:rFonts w:ascii="Arial" w:cs="Arial" w:eastAsia="Arial" w:hAnsi="Arial"/>
          <w:sz w:val="20"/>
          <w:szCs w:val="20"/>
          <w:u w:val="single" w:color="auto"/>
          <w:color w:val="auto"/>
        </w:rPr>
        <w:t>Requirements of Law</w:t>
      </w:r>
      <w:r>
        <w:rPr>
          <w:rFonts w:ascii="Arial" w:cs="Arial" w:eastAsia="Arial" w:hAnsi="Arial"/>
          <w:sz w:val="20"/>
          <w:szCs w:val="20"/>
          <w:color w:val="auto"/>
        </w:rPr>
        <w:t>.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Original Closing Date:</w:t>
      </w:r>
    </w:p>
    <w:p>
      <w:pPr>
        <w:spacing w:after="0" w:line="137" w:lineRule="exact"/>
        <w:rPr>
          <w:rFonts w:ascii="Arial" w:cs="Arial" w:eastAsia="Arial" w:hAnsi="Arial"/>
          <w:sz w:val="20"/>
          <w:szCs w:val="20"/>
          <w:color w:val="auto"/>
        </w:rPr>
      </w:pPr>
    </w:p>
    <w:p>
      <w:pPr>
        <w:ind w:left="2420" w:hanging="468"/>
        <w:spacing w:after="0"/>
        <w:tabs>
          <w:tab w:leader="none" w:pos="24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shall subject any Recipient to any Taxes (other than (A) Indemnified Taxes, (B) Taxes described in clauses</w:t>
      </w:r>
    </w:p>
    <w:p>
      <w:pPr>
        <w:spacing w:after="0" w:line="38" w:lineRule="exact"/>
        <w:rPr>
          <w:rFonts w:ascii="Arial" w:cs="Arial" w:eastAsia="Arial" w:hAnsi="Arial"/>
          <w:sz w:val="18"/>
          <w:szCs w:val="18"/>
          <w:color w:val="auto"/>
        </w:rPr>
      </w:pPr>
    </w:p>
    <w:p>
      <w:pPr>
        <w:ind w:right="20" w:firstLine="8"/>
        <w:spacing w:after="0" w:line="244" w:lineRule="auto"/>
        <w:tabs>
          <w:tab w:leader="none" w:pos="31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through (d) of the definition of Excluded Taxes, and (C) Connection Income Taxes) on its Loans, loan principal, letters of credit, commitments, or other obligations, or its deposits, reserves, other liabilities or capital attributable thereto;</w:t>
      </w:r>
    </w:p>
    <w:p>
      <w:pPr>
        <w:spacing w:after="0" w:line="137" w:lineRule="exact"/>
        <w:rPr>
          <w:rFonts w:ascii="Arial" w:cs="Arial" w:eastAsia="Arial" w:hAnsi="Arial"/>
          <w:sz w:val="20"/>
          <w:szCs w:val="20"/>
          <w:color w:val="auto"/>
        </w:rPr>
      </w:pPr>
    </w:p>
    <w:p>
      <w:pPr>
        <w:jc w:val="both"/>
        <w:ind w:firstLine="1952"/>
        <w:spacing w:after="0" w:line="250" w:lineRule="auto"/>
        <w:tabs>
          <w:tab w:leader="none" w:pos="2456" w:val="left"/>
        </w:tabs>
        <w:numPr>
          <w:ilvl w:val="2"/>
          <w:numId w:val="102"/>
        </w:numPr>
        <w:rPr>
          <w:rFonts w:ascii="Arial" w:cs="Arial" w:eastAsia="Arial" w:hAnsi="Arial"/>
          <w:sz w:val="20"/>
          <w:szCs w:val="20"/>
          <w:color w:val="auto"/>
        </w:rPr>
      </w:pPr>
      <w:r>
        <w:rPr>
          <w:rFonts w:ascii="Arial" w:cs="Arial" w:eastAsia="Arial" w:hAnsi="Arial"/>
          <w:sz w:val="20"/>
          <w:szCs w:val="20"/>
          <w:color w:val="auto"/>
        </w:rPr>
        <w:t>shall 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or</w:t>
      </w:r>
    </w:p>
    <w:p>
      <w:pPr>
        <w:spacing w:after="0" w:line="132" w:lineRule="exact"/>
        <w:rPr>
          <w:sz w:val="20"/>
          <w:szCs w:val="20"/>
          <w:color w:val="auto"/>
        </w:rPr>
      </w:pPr>
    </w:p>
    <w:p>
      <w:pPr>
        <w:ind w:firstLine="1952"/>
        <w:spacing w:after="0" w:line="260" w:lineRule="auto"/>
        <w:tabs>
          <w:tab w:leader="none" w:pos="245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(other than Taxes) affecting this Agreement or Loans made by such Lender or any Letter of Credit or participation therein;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771" w:right="339" w:bottom="1440" w:gutter="0" w:footer="0" w:header="0"/>
        </w:sectPr>
      </w:pPr>
    </w:p>
    <w:bookmarkStart w:id="166" w:name="page167"/>
    <w:bookmarkEnd w:id="166"/>
    <w:p>
      <w:pPr>
        <w:jc w:val="both"/>
        <w:spacing w:after="0" w:line="272"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converting to, continuing or maintaining Loans determined with reference to the Eurodollar Rate or of maintaining its obligation to make such Loans, or to increase the cost to such Lender or such other 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spacing w:after="0" w:line="116" w:lineRule="exact"/>
        <w:rPr>
          <w:sz w:val="20"/>
          <w:szCs w:val="20"/>
          <w:color w:val="auto"/>
        </w:rPr>
      </w:pPr>
    </w:p>
    <w:p>
      <w:pPr>
        <w:jc w:val="both"/>
        <w:ind w:firstLine="1304"/>
        <w:spacing w:after="0" w:line="256" w:lineRule="auto"/>
        <w:tabs>
          <w:tab w:leader="none" w:pos="176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w:t>
      </w:r>
    </w:p>
    <w:p>
      <w:pPr>
        <w:spacing w:after="0" w:line="130" w:lineRule="exact"/>
        <w:rPr>
          <w:rFonts w:ascii="Arial" w:cs="Arial" w:eastAsia="Arial" w:hAnsi="Arial"/>
          <w:sz w:val="19"/>
          <w:szCs w:val="19"/>
          <w:color w:val="auto"/>
        </w:rPr>
      </w:pPr>
    </w:p>
    <w:p>
      <w:pPr>
        <w:jc w:val="both"/>
        <w:ind w:firstLine="1304"/>
        <w:spacing w:after="0" w:line="260" w:lineRule="auto"/>
        <w:tabs>
          <w:tab w:leader="none" w:pos="174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spacing w:after="0" w:line="126" w:lineRule="exact"/>
        <w:rPr>
          <w:rFonts w:ascii="Arial" w:cs="Arial" w:eastAsia="Arial" w:hAnsi="Arial"/>
          <w:sz w:val="19"/>
          <w:szCs w:val="19"/>
          <w:color w:val="auto"/>
        </w:rPr>
      </w:pPr>
    </w:p>
    <w:p>
      <w:pPr>
        <w:jc w:val="both"/>
        <w:ind w:firstLine="1304"/>
        <w:spacing w:after="0" w:line="255" w:lineRule="auto"/>
        <w:tabs>
          <w:tab w:leader="none" w:pos="175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the Borrower shall not be required to compensate a Lender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for any amounts incurred more than 9 months prior to the date that such Lender notifies the Borrower of the change in the Requirement of Law giving rise to such increased costs or reductions, and of such Lender’s intention to claim compensation therefor;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the circumstances giving rise to such claim have a retroactive effect, then such 9-month period shall be extended to include the period of such retroactive effect. The obligations of the Borrower arising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shall survive the Discharge of Obligations and the resignation of the Administrative Agent.</w:t>
      </w:r>
    </w:p>
    <w:p>
      <w:pPr>
        <w:spacing w:after="0" w:line="13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2.20</w:t>
      </w:r>
      <w:r>
        <w:rPr>
          <w:rFonts w:ascii="Arial" w:cs="Arial" w:eastAsia="Arial" w:hAnsi="Arial"/>
          <w:sz w:val="18"/>
          <w:szCs w:val="18"/>
          <w:color w:val="auto"/>
        </w:rPr>
        <w:t>, the term “Lender” includes the Issuing Lender and the term “applicable law” includes FATCA.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771" w:right="339" w:bottom="1440" w:gutter="0" w:footer="0" w:header="0"/>
        </w:sectPr>
      </w:pPr>
    </w:p>
    <w:bookmarkStart w:id="167" w:name="page168"/>
    <w:bookmarkEnd w:id="167"/>
    <w:p>
      <w:pPr>
        <w:jc w:val="both"/>
        <w:ind w:firstLine="1304"/>
        <w:spacing w:after="0" w:line="255" w:lineRule="auto"/>
        <w:tabs>
          <w:tab w:leader="none" w:pos="1754"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any Loan Party under any Loan Document shall be made without deduction or withholding for any Taxes, except as required by applicable Requirements of Law, and the Borrower shall, and shall cause each other Loan Party, to comply with the requirements set forth in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If any applicable Requirements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19"/>
          <w:szCs w:val="19"/>
          <w:u w:val="single" w:color="auto"/>
          <w:color w:val="auto"/>
        </w:rPr>
        <w:t>Section 2.20</w:t>
      </w:r>
      <w:r>
        <w:rPr>
          <w:rFonts w:ascii="Arial" w:cs="Arial" w:eastAsia="Arial" w:hAnsi="Arial"/>
          <w:sz w:val="19"/>
          <w:szCs w:val="19"/>
          <w:color w:val="auto"/>
        </w:rPr>
        <w:t>) the applicable Recipient receives an amount equal to the sum it would have received had no such deduction or withholding been made.</w:t>
      </w:r>
    </w:p>
    <w:p>
      <w:pPr>
        <w:spacing w:after="0" w:line="135" w:lineRule="exact"/>
        <w:rPr>
          <w:rFonts w:ascii="Arial" w:cs="Arial" w:eastAsia="Arial" w:hAnsi="Arial"/>
          <w:sz w:val="19"/>
          <w:szCs w:val="19"/>
          <w:color w:val="auto"/>
        </w:rPr>
      </w:pPr>
    </w:p>
    <w:p>
      <w:pPr>
        <w:jc w:val="both"/>
        <w:ind w:right="20" w:firstLine="1304"/>
        <w:spacing w:after="0" w:line="250" w:lineRule="auto"/>
        <w:tabs>
          <w:tab w:leader="none" w:pos="1819"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Payment of Other Taxes</w:t>
      </w:r>
      <w:r>
        <w:rPr>
          <w:rFonts w:ascii="Arial" w:cs="Arial" w:eastAsia="Arial" w:hAnsi="Arial"/>
          <w:sz w:val="20"/>
          <w:szCs w:val="20"/>
          <w:color w:val="auto"/>
        </w:rPr>
        <w:t>. The Borrower shall and shall cause each other Loan Party to, timely pay to the relevant Governmental Authority in accordance with applicable law, or at the option of the Administrative Agent timely reimburse it for the payment of, any Other Taxes applicable to such Loan Party.</w:t>
      </w:r>
    </w:p>
    <w:p>
      <w:pPr>
        <w:spacing w:after="0" w:line="131" w:lineRule="exact"/>
        <w:rPr>
          <w:rFonts w:ascii="Arial" w:cs="Arial" w:eastAsia="Arial" w:hAnsi="Arial"/>
          <w:sz w:val="20"/>
          <w:szCs w:val="20"/>
          <w:color w:val="auto"/>
        </w:rPr>
      </w:pPr>
    </w:p>
    <w:p>
      <w:pPr>
        <w:jc w:val="both"/>
        <w:ind w:firstLine="1304"/>
        <w:spacing w:after="0" w:line="263" w:lineRule="auto"/>
        <w:tabs>
          <w:tab w:leader="none" w:pos="1821"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any Loan Party to a Governmental Authority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22" w:lineRule="exact"/>
        <w:rPr>
          <w:rFonts w:ascii="Arial" w:cs="Arial" w:eastAsia="Arial" w:hAnsi="Arial"/>
          <w:sz w:val="19"/>
          <w:szCs w:val="19"/>
          <w:color w:val="auto"/>
        </w:rPr>
      </w:pPr>
    </w:p>
    <w:p>
      <w:pPr>
        <w:jc w:val="both"/>
        <w:ind w:firstLine="1304"/>
        <w:spacing w:after="0" w:line="274" w:lineRule="auto"/>
        <w:tabs>
          <w:tab w:leader="none" w:pos="177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Indemnification by Loan Parties</w:t>
      </w:r>
      <w:r>
        <w:rPr>
          <w:rFonts w:ascii="Arial" w:cs="Arial" w:eastAsia="Arial" w:hAnsi="Arial"/>
          <w:sz w:val="18"/>
          <w:szCs w:val="18"/>
          <w:color w:val="auto"/>
        </w:rPr>
        <w:t xml:space="preserve">. The Borrower shall, and shall cause each other Loan Party to, jointly and severally indemnify each Recipient, within 10 days after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2.20</w:t>
      </w:r>
      <w:r>
        <w:rPr>
          <w:rFonts w:ascii="Arial" w:cs="Arial" w:eastAsia="Arial" w:hAnsi="Arial"/>
          <w:sz w:val="18"/>
          <w:szCs w:val="18"/>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14" w:lineRule="exact"/>
        <w:rPr>
          <w:rFonts w:ascii="Arial" w:cs="Arial" w:eastAsia="Arial" w:hAnsi="Arial"/>
          <w:sz w:val="18"/>
          <w:szCs w:val="18"/>
          <w:color w:val="auto"/>
        </w:rPr>
      </w:pPr>
    </w:p>
    <w:p>
      <w:pPr>
        <w:jc w:val="both"/>
        <w:ind w:firstLine="1304"/>
        <w:spacing w:after="0" w:line="271" w:lineRule="auto"/>
        <w:tabs>
          <w:tab w:leader="none" w:pos="180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Indemnification by Lenders</w:t>
      </w:r>
      <w:r>
        <w:rPr>
          <w:rFonts w:ascii="Arial" w:cs="Arial" w:eastAsia="Arial" w:hAnsi="Arial"/>
          <w:sz w:val="18"/>
          <w:szCs w:val="18"/>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8"/>
          <w:szCs w:val="18"/>
          <w:u w:val="single" w:color="auto"/>
          <w:color w:val="auto"/>
        </w:rPr>
        <w:t>Section 2.20(e)</w:t>
      </w:r>
      <w:r>
        <w:rPr>
          <w:rFonts w:ascii="Arial" w:cs="Arial" w:eastAsia="Arial" w:hAnsi="Arial"/>
          <w:sz w:val="18"/>
          <w:szCs w:val="18"/>
          <w:color w:val="auto"/>
        </w:rPr>
        <w: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771" w:right="339" w:bottom="1440" w:gutter="0" w:footer="0" w:header="0"/>
        </w:sectPr>
      </w:pPr>
    </w:p>
    <w:bookmarkStart w:id="168" w:name="page169"/>
    <w:bookmarkEnd w:id="168"/>
    <w:p>
      <w:pPr>
        <w:ind w:left="1700" w:hanging="396"/>
        <w:spacing w:after="0"/>
        <w:tabs>
          <w:tab w:leader="none" w:pos="170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55" w:lineRule="auto"/>
        <w:tabs>
          <w:tab w:leader="none" w:pos="240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Sections 2.20(f)(ii)(A)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32" w:lineRule="exact"/>
        <w:rPr>
          <w:rFonts w:ascii="Arial" w:cs="Arial" w:eastAsia="Arial" w:hAnsi="Arial"/>
          <w:sz w:val="19"/>
          <w:szCs w:val="19"/>
          <w:color w:val="auto"/>
        </w:rPr>
      </w:pPr>
    </w:p>
    <w:p>
      <w:pPr>
        <w:ind w:left="2380" w:hanging="428"/>
        <w:spacing w:after="0"/>
        <w:tabs>
          <w:tab w:leader="none" w:pos="238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161" w:lineRule="exact"/>
        <w:rPr>
          <w:rFonts w:ascii="Arial" w:cs="Arial" w:eastAsia="Arial" w:hAnsi="Arial"/>
          <w:sz w:val="20"/>
          <w:szCs w:val="20"/>
          <w:color w:val="auto"/>
        </w:rPr>
      </w:pPr>
    </w:p>
    <w:p>
      <w:pPr>
        <w:jc w:val="both"/>
        <w:ind w:firstLine="2600"/>
        <w:spacing w:after="0" w:line="246" w:lineRule="auto"/>
        <w:tabs>
          <w:tab w:leader="none" w:pos="3065" w:val="left"/>
        </w:tabs>
        <w:numPr>
          <w:ilvl w:val="2"/>
          <w:numId w:val="106"/>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37" w:lineRule="exact"/>
        <w:rPr>
          <w:rFonts w:ascii="Arial" w:cs="Arial" w:eastAsia="Arial" w:hAnsi="Arial"/>
          <w:sz w:val="20"/>
          <w:szCs w:val="20"/>
          <w:color w:val="auto"/>
        </w:rPr>
      </w:pPr>
    </w:p>
    <w:p>
      <w:pPr>
        <w:jc w:val="both"/>
        <w:ind w:firstLine="2600"/>
        <w:spacing w:after="0" w:line="246" w:lineRule="auto"/>
        <w:tabs>
          <w:tab w:leader="none" w:pos="3103" w:val="left"/>
        </w:tabs>
        <w:numPr>
          <w:ilvl w:val="2"/>
          <w:numId w:val="106"/>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37" w:lineRule="exact"/>
        <w:rPr>
          <w:rFonts w:ascii="Arial" w:cs="Arial" w:eastAsia="Arial" w:hAnsi="Arial"/>
          <w:sz w:val="20"/>
          <w:szCs w:val="20"/>
          <w:color w:val="auto"/>
        </w:rPr>
      </w:pPr>
    </w:p>
    <w:p>
      <w:pPr>
        <w:jc w:val="both"/>
        <w:ind w:firstLine="3248"/>
        <w:spacing w:after="0" w:line="259" w:lineRule="auto"/>
        <w:tabs>
          <w:tab w:leader="none" w:pos="3761" w:val="left"/>
        </w:tabs>
        <w:numPr>
          <w:ilvl w:val="3"/>
          <w:numId w:val="106"/>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124" w:lineRule="exact"/>
        <w:rPr>
          <w:rFonts w:ascii="Arial" w:cs="Arial" w:eastAsia="Arial" w:hAnsi="Arial"/>
          <w:sz w:val="19"/>
          <w:szCs w:val="19"/>
          <w:color w:val="auto"/>
        </w:rPr>
      </w:pPr>
    </w:p>
    <w:p>
      <w:pPr>
        <w:ind w:left="3680" w:hanging="432"/>
        <w:spacing w:after="0"/>
        <w:tabs>
          <w:tab w:leader="none" w:pos="3680" w:val="left"/>
        </w:tabs>
        <w:numPr>
          <w:ilvl w:val="3"/>
          <w:numId w:val="106"/>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161" w:lineRule="exact"/>
        <w:rPr>
          <w:rFonts w:ascii="Arial" w:cs="Arial" w:eastAsia="Arial" w:hAnsi="Arial"/>
          <w:sz w:val="20"/>
          <w:szCs w:val="20"/>
          <w:color w:val="auto"/>
        </w:rPr>
      </w:pPr>
    </w:p>
    <w:p>
      <w:pPr>
        <w:jc w:val="both"/>
        <w:ind w:firstLine="3248"/>
        <w:spacing w:after="0" w:line="278" w:lineRule="auto"/>
        <w:tabs>
          <w:tab w:leader="none" w:pos="3740" w:val="left"/>
        </w:tabs>
        <w:numPr>
          <w:ilvl w:val="3"/>
          <w:numId w:val="106"/>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copies of IRS Form W-8BEN or IRS Form W-8BEN-E, as applicable (or any successor form); 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771" w:right="339" w:bottom="1440" w:gutter="0" w:footer="0" w:header="0"/>
        </w:sectPr>
      </w:pPr>
    </w:p>
    <w:bookmarkStart w:id="169" w:name="page170"/>
    <w:bookmarkEnd w:id="169"/>
    <w:p>
      <w:pPr>
        <w:jc w:val="both"/>
        <w:ind w:firstLine="3248"/>
        <w:spacing w:after="0" w:line="259" w:lineRule="auto"/>
        <w:tabs>
          <w:tab w:leader="none" w:pos="3733" w:val="left"/>
        </w:tabs>
        <w:numPr>
          <w:ilvl w:val="3"/>
          <w:numId w:val="107"/>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copies of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24" w:lineRule="exact"/>
        <w:rPr>
          <w:rFonts w:ascii="Arial" w:cs="Arial" w:eastAsia="Arial" w:hAnsi="Arial"/>
          <w:sz w:val="19"/>
          <w:szCs w:val="19"/>
          <w:color w:val="auto"/>
        </w:rPr>
      </w:pPr>
    </w:p>
    <w:p>
      <w:pPr>
        <w:jc w:val="both"/>
        <w:ind w:firstLine="2600"/>
        <w:spacing w:after="0" w:line="276" w:lineRule="auto"/>
        <w:tabs>
          <w:tab w:leader="none" w:pos="310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10" w:lineRule="exact"/>
        <w:rPr>
          <w:rFonts w:ascii="Arial" w:cs="Arial" w:eastAsia="Arial" w:hAnsi="Arial"/>
          <w:sz w:val="18"/>
          <w:szCs w:val="18"/>
          <w:color w:val="auto"/>
        </w:rPr>
      </w:pPr>
    </w:p>
    <w:p>
      <w:pPr>
        <w:jc w:val="both"/>
        <w:ind w:firstLine="2600"/>
        <w:spacing w:after="0" w:line="272" w:lineRule="auto"/>
        <w:tabs>
          <w:tab w:leader="none" w:pos="326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including IRS Form W-8BEN-E)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16" w:lineRule="exact"/>
        <w:rPr>
          <w:rFonts w:ascii="Arial" w:cs="Arial" w:eastAsia="Arial" w:hAnsi="Arial"/>
          <w:sz w:val="18"/>
          <w:szCs w:val="18"/>
          <w:color w:val="auto"/>
        </w:rPr>
      </w:pPr>
    </w:p>
    <w:p>
      <w:pPr>
        <w:jc w:val="both"/>
        <w:ind w:firstLine="1952"/>
        <w:spacing w:after="0" w:line="250" w:lineRule="auto"/>
        <w:tabs>
          <w:tab w:leader="none" w:pos="2517" w:val="left"/>
        </w:tabs>
        <w:numPr>
          <w:ilvl w:val="1"/>
          <w:numId w:val="109"/>
        </w:numPr>
        <w:rPr>
          <w:rFonts w:ascii="Arial" w:cs="Arial" w:eastAsia="Arial" w:hAnsi="Arial"/>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1" w:lineRule="exact"/>
        <w:rPr>
          <w:rFonts w:ascii="Arial" w:cs="Arial" w:eastAsia="Arial" w:hAnsi="Arial"/>
          <w:sz w:val="20"/>
          <w:szCs w:val="20"/>
          <w:color w:val="auto"/>
        </w:rPr>
      </w:pPr>
    </w:p>
    <w:p>
      <w:pPr>
        <w:jc w:val="both"/>
        <w:ind w:firstLine="1304"/>
        <w:spacing w:after="0" w:line="269" w:lineRule="auto"/>
        <w:tabs>
          <w:tab w:leader="none" w:pos="1724"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in no event will the indemnified party be required to pay any amount to an indemnifying party pursuant to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771" w:right="339" w:bottom="1440" w:gutter="0" w:footer="0" w:header="0"/>
        </w:sectPr>
      </w:pPr>
    </w:p>
    <w:bookmarkStart w:id="170" w:name="page171"/>
    <w:bookmarkEnd w:id="170"/>
    <w:p>
      <w:pPr>
        <w:ind w:firstLine="1304"/>
        <w:spacing w:after="0" w:line="260" w:lineRule="auto"/>
        <w:tabs>
          <w:tab w:leader="none" w:pos="1913"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shall survive the resignation or replacement of the Administrative Agent or any assignment of rights by, or the replacement of, a Lender and the Discharge of Obligations.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b w:val="1"/>
          <w:bCs w:val="1"/>
          <w:color w:val="auto"/>
        </w:rPr>
        <w:t>2.21 Indemnity</w:t>
      </w:r>
      <w:r>
        <w:rPr>
          <w:rFonts w:ascii="Arial" w:cs="Arial" w:eastAsia="Arial" w:hAnsi="Arial"/>
          <w:sz w:val="19"/>
          <w:szCs w:val="19"/>
          <w:color w:val="auto"/>
        </w:rPr>
        <w:t>. The Borrower agrees to indemnify each Lender for, and to hold each Lender harmless from, any loss or expense</w:t>
      </w:r>
      <w:r>
        <w:rPr>
          <w:rFonts w:ascii="Arial" w:cs="Arial" w:eastAsia="Arial" w:hAnsi="Arial"/>
          <w:sz w:val="19"/>
          <w:szCs w:val="19"/>
          <w:b w:val="1"/>
          <w:bCs w:val="1"/>
          <w:color w:val="auto"/>
        </w:rPr>
        <w:t xml:space="preserve"> </w:t>
      </w:r>
      <w:r>
        <w:rPr>
          <w:rFonts w:ascii="Arial" w:cs="Arial" w:eastAsia="Arial" w:hAnsi="Arial"/>
          <w:sz w:val="19"/>
          <w:szCs w:val="19"/>
          <w:color w:val="auto"/>
        </w:rPr>
        <w:t>that such Lender may sustain or incur as a consequence of (a) a default by the Borrower in making a borrowing of, conversion into or continuation of Eurodollar Loans after the Borrower has given a notice requesting the same in accordance with the provisions of this Agreement, (b) a default by the Borrower in making any prepayment of or conversion from Eurodollar Loans after the Borrower has given a notice thereof in accordance with the provisions of this Agreement, (c) any failure of the Borrower to make payment of any drawing under any Letter of Credit (or interest due thereon) denominated in an Alternative Currency on its scheduled due date or any payment thereof in a different currency, or (d) for any reason, the making of a prepayment of Eurodollar Loans on a day that is not the last day of an Interest Period with respect thereto. Such losses and expenses shall be equal to the excess, if any, of (i) the amount of interest that would have accrued on the amount so prepaid, or not so borrowed, reduced, converted or continued, for the period from the date of such prepayment or of such failure to borrow, reduce, convert or continue to the last day of such Interest Period (or, in the case of a failure to borrow, reduce, convert or continue, the Interest Period that would have commenced on the date of such failure) in each case at the applicable rate of interest or other return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Discharge of Obligations.</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2.22 Change of Lending Office</w:t>
      </w:r>
      <w:r>
        <w:rPr>
          <w:rFonts w:ascii="Arial" w:cs="Arial" w:eastAsia="Arial" w:hAnsi="Arial"/>
          <w:sz w:val="18"/>
          <w:szCs w:val="18"/>
          <w:color w:val="auto"/>
        </w:rPr>
        <w:t>. Each Lender agrees that, upon the occurrence of any event giving rise to the operation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2.20(d)</w:t>
      </w:r>
      <w:r>
        <w:rPr>
          <w:rFonts w:ascii="Arial" w:cs="Arial" w:eastAsia="Arial" w:hAnsi="Arial"/>
          <w:sz w:val="18"/>
          <w:szCs w:val="18"/>
          <w:color w:val="auto"/>
        </w:rPr>
        <w:t xml:space="preserve"> with respect to such Lender or that would require any Loan Party to pay any Indemnified Taxes or additional amounts to any Lender or Governmental Authority for the account of such Lender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w:t>
      </w:r>
      <w:r>
        <w:rPr>
          <w:rFonts w:ascii="Arial" w:cs="Arial" w:eastAsia="Arial" w:hAnsi="Arial"/>
          <w:sz w:val="18"/>
          <w:szCs w:val="18"/>
          <w:color w:val="auto"/>
        </w:rPr>
        <w:t>, it will, if requested by the Borrower, use reasonable efforts (subject to overall policy considerations of such Lender) to designate a different lending office for funding or booking its Loans affected by such event or to assign its rights and obligations hereunder to another of its offices, branches or affiliates, if, in the judgment of such Lender, such designation or assignment</w:t>
      </w:r>
    </w:p>
    <w:p>
      <w:pPr>
        <w:spacing w:after="0" w:line="2" w:lineRule="exact"/>
        <w:rPr>
          <w:sz w:val="20"/>
          <w:szCs w:val="20"/>
          <w:color w:val="auto"/>
        </w:rPr>
      </w:pPr>
    </w:p>
    <w:p>
      <w:pPr>
        <w:jc w:val="both"/>
        <w:ind w:firstLine="8"/>
        <w:spacing w:after="0" w:line="274" w:lineRule="auto"/>
        <w:tabs>
          <w:tab w:leader="none" w:pos="2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would eliminate or reduce amounts payable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as the case may be, in the future, and (ii) would not subject such Lender to any unreimbursed cost or expense and would not otherwise be disadvantageous to such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nothing in this Section shall affect or postpone any of the obligations of the Borrower or the rights of any Lender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2.20(d)</w:t>
      </w:r>
      <w:r>
        <w:rPr>
          <w:rFonts w:ascii="Arial" w:cs="Arial" w:eastAsia="Arial" w:hAnsi="Arial"/>
          <w:sz w:val="18"/>
          <w:szCs w:val="18"/>
          <w:color w:val="auto"/>
        </w:rPr>
        <w:t>. The Borrower hereby agrees to pay all reasonable and documented costs and expenses incurred by any Lender in connection with any such designation or assignment made at the request of the Borrower.</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2.23 Substitution of Lenders</w:t>
      </w:r>
      <w:r>
        <w:rPr>
          <w:rFonts w:ascii="Arial" w:cs="Arial" w:eastAsia="Arial" w:hAnsi="Arial"/>
          <w:sz w:val="20"/>
          <w:szCs w:val="20"/>
          <w:color w:val="auto"/>
        </w:rPr>
        <w:t>. Upon the receipt by the Borrower of any of the following (or in the case of clause (a) below, if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is required to pay any such amount), with respect to any Lender (any such Lender described in clauses (a) through (c) below being referred to as an “</w:t>
      </w:r>
      <w:r>
        <w:rPr>
          <w:rFonts w:ascii="Arial" w:cs="Arial" w:eastAsia="Arial" w:hAnsi="Arial"/>
          <w:sz w:val="20"/>
          <w:szCs w:val="20"/>
          <w:b w:val="1"/>
          <w:bCs w:val="1"/>
          <w:i w:val="1"/>
          <w:iCs w:val="1"/>
          <w:color w:val="auto"/>
        </w:rPr>
        <w:t>Affected Lender</w:t>
      </w:r>
      <w:r>
        <w:rPr>
          <w:rFonts w:ascii="Arial" w:cs="Arial" w:eastAsia="Arial" w:hAnsi="Arial"/>
          <w:sz w:val="20"/>
          <w:szCs w:val="20"/>
          <w:color w:val="auto"/>
        </w:rPr>
        <w:t>” hereunder):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771" w:right="339" w:bottom="1440" w:gutter="0" w:footer="0" w:header="0"/>
        </w:sectPr>
      </w:pPr>
    </w:p>
    <w:bookmarkStart w:id="171" w:name="page172"/>
    <w:bookmarkEnd w:id="171"/>
    <w:p>
      <w:pPr>
        <w:jc w:val="both"/>
        <w:ind w:firstLine="1304"/>
        <w:spacing w:after="0" w:line="250" w:lineRule="auto"/>
        <w:tabs>
          <w:tab w:leader="none" w:pos="177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a request from a Lender for payment of Indemnified Taxes or additional amounts under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or of increased costs pursuant to </w:t>
      </w:r>
      <w:r>
        <w:rPr>
          <w:rFonts w:ascii="Arial" w:cs="Arial" w:eastAsia="Arial" w:hAnsi="Arial"/>
          <w:sz w:val="20"/>
          <w:szCs w:val="20"/>
          <w:u w:val="single" w:color="auto"/>
          <w:color w:val="auto"/>
        </w:rPr>
        <w:t>Section 2.19(b)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2.19(c)</w:t>
      </w:r>
      <w:r>
        <w:rPr>
          <w:rFonts w:ascii="Arial" w:cs="Arial" w:eastAsia="Arial" w:hAnsi="Arial"/>
          <w:sz w:val="20"/>
          <w:szCs w:val="20"/>
          <w:color w:val="auto"/>
        </w:rPr>
        <w:t xml:space="preserve"> (and, in any such case, such Lender has declined or is unable to designate a different lending office in accordance with </w:t>
      </w:r>
      <w:r>
        <w:rPr>
          <w:rFonts w:ascii="Arial" w:cs="Arial" w:eastAsia="Arial" w:hAnsi="Arial"/>
          <w:sz w:val="20"/>
          <w:szCs w:val="20"/>
          <w:u w:val="single" w:color="auto"/>
          <w:color w:val="auto"/>
        </w:rPr>
        <w:t>Section 2.22</w:t>
      </w:r>
      <w:r>
        <w:rPr>
          <w:rFonts w:ascii="Arial" w:cs="Arial" w:eastAsia="Arial" w:hAnsi="Arial"/>
          <w:sz w:val="20"/>
          <w:szCs w:val="20"/>
          <w:color w:val="auto"/>
        </w:rPr>
        <w:t xml:space="preserve"> or is a Non-Consenting Lender);</w:t>
      </w:r>
    </w:p>
    <w:p>
      <w:pPr>
        <w:spacing w:after="0" w:line="131" w:lineRule="exact"/>
        <w:rPr>
          <w:rFonts w:ascii="Arial" w:cs="Arial" w:eastAsia="Arial" w:hAnsi="Arial"/>
          <w:sz w:val="20"/>
          <w:szCs w:val="20"/>
          <w:color w:val="auto"/>
        </w:rPr>
      </w:pPr>
    </w:p>
    <w:p>
      <w:pPr>
        <w:ind w:right="20" w:firstLine="1304"/>
        <w:spacing w:after="0" w:line="260" w:lineRule="auto"/>
        <w:tabs>
          <w:tab w:leader="none" w:pos="1729"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a notice from the Administrative Agent under </w:t>
      </w:r>
      <w:r>
        <w:rPr>
          <w:rFonts w:ascii="Arial" w:cs="Arial" w:eastAsia="Arial" w:hAnsi="Arial"/>
          <w:sz w:val="20"/>
          <w:szCs w:val="20"/>
          <w:u w:val="single" w:color="auto"/>
          <w:color w:val="auto"/>
        </w:rPr>
        <w:t>Section 10.1(b)</w:t>
      </w:r>
      <w:r>
        <w:rPr>
          <w:rFonts w:ascii="Arial" w:cs="Arial" w:eastAsia="Arial" w:hAnsi="Arial"/>
          <w:sz w:val="20"/>
          <w:szCs w:val="20"/>
          <w:color w:val="auto"/>
        </w:rPr>
        <w:t xml:space="preserve"> that one or more Minority Lenders are unwilling to agree to an amendment or other modification approved by the Required Lenders and the Administrative Agent; or</w:t>
      </w:r>
    </w:p>
    <w:p>
      <w:pPr>
        <w:spacing w:after="0" w:line="122" w:lineRule="exact"/>
        <w:rPr>
          <w:rFonts w:ascii="Arial" w:cs="Arial" w:eastAsia="Arial" w:hAnsi="Arial"/>
          <w:sz w:val="20"/>
          <w:szCs w:val="20"/>
          <w:color w:val="auto"/>
        </w:rPr>
      </w:pPr>
    </w:p>
    <w:p>
      <w:pPr>
        <w:ind w:left="1720" w:hanging="416"/>
        <w:spacing w:after="0"/>
        <w:tabs>
          <w:tab w:leader="none" w:pos="17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notice from the Administrative Agent that a Lender is a Defaulting Lender;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then the Borrower may, at its sole expense and effort, upon notice to such Lender and the Administrative Agent and such Affected Lender:</w:t>
      </w:r>
    </w:p>
    <w:p>
      <w:pPr>
        <w:spacing w:after="0" w:line="39" w:lineRule="exact"/>
        <w:rPr>
          <w:sz w:val="20"/>
          <w:szCs w:val="20"/>
          <w:color w:val="auto"/>
        </w:rPr>
      </w:pPr>
    </w:p>
    <w:p>
      <w:pPr>
        <w:ind w:left="280" w:hanging="272"/>
        <w:spacing w:after="0"/>
        <w:tabs>
          <w:tab w:leader="none" w:pos="2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request that one or more of the other Lenders acquire and assume all or part of such Affected Lender’s Loans and Commitment; or</w:t>
      </w:r>
    </w:p>
    <w:p>
      <w:pPr>
        <w:spacing w:after="0" w:line="22" w:lineRule="exact"/>
        <w:rPr>
          <w:rFonts w:ascii="Arial" w:cs="Arial" w:eastAsia="Arial" w:hAnsi="Arial"/>
          <w:sz w:val="18"/>
          <w:szCs w:val="18"/>
          <w:color w:val="auto"/>
        </w:rPr>
      </w:pPr>
    </w:p>
    <w:p>
      <w:pPr>
        <w:jc w:val="both"/>
        <w:ind w:firstLine="8"/>
        <w:spacing w:after="0" w:line="266" w:lineRule="auto"/>
        <w:tabs>
          <w:tab w:leader="none" w:pos="31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designate a replacement lending institution (which shall be an Eligible Assignee) to acquire and assume all or a ratable part of such Affected Lender’s Loans and Commitment (the replacing Lender or lender in (i) or (ii) being a “</w:t>
      </w:r>
      <w:r>
        <w:rPr>
          <w:rFonts w:ascii="Arial" w:cs="Arial" w:eastAsia="Arial" w:hAnsi="Arial"/>
          <w:sz w:val="18"/>
          <w:szCs w:val="18"/>
          <w:b w:val="1"/>
          <w:bCs w:val="1"/>
          <w:i w:val="1"/>
          <w:iCs w:val="1"/>
          <w:color w:val="auto"/>
        </w:rPr>
        <w:t>Replacement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be liable for the payment upon demand of all costs and other amounts arising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that result from the acquisition of any Affected Lender’s Loan and/or Commitment (or any portion thereof) by a Lender or Replacement Lender, as the case may be, on a date other than the last day of the applicable Interest Period with respect to any Eurodollar Loans then outstanding;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Borrower elects to exercise such right with respect to any Affected Lender under clause (a) or (b)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then the Borrower shall be obligated to replace all Affected Lenders under such clauses. The Affected Lender replaced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hereof). Any such designation of a Replacement Lender shall be effected in accordance with, and subject to the terms and conditions of, the assignment provisions contained in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(with the assignment fee to be paid by the Borrower in such instance), and if such Replacement Lender is not already a Lender hereunder or an Affiliate of a Lender or an Approved Fund, shall be subject to the prior written consent of the Administrative Agent (which consent shall not be unreasonably withheld). Notwithstanding the foregoing, with respect to any assignment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spacing w:after="0" w:line="272" w:lineRule="auto"/>
        <w:rPr>
          <w:rFonts w:ascii="Arial" w:cs="Arial" w:eastAsia="Arial" w:hAnsi="Arial"/>
          <w:sz w:val="18"/>
          <w:szCs w:val="18"/>
          <w:color w:val="auto"/>
        </w:rPr>
      </w:pPr>
      <w:r>
        <w:rPr>
          <w:rFonts w:ascii="Arial" w:cs="Arial" w:eastAsia="Arial" w:hAnsi="Arial"/>
          <w:sz w:val="18"/>
          <w:szCs w:val="18"/>
          <w:color w:val="auto"/>
        </w:rPr>
        <w:t xml:space="preserve">(a) in the case of any such assignment resulting from a claim for compensation under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such assignment shall result in a reduction in such compensation or payments thereafter; (b) such assignment shall not conflict with applicable law and (c) in the case of any assignment resulting from a Lender being a Minority Lender referred to in clause (b) of this </w:t>
      </w:r>
      <w:r>
        <w:rPr>
          <w:rFonts w:ascii="Arial" w:cs="Arial" w:eastAsia="Arial" w:hAnsi="Arial"/>
          <w:sz w:val="18"/>
          <w:szCs w:val="18"/>
          <w:u w:val="single" w:color="auto"/>
          <w:color w:val="auto"/>
        </w:rPr>
        <w:t>Section 2.23</w:t>
      </w:r>
      <w:r>
        <w:rPr>
          <w:rFonts w:ascii="Arial" w:cs="Arial" w:eastAsia="Arial" w:hAnsi="Arial"/>
          <w:sz w:val="18"/>
          <w:szCs w:val="18"/>
          <w:color w:val="auto"/>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spacing w:after="0" w:line="11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6"/>
          <w:szCs w:val="16"/>
          <w:b w:val="1"/>
          <w:bCs w:val="1"/>
          <w:color w:val="auto"/>
        </w:rPr>
        <w:t>Defaulting Lenders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0" w:lineRule="auto"/>
        <w:tabs>
          <w:tab w:leader="none" w:pos="1754"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Defaulting Lender Adjustments</w:t>
      </w:r>
      <w:r>
        <w:rPr>
          <w:rFonts w:ascii="Arial" w:cs="Arial" w:eastAsia="Arial" w:hAnsi="Arial"/>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771" w:right="339" w:bottom="1440" w:gutter="0" w:footer="0" w:header="0"/>
        </w:sectPr>
      </w:pPr>
    </w:p>
    <w:bookmarkStart w:id="172" w:name="page173"/>
    <w:bookmarkEnd w:id="172"/>
    <w:p>
      <w:pPr>
        <w:ind w:firstLine="1952"/>
        <w:spacing w:after="0" w:line="316" w:lineRule="auto"/>
        <w:tabs>
          <w:tab w:leader="none" w:pos="234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in the definition of Required Lenders.</w:t>
      </w:r>
    </w:p>
    <w:p>
      <w:pPr>
        <w:spacing w:after="0" w:line="75" w:lineRule="exact"/>
        <w:rPr>
          <w:rFonts w:ascii="Arial" w:cs="Arial" w:eastAsia="Arial" w:hAnsi="Arial"/>
          <w:sz w:val="18"/>
          <w:szCs w:val="18"/>
          <w:color w:val="auto"/>
        </w:rPr>
      </w:pPr>
    </w:p>
    <w:p>
      <w:pPr>
        <w:jc w:val="both"/>
        <w:ind w:firstLine="1952"/>
        <w:spacing w:after="0" w:line="268" w:lineRule="auto"/>
        <w:tabs>
          <w:tab w:leader="none" w:pos="253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otherwise, and including any amounts made available to the Administrative Agent by such Defaulting Lender pursuant to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of any amounts owing by such Defaulting Lender to the Issuing Lender or to the Swingline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be held as Cash Collateral for the funding obligations of such Defaulting Lender of any participation in any Letter of Credit;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Borrower, to be held in a Deposit Account and released pro rata to (x) satisfy such Defaulting Lender’s potential future funding obligations with respect to Loans under this Agreement, and (y) be held as Cash Collateral for the future funding obligations of such Defaulting Lender of any participation in any future Letter of Credit;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(A) such payment is a payment of the principal amount of any Loans or L/C Advances in respect of which such Defaulting Lender has not fully funded its appropriate share and (B) such Loans or L/C Advances were made at a time when the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were satisfied or waived, such payment shall be applied solely to pay the Loans of, and L/C Advances owed to, all Non-Defaulting Lenders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prior to being applied to the payment of any Loans of, or L/C Advances owed to, such Defaulting Lender until such time as all Loans and funded and unfunded participations in L/C Advances and Swingline Loans are held by the Lenders pro rata in accordance with the Commitments under the applicable Facility without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2.24(a)(ii)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19" w:lineRule="exact"/>
        <w:rPr>
          <w:rFonts w:ascii="Arial" w:cs="Arial" w:eastAsia="Arial" w:hAnsi="Arial"/>
          <w:sz w:val="18"/>
          <w:szCs w:val="18"/>
          <w:color w:val="auto"/>
        </w:rPr>
      </w:pPr>
    </w:p>
    <w:p>
      <w:pPr>
        <w:ind w:left="2440" w:hanging="488"/>
        <w:spacing w:after="0"/>
        <w:tabs>
          <w:tab w:leader="none" w:pos="244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2600"/>
        <w:spacing w:after="0" w:line="250" w:lineRule="auto"/>
        <w:tabs>
          <w:tab w:leader="none" w:pos="3142" w:val="left"/>
        </w:tabs>
        <w:numPr>
          <w:ilvl w:val="1"/>
          <w:numId w:val="116"/>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pursuant to </w:t>
      </w:r>
      <w:r>
        <w:rPr>
          <w:rFonts w:ascii="Arial" w:cs="Arial" w:eastAsia="Arial" w:hAnsi="Arial"/>
          <w:sz w:val="20"/>
          <w:szCs w:val="20"/>
          <w:u w:val="single" w:color="auto"/>
          <w:color w:val="auto"/>
        </w:rPr>
        <w:t>Section 2.9(b)</w:t>
      </w:r>
      <w:r>
        <w:rPr>
          <w:rFonts w:ascii="Arial" w:cs="Arial" w:eastAsia="Arial" w:hAnsi="Arial"/>
          <w:sz w:val="20"/>
          <w:szCs w:val="20"/>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131" w:lineRule="exact"/>
        <w:rPr>
          <w:rFonts w:ascii="Arial" w:cs="Arial" w:eastAsia="Arial" w:hAnsi="Arial"/>
          <w:sz w:val="20"/>
          <w:szCs w:val="20"/>
          <w:color w:val="auto"/>
        </w:rPr>
      </w:pPr>
    </w:p>
    <w:p>
      <w:pPr>
        <w:ind w:left="3140" w:hanging="540"/>
        <w:spacing w:after="0"/>
        <w:tabs>
          <w:tab w:leader="none" w:pos="314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Each Defaulting Lender shall be limited in its right to receive Letter of Credit Fees as provided in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u w:val="single" w:color="auto"/>
          <w:color w:val="auto"/>
        </w:rPr>
        <w:t>Section 3.3(d)</w:t>
      </w:r>
      <w:r>
        <w:rPr>
          <w:rFonts w:ascii="Arial" w:cs="Arial" w:eastAsia="Arial" w:hAnsi="Arial"/>
          <w:sz w:val="20"/>
          <w:szCs w:val="20"/>
          <w:color w:val="auto"/>
        </w:rPr>
        <w:t>.</w:t>
      </w:r>
    </w:p>
    <w:p>
      <w:pPr>
        <w:spacing w:after="0" w:line="145" w:lineRule="exact"/>
        <w:rPr>
          <w:rFonts w:ascii="Arial" w:cs="Arial" w:eastAsia="Arial" w:hAnsi="Arial"/>
          <w:sz w:val="19"/>
          <w:szCs w:val="19"/>
          <w:color w:val="auto"/>
        </w:rPr>
      </w:pPr>
    </w:p>
    <w:p>
      <w:pPr>
        <w:jc w:val="both"/>
        <w:ind w:firstLine="2600"/>
        <w:spacing w:after="0" w:line="244" w:lineRule="auto"/>
        <w:tabs>
          <w:tab w:leader="none" w:pos="3087" w:val="left"/>
        </w:tabs>
        <w:numPr>
          <w:ilvl w:val="1"/>
          <w:numId w:val="116"/>
        </w:numPr>
        <w:rPr>
          <w:rFonts w:ascii="Arial" w:cs="Arial" w:eastAsia="Arial" w:hAnsi="Arial"/>
          <w:sz w:val="20"/>
          <w:szCs w:val="20"/>
          <w:color w:val="auto"/>
        </w:rPr>
      </w:pPr>
      <w:r>
        <w:rPr>
          <w:rFonts w:ascii="Arial" w:cs="Arial" w:eastAsia="Arial" w:hAnsi="Arial"/>
          <w:sz w:val="20"/>
          <w:szCs w:val="20"/>
          <w:color w:val="auto"/>
        </w:rPr>
        <w:t>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771" w:right="339" w:bottom="1440" w:gutter="0" w:footer="0" w:header="0"/>
        </w:sectPr>
      </w:pPr>
    </w:p>
    <w:bookmarkStart w:id="173" w:name="page174"/>
    <w:bookmarkEnd w:id="173"/>
    <w:p>
      <w:pPr>
        <w:spacing w:after="0" w:line="260" w:lineRule="auto"/>
        <w:rPr>
          <w:sz w:val="20"/>
          <w:szCs w:val="20"/>
          <w:color w:val="auto"/>
        </w:rPr>
      </w:pPr>
      <w:r>
        <w:rPr>
          <w:rFonts w:ascii="Arial" w:cs="Arial" w:eastAsia="Arial" w:hAnsi="Arial"/>
          <w:sz w:val="20"/>
          <w:szCs w:val="20"/>
          <w:color w:val="auto"/>
        </w:rPr>
        <w:t>Lender to the extent allocable to the Issuing Lender’s or the Swingline Lender’s Fronting Exposure to such Defaulting Lender, and (z) not be required to pay the remaining amount of any such fee.</w:t>
      </w:r>
    </w:p>
    <w:p>
      <w:pPr>
        <w:spacing w:after="0" w:line="123" w:lineRule="exact"/>
        <w:rPr>
          <w:sz w:val="20"/>
          <w:szCs w:val="20"/>
          <w:color w:val="auto"/>
        </w:rPr>
      </w:pPr>
    </w:p>
    <w:p>
      <w:pPr>
        <w:jc w:val="both"/>
        <w:ind w:firstLine="1952"/>
        <w:spacing w:after="0" w:line="271" w:lineRule="auto"/>
        <w:tabs>
          <w:tab w:leader="none" w:pos="2427"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Reallocation of Pro Rata Share to Reduce Fronting Exposure</w:t>
      </w:r>
      <w:r>
        <w:rPr>
          <w:rFonts w:ascii="Arial" w:cs="Arial" w:eastAsia="Arial" w:hAnsi="Arial"/>
          <w:sz w:val="18"/>
          <w:szCs w:val="18"/>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in Swingline Loans pursuant to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aggregate obligations of each Non-Defaulting Lender to acquire, refinance or fund participations in Letters of Credit and Swingline Loans shall not exceed the positive difference, if any, of (1) the Revolving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outstanding amount of the Revolving Loans of that Lender plus the aggregate amount of that Lender’s L/C Percentage of the Dollar Equivalent of the then outstanding Letters of Credit. Subject to </w:t>
      </w:r>
      <w:r>
        <w:rPr>
          <w:rFonts w:ascii="Arial" w:cs="Arial" w:eastAsia="Arial" w:hAnsi="Arial"/>
          <w:sz w:val="18"/>
          <w:szCs w:val="18"/>
          <w:u w:val="single" w:color="auto"/>
          <w:color w:val="auto"/>
        </w:rPr>
        <w:t>Section 10.21</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15" w:lineRule="exact"/>
        <w:rPr>
          <w:rFonts w:ascii="Arial" w:cs="Arial" w:eastAsia="Arial" w:hAnsi="Arial"/>
          <w:sz w:val="18"/>
          <w:szCs w:val="18"/>
          <w:color w:val="auto"/>
        </w:rPr>
      </w:pPr>
    </w:p>
    <w:p>
      <w:pPr>
        <w:jc w:val="both"/>
        <w:ind w:firstLine="1952"/>
        <w:spacing w:after="0" w:line="246" w:lineRule="auto"/>
        <w:tabs>
          <w:tab w:leader="none" w:pos="2426" w:val="left"/>
        </w:tabs>
        <w:numPr>
          <w:ilvl w:val="1"/>
          <w:numId w:val="117"/>
        </w:numPr>
        <w:rPr>
          <w:rFonts w:ascii="Arial" w:cs="Arial" w:eastAsia="Arial" w:hAnsi="Arial"/>
          <w:sz w:val="20"/>
          <w:szCs w:val="20"/>
          <w:color w:val="auto"/>
        </w:rPr>
      </w:pPr>
      <w:r>
        <w:rPr>
          <w:rFonts w:ascii="Arial" w:cs="Arial" w:eastAsia="Arial" w:hAnsi="Arial"/>
          <w:sz w:val="20"/>
          <w:szCs w:val="20"/>
          <w:u w:val="single" w:color="auto"/>
          <w:color w:val="auto"/>
        </w:rPr>
        <w:t>Cash Collateral, Repayment of Swingline Loans</w:t>
      </w:r>
      <w:r>
        <w:rPr>
          <w:rFonts w:ascii="Arial" w:cs="Arial" w:eastAsia="Arial" w:hAnsi="Arial"/>
          <w:sz w:val="20"/>
          <w:szCs w:val="20"/>
          <w:color w:val="auto"/>
        </w:rPr>
        <w:t xml:space="preserve">. If the reallocation described in clause (iv) above cannot, or can only partially, be effected, the Borrower shall, without prejudice to any right or remedy available to it hereunder or under law, (x)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prepay Swingline Loans in an amount equal to the Swingline Lender’s Fronting Exposure and (y)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Cash Collateralize the Issuing Lender’s Fronting Exposure in accordance with the procedures set forth in </w:t>
      </w:r>
      <w:r>
        <w:rPr>
          <w:rFonts w:ascii="Arial" w:cs="Arial" w:eastAsia="Arial" w:hAnsi="Arial"/>
          <w:sz w:val="20"/>
          <w:szCs w:val="20"/>
          <w:u w:val="single" w:color="auto"/>
          <w:color w:val="auto"/>
        </w:rPr>
        <w:t>Section 3.10</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firstLine="1304"/>
        <w:spacing w:after="0" w:line="255" w:lineRule="auto"/>
        <w:tabs>
          <w:tab w:leader="none" w:pos="1724"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by the Lenders in accordance with their respective Revolving Percentages and L/C Percentages, as applicable (without giving effect to </w:t>
      </w:r>
      <w:r>
        <w:rPr>
          <w:rFonts w:ascii="Arial" w:cs="Arial" w:eastAsia="Arial" w:hAnsi="Arial"/>
          <w:sz w:val="19"/>
          <w:szCs w:val="19"/>
          <w:u w:val="single" w:color="auto"/>
          <w:color w:val="auto"/>
        </w:rPr>
        <w:t>Section 2.24(a)(iv)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no adjustments will be made retroactively with respect to fees accrued or payments made by or on behalf of the Borrower while such Lender was a Defaulting Lender;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32" w:lineRule="exact"/>
        <w:rPr>
          <w:rFonts w:ascii="Arial" w:cs="Arial" w:eastAsia="Arial" w:hAnsi="Arial"/>
          <w:sz w:val="19"/>
          <w:szCs w:val="19"/>
          <w:color w:val="auto"/>
        </w:rPr>
      </w:pPr>
    </w:p>
    <w:p>
      <w:pPr>
        <w:jc w:val="both"/>
        <w:ind w:firstLine="1304"/>
        <w:spacing w:after="0" w:line="246" w:lineRule="auto"/>
        <w:tabs>
          <w:tab w:leader="none" w:pos="1754"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771" w:right="339" w:bottom="1440" w:gutter="0" w:footer="0" w:header="0"/>
        </w:sectPr>
      </w:pPr>
    </w:p>
    <w:bookmarkStart w:id="174" w:name="page175"/>
    <w:bookmarkEnd w:id="174"/>
    <w:p>
      <w:pPr>
        <w:jc w:val="both"/>
        <w:ind w:firstLine="1304"/>
        <w:spacing w:after="0" w:line="257" w:lineRule="auto"/>
        <w:tabs>
          <w:tab w:leader="none" w:pos="1751"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Termination of Defaulting Lender</w:t>
      </w:r>
      <w:r>
        <w:rPr>
          <w:rFonts w:ascii="Arial" w:cs="Arial" w:eastAsia="Arial" w:hAnsi="Arial"/>
          <w:sz w:val="19"/>
          <w:szCs w:val="19"/>
          <w:color w:val="auto"/>
        </w:rPr>
        <w:t xml:space="preserve">. The Borrower may terminate the unused amount of the Revolving Commitment of any Revolving Lender that is a Defaulting Lender upon not less than 10 Business Days’ prior notice to the Administrative Agent (which shall promptly notify the Lenders thereof), and in such event the provisions of </w:t>
      </w:r>
      <w:r>
        <w:rPr>
          <w:rFonts w:ascii="Arial" w:cs="Arial" w:eastAsia="Arial" w:hAnsi="Arial"/>
          <w:sz w:val="19"/>
          <w:szCs w:val="19"/>
          <w:u w:val="single" w:color="auto"/>
          <w:color w:val="auto"/>
        </w:rPr>
        <w:t>Section 2.24(a)(ii)</w:t>
      </w:r>
      <w:r>
        <w:rPr>
          <w:rFonts w:ascii="Arial" w:cs="Arial" w:eastAsia="Arial" w:hAnsi="Arial"/>
          <w:sz w:val="19"/>
          <w:szCs w:val="19"/>
          <w:color w:val="auto"/>
        </w:rPr>
        <w:t xml:space="preserve"> will apply to all amounts thereafter paid by the Borrower for the account of such Defaulting Lender under this Agreement (whether on account of principal, interest, fees, indemnity or other amounts);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1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8"/>
          <w:szCs w:val="18"/>
          <w:b w:val="1"/>
          <w:bCs w:val="1"/>
          <w:color w:val="auto"/>
        </w:rPr>
        <w:t>Joint and Several Liability of the Borrowers</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91" w:lineRule="auto"/>
        <w:tabs>
          <w:tab w:leader="none" w:pos="174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97" w:lineRule="exact"/>
        <w:rPr>
          <w:rFonts w:ascii="Arial" w:cs="Arial" w:eastAsia="Arial" w:hAnsi="Arial"/>
          <w:sz w:val="18"/>
          <w:szCs w:val="18"/>
          <w:color w:val="auto"/>
        </w:rPr>
      </w:pPr>
    </w:p>
    <w:p>
      <w:pPr>
        <w:jc w:val="both"/>
        <w:ind w:firstLine="1304"/>
        <w:spacing w:after="0" w:line="263" w:lineRule="auto"/>
        <w:tabs>
          <w:tab w:leader="none" w:pos="1732"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Arial" w:cs="Arial" w:eastAsia="Arial" w:hAnsi="Arial"/>
          <w:sz w:val="19"/>
          <w:szCs w:val="19"/>
          <w:u w:val="single" w:color="auto"/>
          <w:color w:val="auto"/>
        </w:rPr>
        <w:t>Section 2.25</w:t>
      </w:r>
      <w:r>
        <w:rPr>
          <w:rFonts w:ascii="Arial" w:cs="Arial" w:eastAsia="Arial" w:hAnsi="Arial"/>
          <w:sz w:val="19"/>
          <w:szCs w:val="19"/>
          <w:color w:val="auto"/>
        </w:rPr>
        <w:t>), it being the intention of the parties hereto that all the Obligations shall be the joint and several obligations of each Borrower without preferences or distinction among them.</w:t>
      </w:r>
    </w:p>
    <w:p>
      <w:pPr>
        <w:spacing w:after="0" w:line="122" w:lineRule="exact"/>
        <w:rPr>
          <w:rFonts w:ascii="Arial" w:cs="Arial" w:eastAsia="Arial" w:hAnsi="Arial"/>
          <w:sz w:val="19"/>
          <w:szCs w:val="19"/>
          <w:color w:val="auto"/>
        </w:rPr>
      </w:pPr>
    </w:p>
    <w:p>
      <w:pPr>
        <w:jc w:val="both"/>
        <w:ind w:firstLine="1304"/>
        <w:spacing w:after="0" w:line="250" w:lineRule="auto"/>
        <w:tabs>
          <w:tab w:leader="none" w:pos="178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7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The Obligations of each Borrower under the provisions of 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31" w:lineRule="exact"/>
        <w:rPr>
          <w:rFonts w:ascii="Arial" w:cs="Arial" w:eastAsia="Arial" w:hAnsi="Arial"/>
          <w:sz w:val="20"/>
          <w:szCs w:val="20"/>
          <w:color w:val="auto"/>
        </w:rPr>
      </w:pPr>
    </w:p>
    <w:p>
      <w:pPr>
        <w:jc w:val="both"/>
        <w:ind w:firstLine="1304"/>
        <w:spacing w:after="0" w:line="269" w:lineRule="auto"/>
        <w:tabs>
          <w:tab w:leader="none" w:pos="178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the Administrative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Administrative Agent or Lenders at any time or times in respect of any default by any Borrower in the performance or satisfaction of any term, covenant, condition or provision of this Agreement, any and all other indulgences whatsoever by the Administrative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the Administrative Agent or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afford grounds for terminating, discharging or relieving any Borrower, in whole or in part, from any of its Obligations under this </w:t>
      </w:r>
      <w:r>
        <w:rPr>
          <w:rFonts w:ascii="Arial" w:cs="Arial" w:eastAsia="Arial" w:hAnsi="Arial"/>
          <w:sz w:val="18"/>
          <w:szCs w:val="18"/>
          <w:u w:val="single" w:color="auto"/>
          <w:color w:val="auto"/>
        </w:rPr>
        <w:t>Section 2.25</w:t>
      </w:r>
      <w:r>
        <w:rPr>
          <w:rFonts w:ascii="Arial" w:cs="Arial" w:eastAsia="Arial" w:hAnsi="Arial"/>
          <w:sz w:val="18"/>
          <w:szCs w:val="18"/>
          <w:color w:val="auto"/>
        </w:rPr>
        <w:t>, it being the intention of each Borrower that, so long as any of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771" w:right="339" w:bottom="1440" w:gutter="0" w:footer="0" w:header="0"/>
        </w:sectPr>
      </w:pPr>
    </w:p>
    <w:bookmarkStart w:id="175" w:name="page176"/>
    <w:bookmarkEnd w:id="175"/>
    <w:p>
      <w:pPr>
        <w:jc w:val="both"/>
        <w:spacing w:after="0" w:line="246" w:lineRule="auto"/>
        <w:rPr>
          <w:sz w:val="20"/>
          <w:szCs w:val="20"/>
          <w:color w:val="auto"/>
        </w:rPr>
      </w:pPr>
      <w:r>
        <w:rPr>
          <w:rFonts w:ascii="Arial" w:cs="Arial" w:eastAsia="Arial" w:hAnsi="Arial"/>
          <w:sz w:val="20"/>
          <w:szCs w:val="20"/>
          <w:color w:val="auto"/>
        </w:rPr>
        <w:t xml:space="preserve">Obligations hereunder remain unsatisfied, the Obligations of each Borrower under 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shall not be discharged except by performance and then only to the extent of such performance. The Obligations of each Borrower under this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shall not be diminished or rendered unenforceable by any winding up, reorganization, arrangement, liquidation, reconstruction or similar proceeding with respect to any Borrower, the Administrative Agent or any Lender.</w:t>
      </w:r>
    </w:p>
    <w:p>
      <w:pPr>
        <w:spacing w:after="0" w:line="137" w:lineRule="exact"/>
        <w:rPr>
          <w:sz w:val="20"/>
          <w:szCs w:val="20"/>
          <w:color w:val="auto"/>
        </w:rPr>
      </w:pPr>
    </w:p>
    <w:p>
      <w:pPr>
        <w:jc w:val="both"/>
        <w:ind w:firstLine="1304"/>
        <w:spacing w:after="0" w:line="259" w:lineRule="auto"/>
        <w:tabs>
          <w:tab w:leader="none" w:pos="182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Each Borrower represents and warrants to the Administrative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the Administrative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24" w:lineRule="exact"/>
        <w:rPr>
          <w:rFonts w:ascii="Arial" w:cs="Arial" w:eastAsia="Arial" w:hAnsi="Arial"/>
          <w:sz w:val="19"/>
          <w:szCs w:val="19"/>
          <w:color w:val="auto"/>
        </w:rPr>
      </w:pPr>
    </w:p>
    <w:p>
      <w:pPr>
        <w:jc w:val="both"/>
        <w:ind w:firstLine="1304"/>
        <w:spacing w:after="0" w:line="276" w:lineRule="auto"/>
        <w:tabs>
          <w:tab w:leader="none" w:pos="174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Borrower waives all rights and defenses (i) arising out of an election of remedies by the Administrative Agent or any Lender, even though that election of remedies, such as a nonjudicial foreclosure with respect to security for a guaranteed obligation, has destroyed such Borrower’s rights of subrogation and reimbursement against any applicable Loan Party by the operation of Section 580 or 726 of the California Code of Civil Procedure or otherwise, and (ii) relating to any suretyship defenses available to it under the Uniform Commercial Code or any other applicable law, including, without limitation, the benefit of California Civil Code Section 2815 permitting revocation as to future transactions and the benefit of California Civil Code Sections 1432, 2787 through 2855, 2899 and 3433.</w:t>
      </w:r>
    </w:p>
    <w:p>
      <w:pPr>
        <w:spacing w:after="0" w:line="110" w:lineRule="exact"/>
        <w:rPr>
          <w:rFonts w:ascii="Arial" w:cs="Arial" w:eastAsia="Arial" w:hAnsi="Arial"/>
          <w:sz w:val="18"/>
          <w:szCs w:val="18"/>
          <w:color w:val="auto"/>
        </w:rPr>
      </w:pPr>
    </w:p>
    <w:p>
      <w:pPr>
        <w:ind w:firstLine="1304"/>
        <w:spacing w:after="0" w:line="260" w:lineRule="auto"/>
        <w:tabs>
          <w:tab w:leader="none" w:pos="172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Each Borrower waives all rights and defenses that such Borrower may have because the Obligations are secured by real property at any time. This means, among other things:</w:t>
      </w:r>
    </w:p>
    <w:p>
      <w:pPr>
        <w:spacing w:after="0" w:line="122" w:lineRule="exact"/>
        <w:rPr>
          <w:rFonts w:ascii="Arial" w:cs="Arial" w:eastAsia="Arial" w:hAnsi="Arial"/>
          <w:sz w:val="20"/>
          <w:szCs w:val="20"/>
          <w:color w:val="auto"/>
        </w:rPr>
      </w:pPr>
    </w:p>
    <w:p>
      <w:pPr>
        <w:ind w:firstLine="1952"/>
        <w:spacing w:after="0" w:line="260" w:lineRule="auto"/>
        <w:tabs>
          <w:tab w:leader="none" w:pos="2341"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Administrative Agent and Lenders may collect from such Borrower without first foreclosing on any real or personal property Collateral pledged by the Borrowers.</w:t>
      </w:r>
    </w:p>
    <w:p>
      <w:pPr>
        <w:spacing w:after="0" w:line="122" w:lineRule="exact"/>
        <w:rPr>
          <w:rFonts w:ascii="Arial" w:cs="Arial" w:eastAsia="Arial" w:hAnsi="Arial"/>
          <w:sz w:val="20"/>
          <w:szCs w:val="20"/>
          <w:color w:val="auto"/>
        </w:rPr>
      </w:pPr>
    </w:p>
    <w:p>
      <w:pPr>
        <w:ind w:left="2420" w:hanging="468"/>
        <w:spacing w:after="0"/>
        <w:tabs>
          <w:tab w:leader="none" w:pos="24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the Administrative Agent or any Lender forecloses on any Collateral consisting of real property pledged by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Borrowers:</w:t>
      </w:r>
    </w:p>
    <w:p>
      <w:pPr>
        <w:spacing w:after="0" w:line="145" w:lineRule="exact"/>
        <w:rPr>
          <w:rFonts w:ascii="Arial" w:cs="Arial" w:eastAsia="Arial" w:hAnsi="Arial"/>
          <w:sz w:val="18"/>
          <w:szCs w:val="18"/>
          <w:color w:val="auto"/>
        </w:rPr>
      </w:pPr>
    </w:p>
    <w:p>
      <w:pPr>
        <w:ind w:right="20" w:firstLine="2600"/>
        <w:spacing w:after="0" w:line="260" w:lineRule="auto"/>
        <w:tabs>
          <w:tab w:leader="none" w:pos="3070" w:val="left"/>
        </w:tabs>
        <w:numPr>
          <w:ilvl w:val="2"/>
          <w:numId w:val="121"/>
        </w:numPr>
        <w:rPr>
          <w:rFonts w:ascii="Arial" w:cs="Arial" w:eastAsia="Arial" w:hAnsi="Arial"/>
          <w:sz w:val="20"/>
          <w:szCs w:val="20"/>
          <w:color w:val="auto"/>
        </w:rPr>
      </w:pPr>
      <w:r>
        <w:rPr>
          <w:rFonts w:ascii="Arial" w:cs="Arial" w:eastAsia="Arial" w:hAnsi="Arial"/>
          <w:sz w:val="20"/>
          <w:szCs w:val="20"/>
          <w:color w:val="auto"/>
        </w:rPr>
        <w:t>The amount of the Obligations may be reduced only by the price for which that collateral is sold at the foreclosure sale, even if the collateral is worth more than the sale price.</w:t>
      </w:r>
    </w:p>
    <w:p>
      <w:pPr>
        <w:spacing w:after="0" w:line="122" w:lineRule="exact"/>
        <w:rPr>
          <w:rFonts w:ascii="Arial" w:cs="Arial" w:eastAsia="Arial" w:hAnsi="Arial"/>
          <w:sz w:val="20"/>
          <w:szCs w:val="20"/>
          <w:color w:val="auto"/>
        </w:rPr>
      </w:pPr>
    </w:p>
    <w:p>
      <w:pPr>
        <w:ind w:right="340" w:firstLine="2600"/>
        <w:spacing w:after="0" w:line="316" w:lineRule="auto"/>
        <w:tabs>
          <w:tab w:leader="none" w:pos="3050" w:val="left"/>
        </w:tabs>
        <w:numPr>
          <w:ilvl w:val="2"/>
          <w:numId w:val="121"/>
        </w:numPr>
        <w:rPr>
          <w:rFonts w:ascii="Arial" w:cs="Arial" w:eastAsia="Arial" w:hAnsi="Arial"/>
          <w:sz w:val="18"/>
          <w:szCs w:val="18"/>
          <w:color w:val="auto"/>
        </w:rPr>
      </w:pPr>
      <w:r>
        <w:rPr>
          <w:rFonts w:ascii="Arial" w:cs="Arial" w:eastAsia="Arial" w:hAnsi="Arial"/>
          <w:sz w:val="18"/>
          <w:szCs w:val="18"/>
          <w:color w:val="auto"/>
        </w:rPr>
        <w:t>The Administrative Agent and Lenders may collect from such Borrower even if the Administrative Agent or Lenders, by foreclosing on real property, has destroyed any right such Borrower may have to collect from the other Borrowers.</w:t>
      </w:r>
    </w:p>
    <w:p>
      <w:pPr>
        <w:spacing w:after="0" w:line="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is an unconditional and irrevocable waiver of any rights and defenses such Borrower may have because the Obligations are secured by real property. These rights and defenses include, but are not limited to, any rights or defenses based upon Section 580a, 580b, 580d or 726 of the California Code of Civil Procedure.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771" w:right="339" w:bottom="1440" w:gutter="0" w:footer="0" w:header="0"/>
        </w:sectPr>
      </w:pPr>
    </w:p>
    <w:bookmarkStart w:id="176" w:name="page177"/>
    <w:bookmarkEnd w:id="176"/>
    <w:p>
      <w:pPr>
        <w:jc w:val="both"/>
        <w:ind w:firstLine="1304"/>
        <w:spacing w:after="0" w:line="272" w:lineRule="auto"/>
        <w:tabs>
          <w:tab w:leader="none" w:pos="181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are made for the benefit of the Administrative Agent, the Lenders, and their respective successors and assigns, and may be enforced by it or them from time to time against any or all the Borrowers as often as occasion therefor may arise and without requirement on the part of the Administrative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the Administrative Agent or any Lender upon the insolvency, bankruptcy or reorganization of any Borrower, or otherwise, the provisions of this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will forthwith be reinstated in effect, as though such payment had not been made.</w:t>
      </w:r>
    </w:p>
    <w:p>
      <w:pPr>
        <w:spacing w:after="0" w:line="116" w:lineRule="exact"/>
        <w:rPr>
          <w:rFonts w:ascii="Arial" w:cs="Arial" w:eastAsia="Arial" w:hAnsi="Arial"/>
          <w:sz w:val="18"/>
          <w:szCs w:val="18"/>
          <w:color w:val="auto"/>
        </w:rPr>
      </w:pPr>
    </w:p>
    <w:p>
      <w:pPr>
        <w:jc w:val="both"/>
        <w:ind w:firstLine="1304"/>
        <w:spacing w:after="0" w:line="269" w:lineRule="auto"/>
        <w:tabs>
          <w:tab w:leader="none" w:pos="172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Each Borrower hereby agrees that it will not enforce any of its rights of contribution or subrogation against any other Borrower with respect to any liability incurred by it hereunder or under any of the other Loan Documents, any payments made by it to the Administrative Agent or Lenders with respect to any of the Obligations or any collateral security therefor until such time as all of the Obligations have been paid in full in cash. Any claim which any Borrower may have against any other Borrower with respect to any payments to the Administrative Agent or Lender hereunder or under any other Loan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Notwithstanding anything to the contrary contained in this </w:t>
      </w:r>
      <w:r>
        <w:rPr>
          <w:rFonts w:ascii="Arial" w:cs="Arial" w:eastAsia="Arial" w:hAnsi="Arial"/>
          <w:sz w:val="18"/>
          <w:szCs w:val="18"/>
          <w:u w:val="single" w:color="auto"/>
          <w:color w:val="auto"/>
        </w:rPr>
        <w:t>Section 2.25</w:t>
      </w:r>
      <w:r>
        <w:rPr>
          <w:rFonts w:ascii="Arial" w:cs="Arial" w:eastAsia="Arial" w:hAnsi="Arial"/>
          <w:sz w:val="18"/>
          <w:szCs w:val="18"/>
          <w:color w:val="auto"/>
        </w:rPr>
        <w:t>, no Borrower shall exercise any rights of subrogation, contribution, indemnity, reimbursement or other similar rights against, and shall not proceed or seek recourse against or with respect to any property or asset of, any other Borrower (the “</w:t>
      </w:r>
      <w:r>
        <w:rPr>
          <w:rFonts w:ascii="Arial" w:cs="Arial" w:eastAsia="Arial" w:hAnsi="Arial"/>
          <w:sz w:val="18"/>
          <w:szCs w:val="18"/>
          <w:b w:val="1"/>
          <w:bCs w:val="1"/>
          <w:i w:val="1"/>
          <w:iCs w:val="1"/>
          <w:color w:val="auto"/>
        </w:rPr>
        <w:t>Foreclosed Borrower</w:t>
      </w:r>
      <w:r>
        <w:rPr>
          <w:rFonts w:ascii="Arial" w:cs="Arial" w:eastAsia="Arial" w:hAnsi="Arial"/>
          <w:sz w:val="18"/>
          <w:szCs w:val="18"/>
          <w:color w:val="auto"/>
        </w:rPr>
        <w:t>”), including after payment in full of the Obligations, if all or any portion of the Obligations have been satisfied in connection with an exercise of remedies in respect of the Capital Stock of such Foreclosed Borrower whether pursuant to the Security Documents or otherwise.</w:t>
      </w:r>
    </w:p>
    <w:p>
      <w:pPr>
        <w:spacing w:after="0" w:line="127" w:lineRule="exact"/>
        <w:rPr>
          <w:rFonts w:ascii="Arial" w:cs="Arial" w:eastAsia="Arial" w:hAnsi="Arial"/>
          <w:sz w:val="18"/>
          <w:szCs w:val="18"/>
          <w:color w:val="auto"/>
        </w:rPr>
      </w:pPr>
    </w:p>
    <w:p>
      <w:pPr>
        <w:jc w:val="both"/>
        <w:ind w:firstLine="1304"/>
        <w:spacing w:after="0" w:line="273" w:lineRule="auto"/>
        <w:tabs>
          <w:tab w:leader="none" w:pos="17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the Administrative Agent, and such Borrower shall deliver any such amounts to the Administrative Agent for application to the Obligations in accordance with the terms of this Agreement.</w:t>
      </w:r>
    </w:p>
    <w:p>
      <w:pPr>
        <w:spacing w:after="0" w:line="114" w:lineRule="exact"/>
        <w:rPr>
          <w:rFonts w:ascii="Arial" w:cs="Arial" w:eastAsia="Arial" w:hAnsi="Arial"/>
          <w:sz w:val="18"/>
          <w:szCs w:val="18"/>
          <w:color w:val="auto"/>
        </w:rPr>
      </w:pPr>
    </w:p>
    <w:p>
      <w:pPr>
        <w:jc w:val="both"/>
        <w:ind w:firstLine="1304"/>
        <w:spacing w:after="0" w:line="257" w:lineRule="auto"/>
        <w:tabs>
          <w:tab w:leader="none" w:pos="176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Arial" w:cs="Arial" w:eastAsia="Arial" w:hAnsi="Arial"/>
          <w:sz w:val="19"/>
          <w:szCs w:val="19"/>
          <w:b w:val="1"/>
          <w:bCs w:val="1"/>
          <w:i w:val="1"/>
          <w:iCs w:val="1"/>
          <w:color w:val="auto"/>
        </w:rPr>
        <w:t>Accommodation Payment</w:t>
      </w:r>
      <w:r>
        <w:rPr>
          <w:rFonts w:ascii="Arial" w:cs="Arial" w:eastAsia="Arial" w:hAnsi="Arial"/>
          <w:sz w:val="19"/>
          <w:szCs w:val="19"/>
          <w:color w:val="auto"/>
        </w:rPr>
        <w:t>”),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Arial" w:cs="Arial" w:eastAsia="Arial" w:hAnsi="Arial"/>
          <w:sz w:val="19"/>
          <w:szCs w:val="19"/>
          <w:b w:val="1"/>
          <w:bCs w:val="1"/>
          <w:i w:val="1"/>
          <w:iCs w:val="1"/>
          <w:color w:val="auto"/>
        </w:rPr>
        <w:t>Allocable Amount</w:t>
      </w:r>
      <w:r>
        <w:rPr>
          <w:rFonts w:ascii="Arial" w:cs="Arial" w:eastAsia="Arial" w:hAnsi="Arial"/>
          <w:sz w:val="19"/>
          <w:szCs w:val="19"/>
          <w:color w:val="auto"/>
        </w:rPr>
        <w:t>” of each Borrower shall be equal to the maximum amount of liability for Accommodation Payments which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771" w:right="339" w:bottom="1440" w:gutter="0" w:footer="0" w:header="0"/>
        </w:sectPr>
      </w:pPr>
    </w:p>
    <w:bookmarkStart w:id="177" w:name="page178"/>
    <w:bookmarkEnd w:id="177"/>
    <w:p>
      <w:pPr>
        <w:jc w:val="both"/>
        <w:spacing w:after="0" w:line="260" w:lineRule="auto"/>
        <w:rPr>
          <w:sz w:val="20"/>
          <w:szCs w:val="20"/>
          <w:color w:val="auto"/>
        </w:rPr>
      </w:pPr>
      <w:r>
        <w:rPr>
          <w:rFonts w:ascii="Arial" w:cs="Arial" w:eastAsia="Arial" w:hAnsi="Arial"/>
          <w:sz w:val="19"/>
          <w:szCs w:val="19"/>
          <w:color w:val="auto"/>
        </w:rPr>
        <w:t>could be asserted against such Borrower hereunder without (a) rendering such Borrower “insolvent” within the meaning of Section 101(31) of the Bankruptcy Code, Section 2 of the Uniform Fraudulent Transfer Act (“</w:t>
      </w:r>
      <w:r>
        <w:rPr>
          <w:rFonts w:ascii="Arial" w:cs="Arial" w:eastAsia="Arial" w:hAnsi="Arial"/>
          <w:sz w:val="19"/>
          <w:szCs w:val="19"/>
          <w:b w:val="1"/>
          <w:bCs w:val="1"/>
          <w:i w:val="1"/>
          <w:iCs w:val="1"/>
          <w:color w:val="auto"/>
        </w:rPr>
        <w:t>UFTA</w:t>
      </w:r>
      <w:r>
        <w:rPr>
          <w:rFonts w:ascii="Arial" w:cs="Arial" w:eastAsia="Arial" w:hAnsi="Arial"/>
          <w:sz w:val="19"/>
          <w:szCs w:val="19"/>
          <w:color w:val="auto"/>
        </w:rPr>
        <w:t>”) or Section 2 of the Uniform Fraudulent Conveyance Act (“</w:t>
      </w:r>
      <w:r>
        <w:rPr>
          <w:rFonts w:ascii="Arial" w:cs="Arial" w:eastAsia="Arial" w:hAnsi="Arial"/>
          <w:sz w:val="19"/>
          <w:szCs w:val="19"/>
          <w:b w:val="1"/>
          <w:bCs w:val="1"/>
          <w:i w:val="1"/>
          <w:iCs w:val="1"/>
          <w:color w:val="auto"/>
        </w:rPr>
        <w:t>UFCA</w:t>
      </w:r>
      <w:r>
        <w:rPr>
          <w:rFonts w:ascii="Arial" w:cs="Arial" w:eastAsia="Arial" w:hAnsi="Arial"/>
          <w:sz w:val="19"/>
          <w:szCs w:val="19"/>
          <w:color w:val="auto"/>
        </w:rPr>
        <w:t>”),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126" w:lineRule="exact"/>
        <w:rPr>
          <w:sz w:val="20"/>
          <w:szCs w:val="20"/>
          <w:color w:val="auto"/>
        </w:rPr>
      </w:pPr>
    </w:p>
    <w:p>
      <w:pPr>
        <w:jc w:val="both"/>
        <w:ind w:firstLine="1304"/>
        <w:spacing w:after="0" w:line="256" w:lineRule="auto"/>
        <w:tabs>
          <w:tab w:leader="none" w:pos="181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Each entity composing the Borrower hereby irrevocably appoints NerdWallet as the borrowing agent and attorney-in-fact for all entities composing the Borrower (the “</w:t>
      </w:r>
      <w:r>
        <w:rPr>
          <w:rFonts w:ascii="Arial" w:cs="Arial" w:eastAsia="Arial" w:hAnsi="Arial"/>
          <w:sz w:val="19"/>
          <w:szCs w:val="19"/>
          <w:b w:val="1"/>
          <w:bCs w:val="1"/>
          <w:i w:val="1"/>
          <w:iCs w:val="1"/>
          <w:color w:val="auto"/>
        </w:rPr>
        <w:t>Administrative Borrower</w:t>
      </w:r>
      <w:r>
        <w:rPr>
          <w:rFonts w:ascii="Arial" w:cs="Arial" w:eastAsia="Arial" w:hAnsi="Arial"/>
          <w:sz w:val="19"/>
          <w:szCs w:val="19"/>
          <w:color w:val="auto"/>
        </w:rPr>
        <w:t>”), which appointment shall remain in full force and effect unless and until the Administrative Agent shall have received prior written notice signed by each entity composing the Borrower that such appointment has been revoked and that another entity composing the Borrower has been appointed Administrative Borrower. Each entity composing the Borrower hereby irrevocably appoints and authorizes the Administrative Borrower (a) to provide Agent with all notices with respect to Loans and Letters of Credit obtained for the benefit of any entity composing the Borrower and all other notices and instructions under this Agreement and the other Loan Documents, and (b) to take such action as the Administrative Borrower deems appropriate on its behalf to obtain Loans and Letters of Credit and to exercise such other powers as are reasonably incidental thereto to carry out the purposes of this Agreement and the other Loan Documents.</w:t>
      </w:r>
    </w:p>
    <w:p>
      <w:pPr>
        <w:spacing w:after="0" w:line="1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2.26 Notes</w:t>
      </w:r>
      <w:r>
        <w:rPr>
          <w:rFonts w:ascii="Arial" w:cs="Arial" w:eastAsia="Arial" w:hAnsi="Arial"/>
          <w:sz w:val="20"/>
          <w:szCs w:val="20"/>
          <w:color w:val="auto"/>
        </w:rPr>
        <w:t>. If so requested by any Lender by written notice to the Borrower (with a copy to the Administrative Agent),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Borrower shall execute and deliver to such Lender (and/or, if applicable and if so specified in such notice, to any Person who is an assignee of such Lender pursuant to </w:t>
      </w:r>
      <w:r>
        <w:rPr>
          <w:rFonts w:ascii="Arial" w:cs="Arial" w:eastAsia="Arial" w:hAnsi="Arial"/>
          <w:sz w:val="20"/>
          <w:szCs w:val="20"/>
          <w:u w:val="single" w:color="auto"/>
          <w:color w:val="auto"/>
        </w:rPr>
        <w:t>Section 10.6</w:t>
      </w:r>
      <w:r>
        <w:rPr>
          <w:rFonts w:ascii="Arial" w:cs="Arial" w:eastAsia="Arial" w:hAnsi="Arial"/>
          <w:sz w:val="20"/>
          <w:szCs w:val="20"/>
          <w:color w:val="auto"/>
        </w:rPr>
        <w:t>) (promptly after the Borrower’s receipt of such notice) a Note or Notes to evidence such Lender’s Loans.</w:t>
      </w:r>
    </w:p>
    <w:p>
      <w:pPr>
        <w:spacing w:after="0" w:line="1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8"/>
          <w:szCs w:val="18"/>
          <w:b w:val="1"/>
          <w:bCs w:val="1"/>
          <w:color w:val="auto"/>
        </w:rPr>
        <w:t>Incremental Facility</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69" w:lineRule="auto"/>
        <w:tabs>
          <w:tab w:leader="none" w:pos="173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At any time during the Revolving Commitment Period, the Borrower may request from time to time from one or more existing Lenders or from other Eligible Assignees reasonably acceptable to the Administrative Agent, the Issuing Lender, the Swingline Lender and the Borrower (but subject to the conditions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that the Total Revolving Commitments be increased by an amount not to exceed the Available Revolving Increase Amount (each such increase, an “</w:t>
      </w:r>
      <w:r>
        <w:rPr>
          <w:rFonts w:ascii="Arial" w:cs="Arial" w:eastAsia="Arial" w:hAnsi="Arial"/>
          <w:sz w:val="18"/>
          <w:szCs w:val="18"/>
          <w:b w:val="1"/>
          <w:bCs w:val="1"/>
          <w:i w:val="1"/>
          <w:iCs w:val="1"/>
          <w:color w:val="auto"/>
        </w:rPr>
        <w:t>Increase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Borrower may not request an Increase on more than three occasions during the Revolving Commitment Period. No Lender shall be obligated to increase its Revolving Commitments in connection with a proposed Increase. The Administrative Agent shall invite each Lender to provide a portion of the Increase ratably in accordance with its Revolving Percentage of each requested Increase (it being agreed that no Lender shall be obligated to provide an Increase and that any Lender may elect to participate in such Increase in an amount that is less than its Revolving Percentage of such requested Increase or more than its Revolving Percentage of such requested Increase if other Lenders have elected not to participate in any applicable requested Increase in accordance with their Revolving Percentage) and to the extent, 5 Business Days after receipt of invitation, sufficient Lenders do not agree to provide the full amount of such Increase, then the Administrative Agent may invite any prospective lender that satisfies the criteria of being an “Eligible Assignee” to become a Lender in connection with the proposed Increase. Any Increase shall be in an amount of at least $5,000,000 (or, if the Available Revolving Increase Amount is less than $5,000,000, such remaining Available Revolving Increase Amount) and integral multiples of $1,000,000 in excess thereof. Additionally, for the avoidance of doubt, it is understood and agreed that in no event shall the aggregate amount of the Increases to the Revolving Commitments exceed the Available Revolving Increase Amount during the term of the Agreement. Each request for an Increase delivered by the Borrower to the Administrative Agent shall set forth the amount and proposed terms of the Increase.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771" w:right="339" w:bottom="1440" w:gutter="0" w:footer="0" w:header="0"/>
        </w:sectPr>
      </w:pPr>
    </w:p>
    <w:bookmarkStart w:id="178" w:name="page179"/>
    <w:bookmarkEnd w:id="178"/>
    <w:p>
      <w:pPr>
        <w:ind w:left="1840" w:hanging="536"/>
        <w:spacing w:after="0"/>
        <w:tabs>
          <w:tab w:leader="none" w:pos="1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of the following shall be conditions precedent to any Increase of the Revolving Commitments in connection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therewith:</w:t>
      </w:r>
    </w:p>
    <w:p>
      <w:pPr>
        <w:spacing w:after="0" w:line="146" w:lineRule="exact"/>
        <w:rPr>
          <w:sz w:val="20"/>
          <w:szCs w:val="20"/>
          <w:color w:val="auto"/>
        </w:rPr>
      </w:pPr>
    </w:p>
    <w:p>
      <w:pPr>
        <w:jc w:val="both"/>
        <w:ind w:firstLine="1952"/>
        <w:spacing w:after="0" w:line="278" w:lineRule="auto"/>
        <w:tabs>
          <w:tab w:leader="none" w:pos="238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any Increase shall be on the same terms (including the interest rate, and maturity date), as applicable, as, and pursuant to documentation applicable to, the Revolving Facility then in effect;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such Increase may provide for terms (including interest rate) more favorable to such Increase lenders, if any existing Revolving Loans at the time of such Increase are also provided the benefit of such more favorable terms (and the consent of any existing Revolving Lender shall not be required to implement such terms);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fees shall be agreed between the Borrower and the lenders providing such Increase;</w:t>
      </w:r>
    </w:p>
    <w:p>
      <w:pPr>
        <w:spacing w:after="0" w:line="110" w:lineRule="exact"/>
        <w:rPr>
          <w:rFonts w:ascii="Arial" w:cs="Arial" w:eastAsia="Arial" w:hAnsi="Arial"/>
          <w:sz w:val="18"/>
          <w:szCs w:val="18"/>
          <w:color w:val="auto"/>
        </w:rPr>
      </w:pPr>
    </w:p>
    <w:p>
      <w:pPr>
        <w:jc w:val="both"/>
        <w:ind w:firstLine="1952"/>
        <w:spacing w:after="0" w:line="250" w:lineRule="auto"/>
        <w:tabs>
          <w:tab w:leader="none" w:pos="2457"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Borrower shall have delivered a written request for such Increase at least 10 Business Days prior to the requested establishment of such Increase (or such later date as may be reasonably approved by the Administrative Agent), which request shall set forth the amount and proposed terms of the Increase;</w:t>
      </w:r>
    </w:p>
    <w:p>
      <w:pPr>
        <w:spacing w:after="0" w:line="131" w:lineRule="exact"/>
        <w:rPr>
          <w:rFonts w:ascii="Arial" w:cs="Arial" w:eastAsia="Arial" w:hAnsi="Arial"/>
          <w:sz w:val="20"/>
          <w:szCs w:val="20"/>
          <w:color w:val="auto"/>
        </w:rPr>
      </w:pPr>
    </w:p>
    <w:p>
      <w:pPr>
        <w:jc w:val="both"/>
        <w:ind w:firstLine="1952"/>
        <w:spacing w:after="0" w:line="257" w:lineRule="auto"/>
        <w:tabs>
          <w:tab w:leader="none" w:pos="257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each lender agreeing to such Increase, the Borrower and the Administrative Agent shall have signed an Increase Joinder (any Increase Joinder may, with the consent of the Administrative Agent, the Borrower and the lenders agreeing to such Increase, effect such amendments to this Agreement and the other Loan Documents as may be necessary or appropriate to effectuate the provisions of this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(including the preceding clause (ii))) and the Borrower shall have executed any Notes requested by any Lender in connection with the making of the Increase. Notwithstanding anything to the contrary in this Agreement or in any other Loan Document, an Increase Joinder reasonably satisfactory to the Administrative Agent, and the amendments to this Agreement effected thereby, shall not require the consent of any Lender other than the Lender(s) agreeing to establish such Increase;</w:t>
      </w:r>
    </w:p>
    <w:p>
      <w:pPr>
        <w:spacing w:after="0" w:line="130" w:lineRule="exact"/>
        <w:rPr>
          <w:rFonts w:ascii="Arial" w:cs="Arial" w:eastAsia="Arial" w:hAnsi="Arial"/>
          <w:sz w:val="19"/>
          <w:szCs w:val="19"/>
          <w:color w:val="auto"/>
        </w:rPr>
      </w:pPr>
    </w:p>
    <w:p>
      <w:pPr>
        <w:jc w:val="both"/>
        <w:ind w:firstLine="1952"/>
        <w:spacing w:after="0" w:line="257" w:lineRule="auto"/>
        <w:tabs>
          <w:tab w:leader="none" w:pos="255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immediately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Increase and the use of proceeds thereof, each of the conditions precedent in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are satisfied (other than in connection with Limited Condition Acquisitions, in which case (i)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5.2(a)</w:t>
      </w:r>
      <w:r>
        <w:rPr>
          <w:rFonts w:ascii="Arial" w:cs="Arial" w:eastAsia="Arial" w:hAnsi="Arial"/>
          <w:sz w:val="19"/>
          <w:szCs w:val="19"/>
          <w:color w:val="auto"/>
        </w:rPr>
        <w:t xml:space="preserve"> shall be satisfied only in connection with the Specified Representations and (ii) the Specified Acquisition Agreement Representations shall be true and correct on the date Loans are made under the Increase, but only to the extent that the Borrower (or any of its Affiliates) has the right (taking into account any applicable cure provisions) to terminate its (or such Affiliates’) obligations under the Limited Condition Acquisition, or to decline to consummate the Limited Condition Acquisition Agreement (in each case, in accordance with the terms thereof) as a result of a breach of such Specified Acquisition Agreement Representations);</w:t>
      </w:r>
    </w:p>
    <w:p>
      <w:pPr>
        <w:spacing w:after="0" w:line="130" w:lineRule="exact"/>
        <w:rPr>
          <w:rFonts w:ascii="Arial" w:cs="Arial" w:eastAsia="Arial" w:hAnsi="Arial"/>
          <w:sz w:val="19"/>
          <w:szCs w:val="19"/>
          <w:color w:val="auto"/>
        </w:rPr>
      </w:pPr>
    </w:p>
    <w:p>
      <w:pPr>
        <w:jc w:val="both"/>
        <w:ind w:firstLine="1952"/>
        <w:spacing w:after="0" w:line="273" w:lineRule="auto"/>
        <w:tabs>
          <w:tab w:leader="none" w:pos="241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immediately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Increase and the use of proceeds thereof, (A) no Default or Event of Default shall have occurred and be continuing at the time of such Increase (other than in connection with Limited Condition Acquisitions, in which case there shall be no Default or Event of Default as of the LCA Test Date and no Event of Default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immediately after giving effect to such Increase and the use of proceeds thereof) and (B) the Borrower shall be in compliance with the financial covenants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hereof (regardless of whether a Covenant Testing Period is then in effect) as of the end of the most recently ended month and quarter for which financial statements are required to be delivered prior to such Increase, and the Borrower shall have delivered to the Administrative Agent a Compliance Certificate evidencing compliance with the requirements of this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Limited Condition Acquisition, such calculation shall be made in compliance with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jc w:val="both"/>
        <w:ind w:firstLine="1952"/>
        <w:spacing w:after="0" w:line="250" w:lineRule="auto"/>
        <w:tabs>
          <w:tab w:leader="none" w:pos="2487"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in connection with such Increase, the Borrower shall pay to the Administrative Agent, for the benefit of the Administrative Agent or the Increase lenders, as applicable, all fees that the Borrower has agreed to pay in connection with such Increase (including pursuant to the Fee Letter and the Existing Fee Letter); and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771" w:right="339" w:bottom="1440" w:gutter="0" w:footer="0" w:header="0"/>
        </w:sectPr>
      </w:pPr>
    </w:p>
    <w:bookmarkStart w:id="179" w:name="page180"/>
    <w:bookmarkEnd w:id="179"/>
    <w:p>
      <w:pPr>
        <w:jc w:val="both"/>
        <w:ind w:firstLine="1952"/>
        <w:spacing w:after="0" w:line="263" w:lineRule="auto"/>
        <w:tabs>
          <w:tab w:leader="none" w:pos="2546"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upon each Increase in accordance with this </w:t>
      </w:r>
      <w:r>
        <w:rPr>
          <w:rFonts w:ascii="Arial" w:cs="Arial" w:eastAsia="Arial" w:hAnsi="Arial"/>
          <w:sz w:val="19"/>
          <w:szCs w:val="19"/>
          <w:u w:val="single" w:color="auto"/>
          <w:color w:val="auto"/>
        </w:rPr>
        <w:t>Section 2.27</w:t>
      </w:r>
      <w:r>
        <w:rPr>
          <w:rFonts w:ascii="Arial" w:cs="Arial" w:eastAsia="Arial" w:hAnsi="Arial"/>
          <w:sz w:val="19"/>
          <w:szCs w:val="19"/>
          <w:color w:val="auto"/>
        </w:rPr>
        <w:t>, all outstanding Loans, participations hereunder in Letters of Credit and participations hereunder in Swingline Loans held by each Lender shall be reallocated among the Lenders (including any newly added Lenders) in accordance with the Lenders’ respective revised Revolving Percentages and L/C Percentages, pursuant to procedures reasonably determined by the Administrative Agent in consultation with the Borrower.</w:t>
      </w:r>
    </w:p>
    <w:p>
      <w:pPr>
        <w:spacing w:after="0" w:line="122" w:lineRule="exact"/>
        <w:rPr>
          <w:rFonts w:ascii="Arial" w:cs="Arial" w:eastAsia="Arial" w:hAnsi="Arial"/>
          <w:sz w:val="19"/>
          <w:szCs w:val="19"/>
          <w:color w:val="auto"/>
        </w:rPr>
      </w:pPr>
    </w:p>
    <w:p>
      <w:pPr>
        <w:jc w:val="both"/>
        <w:ind w:firstLine="1304"/>
        <w:spacing w:after="0" w:line="244" w:lineRule="auto"/>
        <w:tabs>
          <w:tab w:leader="none" w:pos="182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Upon the effectiveness of any Increase, (i) all references in this Agreement and any other Loan Document to the Revolving Loans shall be deemed, unless the context otherwise requires, to include such Increase advanced pursuant to this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and any amendments effected through the Increase Joinder and (ii) all references in this Agreement and any other Loan Document to the Revolving Commitment shall be deemed, unless the context otherwise requires, to include the commitment to advance an amount equal to such Increase pursuant to this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jc w:val="both"/>
        <w:ind w:firstLine="1304"/>
        <w:spacing w:after="0" w:line="259" w:lineRule="auto"/>
        <w:tabs>
          <w:tab w:leader="none" w:pos="173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The Revolving Loans and Revolving Commitments established pursuant to this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shall constitute Revolving Loans and Revolving Commitments under, and shall be entitled to all the benefits afforded by, this Agreement and the other Loan Documents, and shall, without limiting the foregoing, benefit equally and ratably from any guarantees and the security interests created by the Loan Documents. The Borrower shall take any actions reasonably required by Administrative Agent to ensure and demonstrate that the Liens and security interests granted by the Loan Documents continue to be perfected under the UCC or otherwise after giving effect to the establishment of any such new Revolving Commitments.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LETTERS OF CREDIT</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8"/>
          <w:szCs w:val="18"/>
          <w:b w:val="1"/>
          <w:bCs w:val="1"/>
          <w:color w:val="auto"/>
        </w:rPr>
        <w:t>L/C Commitment</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70" w:lineRule="auto"/>
        <w:tabs>
          <w:tab w:leader="none" w:pos="17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the terms and conditions hereof, the Issuing Lender agrees to issue letters of credit (“</w:t>
      </w:r>
      <w:r>
        <w:rPr>
          <w:rFonts w:ascii="Arial" w:cs="Arial" w:eastAsia="Arial" w:hAnsi="Arial"/>
          <w:sz w:val="18"/>
          <w:szCs w:val="18"/>
          <w:b w:val="1"/>
          <w:bCs w:val="1"/>
          <w:i w:val="1"/>
          <w:iCs w:val="1"/>
          <w:color w:val="auto"/>
        </w:rPr>
        <w:t>Letters of Credit</w:t>
      </w:r>
      <w:r>
        <w:rPr>
          <w:rFonts w:ascii="Arial" w:cs="Arial" w:eastAsia="Arial" w:hAnsi="Arial"/>
          <w:sz w:val="18"/>
          <w:szCs w:val="18"/>
          <w:color w:val="auto"/>
        </w:rPr>
        <w:t xml:space="preserve">”) for the account of the Borrower (or any other Group Member so long as the Borrower is the applicant on the applicable Application and such Group Member has furnished any documentation required by the Issuing Lender pursuant to “know-your-customer” or any internal requirements) on any Business Day during the Letter of Credit Availability Period in such form as may reasonably be approved from time to time by the Issuing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Issuing Lender shall have no obligation to issue any Letter of Credit if, after giving effect to such issuance, the L/C Exposure would exceed either the Total L/C Commitments or the Available Revolving Commitment at such time. Each Letter of Credit shall (i) be denominated in Dollars or in an Alternative Currency (it being agreed that the Issuing Lender shall have no obligation to issue, renew or extend a Letter of Credit in an Alternative Currency if the Issuing Lender as of any date of determination does not issue Letters of Credit in such Alternative Currency), and (ii) unless otherwise agreed to by the Issuing Lender, expire no later than the earlier of (x) the first anniversary of its date of issuance and (y) the Letter of Credit Maturity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Letter of Credit with a one-year term may provide for the renewal thereof for additional one-year periods (which shall in no event extend beyond the date referred to in clause (y) above unless the Issuing Lender otherwise agrees).</w:t>
      </w:r>
    </w:p>
    <w:p>
      <w:pPr>
        <w:spacing w:after="0" w:line="121" w:lineRule="exact"/>
        <w:rPr>
          <w:rFonts w:ascii="Arial" w:cs="Arial" w:eastAsia="Arial" w:hAnsi="Arial"/>
          <w:sz w:val="18"/>
          <w:szCs w:val="18"/>
          <w:color w:val="auto"/>
        </w:rPr>
      </w:pPr>
    </w:p>
    <w:p>
      <w:pPr>
        <w:ind w:left="1720" w:hanging="416"/>
        <w:spacing w:after="0"/>
        <w:tabs>
          <w:tab w:leader="none" w:pos="17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Issuing Lender shall not at any time be obligated to issue any Letter of Credit if:</w:t>
      </w:r>
    </w:p>
    <w:p>
      <w:pPr>
        <w:spacing w:after="0" w:line="161" w:lineRule="exact"/>
        <w:rPr>
          <w:rFonts w:ascii="Arial" w:cs="Arial" w:eastAsia="Arial" w:hAnsi="Arial"/>
          <w:sz w:val="20"/>
          <w:szCs w:val="20"/>
          <w:color w:val="auto"/>
        </w:rPr>
      </w:pPr>
    </w:p>
    <w:p>
      <w:pPr>
        <w:ind w:firstLine="1952"/>
        <w:spacing w:after="0" w:line="260" w:lineRule="auto"/>
        <w:tabs>
          <w:tab w:leader="none" w:pos="2341" w:val="left"/>
        </w:tabs>
        <w:numPr>
          <w:ilvl w:val="1"/>
          <w:numId w:val="129"/>
        </w:numPr>
        <w:rPr>
          <w:rFonts w:ascii="Arial" w:cs="Arial" w:eastAsia="Arial" w:hAnsi="Arial"/>
          <w:sz w:val="20"/>
          <w:szCs w:val="20"/>
          <w:color w:val="auto"/>
        </w:rPr>
      </w:pPr>
      <w:r>
        <w:rPr>
          <w:rFonts w:ascii="Arial" w:cs="Arial" w:eastAsia="Arial" w:hAnsi="Arial"/>
          <w:sz w:val="20"/>
          <w:szCs w:val="20"/>
          <w:color w:val="auto"/>
        </w:rPr>
        <w:t>such issuance would conflict with, or cause the Issuing Lender or any L/C Lender to exceed any limits imposed by, any applicable Requirement of Law;</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771" w:right="339" w:bottom="1440" w:gutter="0" w:footer="0" w:header="0"/>
        </w:sectPr>
      </w:pPr>
    </w:p>
    <w:bookmarkStart w:id="180" w:name="page181"/>
    <w:bookmarkEnd w:id="180"/>
    <w:p>
      <w:pPr>
        <w:jc w:val="both"/>
        <w:ind w:firstLine="1952"/>
        <w:spacing w:after="0" w:line="257" w:lineRule="auto"/>
        <w:tabs>
          <w:tab w:leader="none" w:pos="241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spacing w:after="0" w:line="126" w:lineRule="exact"/>
        <w:rPr>
          <w:rFonts w:ascii="Arial" w:cs="Arial" w:eastAsia="Arial" w:hAnsi="Arial"/>
          <w:sz w:val="19"/>
          <w:szCs w:val="19"/>
          <w:color w:val="auto"/>
        </w:rPr>
      </w:pPr>
    </w:p>
    <w:p>
      <w:pPr>
        <w:jc w:val="both"/>
        <w:ind w:firstLine="1952"/>
        <w:spacing w:after="0" w:line="250" w:lineRule="auto"/>
        <w:tabs>
          <w:tab w:leader="none" w:pos="246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the Issuing Lender has received written notice from any Lender, the Administrative Agent or the Borrower, at least 1 Business Day prior to the requested date of issuance, amendment, renewal or reinstatement of such Letter of Credit, that one or more of the applicable conditions contained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shall not then be satisfied;</w:t>
      </w:r>
    </w:p>
    <w:p>
      <w:pPr>
        <w:spacing w:after="0" w:line="131" w:lineRule="exact"/>
        <w:rPr>
          <w:rFonts w:ascii="Arial" w:cs="Arial" w:eastAsia="Arial" w:hAnsi="Arial"/>
          <w:sz w:val="20"/>
          <w:szCs w:val="20"/>
          <w:color w:val="auto"/>
        </w:rPr>
      </w:pPr>
    </w:p>
    <w:p>
      <w:pPr>
        <w:ind w:firstLine="1952"/>
        <w:spacing w:after="0" w:line="316" w:lineRule="auto"/>
        <w:tabs>
          <w:tab w:leader="none" w:pos="246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requested Letter of Credit is not in form and substance acceptable to the Issuing Lender, or the issuance, amendment or renewal of a Letter of Credit shall violate any applicable laws or regulations or any applicable policies of the Issuing Lender;</w:t>
      </w:r>
    </w:p>
    <w:p>
      <w:pPr>
        <w:spacing w:after="0" w:line="75" w:lineRule="exact"/>
        <w:rPr>
          <w:rFonts w:ascii="Arial" w:cs="Arial" w:eastAsia="Arial" w:hAnsi="Arial"/>
          <w:sz w:val="18"/>
          <w:szCs w:val="18"/>
          <w:color w:val="auto"/>
        </w:rPr>
      </w:pPr>
    </w:p>
    <w:p>
      <w:pPr>
        <w:ind w:left="2420" w:hanging="468"/>
        <w:spacing w:after="0"/>
        <w:tabs>
          <w:tab w:leader="none" w:pos="2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Letter of Credit contains any provisions providing for automatic reinstatement of the stated amount after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any drawing thereunder;</w:t>
      </w:r>
    </w:p>
    <w:p>
      <w:pPr>
        <w:spacing w:after="0" w:line="145" w:lineRule="exact"/>
        <w:rPr>
          <w:rFonts w:ascii="Arial" w:cs="Arial" w:eastAsia="Arial" w:hAnsi="Arial"/>
          <w:sz w:val="18"/>
          <w:szCs w:val="18"/>
          <w:color w:val="auto"/>
        </w:rPr>
      </w:pPr>
    </w:p>
    <w:p>
      <w:pPr>
        <w:ind w:left="2440" w:hanging="488"/>
        <w:spacing w:after="0"/>
        <w:tabs>
          <w:tab w:leader="none" w:pos="244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such Letter of Credit is not denominated in Dollars or an Alternative Currency;</w:t>
      </w:r>
    </w:p>
    <w:p>
      <w:pPr>
        <w:spacing w:after="0" w:line="161" w:lineRule="exact"/>
        <w:rPr>
          <w:rFonts w:ascii="Arial" w:cs="Arial" w:eastAsia="Arial" w:hAnsi="Arial"/>
          <w:sz w:val="20"/>
          <w:szCs w:val="20"/>
          <w:color w:val="auto"/>
        </w:rPr>
      </w:pPr>
    </w:p>
    <w:p>
      <w:pPr>
        <w:ind w:firstLine="1952"/>
        <w:spacing w:after="0" w:line="260" w:lineRule="auto"/>
        <w:tabs>
          <w:tab w:leader="none" w:pos="250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Issuing Lender, such Letter of Credit is in an initial face amount less than $250,000; or</w:t>
      </w:r>
    </w:p>
    <w:p>
      <w:pPr>
        <w:spacing w:after="0" w:line="122" w:lineRule="exact"/>
        <w:rPr>
          <w:rFonts w:ascii="Arial" w:cs="Arial" w:eastAsia="Arial" w:hAnsi="Arial"/>
          <w:sz w:val="20"/>
          <w:szCs w:val="20"/>
          <w:color w:val="auto"/>
        </w:rPr>
      </w:pPr>
    </w:p>
    <w:p>
      <w:pPr>
        <w:jc w:val="both"/>
        <w:ind w:firstLine="1952"/>
        <w:spacing w:after="0" w:line="278" w:lineRule="auto"/>
        <w:tabs>
          <w:tab w:leader="none" w:pos="262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the Issuing Lender has entered into arrangements, including the delivery of Cash Collateral pursuant to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satisfactory to the Issuing Lender (in its sole discretion) with the Borrower or such Defaulting Lender to eliminate the Issuing Lender’s actual or potential Fronting Exposure (after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1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3.2 Procedure for Issuance of Letters of Credit</w:t>
      </w:r>
      <w:r>
        <w:rPr>
          <w:rFonts w:ascii="Arial" w:cs="Arial" w:eastAsia="Arial" w:hAnsi="Arial"/>
          <w:sz w:val="19"/>
          <w:szCs w:val="19"/>
          <w:color w:val="auto"/>
        </w:rPr>
        <w:t>. The Borrower may from time to time request that the Issuing Lender issue a</w:t>
      </w:r>
      <w:r>
        <w:rPr>
          <w:rFonts w:ascii="Arial" w:cs="Arial" w:eastAsia="Arial" w:hAnsi="Arial"/>
          <w:sz w:val="19"/>
          <w:szCs w:val="19"/>
          <w:b w:val="1"/>
          <w:bCs w:val="1"/>
          <w:color w:val="auto"/>
        </w:rPr>
        <w:t xml:space="preserve"> </w:t>
      </w:r>
      <w:r>
        <w:rPr>
          <w:rFonts w:ascii="Arial" w:cs="Arial" w:eastAsia="Arial" w:hAnsi="Arial"/>
          <w:sz w:val="19"/>
          <w:szCs w:val="19"/>
          <w:color w:val="auto"/>
        </w:rPr>
        <w:t>Letter of Credit for the account of the Borrower by delivering to the Issuing Lender at its address for notices specified herein an Application therefor,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3 Business Days (or such longer period as is required by the Issuing Lender in the case of a Letter of Credit denominated in an Alternative Currency)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771" w:right="339" w:bottom="1440" w:gutter="0" w:footer="0" w:header="0"/>
        </w:sectPr>
      </w:pPr>
    </w:p>
    <w:bookmarkStart w:id="181" w:name="page182"/>
    <w:bookmarkEnd w:id="181"/>
    <w:p>
      <w:pPr>
        <w:ind w:left="660"/>
        <w:spacing w:after="0"/>
        <w:tabs>
          <w:tab w:leader="none" w:pos="108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Fees and Other Charges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2" w:lineRule="auto"/>
        <w:tabs>
          <w:tab w:leader="none" w:pos="172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Borrower agrees to pay, with respect to each Existing Letter of Credit and each outstanding Letter of Credit issued for the account of (or at the request of) the Borrower, (i) a fronting fee of 0.125% per annum on the Dollar Equivalent of the daily amount available to be drawn under each such Letter of Credit to the Issuing Lender for its own account (a “</w:t>
      </w:r>
      <w:r>
        <w:rPr>
          <w:rFonts w:ascii="Arial" w:cs="Arial" w:eastAsia="Arial" w:hAnsi="Arial"/>
          <w:sz w:val="18"/>
          <w:szCs w:val="18"/>
          <w:b w:val="1"/>
          <w:bCs w:val="1"/>
          <w:i w:val="1"/>
          <w:iCs w:val="1"/>
          <w:color w:val="auto"/>
        </w:rPr>
        <w:t>Letter of Credit Fronting Fee</w:t>
      </w:r>
      <w:r>
        <w:rPr>
          <w:rFonts w:ascii="Arial" w:cs="Arial" w:eastAsia="Arial" w:hAnsi="Arial"/>
          <w:sz w:val="18"/>
          <w:szCs w:val="18"/>
          <w:color w:val="auto"/>
        </w:rPr>
        <w:t>”), and</w:t>
      </w:r>
    </w:p>
    <w:p>
      <w:pPr>
        <w:jc w:val="both"/>
        <w:ind w:firstLine="8"/>
        <w:spacing w:after="0" w:line="269" w:lineRule="auto"/>
        <w:tabs>
          <w:tab w:leader="none" w:pos="2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 letter of credit fee equal to (A) (I) at any time there is only one (1) Lender, 2.00% per annum, and (II) at all other times, the Applicable Margin for Eurodollar Loans;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the Dollar Equivalent of the daily amount available to be drawn under each such Letter of Credit on the drawable amount of such Letter of Credit to the Administrative Agent for the ratable account of the L/C Lenders (determined in accordance with their respective L/C Percentages) (a “</w:t>
      </w:r>
      <w:r>
        <w:rPr>
          <w:rFonts w:ascii="Arial" w:cs="Arial" w:eastAsia="Arial" w:hAnsi="Arial"/>
          <w:sz w:val="18"/>
          <w:szCs w:val="18"/>
          <w:b w:val="1"/>
          <w:bCs w:val="1"/>
          <w:i w:val="1"/>
          <w:iCs w:val="1"/>
          <w:color w:val="auto"/>
        </w:rPr>
        <w:t>Letter of Credit Fee</w:t>
      </w:r>
      <w:r>
        <w:rPr>
          <w:rFonts w:ascii="Arial" w:cs="Arial" w:eastAsia="Arial" w:hAnsi="Arial"/>
          <w:sz w:val="18"/>
          <w:szCs w:val="18"/>
          <w:color w:val="auto"/>
        </w:rPr>
        <w:t>”), in each case payable quarterly in arrears on the last Business Day of each calendar quarter and on the Letter of Credit Maturity Date (each, an “</w:t>
      </w:r>
      <w:r>
        <w:rPr>
          <w:rFonts w:ascii="Arial" w:cs="Arial" w:eastAsia="Arial" w:hAnsi="Arial"/>
          <w:sz w:val="18"/>
          <w:szCs w:val="18"/>
          <w:b w:val="1"/>
          <w:bCs w:val="1"/>
          <w:i w:val="1"/>
          <w:iCs w:val="1"/>
          <w:color w:val="auto"/>
        </w:rPr>
        <w:t>L/C Fee Payment Date</w:t>
      </w:r>
      <w:r>
        <w:rPr>
          <w:rFonts w:ascii="Arial" w:cs="Arial" w:eastAsia="Arial" w:hAnsi="Arial"/>
          <w:sz w:val="18"/>
          <w:szCs w:val="18"/>
          <w:color w:val="auto"/>
        </w:rPr>
        <w:t>”) after the issuance date of such Letter of Credit, and (iii) the Issuing Lender’s standard and reasonable fees with respect to the issuance, amendment, renewal or extension of any Letter of Credit issued for the account of (or at the request of) the Borrower or processing of drawings thereunder (the fees in this clause (iii), collectively, the “</w:t>
      </w:r>
      <w:r>
        <w:rPr>
          <w:rFonts w:ascii="Arial" w:cs="Arial" w:eastAsia="Arial" w:hAnsi="Arial"/>
          <w:sz w:val="18"/>
          <w:szCs w:val="18"/>
          <w:b w:val="1"/>
          <w:bCs w:val="1"/>
          <w:i w:val="1"/>
          <w:iCs w:val="1"/>
          <w:color w:val="auto"/>
        </w:rPr>
        <w:t>Issuing Lender Fees</w:t>
      </w:r>
      <w:r>
        <w:rPr>
          <w:rFonts w:ascii="Arial" w:cs="Arial" w:eastAsia="Arial" w:hAnsi="Arial"/>
          <w:sz w:val="18"/>
          <w:szCs w:val="18"/>
          <w:color w:val="auto"/>
        </w:rPr>
        <w:t xml:space="preserve">”). All Letter of Credit Fronting Fees and Letter of Credit Fees shall be computed on the basis of the actual number of days elapsed in a year of 360 days. For purposes of computing the Dollar Equivalent of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firstLine="1304"/>
        <w:spacing w:after="0" w:line="250" w:lineRule="auto"/>
        <w:tabs>
          <w:tab w:leader="none" w:pos="1877" w:val="left"/>
        </w:tabs>
        <w:numPr>
          <w:ilvl w:val="1"/>
          <w:numId w:val="132"/>
        </w:numPr>
        <w:rPr>
          <w:rFonts w:ascii="Arial" w:cs="Arial" w:eastAsia="Arial" w:hAnsi="Arial"/>
          <w:sz w:val="20"/>
          <w:szCs w:val="20"/>
          <w:color w:val="auto"/>
        </w:rPr>
      </w:pPr>
      <w:r>
        <w:rPr>
          <w:rFonts w:ascii="Arial" w:cs="Arial" w:eastAsia="Arial" w:hAnsi="Arial"/>
          <w:sz w:val="20"/>
          <w:szCs w:val="20"/>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4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reasonably require. This Agreement shall control in the event of any conflict with any L/C-Related Document (other than any Letter of Credit).</w:t>
      </w:r>
    </w:p>
    <w:p>
      <w:pPr>
        <w:spacing w:after="0" w:line="137" w:lineRule="exact"/>
        <w:rPr>
          <w:rFonts w:ascii="Arial" w:cs="Arial" w:eastAsia="Arial" w:hAnsi="Arial"/>
          <w:sz w:val="20"/>
          <w:szCs w:val="20"/>
          <w:color w:val="auto"/>
        </w:rPr>
      </w:pPr>
    </w:p>
    <w:p>
      <w:pPr>
        <w:jc w:val="both"/>
        <w:ind w:firstLine="1304"/>
        <w:spacing w:after="0" w:line="244" w:lineRule="auto"/>
        <w:tabs>
          <w:tab w:leader="none" w:pos="1725" w:val="left"/>
        </w:tabs>
        <w:numPr>
          <w:ilvl w:val="1"/>
          <w:numId w:val="132"/>
        </w:numPr>
        <w:rPr>
          <w:rFonts w:ascii="Arial" w:cs="Arial" w:eastAsia="Arial" w:hAnsi="Arial"/>
          <w:sz w:val="20"/>
          <w:szCs w:val="20"/>
          <w:color w:val="auto"/>
        </w:rPr>
      </w:pPr>
      <w:r>
        <w:rPr>
          <w:rFonts w:ascii="Arial" w:cs="Arial" w:eastAsia="Arial" w:hAnsi="Arial"/>
          <w:sz w:val="20"/>
          <w:szCs w:val="20"/>
          <w:color w:val="auto"/>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Arial" w:cs="Arial" w:eastAsia="Arial" w:hAnsi="Arial"/>
          <w:sz w:val="20"/>
          <w:szCs w:val="20"/>
          <w:u w:val="single" w:color="auto"/>
          <w:color w:val="auto"/>
        </w:rPr>
        <w:t>Section 3.10</w:t>
      </w:r>
      <w:r>
        <w:rPr>
          <w:rFonts w:ascii="Arial" w:cs="Arial" w:eastAsia="Arial" w:hAnsi="Arial"/>
          <w:sz w:val="20"/>
          <w:szCs w:val="20"/>
          <w:color w:val="auto"/>
        </w:rPr>
        <w:t xml:space="preserve"> shall be payable, to the maximum extent permitted by applicable law, to the other L/C Lenders in accordance with the upward adjustments in their respective L/C Percentages allocable to such Letter of Credit pursuant to </w:t>
      </w:r>
      <w:r>
        <w:rPr>
          <w:rFonts w:ascii="Arial" w:cs="Arial" w:eastAsia="Arial" w:hAnsi="Arial"/>
          <w:sz w:val="20"/>
          <w:szCs w:val="20"/>
          <w:u w:val="single" w:color="auto"/>
          <w:color w:val="auto"/>
        </w:rPr>
        <w:t>Section 2.24(a)(iv)</w:t>
      </w:r>
      <w:r>
        <w:rPr>
          <w:rFonts w:ascii="Arial" w:cs="Arial" w:eastAsia="Arial" w:hAnsi="Arial"/>
          <w:sz w:val="20"/>
          <w:szCs w:val="20"/>
          <w:color w:val="auto"/>
        </w:rPr>
        <w:t>, with the balance of such fee, if any, payable to the Issuing Lender for its own account.</w:t>
      </w:r>
    </w:p>
    <w:p>
      <w:pPr>
        <w:spacing w:after="0" w:line="140" w:lineRule="exact"/>
        <w:rPr>
          <w:rFonts w:ascii="Arial" w:cs="Arial" w:eastAsia="Arial" w:hAnsi="Arial"/>
          <w:sz w:val="20"/>
          <w:szCs w:val="20"/>
          <w:color w:val="auto"/>
        </w:rPr>
      </w:pPr>
    </w:p>
    <w:p>
      <w:pPr>
        <w:ind w:left="1720" w:hanging="416"/>
        <w:spacing w:after="0"/>
        <w:tabs>
          <w:tab w:leader="none" w:pos="172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 xml:space="preserve">All fees payable under this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shall be fully earned on the date paid and nonrefundable.</w:t>
      </w:r>
    </w:p>
    <w:p>
      <w:pPr>
        <w:spacing w:after="0" w:line="15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8"/>
          <w:szCs w:val="18"/>
          <w:b w:val="1"/>
          <w:bCs w:val="1"/>
          <w:color w:val="auto"/>
        </w:rPr>
        <w:t>L/C Participations; Existing Letters of Credit</w:t>
      </w:r>
      <w:r>
        <w:rPr>
          <w:rFonts w:ascii="Arial" w:cs="Arial" w:eastAsia="Arial" w:hAnsi="Arial"/>
          <w:sz w:val="18"/>
          <w:szCs w:val="18"/>
          <w:color w:val="auto"/>
        </w:rPr>
        <w:t>.</w:t>
      </w:r>
    </w:p>
    <w:p>
      <w:pPr>
        <w:spacing w:after="0" w:line="162" w:lineRule="exact"/>
        <w:rPr>
          <w:sz w:val="20"/>
          <w:szCs w:val="20"/>
          <w:color w:val="auto"/>
        </w:rPr>
      </w:pPr>
    </w:p>
    <w:p>
      <w:pPr>
        <w:jc w:val="both"/>
        <w:ind w:firstLine="1304"/>
        <w:spacing w:after="0" w:line="272" w:lineRule="auto"/>
        <w:tabs>
          <w:tab w:leader="none" w:pos="1794"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L/C Participations</w:t>
      </w:r>
      <w:r>
        <w:rPr>
          <w:rFonts w:ascii="Arial" w:cs="Arial" w:eastAsia="Arial" w:hAnsi="Arial"/>
          <w:sz w:val="18"/>
          <w:szCs w:val="18"/>
          <w:color w:val="auto"/>
        </w:rPr>
        <w:t>. The Issuing Lender irrevocably agrees to grant and hereby grants to each L/C Lender, and,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Arial" w:cs="Arial" w:eastAsia="Arial" w:hAnsi="Arial"/>
          <w:sz w:val="18"/>
          <w:szCs w:val="18"/>
          <w:u w:val="single" w:color="auto"/>
          <w:color w:val="auto"/>
        </w:rPr>
        <w:t>Section 3.5(a)</w:t>
      </w:r>
      <w:r>
        <w:rPr>
          <w:rFonts w:ascii="Arial" w:cs="Arial" w:eastAsia="Arial" w:hAnsi="Arial"/>
          <w:sz w:val="18"/>
          <w:szCs w:val="18"/>
          <w:color w:val="auto"/>
        </w:rPr>
        <w:t>,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765" w:right="339" w:bottom="1440" w:gutter="0" w:footer="0" w:header="0"/>
        </w:sectPr>
      </w:pPr>
    </w:p>
    <w:bookmarkStart w:id="182" w:name="page183"/>
    <w:bookmarkEnd w:id="182"/>
    <w:p>
      <w:pPr>
        <w:jc w:val="both"/>
        <w:spacing w:after="0" w:line="275" w:lineRule="auto"/>
        <w:rPr>
          <w:sz w:val="20"/>
          <w:szCs w:val="20"/>
          <w:color w:val="auto"/>
        </w:rPr>
      </w:pPr>
      <w:r>
        <w:rPr>
          <w:rFonts w:ascii="Arial" w:cs="Arial" w:eastAsia="Arial" w:hAnsi="Arial"/>
          <w:sz w:val="18"/>
          <w:szCs w:val="18"/>
          <w:color w:val="auto"/>
        </w:rPr>
        <w:t xml:space="preserve">Lender, the Borrower or any other Person for any reason whatsoever, (ii) the occurrence of a Default or an Event of Default or the failure to satisfy any of the other conditions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(iii) any adverse change in the condition (financial or otherwise) of the Borrower,</w:t>
      </w:r>
    </w:p>
    <w:p>
      <w:pPr>
        <w:spacing w:after="0" w:line="1" w:lineRule="exact"/>
        <w:rPr>
          <w:sz w:val="20"/>
          <w:szCs w:val="20"/>
          <w:color w:val="auto"/>
        </w:rPr>
      </w:pPr>
    </w:p>
    <w:p>
      <w:pPr>
        <w:ind w:firstLine="8"/>
        <w:spacing w:after="0" w:line="244" w:lineRule="auto"/>
        <w:tabs>
          <w:tab w:leader="none" w:pos="346"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any breach of this Agreement or any other Loan Document by the Borrower, any other Loan Party or any other L/C Lender, or (v) any other circumstance, happening or event whatsoever, whether or not similar to any of the foregoing.</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832" w:val="left"/>
        </w:tabs>
        <w:numPr>
          <w:ilvl w:val="1"/>
          <w:numId w:val="134"/>
        </w:numPr>
        <w:rPr>
          <w:rFonts w:ascii="Arial" w:cs="Arial" w:eastAsia="Arial" w:hAnsi="Arial"/>
          <w:sz w:val="20"/>
          <w:szCs w:val="20"/>
          <w:color w:val="auto"/>
        </w:rPr>
      </w:pPr>
      <w:r>
        <w:rPr>
          <w:rFonts w:ascii="Arial" w:cs="Arial" w:eastAsia="Arial" w:hAnsi="Arial"/>
          <w:sz w:val="20"/>
          <w:szCs w:val="20"/>
          <w:b w:val="1"/>
          <w:bCs w:val="1"/>
          <w:color w:val="auto"/>
        </w:rPr>
        <w:t xml:space="preserve">Existing Letters of Credit. </w:t>
      </w:r>
      <w:r>
        <w:rPr>
          <w:rFonts w:ascii="Arial" w:cs="Arial" w:eastAsia="Arial" w:hAnsi="Arial"/>
          <w:sz w:val="20"/>
          <w:szCs w:val="20"/>
          <w:color w:val="auto"/>
        </w:rPr>
        <w:t>On and after the Closing Date, the Existing Letters of Credit shall be deemed for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purposes, including for purposes of the fees to be collected pursuant to </w:t>
      </w:r>
      <w:r>
        <w:rPr>
          <w:rFonts w:ascii="Arial" w:cs="Arial" w:eastAsia="Arial" w:hAnsi="Arial"/>
          <w:sz w:val="20"/>
          <w:szCs w:val="20"/>
          <w:u w:val="single" w:color="auto"/>
          <w:color w:val="auto"/>
        </w:rPr>
        <w:t>Sections 3.3(a)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p>
    <w:p>
      <w:pPr>
        <w:spacing w:after="0" w:line="13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6"/>
          <w:szCs w:val="16"/>
          <w:b w:val="1"/>
          <w:bCs w:val="1"/>
          <w:color w:val="auto"/>
        </w:rPr>
        <w:t>Reimbursement</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69" w:lineRule="auto"/>
        <w:tabs>
          <w:tab w:leader="none" w:pos="173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the immediately following Business Day. In the case of a Letter of Credit denominated in an Alternative Currency, the Borrower shall reimburse the Issuing Lender in such Alternative Currency, unless (A) the Issuing Lender (at its option) shall have specified in such notice that it will require reimbursement in Dollars, or (B) in the absence of any such requirement for reimbursement in Dollars, the Borrower shall have notified the Issuing Lender promptly following receipt of the notice of drawing that the Borrower will reimburse the Issuing Lender in Dollars. In the case of any such reimbursement in Dollars of a drawing under a Letter of Credit denominated in an Alternative Currency, the Issuing Lender shall notify the Borrower of the Dollar Equivalent of the amount of the drawing promptly following the determination thereof. In the event that a drawing denominated in an Alternative Currency is to be reimbursed in Dollars and the Dollar amount paid by the Borrower shall not be adequate on the date of that payment to purchase in accordance with normal banking procedures a sum denominated in the Alternative Currency equal to the drawing, the Borrower agrees, as a separate and independent obligation, to indemnify the Issuing Lender for the loss resulting from its inability on that date to purchase the Alternative Currency in the full amount of the drawing. Each such payment shall be made to the Issuing Lender at its address for notices referred to herein in Same Day Funds;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Borrower may, subject to the satisfaction of the conditions to borrowing set forth herein, request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spacing w:after="0" w:line="119" w:lineRule="exact"/>
        <w:rPr>
          <w:rFonts w:ascii="Arial" w:cs="Arial" w:eastAsia="Arial" w:hAnsi="Arial"/>
          <w:sz w:val="18"/>
          <w:szCs w:val="18"/>
          <w:color w:val="auto"/>
        </w:rPr>
      </w:pPr>
    </w:p>
    <w:p>
      <w:pPr>
        <w:jc w:val="both"/>
        <w:ind w:firstLine="1304"/>
        <w:spacing w:after="0" w:line="255" w:lineRule="auto"/>
        <w:tabs>
          <w:tab w:leader="none" w:pos="179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If the Issuing Lender shall not have received from the Borrower the payment that it is required to make pursuant to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(expressed in Dollars in the amount of the Dollar Equivalent thereof in the case of a Letter of Credit denominated in an Alternative Currency) (and the Administrative Agent may apply Cash Collateral provided for this purpose); upon such payment pursuant to this paragraph to reimburse the Issuing Lender for any L/C Disbursement, the Borrower shall be required to reimburse the L/C Lenders for such payments (including interest accrued thereon from the date of such payment until the date of such reimbursement at the rate applicable to Revolving Loans that are ABR Loans plus 2% per annum) on demand;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at the time of and after giving effect to such payment by the L/C Lenders, the conditions to borrowings and Revolving Loan Conversions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are satisfied, the Borrower may, by written notice to the Administrative Agent certifying that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771" w:right="339" w:bottom="1440" w:gutter="0" w:footer="0" w:header="0"/>
        </w:sectPr>
      </w:pPr>
    </w:p>
    <w:bookmarkStart w:id="183" w:name="page184"/>
    <w:bookmarkEnd w:id="183"/>
    <w:p>
      <w:pPr>
        <w:jc w:val="both"/>
        <w:spacing w:after="0" w:line="274" w:lineRule="auto"/>
        <w:rPr>
          <w:sz w:val="20"/>
          <w:szCs w:val="20"/>
          <w:color w:val="auto"/>
        </w:rPr>
      </w:pPr>
      <w:r>
        <w:rPr>
          <w:rFonts w:ascii="Arial" w:cs="Arial" w:eastAsia="Arial" w:hAnsi="Arial"/>
          <w:sz w:val="18"/>
          <w:szCs w:val="18"/>
          <w:color w:val="auto"/>
        </w:rPr>
        <w:t>such conditions are satisfied and that all interest owing under this paragraph has been paid, request that such payments by the L/C Lenders be converted into Revolving Loans (a “</w:t>
      </w:r>
      <w:r>
        <w:rPr>
          <w:rFonts w:ascii="Arial" w:cs="Arial" w:eastAsia="Arial" w:hAnsi="Arial"/>
          <w:sz w:val="18"/>
          <w:szCs w:val="18"/>
          <w:b w:val="1"/>
          <w:bCs w:val="1"/>
          <w:i w:val="1"/>
          <w:iCs w:val="1"/>
          <w:color w:val="auto"/>
        </w:rPr>
        <w:t>Revolving Loan Conversion</w:t>
      </w:r>
      <w:r>
        <w:rPr>
          <w:rFonts w:ascii="Arial" w:cs="Arial" w:eastAsia="Arial" w:hAnsi="Arial"/>
          <w:sz w:val="18"/>
          <w:szCs w:val="18"/>
          <w:color w:val="auto"/>
        </w:rPr>
        <w:t xml:space="preserve">”), in which case, if such conditions are in fact satisfied, the L/C Lenders shall be deemed to have 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Issuing Lender, at its option, may effectuate a Revolving Loan Conversion regardless of whether the conditions to borrowings and Revolving Loan Conversions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satisfied.</w:t>
      </w:r>
    </w:p>
    <w:p>
      <w:pPr>
        <w:spacing w:after="0" w:line="1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3.6 Obligations Absolute</w:t>
      </w:r>
      <w:r>
        <w:rPr>
          <w:rFonts w:ascii="Arial" w:cs="Arial" w:eastAsia="Arial" w:hAnsi="Arial"/>
          <w:sz w:val="19"/>
          <w:szCs w:val="19"/>
          <w:color w:val="auto"/>
        </w:rPr>
        <w:t>. The Borrower’s obligations under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absolute and unconditional under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obligations hereunder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Borrower’s obligation under this Section 3 shall not be impacted by any adverse change in the relevant exchange rates or in the availability of the relevant Alternative Currency to the Borrower or any Subsidiary or in the relevant currency markets generally.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spacing w:after="0" w:line="128"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that the Issuing Lender may incur or be subject to as a consequence, direct or indirect, of (a) the issuance of any Letter of Credit, or (b) the failure of Issuing Lender or of any L/C Lender to honor a demand for payment under any Letter of Credit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771" w:right="339" w:bottom="1440" w:gutter="0" w:footer="0" w:header="0"/>
        </w:sectPr>
      </w:pPr>
    </w:p>
    <w:bookmarkStart w:id="184" w:name="page185"/>
    <w:bookmarkEnd w:id="184"/>
    <w:p>
      <w:pPr>
        <w:jc w:val="both"/>
        <w:ind w:firstLine="648"/>
        <w:spacing w:after="0" w:line="262" w:lineRule="auto"/>
        <w:rPr>
          <w:sz w:val="20"/>
          <w:szCs w:val="20"/>
          <w:color w:val="auto"/>
        </w:rPr>
      </w:pPr>
      <w:r>
        <w:rPr>
          <w:rFonts w:ascii="Arial" w:cs="Arial" w:eastAsia="Arial" w:hAnsi="Arial"/>
          <w:sz w:val="19"/>
          <w:szCs w:val="19"/>
          <w:b w:val="1"/>
          <w:bCs w:val="1"/>
          <w:color w:val="auto"/>
        </w:rPr>
        <w:t>3.7 Letter of Credit Payments</w:t>
      </w:r>
      <w:r>
        <w:rPr>
          <w:rFonts w:ascii="Arial" w:cs="Arial" w:eastAsia="Arial" w:hAnsi="Arial"/>
          <w:sz w:val="19"/>
          <w:szCs w:val="19"/>
          <w:color w:val="auto"/>
        </w:rPr>
        <w:t>. If any draft shall be presented for payment under any Letter of Credit, the Issuing Lender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notify the Borrower and the Administrative Agent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3.8 Applications</w:t>
      </w:r>
      <w:r>
        <w:rPr>
          <w:rFonts w:ascii="Arial" w:cs="Arial" w:eastAsia="Arial" w:hAnsi="Arial"/>
          <w:sz w:val="20"/>
          <w:szCs w:val="20"/>
          <w:color w:val="auto"/>
        </w:rPr>
        <w:t>. To the extent that any provision of any Application related to any Letter of Credit is inconsistent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provisions of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shall apply.</w:t>
      </w:r>
    </w:p>
    <w:p>
      <w:pPr>
        <w:spacing w:after="0" w:line="1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3.9 Interim Interest</w:t>
      </w:r>
      <w:r>
        <w:rPr>
          <w:rFonts w:ascii="Arial" w:cs="Arial" w:eastAsia="Arial" w:hAnsi="Arial"/>
          <w:sz w:val="20"/>
          <w:szCs w:val="20"/>
          <w:color w:val="auto"/>
        </w:rPr>
        <w:t>. If the Issuing Lender shall make any L/C Disbursement in respect of a Letter of Credit, then, unless either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Borrower shall have reimbursed such L/C Disbursement in full within the time period specified in </w:t>
      </w:r>
      <w:r>
        <w:rPr>
          <w:rFonts w:ascii="Arial" w:cs="Arial" w:eastAsia="Arial" w:hAnsi="Arial"/>
          <w:sz w:val="20"/>
          <w:szCs w:val="20"/>
          <w:u w:val="single" w:color="auto"/>
          <w:color w:val="auto"/>
        </w:rPr>
        <w:t>Section 3.5(a)</w:t>
      </w:r>
      <w:r>
        <w:rPr>
          <w:rFonts w:ascii="Arial" w:cs="Arial" w:eastAsia="Arial" w:hAnsi="Arial"/>
          <w:sz w:val="20"/>
          <w:szCs w:val="20"/>
          <w:color w:val="auto"/>
        </w:rPr>
        <w:t xml:space="preserve"> or the L/C Lenders shall have reimbursed such L/C Disbursement in full on such date as provided in </w:t>
      </w:r>
      <w:r>
        <w:rPr>
          <w:rFonts w:ascii="Arial" w:cs="Arial" w:eastAsia="Arial" w:hAnsi="Arial"/>
          <w:sz w:val="20"/>
          <w:szCs w:val="20"/>
          <w:u w:val="single" w:color="auto"/>
          <w:color w:val="auto"/>
        </w:rPr>
        <w:t>Section 3.5(b)</w:t>
      </w:r>
      <w:r>
        <w:rPr>
          <w:rFonts w:ascii="Arial" w:cs="Arial" w:eastAsia="Arial" w:hAnsi="Arial"/>
          <w:sz w:val="20"/>
          <w:szCs w:val="20"/>
          <w:color w:val="auto"/>
        </w:rPr>
        <w:t xml:space="preserve">, in each case the Dollar Equivalent of the unpaid amount thereof shall bear interest for the account of the Issuing Lender, for each day from and including the date of such L/C Disbursement to but excluding the date of payment by the Borrower, at the rate per annum that would apply to such amount if such amount were a Revolving Loan that is an ABR Loan;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provisions of </w:t>
      </w:r>
      <w:r>
        <w:rPr>
          <w:rFonts w:ascii="Arial" w:cs="Arial" w:eastAsia="Arial" w:hAnsi="Arial"/>
          <w:sz w:val="20"/>
          <w:szCs w:val="20"/>
          <w:u w:val="single" w:color="auto"/>
          <w:color w:val="auto"/>
        </w:rPr>
        <w:t>Section 2.15(c)</w:t>
      </w:r>
      <w:r>
        <w:rPr>
          <w:rFonts w:ascii="Arial" w:cs="Arial" w:eastAsia="Arial" w:hAnsi="Arial"/>
          <w:sz w:val="20"/>
          <w:szCs w:val="20"/>
          <w:color w:val="auto"/>
        </w:rPr>
        <w:t xml:space="preserve"> shall be applicable to any such amounts not paid when due.</w:t>
      </w:r>
    </w:p>
    <w:p>
      <w:pPr>
        <w:spacing w:after="0" w:line="13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3.10</w:t>
      </w:r>
      <w:r>
        <w:rPr>
          <w:sz w:val="20"/>
          <w:szCs w:val="20"/>
          <w:color w:val="auto"/>
        </w:rPr>
        <w:tab/>
      </w:r>
      <w:r>
        <w:rPr>
          <w:rFonts w:ascii="Arial" w:cs="Arial" w:eastAsia="Arial" w:hAnsi="Arial"/>
          <w:sz w:val="18"/>
          <w:szCs w:val="18"/>
          <w:b w:val="1"/>
          <w:bCs w:val="1"/>
          <w:color w:val="auto"/>
        </w:rPr>
        <w:t>Cash Collateral.</w:t>
      </w:r>
    </w:p>
    <w:p>
      <w:pPr>
        <w:spacing w:after="0" w:line="168" w:lineRule="exact"/>
        <w:rPr>
          <w:sz w:val="20"/>
          <w:szCs w:val="20"/>
          <w:color w:val="auto"/>
        </w:rPr>
      </w:pPr>
    </w:p>
    <w:p>
      <w:pPr>
        <w:jc w:val="both"/>
        <w:ind w:firstLine="1304"/>
        <w:spacing w:after="0" w:line="272" w:lineRule="auto"/>
        <w:tabs>
          <w:tab w:leader="none" w:pos="1767"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Arial" w:cs="Arial" w:eastAsia="Arial" w:hAnsi="Arial"/>
          <w:sz w:val="18"/>
          <w:szCs w:val="18"/>
          <w:u w:val="single" w:color="auto"/>
          <w:color w:val="auto"/>
        </w:rPr>
        <w:t>Section 3.5(b)</w:t>
      </w:r>
      <w:r>
        <w:rPr>
          <w:rFonts w:ascii="Arial" w:cs="Arial" w:eastAsia="Arial" w:hAnsi="Arial"/>
          <w:sz w:val="18"/>
          <w:szCs w:val="18"/>
          <w:color w:val="auto"/>
        </w:rPr>
        <w:t>, or</w:t>
      </w:r>
    </w:p>
    <w:p>
      <w:pPr>
        <w:jc w:val="both"/>
        <w:ind w:firstLine="8"/>
        <w:spacing w:after="0" w:line="241" w:lineRule="auto"/>
        <w:tabs>
          <w:tab w:leader="none" w:pos="315"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if, as of the Letter of Credit Maturity Date, any L/C Exposure for any reason remains outstanding, the Borrower shall, in each case, immediately Cash Collateralize the then effective L/C Exposure in an amount equal to 105% (110% in the case of a Letter of Credit denominated in an Alternative Currency) of such L/C Exposure.</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At any time that there shall exist a Defaulting Lender, within 1 Business Day following the request of the Administrative Agent or the Issuing Lender (with a copy to the Administrative Agent), the Borrower shall deliver to the Administrative Agent Cash Collateral in an amount sufficient to cover 105% (110% in the case of a Letter of Credit denominated in an Alternative Currency) of the Fronting Exposure relating to the Letters of Credit (after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xml:space="preserve"> and any Cash Collateral provided by such Defaulting Lender).</w:t>
      </w:r>
    </w:p>
    <w:p>
      <w:pPr>
        <w:spacing w:after="0" w:line="107" w:lineRule="exact"/>
        <w:rPr>
          <w:sz w:val="20"/>
          <w:szCs w:val="20"/>
          <w:color w:val="auto"/>
        </w:rPr>
      </w:pPr>
    </w:p>
    <w:p>
      <w:pPr>
        <w:jc w:val="both"/>
        <w:ind w:firstLine="1304"/>
        <w:spacing w:after="0" w:line="271" w:lineRule="auto"/>
        <w:tabs>
          <w:tab w:leader="none" w:pos="173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Arial" w:cs="Arial" w:eastAsia="Arial" w:hAnsi="Arial"/>
          <w:sz w:val="18"/>
          <w:szCs w:val="18"/>
          <w:u w:val="single" w:color="auto"/>
          <w:color w:val="auto"/>
        </w:rPr>
        <w:t>Section 3.10(c)</w:t>
      </w:r>
      <w:r>
        <w:rPr>
          <w:rFonts w:ascii="Arial" w:cs="Arial" w:eastAsia="Arial" w:hAnsi="Arial"/>
          <w:sz w:val="18"/>
          <w:szCs w:val="18"/>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105% (110% in the case of a Letter of Credit denominated in an Alternative Currency)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115" w:lineRule="exact"/>
        <w:rPr>
          <w:rFonts w:ascii="Arial" w:cs="Arial" w:eastAsia="Arial" w:hAnsi="Arial"/>
          <w:sz w:val="18"/>
          <w:szCs w:val="18"/>
          <w:color w:val="auto"/>
        </w:rPr>
      </w:pPr>
    </w:p>
    <w:p>
      <w:pPr>
        <w:ind w:right="20" w:firstLine="1304"/>
        <w:spacing w:after="0" w:line="260" w:lineRule="auto"/>
        <w:tabs>
          <w:tab w:leader="none" w:pos="1713"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3.10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or otherwise in respect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765" w:right="339" w:bottom="1440" w:gutter="0" w:footer="0" w:header="0"/>
        </w:sectPr>
      </w:pPr>
    </w:p>
    <w:bookmarkStart w:id="185" w:name="page186"/>
    <w:bookmarkEnd w:id="185"/>
    <w:p>
      <w:pPr>
        <w:jc w:val="both"/>
        <w:spacing w:after="0" w:line="269" w:lineRule="auto"/>
        <w:rPr>
          <w:sz w:val="20"/>
          <w:szCs w:val="20"/>
          <w:color w:val="auto"/>
        </w:rPr>
      </w:pPr>
      <w:r>
        <w:rPr>
          <w:rFonts w:ascii="Arial" w:cs="Arial" w:eastAsia="Arial" w:hAnsi="Arial"/>
          <w:sz w:val="19"/>
          <w:szCs w:val="19"/>
          <w:color w:val="auto"/>
        </w:rPr>
        <w:t>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16" w:lineRule="exact"/>
        <w:rPr>
          <w:sz w:val="20"/>
          <w:szCs w:val="20"/>
          <w:color w:val="auto"/>
        </w:rPr>
      </w:pPr>
    </w:p>
    <w:p>
      <w:pPr>
        <w:jc w:val="both"/>
        <w:ind w:firstLine="1304"/>
        <w:spacing w:after="0" w:line="255" w:lineRule="auto"/>
        <w:tabs>
          <w:tab w:leader="none" w:pos="1724"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Termination of Requirement</w:t>
      </w:r>
      <w:r>
        <w:rPr>
          <w:rFonts w:ascii="Arial" w:cs="Arial" w:eastAsia="Arial" w:hAnsi="Arial"/>
          <w:sz w:val="19"/>
          <w:szCs w:val="19"/>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 that Cash Collateral furnished by or on behalf of a Loan Party shall not be released during the existence of an Event of Default, and (B) that, subject to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the Person providing such Cash Collateral and the Issuing Lender may agree that such Cash Collateral shall not be released but instead shall be held to support future anticipated Fronting Exposure or other obligations,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to the extent that such Cash Collateral was provided by the Borrower or any other Loan Party, such Cash Collateral shall remain subject to any security interest and Lien granted pursuant to the Loan Documents including any applicable Cash Management Agreement.</w:t>
      </w:r>
    </w:p>
    <w:p>
      <w:pPr>
        <w:spacing w:after="0" w:line="13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3.11 Additional Issuing Lenders</w:t>
      </w:r>
      <w:r>
        <w:rPr>
          <w:rFonts w:ascii="Arial" w:cs="Arial" w:eastAsia="Arial" w:hAnsi="Arial"/>
          <w:sz w:val="18"/>
          <w:szCs w:val="18"/>
          <w:color w:val="auto"/>
        </w:rPr>
        <w:t>. The Borrower may, at any time and from time to time with the consent of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(which consent shall not be unreasonably withheld) and such Lender, designate one or more additional Lenders to act as an issuing bank under the terms of this Agreement. Any Lender designated as an issuing bank pursuant to this paragraph shall be deemed to be an “</w:t>
      </w:r>
      <w:r>
        <w:rPr>
          <w:rFonts w:ascii="Arial" w:cs="Arial" w:eastAsia="Arial" w:hAnsi="Arial"/>
          <w:sz w:val="18"/>
          <w:szCs w:val="18"/>
          <w:b w:val="1"/>
          <w:bCs w:val="1"/>
          <w:i w:val="1"/>
          <w:iCs w:val="1"/>
          <w:color w:val="auto"/>
        </w:rPr>
        <w:t>Issuing Lender</w:t>
      </w:r>
      <w:r>
        <w:rPr>
          <w:rFonts w:ascii="Arial" w:cs="Arial" w:eastAsia="Arial" w:hAnsi="Arial"/>
          <w:sz w:val="18"/>
          <w:szCs w:val="18"/>
          <w:color w:val="auto"/>
        </w:rPr>
        <w:t>” (in addition to being a Lender) in respect of Letters of Credit issued or to be issued by such Lender, and, with respect to such Letters of Credit, such term shall thereafter apply to the other Issuing Lender and such Lender.</w:t>
      </w:r>
    </w:p>
    <w:p>
      <w:pPr>
        <w:spacing w:after="0" w:line="1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3.12 Resignation of the Issuing Lender</w:t>
      </w:r>
      <w:r>
        <w:rPr>
          <w:rFonts w:ascii="Arial" w:cs="Arial" w:eastAsia="Arial" w:hAnsi="Arial"/>
          <w:sz w:val="19"/>
          <w:szCs w:val="19"/>
          <w:color w:val="auto"/>
        </w:rPr>
        <w:t>. The Issuing Lender may resign at any time by giving at least 30 days’ prior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notice to the Administrative Agent, the Lenders and the Borrower. Subject to the next succeeding paragraph, upon the acceptance of any appointment as the Issuing Lender 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The acceptance of any appointment as the Issuing Lender hereunder by a successor Lender shall be evidenced by an agreement entered into by such successor, in a form satisfactory to the Borrower and the Administrative Agent, and, from and after the effective date of such agreement, (i) such successor Lender shall have all the rights and obligations of the previous Issuing Lender under this Agreement and the other Loan Documents and (ii) 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w:t>
      </w:r>
    </w:p>
    <w:p>
      <w:pPr>
        <w:spacing w:after="0" w:line="1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3.13 Applicability of UCP and ISP</w:t>
      </w:r>
      <w:r>
        <w:rPr>
          <w:rFonts w:ascii="Arial" w:cs="Arial" w:eastAsia="Arial" w:hAnsi="Arial"/>
          <w:sz w:val="20"/>
          <w:szCs w:val="20"/>
          <w:color w:val="auto"/>
        </w:rPr>
        <w:t>. Unless otherwise expressly agreed by the Issuing Lender and the Borrower when a Letter of</w:t>
      </w:r>
      <w:r>
        <w:rPr>
          <w:rFonts w:ascii="Arial" w:cs="Arial" w:eastAsia="Arial" w:hAnsi="Arial"/>
          <w:sz w:val="20"/>
          <w:szCs w:val="20"/>
          <w:b w:val="1"/>
          <w:bCs w:val="1"/>
          <w:color w:val="auto"/>
        </w:rPr>
        <w:t xml:space="preserve"> </w:t>
      </w:r>
      <w:r>
        <w:rPr>
          <w:rFonts w:ascii="Arial" w:cs="Arial" w:eastAsia="Arial" w:hAnsi="Arial"/>
          <w:sz w:val="20"/>
          <w:szCs w:val="20"/>
          <w:color w:val="auto"/>
        </w:rPr>
        <w:t>Credit is issued and subject to applicable laws, the Letters of Credit shall be governed by and subject to (a) with respect to standby Letters of Credit, the rules of the ISP, and (b) with respect to commercial Letters of Credit, the rules of the Uniform Customs and Practice for Documentary Credits, as published in its most recent version by the International Chamber of Commerce on the date any commercial Letter of Credit is issued.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771"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0"/>
          <w:szCs w:val="20"/>
          <w:b w:val="1"/>
          <w:bCs w:val="1"/>
          <w:color w:val="auto"/>
        </w:rPr>
        <w:t>SECTION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induce the Administrative Agent and the Lenders to enter into this Agreement and to make the Loans and issue the Letters of Credit, the Borrower hereby represents and warrants to the Administrative Agent and each Lender, as to itself and each other Group Member, that:</w:t>
      </w:r>
    </w:p>
    <w:p>
      <w:pPr>
        <w:spacing w:after="0" w:line="1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8"/>
          <w:szCs w:val="18"/>
          <w:b w:val="1"/>
          <w:bCs w:val="1"/>
          <w:color w:val="auto"/>
        </w:rPr>
        <w:t>Financial Condition</w:t>
      </w:r>
      <w:r>
        <w:rPr>
          <w:rFonts w:ascii="Arial" w:cs="Arial" w:eastAsia="Arial" w:hAnsi="Arial"/>
          <w:sz w:val="18"/>
          <w:szCs w:val="18"/>
          <w:color w:val="auto"/>
        </w:rPr>
        <w:t>.</w:t>
      </w:r>
    </w:p>
    <w:p>
      <w:pPr>
        <w:spacing w:after="0" w:line="168" w:lineRule="exact"/>
        <w:rPr>
          <w:sz w:val="20"/>
          <w:szCs w:val="20"/>
          <w:color w:val="auto"/>
        </w:rPr>
      </w:pPr>
    </w:p>
    <w:p>
      <w:pPr>
        <w:ind w:left="1720" w:hanging="416"/>
        <w:spacing w:after="0"/>
        <w:tabs>
          <w:tab w:leader="none" w:pos="172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jc w:val="both"/>
        <w:ind w:firstLine="1304"/>
        <w:spacing w:after="0" w:line="269" w:lineRule="auto"/>
        <w:tabs>
          <w:tab w:leader="none" w:pos="17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audited consolidated balance sheets of the Borrower and its Subsidiaries as of December 31, 2016, December 31, 2017, December 31, 2018 and December 31, 2019 and the related consolidated statements of income and of cash flows for the fiscal years ended on such dates, present fairly in all material respects the consolidated financial condition of the Borrower and its Subsidiaries as at such date, and the consolidated results of its operations and its consolidated cash flows for the respective fiscal years then ended. The unaudited consolidated balance sheets of the Borrower and its Subsidiaries as at June 30, 2020 and December 31, 2020, and the related unaudited consolidated statements of income and cash flows for the twelve and six month periods ended on such dates, respectively, present fairly in all material respects the consolidated financial condition of the Borrower and its Subsidiaries as at such dates, and the consolidated results of its operations and its consolidated cash flows for the trailing twelve and six month periods then ended (subject to normal year 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No Group Member has, as of the Closing Date, any material Guarantee Obligations, contingent liabilities or any long term leases or unusual forward or long term commitments, including any interest rate or foreign currency swap or exchange transaction or other obligation in respect of derivatives, that are not reflected in the most recent financial statements referred to in this paragraph. During the period from December 31, 2018 to and including the date hereof, there has been no Disposition by any Group Member of any material part of its business or property.</w:t>
      </w:r>
    </w:p>
    <w:p>
      <w:pPr>
        <w:spacing w:after="0" w:line="119"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4.2 No Change</w:t>
      </w:r>
      <w:r>
        <w:rPr>
          <w:rFonts w:ascii="Arial" w:cs="Arial" w:eastAsia="Arial" w:hAnsi="Arial"/>
          <w:sz w:val="20"/>
          <w:szCs w:val="20"/>
          <w:color w:val="auto"/>
        </w:rPr>
        <w:t>. Since July 31, 2020, there has been no development or event that has had or could reasonably be expected to have</w:t>
      </w:r>
      <w:r>
        <w:rPr>
          <w:rFonts w:ascii="Arial" w:cs="Arial" w:eastAsia="Arial" w:hAnsi="Arial"/>
          <w:sz w:val="20"/>
          <w:szCs w:val="20"/>
          <w:b w:val="1"/>
          <w:bCs w:val="1"/>
          <w:color w:val="auto"/>
        </w:rPr>
        <w:t xml:space="preserve"> </w:t>
      </w:r>
      <w:r>
        <w:rPr>
          <w:rFonts w:ascii="Arial" w:cs="Arial" w:eastAsia="Arial" w:hAnsi="Arial"/>
          <w:sz w:val="20"/>
          <w:szCs w:val="20"/>
          <w:color w:val="auto"/>
        </w:rPr>
        <w:t>a Material Adverse Effect.</w:t>
      </w:r>
    </w:p>
    <w:p>
      <w:pPr>
        <w:spacing w:after="0" w:line="10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4.3 Existence; Compliance with Law</w:t>
      </w:r>
      <w:r>
        <w:rPr>
          <w:rFonts w:ascii="Arial" w:cs="Arial" w:eastAsia="Arial" w:hAnsi="Arial"/>
          <w:sz w:val="20"/>
          <w:szCs w:val="20"/>
          <w:color w:val="auto"/>
        </w:rPr>
        <w:t>. Each Group Member (a) is duly organized, validly existing and in good standing (if</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(if applicable) under the laws of each jurisdiction where the failure to be so qualified or in good standing could reasonably be expected to have a Material Adverse Effect and (d) is in material compliance with all Requirements of Law except in such instances in which (i) such Requirement of 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 be expected to have a Material Adverse Effect.</w:t>
      </w:r>
    </w:p>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4.4 Power, Authorization; Enforceable Obligations</w:t>
      </w:r>
      <w:r>
        <w:rPr>
          <w:rFonts w:ascii="Arial" w:cs="Arial" w:eastAsia="Arial" w:hAnsi="Arial"/>
          <w:sz w:val="19"/>
          <w:szCs w:val="19"/>
          <w:color w:val="auto"/>
        </w:rPr>
        <w:t>. Each Loan Party has the power and authority, and the legal right,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material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described on </w:t>
      </w:r>
      <w:r>
        <w:rPr>
          <w:rFonts w:ascii="Arial" w:cs="Arial" w:eastAsia="Arial" w:hAnsi="Arial"/>
          <w:sz w:val="19"/>
          <w:szCs w:val="19"/>
          <w:u w:val="single" w:color="auto"/>
          <w:color w:val="auto"/>
        </w:rPr>
        <w:t>Schedule 4.4</w:t>
      </w:r>
      <w:r>
        <w:rPr>
          <w:rFonts w:ascii="Arial" w:cs="Arial" w:eastAsia="Arial" w:hAnsi="Arial"/>
          <w:sz w:val="19"/>
          <w:szCs w:val="19"/>
          <w:color w:val="auto"/>
        </w:rPr>
        <w:t xml:space="preserve"> to the Disclosure Letter, which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765" w:right="339" w:bottom="1440" w:gutter="0" w:footer="0" w:header="0"/>
        </w:sectPr>
      </w:pPr>
    </w:p>
    <w:bookmarkStart w:id="187" w:name="page188"/>
    <w:bookmarkEnd w:id="187"/>
    <w:p>
      <w:pPr>
        <w:jc w:val="both"/>
        <w:spacing w:after="0" w:line="276" w:lineRule="auto"/>
        <w:rPr>
          <w:sz w:val="20"/>
          <w:szCs w:val="20"/>
          <w:color w:val="auto"/>
        </w:rPr>
      </w:pPr>
      <w:r>
        <w:rPr>
          <w:rFonts w:ascii="Arial" w:cs="Arial" w:eastAsia="Arial" w:hAnsi="Arial"/>
          <w:sz w:val="18"/>
          <w:szCs w:val="18"/>
          <w:color w:val="auto"/>
        </w:rPr>
        <w:t xml:space="preserve">Governmental Approvals, consents, authorizations, filings and notices have been obtained or made and are in full force and effect, and (ii) the filings referred to in </w:t>
      </w:r>
      <w:r>
        <w:rPr>
          <w:rFonts w:ascii="Arial" w:cs="Arial" w:eastAsia="Arial" w:hAnsi="Arial"/>
          <w:sz w:val="18"/>
          <w:szCs w:val="18"/>
          <w:u w:val="single" w:color="auto"/>
          <w:color w:val="auto"/>
        </w:rPr>
        <w:t>Section 4.19</w:t>
      </w:r>
      <w:r>
        <w:rPr>
          <w:rFonts w:ascii="Arial" w:cs="Arial" w:eastAsia="Arial" w:hAnsi="Arial"/>
          <w:sz w:val="18"/>
          <w:szCs w:val="18"/>
          <w:color w:val="auto"/>
        </w:rPr>
        <w: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4.5 No Legal Bar</w:t>
      </w:r>
      <w:r>
        <w:rPr>
          <w:rFonts w:ascii="Arial" w:cs="Arial" w:eastAsia="Arial" w:hAnsi="Arial"/>
          <w:sz w:val="18"/>
          <w:szCs w:val="18"/>
          <w:color w:val="auto"/>
        </w:rPr>
        <w:t>. The execution, delivery and performance of this Agreement and the other Loan Documents, the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Letters of Credit, the extensions of credit hereunder and the use of the proceeds thereof will not violate any Requirement of Law or any material Contractual Obligation of any Group Member and will not result in, or require, the creation or imposition of any Lien on any of their respective properties or revenues pursuant to any Requirement of Law or any such material Contractual Obligation (other than the Liens created by the Security Documents). No Group Member has violated any Requirement of Law or violated or failed to comply with any Contractual Obligation applicable to a Group Member that could reasonably be expected to have a Material Adverse Effect.</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4.6 Litigation</w:t>
      </w:r>
      <w:r>
        <w:rPr>
          <w:rFonts w:ascii="Arial" w:cs="Arial" w:eastAsia="Arial" w:hAnsi="Arial"/>
          <w:sz w:val="20"/>
          <w:szCs w:val="20"/>
          <w:color w:val="auto"/>
        </w:rPr>
        <w:t>. Except as disclosed on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4.6</w:t>
      </w:r>
      <w:r>
        <w:rPr>
          <w:rFonts w:ascii="Arial" w:cs="Arial" w:eastAsia="Arial" w:hAnsi="Arial"/>
          <w:sz w:val="20"/>
          <w:szCs w:val="20"/>
          <w:b w:val="1"/>
          <w:bCs w:val="1"/>
          <w:color w:val="auto"/>
        </w:rPr>
        <w:t xml:space="preserve"> </w:t>
      </w:r>
      <w:r>
        <w:rPr>
          <w:rFonts w:ascii="Arial" w:cs="Arial" w:eastAsia="Arial" w:hAnsi="Arial"/>
          <w:sz w:val="20"/>
          <w:szCs w:val="20"/>
          <w:color w:val="auto"/>
        </w:rPr>
        <w:t>to the Disclosure Letter, no litigation, investigation or proceeding of or before</w:t>
      </w:r>
      <w:r>
        <w:rPr>
          <w:rFonts w:ascii="Arial" w:cs="Arial" w:eastAsia="Arial" w:hAnsi="Arial"/>
          <w:sz w:val="20"/>
          <w:szCs w:val="20"/>
          <w:b w:val="1"/>
          <w:bCs w:val="1"/>
          <w:color w:val="auto"/>
        </w:rPr>
        <w:t xml:space="preserve"> </w:t>
      </w:r>
      <w:r>
        <w:rPr>
          <w:rFonts w:ascii="Arial" w:cs="Arial" w:eastAsia="Arial" w:hAnsi="Arial"/>
          <w:sz w:val="20"/>
          <w:szCs w:val="20"/>
          <w:color w:val="auto"/>
        </w:rPr>
        <w:t>any arbitrator or Governmental Authority is pending or threatened in writing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4.7 No Default</w:t>
      </w:r>
      <w:r>
        <w:rPr>
          <w:rFonts w:ascii="Arial" w:cs="Arial" w:eastAsia="Arial" w:hAnsi="Arial"/>
          <w:sz w:val="20"/>
          <w:szCs w:val="20"/>
          <w:color w:val="auto"/>
        </w:rPr>
        <w:t>. No Group Member is in default under or with respect to any of its Contractual Obligations in any respect that</w:t>
      </w:r>
      <w:r>
        <w:rPr>
          <w:rFonts w:ascii="Arial" w:cs="Arial" w:eastAsia="Arial" w:hAnsi="Arial"/>
          <w:sz w:val="20"/>
          <w:szCs w:val="20"/>
          <w:b w:val="1"/>
          <w:bCs w:val="1"/>
          <w:color w:val="auto"/>
        </w:rPr>
        <w:t xml:space="preserve"> </w:t>
      </w:r>
      <w:r>
        <w:rPr>
          <w:rFonts w:ascii="Arial" w:cs="Arial" w:eastAsia="Arial" w:hAnsi="Arial"/>
          <w:sz w:val="20"/>
          <w:szCs w:val="20"/>
          <w:color w:val="auto"/>
        </w:rPr>
        <w:t>could reasonably be expected to have a Material Adverse Effect. No Default or Event of Default has occurred and is continuing, nor shall either result from the making of a requested credit extension.</w:t>
      </w:r>
    </w:p>
    <w:p>
      <w:pPr>
        <w:spacing w:after="0" w:line="12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4.8 Ownership of Property; Liens; Investments</w:t>
      </w:r>
      <w:r>
        <w:rPr>
          <w:rFonts w:ascii="Arial" w:cs="Arial" w:eastAsia="Arial" w:hAnsi="Arial"/>
          <w:sz w:val="20"/>
          <w:szCs w:val="20"/>
          <w:color w:val="auto"/>
        </w:rPr>
        <w:t>. Each Group Member has title in fee simple to, or a valid leasehold interest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all of its real property, and good title to, or a valid leasehold interest in, all of its other property, and none of such property is subject to any Lien except as permitted by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No Loan Party owns any Investment except as permitted by </w:t>
      </w:r>
      <w:r>
        <w:rPr>
          <w:rFonts w:ascii="Arial" w:cs="Arial" w:eastAsia="Arial" w:hAnsi="Arial"/>
          <w:sz w:val="20"/>
          <w:szCs w:val="20"/>
          <w:u w:val="single" w:color="auto"/>
          <w:color w:val="auto"/>
        </w:rPr>
        <w:t>Section 7.8</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color w:val="auto"/>
        </w:rPr>
        <w:t xml:space="preserve"> of the Collateral Information Certificate sets forth a complete and accurate list of all real property owned by each Loan Party as of the Closing Date, if any. The Collateral Information Certificate sets forth a complete and accurate list of all leases of real property under which any Loan Party is the lessee as of the Closing Date.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771" w:right="339" w:bottom="1440" w:gutter="0" w:footer="0" w:header="0"/>
        </w:sectPr>
      </w:pPr>
    </w:p>
    <w:bookmarkStart w:id="188" w:name="page189"/>
    <w:bookmarkEnd w:id="188"/>
    <w:p>
      <w:pPr>
        <w:jc w:val="both"/>
        <w:ind w:firstLine="648"/>
        <w:spacing w:after="0" w:line="243" w:lineRule="auto"/>
        <w:rPr>
          <w:sz w:val="20"/>
          <w:szCs w:val="20"/>
          <w:color w:val="auto"/>
        </w:rPr>
      </w:pPr>
      <w:r>
        <w:rPr>
          <w:rFonts w:ascii="Arial" w:cs="Arial" w:eastAsia="Arial" w:hAnsi="Arial"/>
          <w:sz w:val="20"/>
          <w:szCs w:val="20"/>
          <w:b w:val="1"/>
          <w:bCs w:val="1"/>
          <w:color w:val="auto"/>
        </w:rPr>
        <w:t>4.9 Intellectual Property</w:t>
      </w:r>
      <w:r>
        <w:rPr>
          <w:rFonts w:ascii="Arial" w:cs="Arial" w:eastAsia="Arial" w:hAnsi="Arial"/>
          <w:sz w:val="20"/>
          <w:szCs w:val="20"/>
          <w:color w:val="auto"/>
        </w:rPr>
        <w:t>. Each Group Member owns, or is licensed to use, all Intellectual Property necessary for the conduct of</w:t>
      </w:r>
      <w:r>
        <w:rPr>
          <w:rFonts w:ascii="Arial" w:cs="Arial" w:eastAsia="Arial" w:hAnsi="Arial"/>
          <w:sz w:val="20"/>
          <w:szCs w:val="20"/>
          <w:b w:val="1"/>
          <w:bCs w:val="1"/>
          <w:color w:val="auto"/>
        </w:rPr>
        <w:t xml:space="preserve"> </w:t>
      </w:r>
      <w:r>
        <w:rPr>
          <w:rFonts w:ascii="Arial" w:cs="Arial" w:eastAsia="Arial" w:hAnsi="Arial"/>
          <w:sz w:val="20"/>
          <w:szCs w:val="20"/>
          <w:color w:val="auto"/>
        </w:rPr>
        <w:t>its business as currently conducted. To the Borrower’s knowledge, no claim has been asserted and is pending by any Person challenging or questioning any Group Member’s use of any Intellectual Property or the validity or effectiveness of any Group Member’s Intellectual Property, nor does any Group Member know of any valid basis for any such claim, unless such claim could not reasonably be expected to have a Material Adverse Effect. The use of Intellectual Property by each Group Member, and the conduct of such Group Member’s business, as currently conducted, does not infringe on or otherwise violate the rights of any Person, unless such infringement could not reasonably be expected to have a Material Adverse Effect, and there are no claims pending or, to the knowledge of any Group Member, threatened to such effect.</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4.10 Taxes</w:t>
      </w:r>
      <w:r>
        <w:rPr>
          <w:rFonts w:ascii="Arial" w:cs="Arial" w:eastAsia="Arial" w:hAnsi="Arial"/>
          <w:sz w:val="19"/>
          <w:szCs w:val="19"/>
          <w:color w:val="auto"/>
        </w:rPr>
        <w:t>. Each Group Member has (a) filed or caused to be filed all Federal, state and other material tax returns that are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to be filed (taking into account any extensions granted or grace periods in effect), excluding any failure to file a tax return or returns involving aggregate taxes in an amount less than $1,000,000; and (b) has paid all taxes shown to be due and payable on said returns or on any assessments made against it or any of its property and all other taxes, fees or other charges imposed on it or any of its property by any Governmental Authority (other than any taxes, charges or assessments the amount or validity of which are currently being contested in good faith by appropriate proceedings and with respect to which reserves in conformity with GAAP have been provided on the books of the relevant Group Member or where the amount is less than $1,000,000 (or such greater amount approved by the Administrative Agent in its sole discretion) in the aggregate); no tax Lien has been filed, other than Liens for Taxes not yet due and payable and Liens for Taxes the amount or validity of which are currently being contested in good faith by appropriate proceedings and with respect to which reserves in conformity with GAAP have been provided on the books of the relevant Group Member, and, to the knowledge of the Loan Parties, no claim is being asserted, with respect to any such tax, fee or other charge.</w:t>
      </w:r>
    </w:p>
    <w:p>
      <w:pPr>
        <w:spacing w:after="0" w:line="1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4.11 Federal Regulations</w:t>
      </w:r>
      <w:r>
        <w:rPr>
          <w:rFonts w:ascii="Arial" w:cs="Arial" w:eastAsia="Arial" w:hAnsi="Arial"/>
          <w:sz w:val="19"/>
          <w:szCs w:val="19"/>
          <w:color w:val="auto"/>
        </w:rPr>
        <w:t>. The Borrower is not engaged and will not engage, principally or as one of its important activities,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of “buying” or “carrying” “margin stock” (within the respective meanings of each of the quoted terms under Regulation U as now and from time to time hereafter in effect) or extending credit for the purpose of purchasing or carrying margin stock. No part of the proceeds of any Loans, and no other extensions of credit hereunder, will be used for buying or carrying any such margin stock or for extending credit to others for the purpose of purchasing or carrying margin stock in violation of Regulations T, U or X of the Board. If any margin stock directly or indirectly constitutes Collateral securing the Obligations,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1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4.12 Labor Matters</w:t>
      </w:r>
      <w:r>
        <w:rPr>
          <w:rFonts w:ascii="Arial" w:cs="Arial" w:eastAsia="Arial" w:hAnsi="Arial"/>
          <w:sz w:val="18"/>
          <w:szCs w:val="18"/>
          <w:color w:val="auto"/>
        </w:rPr>
        <w:t>. Except as, in the aggregate, could not reasonably be expected to have a Material Adverse Effect: (a) there are</w:t>
      </w:r>
      <w:r>
        <w:rPr>
          <w:rFonts w:ascii="Arial" w:cs="Arial" w:eastAsia="Arial" w:hAnsi="Arial"/>
          <w:sz w:val="18"/>
          <w:szCs w:val="18"/>
          <w:b w:val="1"/>
          <w:bCs w:val="1"/>
          <w:color w:val="auto"/>
        </w:rPr>
        <w:t xml:space="preserve"> </w:t>
      </w:r>
      <w:r>
        <w:rPr>
          <w:rFonts w:ascii="Arial" w:cs="Arial" w:eastAsia="Arial" w:hAnsi="Arial"/>
          <w:sz w:val="18"/>
          <w:szCs w:val="18"/>
          <w:color w:val="auto"/>
        </w:rPr>
        <w:t>no strikes or other labor disputes against any Group Member pending or, to the knowledge of the Loan Parties,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w:t>
      </w:r>
    </w:p>
    <w:p>
      <w:pPr>
        <w:spacing w:after="0" w:line="1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4.13</w:t>
      </w:r>
      <w:r>
        <w:rPr>
          <w:sz w:val="20"/>
          <w:szCs w:val="20"/>
          <w:color w:val="auto"/>
        </w:rPr>
        <w:tab/>
      </w:r>
      <w:r>
        <w:rPr>
          <w:rFonts w:ascii="Arial" w:cs="Arial" w:eastAsia="Arial" w:hAnsi="Arial"/>
          <w:sz w:val="19"/>
          <w:szCs w:val="19"/>
          <w:b w:val="1"/>
          <w:bCs w:val="1"/>
          <w:color w:val="auto"/>
        </w:rPr>
        <w:t>ERISA</w:t>
      </w:r>
      <w:r>
        <w:rPr>
          <w:rFonts w:ascii="Arial" w:cs="Arial" w:eastAsia="Arial" w:hAnsi="Arial"/>
          <w:sz w:val="19"/>
          <w:szCs w:val="19"/>
          <w:color w:val="auto"/>
        </w:rPr>
        <w:t>.</w:t>
      </w:r>
    </w:p>
    <w:p>
      <w:pPr>
        <w:spacing w:after="0" w:line="168" w:lineRule="exact"/>
        <w:rPr>
          <w:sz w:val="20"/>
          <w:szCs w:val="20"/>
          <w:color w:val="auto"/>
        </w:rPr>
      </w:pPr>
    </w:p>
    <w:p>
      <w:pPr>
        <w:ind w:right="20" w:firstLine="1304"/>
        <w:spacing w:after="0" w:line="287" w:lineRule="auto"/>
        <w:tabs>
          <w:tab w:leader="none" w:pos="1740"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Schedule 4.13</w:t>
      </w:r>
      <w:r>
        <w:rPr>
          <w:rFonts w:ascii="Arial" w:cs="Arial" w:eastAsia="Arial" w:hAnsi="Arial"/>
          <w:sz w:val="19"/>
          <w:szCs w:val="19"/>
          <w:color w:val="auto"/>
        </w:rPr>
        <w:t xml:space="preserve"> to the Disclosure Letter is a complete and accurate list of all Pension Plans maintained or sponsored by the Borrower or any ERISA Affiliate or to which the Borrower or any ERISA Affiliate contributes as of the Closing Date;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765" w:right="339" w:bottom="1440" w:gutter="0" w:footer="0" w:header="0"/>
        </w:sectPr>
      </w:pPr>
    </w:p>
    <w:bookmarkStart w:id="189" w:name="page190"/>
    <w:bookmarkEnd w:id="189"/>
    <w:p>
      <w:pPr>
        <w:jc w:val="both"/>
        <w:ind w:firstLine="1304"/>
        <w:spacing w:after="0" w:line="250" w:lineRule="auto"/>
        <w:tabs>
          <w:tab w:leader="none" w:pos="1862" w:val="left"/>
        </w:tabs>
        <w:numPr>
          <w:ilvl w:val="1"/>
          <w:numId w:val="142"/>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the Borrower and its ERISA Affiliates are in compliance with all applicable provisions and requirements of ERISA with respect to each Plan, and have performed all their obligations under each Plan;</w:t>
      </w:r>
    </w:p>
    <w:p>
      <w:pPr>
        <w:spacing w:after="0" w:line="131" w:lineRule="exact"/>
        <w:rPr>
          <w:rFonts w:ascii="Arial" w:cs="Arial" w:eastAsia="Arial" w:hAnsi="Arial"/>
          <w:sz w:val="20"/>
          <w:szCs w:val="20"/>
          <w:color w:val="auto"/>
        </w:rPr>
      </w:pPr>
    </w:p>
    <w:p>
      <w:pPr>
        <w:ind w:firstLine="1304"/>
        <w:spacing w:after="0" w:line="260" w:lineRule="auto"/>
        <w:tabs>
          <w:tab w:leader="none" w:pos="1752" w:val="left"/>
        </w:tabs>
        <w:numPr>
          <w:ilvl w:val="1"/>
          <w:numId w:val="142"/>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no ERISA Event has occurred or is reasonably expected to occur;</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745" w:val="left"/>
        </w:tabs>
        <w:numPr>
          <w:ilvl w:val="1"/>
          <w:numId w:val="142"/>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the Borrower and each of its ERISA Affiliates have met all applicable requirements under the ERISA Funding Rules with respect to each Pension Plan, and no waiver of the minimum funding standards under the ERISA Funding Rules has been applied for or obtained;</w:t>
      </w:r>
    </w:p>
    <w:p>
      <w:pPr>
        <w:spacing w:after="0" w:line="131" w:lineRule="exact"/>
        <w:rPr>
          <w:rFonts w:ascii="Arial" w:cs="Arial" w:eastAsia="Arial" w:hAnsi="Arial"/>
          <w:sz w:val="20"/>
          <w:szCs w:val="20"/>
          <w:color w:val="auto"/>
        </w:rPr>
      </w:pPr>
    </w:p>
    <w:p>
      <w:pPr>
        <w:jc w:val="both"/>
        <w:ind w:firstLine="1304"/>
        <w:spacing w:after="0" w:line="291" w:lineRule="auto"/>
        <w:tabs>
          <w:tab w:leader="none" w:pos="182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as of the most recent valuation date for any Pension Plan, the funding target attainment percentage (as defined in Section 430(d)(2) of the Code) is at least 60%, and neither the Borrower nor any of its ERISA Affiliates knows of any facts or circumstances that could reasonably be expected to cause the funding target attainment percentage to fall below 60% as of the most recent valuation date;</w:t>
      </w:r>
    </w:p>
    <w:p>
      <w:pPr>
        <w:spacing w:after="0" w:line="97" w:lineRule="exact"/>
        <w:rPr>
          <w:rFonts w:ascii="Arial" w:cs="Arial" w:eastAsia="Arial" w:hAnsi="Arial"/>
          <w:sz w:val="18"/>
          <w:szCs w:val="18"/>
          <w:color w:val="auto"/>
        </w:rPr>
      </w:pPr>
    </w:p>
    <w:p>
      <w:pPr>
        <w:jc w:val="both"/>
        <w:ind w:firstLine="1304"/>
        <w:spacing w:after="0" w:line="250" w:lineRule="auto"/>
        <w:tabs>
          <w:tab w:leader="none" w:pos="1738" w:val="left"/>
        </w:tabs>
        <w:numPr>
          <w:ilvl w:val="1"/>
          <w:numId w:val="142"/>
        </w:numPr>
        <w:rPr>
          <w:rFonts w:ascii="Arial" w:cs="Arial" w:eastAsia="Arial" w:hAnsi="Arial"/>
          <w:sz w:val="20"/>
          <w:szCs w:val="20"/>
          <w:color w:val="auto"/>
        </w:rPr>
      </w:pPr>
      <w:r>
        <w:rPr>
          <w:rFonts w:ascii="Arial" w:cs="Arial" w:eastAsia="Arial" w:hAnsi="Arial"/>
          <w:sz w:val="20"/>
          <w:szCs w:val="20"/>
          <w:color w:val="auto"/>
        </w:rPr>
        <w:t>no Plan provides health or welfare benefits (through the purchase of insurance or otherwise) for any retired or former employee of the Borrower or any of its ERISA Affiliates except to the extent required under Section 4980B of the Code, and except to the extent such benefit could not reasonably be expected to result in a Material Adverse Effect;</w:t>
      </w:r>
    </w:p>
    <w:p>
      <w:pPr>
        <w:spacing w:after="0" w:line="131" w:lineRule="exact"/>
        <w:rPr>
          <w:rFonts w:ascii="Arial" w:cs="Arial" w:eastAsia="Arial" w:hAnsi="Arial"/>
          <w:sz w:val="20"/>
          <w:szCs w:val="20"/>
          <w:color w:val="auto"/>
        </w:rPr>
      </w:pPr>
    </w:p>
    <w:p>
      <w:pPr>
        <w:jc w:val="both"/>
        <w:ind w:firstLine="1304"/>
        <w:spacing w:after="0" w:line="244" w:lineRule="auto"/>
        <w:tabs>
          <w:tab w:leader="none" w:pos="1749" w:val="left"/>
        </w:tabs>
        <w:numPr>
          <w:ilvl w:val="1"/>
          <w:numId w:val="142"/>
        </w:numPr>
        <w:rPr>
          <w:rFonts w:ascii="Arial" w:cs="Arial" w:eastAsia="Arial" w:hAnsi="Arial"/>
          <w:sz w:val="20"/>
          <w:szCs w:val="20"/>
          <w:color w:val="auto"/>
        </w:rPr>
      </w:pPr>
      <w:r>
        <w:rPr>
          <w:rFonts w:ascii="Arial" w:cs="Arial" w:eastAsia="Arial" w:hAnsi="Arial"/>
          <w:sz w:val="20"/>
          <w:szCs w:val="20"/>
          <w:color w:val="auto"/>
        </w:rPr>
        <w:t>assuming the assets of the Lenders do not constitute “plan assets” within the meaning of the United States Department of Labor Regulations set forth in 29 C.F.R §2510.3-101 as modified by ERISA Section 3(42) (the “</w:t>
      </w:r>
      <w:r>
        <w:rPr>
          <w:rFonts w:ascii="Arial" w:cs="Arial" w:eastAsia="Arial" w:hAnsi="Arial"/>
          <w:sz w:val="20"/>
          <w:szCs w:val="20"/>
          <w:b w:val="1"/>
          <w:bCs w:val="1"/>
          <w:i w:val="1"/>
          <w:iCs w:val="1"/>
          <w:color w:val="auto"/>
        </w:rPr>
        <w:t>Plan Assets Regulation</w:t>
      </w:r>
      <w:r>
        <w:rPr>
          <w:rFonts w:ascii="Arial" w:cs="Arial" w:eastAsia="Arial" w:hAnsi="Arial"/>
          <w:sz w:val="20"/>
          <w:szCs w:val="20"/>
          <w:color w:val="auto"/>
        </w:rPr>
        <w:t>”) the execution and delivery of this Agreement and the consummation of the transactions contemplated hereunder will not involve any transaction that is subject to the prohibitions of Section 406 of ERISA (and not otherwise exempt therefrom) or in connection with which taxes could be imposed pursuant to Section 4975(c)(1)(A)-(D) of the Code;</w:t>
      </w:r>
    </w:p>
    <w:p>
      <w:pPr>
        <w:spacing w:after="0" w:line="140" w:lineRule="exact"/>
        <w:rPr>
          <w:rFonts w:ascii="Arial" w:cs="Arial" w:eastAsia="Arial" w:hAnsi="Arial"/>
          <w:sz w:val="20"/>
          <w:szCs w:val="20"/>
          <w:color w:val="auto"/>
        </w:rPr>
      </w:pPr>
    </w:p>
    <w:p>
      <w:pPr>
        <w:ind w:left="1800" w:hanging="496"/>
        <w:spacing w:after="0"/>
        <w:tabs>
          <w:tab w:leader="none" w:pos="18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except as could not reasonably be expected to result in a Material Adverse Effect, all liabilities under each Plan are</w:t>
      </w:r>
    </w:p>
    <w:p>
      <w:pPr>
        <w:spacing w:after="0" w:line="38" w:lineRule="exact"/>
        <w:rPr>
          <w:rFonts w:ascii="Arial" w:cs="Arial" w:eastAsia="Arial" w:hAnsi="Arial"/>
          <w:sz w:val="18"/>
          <w:szCs w:val="18"/>
          <w:color w:val="auto"/>
        </w:rPr>
      </w:pPr>
    </w:p>
    <w:p>
      <w:pPr>
        <w:jc w:val="both"/>
        <w:ind w:firstLine="8"/>
        <w:spacing w:after="0" w:line="241" w:lineRule="auto"/>
        <w:tabs>
          <w:tab w:leader="none" w:pos="2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funded to at least the minimum level required by law or, if higher, to the level required by the terms governing the Plans, (ii) insured with a reputable insurance company, or (iii) (A) provided for or recognized in the financial statements most recently delivered to the Administrative Agent and the Lenders pursuant hereto or (B) estimated in the formal notes to the financial statements most recently delivered to the Administrative Agent and the Lenders pursuant hereto; and</w:t>
      </w:r>
    </w:p>
    <w:p>
      <w:pPr>
        <w:spacing w:after="0" w:line="140" w:lineRule="exact"/>
        <w:rPr>
          <w:rFonts w:ascii="Arial" w:cs="Arial" w:eastAsia="Arial" w:hAnsi="Arial"/>
          <w:sz w:val="20"/>
          <w:szCs w:val="20"/>
          <w:color w:val="auto"/>
        </w:rPr>
      </w:pPr>
    </w:p>
    <w:p>
      <w:pPr>
        <w:jc w:val="both"/>
        <w:ind w:firstLine="1304"/>
        <w:spacing w:after="0" w:line="282" w:lineRule="auto"/>
        <w:tabs>
          <w:tab w:leader="none" w:pos="174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 the Borrower is not and will not be a “plan” within the meaning of Section 4975(e) of the Code; (ii) the assets of the Borrower do not and will not constitute “plan assets” within the meaning of the Plan Assets Regulation; (iii) the Borrower is not and will not be a “governmental plan” within the meaning of Section 3(32) of ERISA; and (iv) transactions by or with the Borrower are not and will not be subject to state statutes applicable to the Borrower regulating investments of fiduciaries with respect to governmental plans.</w:t>
      </w:r>
    </w:p>
    <w:p>
      <w:pPr>
        <w:spacing w:after="0" w:line="10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4.14 Investment Company Act; Other Regulations</w:t>
      </w:r>
      <w:r>
        <w:rPr>
          <w:rFonts w:ascii="Arial" w:cs="Arial" w:eastAsia="Arial" w:hAnsi="Arial"/>
          <w:sz w:val="18"/>
          <w:szCs w:val="18"/>
          <w:color w:val="auto"/>
        </w:rPr>
        <w:t>. No Loan Party is required to register as an “investment company”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the Investment Company Act of 1940, as amended. No Loan Party is subject to regulation under any Requirement of Law (that limits its ability to incur Indebtedness or which may otherwise render all or any portion of the Obligations unenforceable.</w:t>
      </w:r>
    </w:p>
    <w:p>
      <w:pPr>
        <w:spacing w:after="0" w:line="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4.15</w:t>
      </w:r>
      <w:r>
        <w:rPr>
          <w:sz w:val="20"/>
          <w:szCs w:val="20"/>
          <w:color w:val="auto"/>
        </w:rPr>
        <w:tab/>
      </w:r>
      <w:r>
        <w:rPr>
          <w:rFonts w:ascii="Arial" w:cs="Arial" w:eastAsia="Arial" w:hAnsi="Arial"/>
          <w:sz w:val="16"/>
          <w:szCs w:val="16"/>
          <w:b w:val="1"/>
          <w:bCs w:val="1"/>
          <w:color w:val="auto"/>
        </w:rPr>
        <w:t>Subsidiaries</w:t>
      </w:r>
      <w:r>
        <w:rPr>
          <w:rFonts w:ascii="Arial" w:cs="Arial" w:eastAsia="Arial" w:hAnsi="Arial"/>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771" w:right="339" w:bottom="1440" w:gutter="0" w:footer="0" w:header="0"/>
        </w:sectPr>
      </w:pPr>
    </w:p>
    <w:bookmarkStart w:id="190" w:name="page191"/>
    <w:bookmarkEnd w:id="190"/>
    <w:p>
      <w:pPr>
        <w:ind w:left="1760" w:hanging="456"/>
        <w:spacing w:after="0"/>
        <w:tabs>
          <w:tab w:leader="none" w:pos="17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Except as disclosed to the Administrative Agent by the Borrower in writing from time to time after the Closing Date,</w:t>
      </w:r>
    </w:p>
    <w:p>
      <w:pPr>
        <w:spacing w:after="0" w:line="38" w:lineRule="exact"/>
        <w:rPr>
          <w:rFonts w:ascii="Arial" w:cs="Arial" w:eastAsia="Arial" w:hAnsi="Arial"/>
          <w:sz w:val="18"/>
          <w:szCs w:val="18"/>
          <w:color w:val="auto"/>
        </w:rPr>
      </w:pPr>
    </w:p>
    <w:p>
      <w:pPr>
        <w:jc w:val="both"/>
        <w:ind w:firstLine="8"/>
        <w:spacing w:after="0"/>
        <w:tabs>
          <w:tab w:leader="none" w:pos="282"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Schedule 4.15</w:t>
      </w:r>
      <w:r>
        <w:rPr>
          <w:rFonts w:ascii="Arial" w:cs="Arial" w:eastAsia="Arial" w:hAnsi="Arial"/>
          <w:sz w:val="20"/>
          <w:szCs w:val="20"/>
          <w:color w:val="auto"/>
        </w:rPr>
        <w:t xml:space="preserve"> to the Disclosure Letter sets forth the name and jurisdiction of organization of each Subsidiary of NerdWallet and, as to each such Subsidiary, the percentage of each class of Capital Stock owned by any Loan Party, and (b) there are no outstanding subscriptions, options, warrants, calls, rights or other agreements or commitments (other than equity awards granted to employees, officers, consultants or directors and directors’ qualifying shares) of any nature relating to any Capital Stock of any Group Member, except as may be created by the Loan Documents.</w:t>
      </w:r>
    </w:p>
    <w:p>
      <w:pPr>
        <w:spacing w:after="0" w:line="143" w:lineRule="exact"/>
        <w:rPr>
          <w:rFonts w:ascii="Arial" w:cs="Arial" w:eastAsia="Arial" w:hAnsi="Arial"/>
          <w:sz w:val="20"/>
          <w:szCs w:val="20"/>
          <w:color w:val="auto"/>
        </w:rPr>
      </w:pPr>
    </w:p>
    <w:p>
      <w:pPr>
        <w:ind w:left="1860" w:hanging="556"/>
        <w:spacing w:after="0"/>
        <w:tabs>
          <w:tab w:leader="none" w:pos="18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No Subsidiary which has been designated as an Immaterial Subsidiary fails to satisfy the limitations set forth in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definition thereof.</w:t>
      </w:r>
    </w:p>
    <w:p>
      <w:pPr>
        <w:spacing w:after="0" w:line="140"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4.16 Use of Proceeds</w:t>
      </w:r>
      <w:r>
        <w:rPr>
          <w:rFonts w:ascii="Arial" w:cs="Arial" w:eastAsia="Arial" w:hAnsi="Arial"/>
          <w:sz w:val="20"/>
          <w:szCs w:val="20"/>
          <w:color w:val="auto"/>
        </w:rPr>
        <w:t>. The proceeds of the Revolving Loans, Swingline Loans and Letters of Credit shall be used to pay fees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contemplated hereunder and for general corporate purposes (including Permitted Acquisitions).</w:t>
      </w:r>
    </w:p>
    <w:p>
      <w:pPr>
        <w:spacing w:after="0" w:line="1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4.17</w:t>
      </w:r>
      <w:r>
        <w:rPr>
          <w:sz w:val="20"/>
          <w:szCs w:val="20"/>
          <w:color w:val="auto"/>
        </w:rPr>
        <w:tab/>
      </w:r>
      <w:r>
        <w:rPr>
          <w:rFonts w:ascii="Arial" w:cs="Arial" w:eastAsia="Arial" w:hAnsi="Arial"/>
          <w:sz w:val="16"/>
          <w:szCs w:val="16"/>
          <w:b w:val="1"/>
          <w:bCs w:val="1"/>
          <w:color w:val="auto"/>
        </w:rPr>
        <w:t>Environmental Matters</w:t>
      </w:r>
      <w:r>
        <w:rPr>
          <w:rFonts w:ascii="Arial" w:cs="Arial" w:eastAsia="Arial" w:hAnsi="Arial"/>
          <w:sz w:val="16"/>
          <w:szCs w:val="16"/>
          <w:color w:val="auto"/>
        </w:rPr>
        <w:t>. Except as, in the aggregate, could not reasonably be expected to have a Material Adverse Effect:</w:t>
      </w:r>
    </w:p>
    <w:p>
      <w:pPr>
        <w:spacing w:after="0" w:line="168" w:lineRule="exact"/>
        <w:rPr>
          <w:sz w:val="20"/>
          <w:szCs w:val="20"/>
          <w:color w:val="auto"/>
        </w:rPr>
      </w:pPr>
    </w:p>
    <w:p>
      <w:pPr>
        <w:jc w:val="both"/>
        <w:ind w:firstLine="1304"/>
        <w:spacing w:after="0" w:line="250" w:lineRule="auto"/>
        <w:tabs>
          <w:tab w:leader="none" w:pos="177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facilities and properties owned, leased or operated by any Group Member (the “</w:t>
      </w:r>
      <w:r>
        <w:rPr>
          <w:rFonts w:ascii="Arial" w:cs="Arial" w:eastAsia="Arial" w:hAnsi="Arial"/>
          <w:sz w:val="20"/>
          <w:szCs w:val="20"/>
          <w:b w:val="1"/>
          <w:bCs w:val="1"/>
          <w:i w:val="1"/>
          <w:iCs w:val="1"/>
          <w:color w:val="auto"/>
        </w:rPr>
        <w:t>Properties</w:t>
      </w:r>
      <w:r>
        <w:rPr>
          <w:rFonts w:ascii="Arial" w:cs="Arial" w:eastAsia="Arial" w:hAnsi="Arial"/>
          <w:sz w:val="20"/>
          <w:szCs w:val="20"/>
          <w:color w:val="auto"/>
        </w:rPr>
        <w:t>”) do not contain, and have not previously contained, any Materials of Environmental Concern in amounts or concentrations or under circumstances that constitute or have constituted a violation of, or could give rise to liability under, any Environmental Law;</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81" w:val="left"/>
        </w:tabs>
        <w:numPr>
          <w:ilvl w:val="0"/>
          <w:numId w:val="146"/>
        </w:numPr>
        <w:rPr>
          <w:rFonts w:ascii="Arial" w:cs="Arial" w:eastAsia="Arial" w:hAnsi="Arial"/>
          <w:sz w:val="20"/>
          <w:szCs w:val="20"/>
          <w:color w:val="auto"/>
        </w:rPr>
      </w:pPr>
      <w:r>
        <w:rPr>
          <w:rFonts w:ascii="Arial" w:cs="Arial" w:eastAsia="Arial" w:hAnsi="Arial"/>
          <w:sz w:val="20"/>
          <w:szCs w:val="20"/>
          <w:color w:val="auto"/>
        </w:rPr>
        <w:t>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nor does any Loan Party have knowledge or reason to believe that any such notice will be received or is being threatened;</w:t>
      </w:r>
    </w:p>
    <w:p>
      <w:pPr>
        <w:spacing w:after="0" w:line="137" w:lineRule="exact"/>
        <w:rPr>
          <w:rFonts w:ascii="Arial" w:cs="Arial" w:eastAsia="Arial" w:hAnsi="Arial"/>
          <w:sz w:val="20"/>
          <w:szCs w:val="20"/>
          <w:color w:val="auto"/>
        </w:rPr>
      </w:pPr>
    </w:p>
    <w:p>
      <w:pPr>
        <w:jc w:val="both"/>
        <w:ind w:firstLine="1304"/>
        <w:spacing w:after="0" w:line="246" w:lineRule="auto"/>
        <w:tabs>
          <w:tab w:leader="none" w:pos="1738" w:val="left"/>
        </w:tabs>
        <w:numPr>
          <w:ilvl w:val="0"/>
          <w:numId w:val="146"/>
        </w:numPr>
        <w:rPr>
          <w:rFonts w:ascii="Arial" w:cs="Arial" w:eastAsia="Arial" w:hAnsi="Arial"/>
          <w:sz w:val="20"/>
          <w:szCs w:val="20"/>
          <w:color w:val="auto"/>
        </w:rPr>
      </w:pPr>
      <w:r>
        <w:rPr>
          <w:rFonts w:ascii="Arial" w:cs="Arial" w:eastAsia="Arial" w:hAnsi="Arial"/>
          <w:sz w:val="20"/>
          <w:szCs w:val="20"/>
          <w:color w:val="auto"/>
        </w:rPr>
        <w:t>no Group Member has transported or disposed of Materials of Environmental Concern from the Properties in violation of, or in a manner or to a location that could give rise to liability under, any Environmental Law, nor has any Group Member generated, treated, stored or disposed of Materials of Environmental Concern at, on or under any of the Properties in violation of, or in a manner that could give rise to liability under, any applicable Environmental Law;</w:t>
      </w:r>
    </w:p>
    <w:p>
      <w:pPr>
        <w:spacing w:after="0" w:line="137" w:lineRule="exact"/>
        <w:rPr>
          <w:rFonts w:ascii="Arial" w:cs="Arial" w:eastAsia="Arial" w:hAnsi="Arial"/>
          <w:sz w:val="20"/>
          <w:szCs w:val="20"/>
          <w:color w:val="auto"/>
        </w:rPr>
      </w:pPr>
    </w:p>
    <w:p>
      <w:pPr>
        <w:jc w:val="both"/>
        <w:ind w:firstLine="1304"/>
        <w:spacing w:after="0" w:line="282" w:lineRule="auto"/>
        <w:tabs>
          <w:tab w:leader="none" w:pos="173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knowledge of any Group Member,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07" w:lineRule="exact"/>
        <w:rPr>
          <w:rFonts w:ascii="Arial" w:cs="Arial" w:eastAsia="Arial" w:hAnsi="Arial"/>
          <w:sz w:val="18"/>
          <w:szCs w:val="18"/>
          <w:color w:val="auto"/>
        </w:rPr>
      </w:pPr>
    </w:p>
    <w:p>
      <w:pPr>
        <w:jc w:val="both"/>
        <w:ind w:firstLine="1304"/>
        <w:spacing w:after="0" w:line="250" w:lineRule="auto"/>
        <w:tabs>
          <w:tab w:leader="none" w:pos="176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to give rise to liability under Environmental Laws;</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75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the Properties and all operations of the Group Members at the Properties are in compliance, and have in the last five years been in compliance, with all applicable Environmental Laws, and except as set forth on </w:t>
      </w:r>
      <w:r>
        <w:rPr>
          <w:rFonts w:ascii="Arial" w:cs="Arial" w:eastAsia="Arial" w:hAnsi="Arial"/>
          <w:sz w:val="20"/>
          <w:szCs w:val="20"/>
          <w:u w:val="single" w:color="auto"/>
          <w:color w:val="auto"/>
        </w:rPr>
        <w:t>Schedule 4.17</w:t>
      </w:r>
      <w:r>
        <w:rPr>
          <w:rFonts w:ascii="Arial" w:cs="Arial" w:eastAsia="Arial" w:hAnsi="Arial"/>
          <w:sz w:val="20"/>
          <w:szCs w:val="20"/>
          <w:color w:val="auto"/>
        </w:rPr>
        <w:t xml:space="preserve"> to the Disclosure Letter, to the knowledge of the Borrower, there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771" w:right="339" w:bottom="1440" w:gutter="0" w:footer="0" w:header="0"/>
        </w:sectPr>
      </w:pPr>
    </w:p>
    <w:bookmarkStart w:id="191" w:name="page192"/>
    <w:bookmarkEnd w:id="191"/>
    <w:p>
      <w:pPr>
        <w:jc w:val="both"/>
        <w:ind w:right="20"/>
        <w:spacing w:after="0" w:line="260" w:lineRule="auto"/>
        <w:rPr>
          <w:sz w:val="20"/>
          <w:szCs w:val="20"/>
          <w:color w:val="auto"/>
        </w:rPr>
      </w:pPr>
      <w:r>
        <w:rPr>
          <w:rFonts w:ascii="Arial" w:cs="Arial" w:eastAsia="Arial" w:hAnsi="Arial"/>
          <w:sz w:val="20"/>
          <w:szCs w:val="20"/>
          <w:color w:val="auto"/>
        </w:rPr>
        <w:t>is no contamination at, under or about the Properties or violation of any Environmental Law with respect to the Properties or the Business; and</w:t>
      </w:r>
    </w:p>
    <w:p>
      <w:pPr>
        <w:spacing w:after="0" w:line="12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(g)</w:t>
      </w:r>
      <w:r>
        <w:rPr>
          <w:sz w:val="20"/>
          <w:szCs w:val="20"/>
          <w:color w:val="auto"/>
        </w:rPr>
        <w:tab/>
      </w:r>
      <w:r>
        <w:rPr>
          <w:rFonts w:ascii="Arial" w:cs="Arial" w:eastAsia="Arial" w:hAnsi="Arial"/>
          <w:sz w:val="16"/>
          <w:szCs w:val="16"/>
          <w:color w:val="auto"/>
        </w:rPr>
        <w:t>no Group Member has assumed any liability of any other Person under Environmental Laws.</w:t>
      </w:r>
    </w:p>
    <w:p>
      <w:pPr>
        <w:spacing w:after="0" w:line="1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4.18 Accuracy of Information, etc. </w:t>
      </w:r>
      <w:r>
        <w:rPr>
          <w:rFonts w:ascii="Arial" w:cs="Arial" w:eastAsia="Arial" w:hAnsi="Arial"/>
          <w:sz w:val="18"/>
          <w:szCs w:val="18"/>
          <w:color w:val="auto"/>
        </w:rPr>
        <w:t>No statement or information contained in this Agreement, any other Loan Document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in light of the circumstances under which such statement, information, document or certificate was furnished. The projections contained in the materials referenced above (including the Closing Date Projections)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w:t>
      </w:r>
    </w:p>
    <w:p>
      <w:pPr>
        <w:spacing w:after="0" w:line="1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4.19</w:t>
      </w:r>
      <w:r>
        <w:rPr>
          <w:sz w:val="20"/>
          <w:szCs w:val="20"/>
          <w:color w:val="auto"/>
        </w:rPr>
        <w:tab/>
      </w:r>
      <w:r>
        <w:rPr>
          <w:rFonts w:ascii="Arial" w:cs="Arial" w:eastAsia="Arial" w:hAnsi="Arial"/>
          <w:sz w:val="16"/>
          <w:szCs w:val="16"/>
          <w:b w:val="1"/>
          <w:bCs w:val="1"/>
          <w:color w:val="auto"/>
        </w:rPr>
        <w:t>Security Documents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0" w:lineRule="auto"/>
        <w:tabs>
          <w:tab w:leader="none" w:pos="17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Guarantee and Collateral Agreement is effective to create in favor of the Administrative Agent, for the benefit of the Secured Parties, a legal, valid and enforceable security interest in the Collateral described therein and proceeds thereof. In the case of the Pledged Stock described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Arial" w:cs="Arial" w:eastAsia="Arial" w:hAnsi="Arial"/>
          <w:sz w:val="18"/>
          <w:szCs w:val="18"/>
          <w:b w:val="1"/>
          <w:bCs w:val="1"/>
          <w:i w:val="1"/>
          <w:iCs w:val="1"/>
          <w:color w:val="auto"/>
        </w:rPr>
        <w:t>Certificated Securities</w:t>
      </w:r>
      <w:r>
        <w:rPr>
          <w:rFonts w:ascii="Arial" w:cs="Arial" w:eastAsia="Arial" w:hAnsi="Arial"/>
          <w:sz w:val="18"/>
          <w:szCs w:val="18"/>
          <w:color w:val="auto"/>
        </w:rPr>
        <w:t xml:space="preserve">”), when certificates representing such Pledged Stock (which, in the case of a certificated securities in registered form, are indorsed to the Administrative Agent or in blank by an effective indorsement) are delivered to the Administrative Agent, and in the case of the other Collateral constituting personal property described in the Guarantee and Collateral Agreement, when financing statements and other filings specified on </w:t>
      </w:r>
      <w:r>
        <w:rPr>
          <w:rFonts w:ascii="Arial" w:cs="Arial" w:eastAsia="Arial" w:hAnsi="Arial"/>
          <w:sz w:val="18"/>
          <w:szCs w:val="18"/>
          <w:u w:val="single" w:color="auto"/>
          <w:color w:val="auto"/>
        </w:rPr>
        <w:t>Schedule 4.19(a)</w:t>
      </w:r>
      <w:r>
        <w:rPr>
          <w:rFonts w:ascii="Arial" w:cs="Arial" w:eastAsia="Arial" w:hAnsi="Arial"/>
          <w:sz w:val="18"/>
          <w:szCs w:val="18"/>
          <w:color w:val="auto"/>
        </w:rPr>
        <w:t xml:space="preserve"> to the Disclosure Letter in appropriate form are filed in the offices specified on </w:t>
      </w:r>
      <w:r>
        <w:rPr>
          <w:rFonts w:ascii="Arial" w:cs="Arial" w:eastAsia="Arial" w:hAnsi="Arial"/>
          <w:sz w:val="18"/>
          <w:szCs w:val="18"/>
          <w:u w:val="single" w:color="auto"/>
          <w:color w:val="auto"/>
        </w:rPr>
        <w:t>Schedule 4.19(a)</w:t>
      </w:r>
      <w:r>
        <w:rPr>
          <w:rFonts w:ascii="Arial" w:cs="Arial" w:eastAsia="Arial" w:hAnsi="Arial"/>
          <w:sz w:val="18"/>
          <w:szCs w:val="18"/>
          <w:color w:val="auto"/>
        </w:rPr>
        <w:t xml:space="preserve"> to the Disclosure Letter,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As of the Closing Date, none of the Capital Stock of any Group Member that is a limited liability company or partnership has any Capital Stock that is a Certificated Security.</w:t>
      </w:r>
    </w:p>
    <w:p>
      <w:pPr>
        <w:spacing w:after="0" w:line="118" w:lineRule="exact"/>
        <w:rPr>
          <w:rFonts w:ascii="Arial" w:cs="Arial" w:eastAsia="Arial" w:hAnsi="Arial"/>
          <w:sz w:val="18"/>
          <w:szCs w:val="18"/>
          <w:color w:val="auto"/>
        </w:rPr>
      </w:pPr>
    </w:p>
    <w:p>
      <w:pPr>
        <w:jc w:val="both"/>
        <w:ind w:firstLine="1304"/>
        <w:spacing w:after="0" w:line="276" w:lineRule="auto"/>
        <w:tabs>
          <w:tab w:leader="none" w:pos="181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Each of the Mortgages delivered after the Closing Date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(subject only to Liens expressly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40"/>
          </w:cols>
          <w:pgMar w:left="320" w:top="771" w:right="339" w:bottom="1440" w:gutter="0" w:footer="0" w:header="0"/>
        </w:sectPr>
      </w:pPr>
    </w:p>
    <w:bookmarkStart w:id="192" w:name="page193"/>
    <w:bookmarkEnd w:id="192"/>
    <w:p>
      <w:pPr>
        <w:jc w:val="both"/>
        <w:ind w:firstLine="648"/>
        <w:spacing w:after="0" w:line="285" w:lineRule="auto"/>
        <w:rPr>
          <w:sz w:val="20"/>
          <w:szCs w:val="20"/>
          <w:color w:val="auto"/>
        </w:rPr>
      </w:pPr>
      <w:r>
        <w:rPr>
          <w:rFonts w:ascii="Arial" w:cs="Arial" w:eastAsia="Arial" w:hAnsi="Arial"/>
          <w:sz w:val="18"/>
          <w:szCs w:val="18"/>
          <w:b w:val="1"/>
          <w:bCs w:val="1"/>
          <w:color w:val="auto"/>
        </w:rPr>
        <w:t>4.20 Solvency; Voidable Transaction</w:t>
      </w:r>
      <w:r>
        <w:rPr>
          <w:rFonts w:ascii="Arial" w:cs="Arial" w:eastAsia="Arial" w:hAnsi="Arial"/>
          <w:sz w:val="18"/>
          <w:szCs w:val="18"/>
          <w:color w:val="auto"/>
        </w:rPr>
        <w:t>. Each Loan Party is, and after giving effect to the incurrence of all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obligations being incurred in connection herewith, will be and will continue to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4.21 Regulation H</w:t>
      </w:r>
      <w:r>
        <w:rPr>
          <w:rFonts w:ascii="Arial" w:cs="Arial" w:eastAsia="Arial" w:hAnsi="Arial"/>
          <w:sz w:val="20"/>
          <w:szCs w:val="20"/>
          <w:color w:val="auto"/>
        </w:rPr>
        <w:t>. No Mortgage encumbers improved real property that is located in an area that has been identified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Secretary of Housing and Urban Development as an area having special flood hazards and in which flood insurance has not been made available under the National Flood Insurance Act of 1968.</w:t>
      </w:r>
    </w:p>
    <w:p>
      <w:pPr>
        <w:spacing w:after="0" w:line="12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4.22 Designated Senior Indebtedness</w:t>
      </w:r>
      <w:r>
        <w:rPr>
          <w:rFonts w:ascii="Arial" w:cs="Arial" w:eastAsia="Arial" w:hAnsi="Arial"/>
          <w:sz w:val="19"/>
          <w:szCs w:val="19"/>
          <w:color w:val="auto"/>
        </w:rPr>
        <w:t>. The Loan Documents and all of the Obligations have been deemed “Designated Senior</w:t>
      </w:r>
      <w:r>
        <w:rPr>
          <w:rFonts w:ascii="Arial" w:cs="Arial" w:eastAsia="Arial" w:hAnsi="Arial"/>
          <w:sz w:val="19"/>
          <w:szCs w:val="19"/>
          <w:b w:val="1"/>
          <w:bCs w:val="1"/>
          <w:color w:val="auto"/>
        </w:rPr>
        <w:t xml:space="preserve"> </w:t>
      </w:r>
      <w:r>
        <w:rPr>
          <w:rFonts w:ascii="Arial" w:cs="Arial" w:eastAsia="Arial" w:hAnsi="Arial"/>
          <w:sz w:val="19"/>
          <w:szCs w:val="19"/>
          <w:color w:val="auto"/>
        </w:rPr>
        <w:t>Indebtedness” or a similar concept thereto, if applicable, for purposes of any other Indebtedness of the Loan Parties.</w:t>
      </w:r>
    </w:p>
    <w:p>
      <w:pPr>
        <w:spacing w:after="0" w:line="8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4.23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4.24 Insurance</w:t>
      </w:r>
      <w:r>
        <w:rPr>
          <w:rFonts w:ascii="Arial" w:cs="Arial" w:eastAsia="Arial" w:hAnsi="Arial"/>
          <w:sz w:val="19"/>
          <w:szCs w:val="19"/>
          <w:color w:val="auto"/>
        </w:rPr>
        <w:t>. All insurance maintained by the Loan Parties is in full force and effect, all premiums have been duly paid, no</w:t>
      </w:r>
      <w:r>
        <w:rPr>
          <w:rFonts w:ascii="Arial" w:cs="Arial" w:eastAsia="Arial" w:hAnsi="Arial"/>
          <w:sz w:val="19"/>
          <w:szCs w:val="19"/>
          <w:b w:val="1"/>
          <w:bCs w:val="1"/>
          <w:color w:val="auto"/>
        </w:rPr>
        <w:t xml:space="preserve"> </w:t>
      </w:r>
      <w:r>
        <w:rPr>
          <w:rFonts w:ascii="Arial" w:cs="Arial" w:eastAsia="Arial" w:hAnsi="Arial"/>
          <w:sz w:val="19"/>
          <w:szCs w:val="19"/>
          <w:color w:val="auto"/>
        </w:rPr>
        <w:t>Loan Party has received notice of violation or cancellation thereof, and there exists no default under any requirement of such insurance. Each Loan Party maintains insurance with financially sound and reputable insurance companies on all its property in at least such amounts and against at least such risks (but including in any event public liability, product liability, and business interruption) as are usually insured against in the same general area by companies engaged in the same or a similar business.</w:t>
      </w:r>
    </w:p>
    <w:p>
      <w:pPr>
        <w:spacing w:after="0" w:line="117"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4.25 No Casualty</w:t>
      </w:r>
      <w:r>
        <w:rPr>
          <w:rFonts w:ascii="Arial" w:cs="Arial" w:eastAsia="Arial" w:hAnsi="Arial"/>
          <w:sz w:val="20"/>
          <w:szCs w:val="20"/>
          <w:color w:val="auto"/>
        </w:rPr>
        <w:t>. No Loan Party has received any notice of, nor does any Loan Party have any knowledge of, the occurrence or</w:t>
      </w:r>
      <w:r>
        <w:rPr>
          <w:rFonts w:ascii="Arial" w:cs="Arial" w:eastAsia="Arial" w:hAnsi="Arial"/>
          <w:sz w:val="20"/>
          <w:szCs w:val="20"/>
          <w:b w:val="1"/>
          <w:bCs w:val="1"/>
          <w:color w:val="auto"/>
        </w:rPr>
        <w:t xml:space="preserve"> </w:t>
      </w:r>
      <w:r>
        <w:rPr>
          <w:rFonts w:ascii="Arial" w:cs="Arial" w:eastAsia="Arial" w:hAnsi="Arial"/>
          <w:sz w:val="20"/>
          <w:szCs w:val="20"/>
          <w:color w:val="auto"/>
        </w:rPr>
        <w:t>pendency or contemplation of any Casualty Event affecting all or any material portion of its property.</w:t>
      </w:r>
    </w:p>
    <w:p>
      <w:pPr>
        <w:spacing w:after="0" w:line="1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4.26</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4.27</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4.28 OFAC</w:t>
      </w:r>
      <w:r>
        <w:rPr>
          <w:rFonts w:ascii="Arial" w:cs="Arial" w:eastAsia="Arial" w:hAnsi="Arial"/>
          <w:sz w:val="20"/>
          <w:szCs w:val="20"/>
          <w:color w:val="auto"/>
        </w:rPr>
        <w:t>. No Group Member, nor, to the knowledge of any Group Member, any director, officer, employee, agent, affiliate or</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 thereof, is an individual or an entity that is, or is owned or controlled by an individual or entity that is (a) currently the subject of any Sanctions, or (b) located, organized or resident in a Designated Jurisdiction.</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4.29 Anti-Corruption Laws</w:t>
      </w:r>
      <w:r>
        <w:rPr>
          <w:rFonts w:ascii="Arial" w:cs="Arial" w:eastAsia="Arial" w:hAnsi="Arial"/>
          <w:sz w:val="20"/>
          <w:szCs w:val="20"/>
          <w:color w:val="auto"/>
        </w:rPr>
        <w:t>. Each Group Member has conducted its business in compliance in all material respects with</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anti-corruption laws and has instituted and maintained policies and procedures designed to promote and achieve compliance with such laws.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5.1 Conditions to Initial Extension of Credit</w:t>
      </w:r>
      <w:r>
        <w:rPr>
          <w:rFonts w:ascii="Arial" w:cs="Arial" w:eastAsia="Arial" w:hAnsi="Arial"/>
          <w:sz w:val="20"/>
          <w:szCs w:val="20"/>
          <w:color w:val="auto"/>
        </w:rPr>
        <w:t>. The effectiveness of this Agreement and the obligation of each Lender to make its</w:t>
      </w:r>
      <w:r>
        <w:rPr>
          <w:rFonts w:ascii="Arial" w:cs="Arial" w:eastAsia="Arial" w:hAnsi="Arial"/>
          <w:sz w:val="20"/>
          <w:szCs w:val="20"/>
          <w:b w:val="1"/>
          <w:bCs w:val="1"/>
          <w:color w:val="auto"/>
        </w:rPr>
        <w:t xml:space="preserve"> </w:t>
      </w:r>
      <w:r>
        <w:rPr>
          <w:rFonts w:ascii="Arial" w:cs="Arial" w:eastAsia="Arial" w:hAnsi="Arial"/>
          <w:sz w:val="20"/>
          <w:szCs w:val="20"/>
          <w:color w:val="auto"/>
        </w:rPr>
        <w:t>initial extension of credit hereunder shall be subject to the satisfaction or waiver, prior to or concurrently with the making of such extension of credit on the Closing Date, of the following conditions precedent: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765" w:right="339" w:bottom="1440" w:gutter="0" w:footer="0" w:header="0"/>
        </w:sectPr>
      </w:pPr>
    </w:p>
    <w:bookmarkStart w:id="193" w:name="page194"/>
    <w:bookmarkEnd w:id="193"/>
    <w:p>
      <w:pPr>
        <w:ind w:firstLine="1304"/>
        <w:spacing w:after="0" w:line="260" w:lineRule="auto"/>
        <w:tabs>
          <w:tab w:leader="none" w:pos="1740"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Loan Documents</w:t>
      </w:r>
      <w:r>
        <w:rPr>
          <w:rFonts w:ascii="Arial" w:cs="Arial" w:eastAsia="Arial" w:hAnsi="Arial"/>
          <w:sz w:val="20"/>
          <w:szCs w:val="20"/>
          <w:color w:val="auto"/>
        </w:rPr>
        <w:t>. The Administrative Agent shall have received each of the following, each of which shall be in form and substance satisfactory to the Administrative Agent:</w:t>
      </w:r>
    </w:p>
    <w:p>
      <w:pPr>
        <w:spacing w:after="0" w:line="122" w:lineRule="exact"/>
        <w:rPr>
          <w:rFonts w:ascii="Arial" w:cs="Arial" w:eastAsia="Arial" w:hAnsi="Arial"/>
          <w:sz w:val="20"/>
          <w:szCs w:val="20"/>
          <w:color w:val="auto"/>
        </w:rPr>
      </w:pPr>
    </w:p>
    <w:p>
      <w:pPr>
        <w:ind w:left="2380" w:hanging="428"/>
        <w:spacing w:after="0"/>
        <w:tabs>
          <w:tab w:leader="none" w:pos="23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this Agreement, executed and delivered by the Administrative Agent, the Borrower and each Lender listed 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Schedule 1.1A</w:t>
      </w:r>
      <w:r>
        <w:rPr>
          <w:rFonts w:ascii="Arial" w:cs="Arial" w:eastAsia="Arial" w:hAnsi="Arial"/>
          <w:sz w:val="20"/>
          <w:szCs w:val="20"/>
          <w:color w:val="auto"/>
        </w:rPr>
        <w:t>;</w:t>
      </w:r>
    </w:p>
    <w:p>
      <w:pPr>
        <w:spacing w:after="0" w:line="145" w:lineRule="exact"/>
        <w:rPr>
          <w:rFonts w:ascii="Arial" w:cs="Arial" w:eastAsia="Arial" w:hAnsi="Arial"/>
          <w:sz w:val="18"/>
          <w:szCs w:val="18"/>
          <w:color w:val="auto"/>
        </w:rPr>
      </w:pPr>
    </w:p>
    <w:p>
      <w:pPr>
        <w:ind w:left="2420" w:hanging="468"/>
        <w:spacing w:after="0"/>
        <w:tabs>
          <w:tab w:leader="none" w:pos="242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Collateral Information Certificate and the Disclosure Letter, each executed by a Responsible Officer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Borrower;</w:t>
      </w:r>
    </w:p>
    <w:p>
      <w:pPr>
        <w:spacing w:after="0" w:line="145" w:lineRule="exact"/>
        <w:rPr>
          <w:rFonts w:ascii="Arial" w:cs="Arial" w:eastAsia="Arial" w:hAnsi="Arial"/>
          <w:sz w:val="18"/>
          <w:szCs w:val="18"/>
          <w:color w:val="auto"/>
        </w:rPr>
      </w:pPr>
    </w:p>
    <w:p>
      <w:pPr>
        <w:ind w:left="2560" w:hanging="608"/>
        <w:spacing w:after="0"/>
        <w:tabs>
          <w:tab w:leader="none" w:pos="2560" w:val="left"/>
        </w:tabs>
        <w:numPr>
          <w:ilvl w:val="2"/>
          <w:numId w:val="148"/>
        </w:numPr>
        <w:rPr>
          <w:rFonts w:ascii="Arial" w:cs="Arial" w:eastAsia="Arial" w:hAnsi="Arial"/>
          <w:sz w:val="19"/>
          <w:szCs w:val="19"/>
          <w:color w:val="auto"/>
        </w:rPr>
      </w:pPr>
      <w:r>
        <w:rPr>
          <w:rFonts w:ascii="Arial" w:cs="Arial" w:eastAsia="Arial" w:hAnsi="Arial"/>
          <w:sz w:val="19"/>
          <w:szCs w:val="19"/>
          <w:color w:val="auto"/>
        </w:rPr>
        <w:t>if required by any Revolving Lender, a Revolving Loan Note executed by the Borrower in favor of such</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Revolving Lender; and</w:t>
      </w:r>
    </w:p>
    <w:p>
      <w:pPr>
        <w:spacing w:after="0" w:line="145" w:lineRule="exact"/>
        <w:rPr>
          <w:rFonts w:ascii="Arial" w:cs="Arial" w:eastAsia="Arial" w:hAnsi="Arial"/>
          <w:sz w:val="19"/>
          <w:szCs w:val="19"/>
          <w:color w:val="auto"/>
        </w:rPr>
      </w:pPr>
    </w:p>
    <w:p>
      <w:pPr>
        <w:ind w:left="2540" w:hanging="588"/>
        <w:spacing w:after="0"/>
        <w:tabs>
          <w:tab w:leader="none" w:pos="2540" w:val="left"/>
        </w:tabs>
        <w:numPr>
          <w:ilvl w:val="2"/>
          <w:numId w:val="148"/>
        </w:numPr>
        <w:rPr>
          <w:rFonts w:ascii="Arial" w:cs="Arial" w:eastAsia="Arial" w:hAnsi="Arial"/>
          <w:sz w:val="19"/>
          <w:szCs w:val="19"/>
          <w:color w:val="auto"/>
        </w:rPr>
      </w:pPr>
      <w:r>
        <w:rPr>
          <w:rFonts w:ascii="Arial" w:cs="Arial" w:eastAsia="Arial" w:hAnsi="Arial"/>
          <w:sz w:val="19"/>
          <w:szCs w:val="19"/>
          <w:color w:val="auto"/>
        </w:rPr>
        <w:t>if required by the Swingline Lender, the Swingline Loan Note executed by the Borrower in favor of such</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Swingline Lender.</w:t>
      </w:r>
    </w:p>
    <w:p>
      <w:pPr>
        <w:spacing w:after="0" w:line="145" w:lineRule="exact"/>
        <w:rPr>
          <w:rFonts w:ascii="Arial" w:cs="Arial" w:eastAsia="Arial" w:hAnsi="Arial"/>
          <w:sz w:val="19"/>
          <w:szCs w:val="19"/>
          <w:color w:val="auto"/>
        </w:rPr>
      </w:pPr>
    </w:p>
    <w:p>
      <w:pPr>
        <w:ind w:firstLine="1304"/>
        <w:spacing w:after="0" w:line="260" w:lineRule="auto"/>
        <w:tabs>
          <w:tab w:leader="none" w:pos="1873"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Closing Date Projections; Financial Statements.</w:t>
      </w:r>
      <w:r>
        <w:rPr>
          <w:rFonts w:ascii="Arial" w:cs="Arial" w:eastAsia="Arial" w:hAnsi="Arial"/>
          <w:sz w:val="20"/>
          <w:szCs w:val="20"/>
          <w:color w:val="auto"/>
        </w:rPr>
        <w:t xml:space="preserve"> The Administrative Agent shall have received the Closing Date Projections and the financial statements set forth in </w:t>
      </w:r>
      <w:r>
        <w:rPr>
          <w:rFonts w:ascii="Arial" w:cs="Arial" w:eastAsia="Arial" w:hAnsi="Arial"/>
          <w:sz w:val="20"/>
          <w:szCs w:val="20"/>
          <w:u w:val="single" w:color="auto"/>
          <w:color w:val="auto"/>
        </w:rPr>
        <w:t>Section 4.1</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304"/>
        <w:spacing w:after="0" w:line="246" w:lineRule="auto"/>
        <w:tabs>
          <w:tab w:leader="none" w:pos="1943"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Approvals.</w:t>
      </w:r>
      <w:r>
        <w:rPr>
          <w:rFonts w:ascii="Arial" w:cs="Arial" w:eastAsia="Arial" w:hAnsi="Arial"/>
          <w:sz w:val="20"/>
          <w:szCs w:val="20"/>
          <w:color w:val="auto"/>
        </w:rPr>
        <w:t xml:space="preserve"> Except for the Governmental Approvals described on </w:t>
      </w:r>
      <w:r>
        <w:rPr>
          <w:rFonts w:ascii="Arial" w:cs="Arial" w:eastAsia="Arial" w:hAnsi="Arial"/>
          <w:sz w:val="20"/>
          <w:szCs w:val="20"/>
          <w:u w:val="single" w:color="auto"/>
          <w:color w:val="auto"/>
        </w:rPr>
        <w:t>Schedule 4.4</w:t>
      </w:r>
      <w:r>
        <w:rPr>
          <w:rFonts w:ascii="Arial" w:cs="Arial" w:eastAsia="Arial" w:hAnsi="Arial"/>
          <w:sz w:val="20"/>
          <w:szCs w:val="20"/>
          <w:color w:val="auto"/>
        </w:rPr>
        <w:t xml:space="preserve"> to the Disclosure Letter, all Governmental Approvals and consents and approvals of, or notices to, any other Person (including the holders of any Capital Stock issued by any Loan Party) required in connection with the execution and performance of the Loan Documents, and the consummation of the transactions contemplated hereby, shall have been obtained and be in full force and effect.</w:t>
      </w:r>
    </w:p>
    <w:p>
      <w:pPr>
        <w:spacing w:after="0" w:line="137" w:lineRule="exact"/>
        <w:rPr>
          <w:rFonts w:ascii="Arial" w:cs="Arial" w:eastAsia="Arial" w:hAnsi="Arial"/>
          <w:sz w:val="20"/>
          <w:szCs w:val="20"/>
          <w:color w:val="auto"/>
        </w:rPr>
      </w:pPr>
    </w:p>
    <w:p>
      <w:pPr>
        <w:jc w:val="both"/>
        <w:ind w:firstLine="1304"/>
        <w:spacing w:after="0" w:line="268" w:lineRule="auto"/>
        <w:tabs>
          <w:tab w:leader="none" w:pos="1846"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Secretary’s or Managing Member’s Certificates; Certified Operating Documents; Good Standing Certificates.</w:t>
      </w:r>
      <w:r>
        <w:rPr>
          <w:rFonts w:ascii="Arial" w:cs="Arial" w:eastAsia="Arial" w:hAnsi="Arial"/>
          <w:sz w:val="18"/>
          <w:szCs w:val="18"/>
          <w:color w:val="auto"/>
        </w:rPr>
        <w:t xml:space="preserve"> The Administrative Agent shall have received (i) a certificate of each Loan Party, dated the Closing Date and executed by the Secretary, Managing Member or equivalent officer of such Loan Party,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(ii) a long form good standing certificate for each Loan Party from its respective jurisdiction of organization, and</w:t>
      </w:r>
    </w:p>
    <w:p>
      <w:pPr>
        <w:spacing w:after="0" w:line="1" w:lineRule="exact"/>
        <w:rPr>
          <w:rFonts w:ascii="Arial" w:cs="Arial" w:eastAsia="Arial" w:hAnsi="Arial"/>
          <w:sz w:val="18"/>
          <w:szCs w:val="18"/>
          <w:color w:val="auto"/>
        </w:rPr>
      </w:pPr>
    </w:p>
    <w:p>
      <w:pPr>
        <w:ind w:firstLine="8"/>
        <w:spacing w:after="0" w:line="244" w:lineRule="auto"/>
        <w:tabs>
          <w:tab w:leader="none" w:pos="348" w:val="left"/>
        </w:tabs>
        <w:numPr>
          <w:ilvl w:val="0"/>
          <w:numId w:val="149"/>
        </w:numPr>
        <w:rPr>
          <w:rFonts w:ascii="Arial" w:cs="Arial" w:eastAsia="Arial" w:hAnsi="Arial"/>
          <w:sz w:val="20"/>
          <w:szCs w:val="20"/>
          <w:color w:val="auto"/>
        </w:rPr>
      </w:pPr>
      <w:r>
        <w:rPr>
          <w:rFonts w:ascii="Arial" w:cs="Arial" w:eastAsia="Arial" w:hAnsi="Arial"/>
          <w:sz w:val="20"/>
          <w:szCs w:val="20"/>
          <w:color w:val="auto"/>
        </w:rPr>
        <w:t>certificates of foreign qualification from each jurisdiction where the failure of a Loan Party to be qualified would reasonably be expected to have a Material Adverse Effect.</w:t>
      </w:r>
    </w:p>
    <w:p>
      <w:pPr>
        <w:spacing w:after="0" w:line="137" w:lineRule="exact"/>
        <w:rPr>
          <w:rFonts w:ascii="Arial" w:cs="Arial" w:eastAsia="Arial" w:hAnsi="Arial"/>
          <w:sz w:val="20"/>
          <w:szCs w:val="20"/>
          <w:color w:val="auto"/>
        </w:rPr>
      </w:pPr>
    </w:p>
    <w:p>
      <w:pPr>
        <w:ind w:left="1720" w:hanging="416"/>
        <w:spacing w:after="0"/>
        <w:tabs>
          <w:tab w:leader="none" w:pos="1720" w:val="left"/>
        </w:tabs>
        <w:numPr>
          <w:ilvl w:val="1"/>
          <w:numId w:val="149"/>
        </w:numPr>
        <w:rPr>
          <w:rFonts w:ascii="Arial" w:cs="Arial" w:eastAsia="Arial" w:hAnsi="Arial"/>
          <w:sz w:val="20"/>
          <w:szCs w:val="20"/>
          <w:color w:val="auto"/>
        </w:rPr>
      </w:pPr>
      <w:r>
        <w:rPr>
          <w:rFonts w:ascii="Arial" w:cs="Arial" w:eastAsia="Arial" w:hAnsi="Arial"/>
          <w:sz w:val="20"/>
          <w:szCs w:val="20"/>
          <w:u w:val="single" w:color="auto"/>
          <w:color w:val="auto"/>
        </w:rPr>
        <w:t>Responsible Officer’s Certificates.</w:t>
      </w:r>
    </w:p>
    <w:p>
      <w:pPr>
        <w:spacing w:after="0" w:line="161" w:lineRule="exact"/>
        <w:rPr>
          <w:rFonts w:ascii="Arial" w:cs="Arial" w:eastAsia="Arial" w:hAnsi="Arial"/>
          <w:sz w:val="20"/>
          <w:szCs w:val="20"/>
          <w:color w:val="auto"/>
        </w:rPr>
      </w:pPr>
    </w:p>
    <w:p>
      <w:pPr>
        <w:jc w:val="both"/>
        <w:ind w:firstLine="1952"/>
        <w:spacing w:after="0" w:line="244" w:lineRule="auto"/>
        <w:tabs>
          <w:tab w:leader="none" w:pos="2352" w:val="left"/>
        </w:tabs>
        <w:numPr>
          <w:ilvl w:val="2"/>
          <w:numId w:val="149"/>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signed by a Responsible Officer of the Borrower, in form and substance reasonably satisfactory to it, either (A) attaching copies of all consents, licenses and approvals required in connection with the execution, delivery and performance by such Loan Party and the validity against such Loan Party of the Loan Documents to which it is party, and such consents, licenses and approvals shall be in full force and effect, or (B) stating that no such consents, licenses or approvals are so required.</w:t>
      </w:r>
    </w:p>
    <w:p>
      <w:pPr>
        <w:spacing w:after="0" w:line="140" w:lineRule="exact"/>
        <w:rPr>
          <w:rFonts w:ascii="Arial" w:cs="Arial" w:eastAsia="Arial" w:hAnsi="Arial"/>
          <w:sz w:val="20"/>
          <w:szCs w:val="20"/>
          <w:color w:val="auto"/>
        </w:rPr>
      </w:pPr>
    </w:p>
    <w:p>
      <w:pPr>
        <w:jc w:val="both"/>
        <w:ind w:firstLine="1952"/>
        <w:spacing w:after="0" w:line="250" w:lineRule="auto"/>
        <w:tabs>
          <w:tab w:leader="none" w:pos="2440" w:val="left"/>
        </w:tabs>
        <w:numPr>
          <w:ilvl w:val="2"/>
          <w:numId w:val="149"/>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signed by a Responsible Officer of the Borrower, dated as of the Closing Date and in form and substance reasonably satisfactory to it, certifying (A) that the conditions specified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5.2(a)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have been satisfied,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771" w:right="339" w:bottom="1440" w:gutter="0" w:footer="0" w:header="0"/>
        </w:sectPr>
      </w:pPr>
    </w:p>
    <w:bookmarkStart w:id="194" w:name="page195"/>
    <w:bookmarkEnd w:id="194"/>
    <w:p>
      <w:pPr>
        <w:spacing w:after="0" w:line="260" w:lineRule="auto"/>
        <w:rPr>
          <w:sz w:val="20"/>
          <w:szCs w:val="20"/>
          <w:color w:val="auto"/>
        </w:rPr>
      </w:pPr>
      <w:r>
        <w:rPr>
          <w:rFonts w:ascii="Arial" w:cs="Arial" w:eastAsia="Arial" w:hAnsi="Arial"/>
          <w:sz w:val="20"/>
          <w:szCs w:val="20"/>
          <w:color w:val="auto"/>
        </w:rPr>
        <w:t>and (B) that there has been no event or circumstance since July 31, 2020, that has had or that could reasonably be expected to have, either individually or in the aggregate, a Material Adverse Effect.</w:t>
      </w:r>
    </w:p>
    <w:p>
      <w:pPr>
        <w:spacing w:after="0" w:line="123" w:lineRule="exact"/>
        <w:rPr>
          <w:sz w:val="20"/>
          <w:szCs w:val="20"/>
          <w:color w:val="auto"/>
        </w:rPr>
      </w:pPr>
    </w:p>
    <w:p>
      <w:pPr>
        <w:jc w:val="both"/>
        <w:ind w:firstLine="1304"/>
        <w:spacing w:after="0" w:line="246" w:lineRule="auto"/>
        <w:tabs>
          <w:tab w:leader="none" w:pos="1854"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Patriot Act, etc.</w:t>
      </w:r>
      <w:r>
        <w:rPr>
          <w:rFonts w:ascii="Arial" w:cs="Arial" w:eastAsia="Arial" w:hAnsi="Arial"/>
          <w:sz w:val="20"/>
          <w:szCs w:val="20"/>
          <w:color w:val="auto"/>
        </w:rPr>
        <w:t xml:space="preserve"> The Administrative Agent and each Lender shall have received, prior to the Closing Date, all documentation and other information requested to comply with applicable “know your customer” and anti-money-laundering rules and regulations, including the Patriot Act and the Beneficial Ownership Regulation (including the Beneficial Ownership Certification), and a properly completed and signed IRS Form W-8 or W-9, as applicable, for each Loan Party.</w:t>
      </w:r>
    </w:p>
    <w:p>
      <w:pPr>
        <w:spacing w:after="0" w:line="137" w:lineRule="exact"/>
        <w:rPr>
          <w:rFonts w:ascii="Arial" w:cs="Arial" w:eastAsia="Arial" w:hAnsi="Arial"/>
          <w:sz w:val="20"/>
          <w:szCs w:val="20"/>
          <w:color w:val="auto"/>
        </w:rPr>
      </w:pPr>
    </w:p>
    <w:p>
      <w:pPr>
        <w:ind w:left="1740" w:hanging="436"/>
        <w:spacing w:after="0"/>
        <w:tabs>
          <w:tab w:leader="none" w:pos="174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[Reserved].</w:t>
      </w:r>
    </w:p>
    <w:p>
      <w:pPr>
        <w:spacing w:after="0" w:line="161" w:lineRule="exact"/>
        <w:rPr>
          <w:rFonts w:ascii="Arial" w:cs="Arial" w:eastAsia="Arial" w:hAnsi="Arial"/>
          <w:sz w:val="20"/>
          <w:szCs w:val="20"/>
          <w:color w:val="auto"/>
        </w:rPr>
      </w:pPr>
    </w:p>
    <w:p>
      <w:pPr>
        <w:ind w:firstLine="1304"/>
        <w:spacing w:after="0" w:line="260" w:lineRule="auto"/>
        <w:tabs>
          <w:tab w:leader="none" w:pos="1721"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Existing Obligations.</w:t>
      </w:r>
      <w:r>
        <w:rPr>
          <w:rFonts w:ascii="Arial" w:cs="Arial" w:eastAsia="Arial" w:hAnsi="Arial"/>
          <w:sz w:val="20"/>
          <w:szCs w:val="20"/>
          <w:color w:val="auto"/>
        </w:rPr>
        <w:t xml:space="preserve"> The Borrower shall have paid in respect any accrued fees and interest under the Existing Credit Agreement which are unpaid immediately prior to the Closing Date.</w:t>
      </w:r>
    </w:p>
    <w:p>
      <w:pPr>
        <w:spacing w:after="0" w:line="122" w:lineRule="exact"/>
        <w:rPr>
          <w:rFonts w:ascii="Arial" w:cs="Arial" w:eastAsia="Arial" w:hAnsi="Arial"/>
          <w:sz w:val="20"/>
          <w:szCs w:val="20"/>
          <w:color w:val="auto"/>
        </w:rPr>
      </w:pPr>
    </w:p>
    <w:p>
      <w:pPr>
        <w:ind w:left="1680" w:hanging="376"/>
        <w:spacing w:after="0"/>
        <w:tabs>
          <w:tab w:leader="none" w:pos="168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Collateral Matters.</w:t>
      </w:r>
    </w:p>
    <w:p>
      <w:pPr>
        <w:spacing w:after="0" w:line="161" w:lineRule="exact"/>
        <w:rPr>
          <w:rFonts w:ascii="Arial" w:cs="Arial" w:eastAsia="Arial" w:hAnsi="Arial"/>
          <w:sz w:val="20"/>
          <w:szCs w:val="20"/>
          <w:color w:val="auto"/>
        </w:rPr>
      </w:pPr>
    </w:p>
    <w:p>
      <w:pPr>
        <w:jc w:val="both"/>
        <w:ind w:firstLine="1952"/>
        <w:spacing w:after="0" w:line="250" w:lineRule="auto"/>
        <w:tabs>
          <w:tab w:leader="none" w:pos="2356" w:val="left"/>
        </w:tabs>
        <w:numPr>
          <w:ilvl w:val="1"/>
          <w:numId w:val="150"/>
        </w:numPr>
        <w:rPr>
          <w:rFonts w:ascii="Arial" w:cs="Arial" w:eastAsia="Arial" w:hAnsi="Arial"/>
          <w:sz w:val="20"/>
          <w:szCs w:val="20"/>
          <w:color w:val="auto"/>
        </w:rPr>
      </w:pPr>
      <w:r>
        <w:rPr>
          <w:rFonts w:ascii="Arial" w:cs="Arial" w:eastAsia="Arial" w:hAnsi="Arial"/>
          <w:sz w:val="20"/>
          <w:szCs w:val="20"/>
          <w:u w:val="single" w:color="auto"/>
          <w:color w:val="auto"/>
        </w:rPr>
        <w:t>Lien Searches</w:t>
      </w:r>
      <w:r>
        <w:rPr>
          <w:rFonts w:ascii="Arial" w:cs="Arial" w:eastAsia="Arial" w:hAnsi="Arial"/>
          <w:sz w:val="20"/>
          <w:szCs w:val="20"/>
          <w:color w:val="auto"/>
        </w:rPr>
        <w:t xml:space="preserve">. The Administrative Agent shall have received the results of recent lien, judgment and litigation searches in each of the jurisdictions reasonably required by the Administrative Agent, and such searches shall reveal no Liens on any of the assets of the Loan Parties except for Liens permitted by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131" w:lineRule="exact"/>
        <w:rPr>
          <w:rFonts w:ascii="Arial" w:cs="Arial" w:eastAsia="Arial" w:hAnsi="Arial"/>
          <w:sz w:val="20"/>
          <w:szCs w:val="20"/>
          <w:color w:val="auto"/>
        </w:rPr>
      </w:pPr>
    </w:p>
    <w:p>
      <w:pPr>
        <w:ind w:left="2400" w:hanging="448"/>
        <w:spacing w:after="0"/>
        <w:tabs>
          <w:tab w:leader="none" w:pos="2400" w:val="left"/>
        </w:tabs>
        <w:numPr>
          <w:ilvl w:val="1"/>
          <w:numId w:val="15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2"/>
        <w:spacing w:after="0" w:line="276" w:lineRule="auto"/>
        <w:tabs>
          <w:tab w:leader="none" w:pos="2695"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Filings, Registrations, Recordings, Agreements, Etc.</w:t>
      </w:r>
      <w:r>
        <w:rPr>
          <w:rFonts w:ascii="Arial" w:cs="Arial" w:eastAsia="Arial" w:hAnsi="Arial"/>
          <w:sz w:val="18"/>
          <w:szCs w:val="18"/>
          <w:color w:val="auto"/>
        </w:rPr>
        <w:t xml:space="preserve"> Each document (including any UCC financing statements, Control Agreements and landlord access agreements and/or bailee waivers) required by the Security Documents or under law or reasonably requested by the Administrative Agent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shall have been executed and delivered to the Administrative Agent or, as applicable, be in proper form for filing, registration or recordation.</w:t>
      </w:r>
    </w:p>
    <w:p>
      <w:pPr>
        <w:spacing w:after="0" w:line="110" w:lineRule="exact"/>
        <w:rPr>
          <w:rFonts w:ascii="Arial" w:cs="Arial" w:eastAsia="Arial" w:hAnsi="Arial"/>
          <w:sz w:val="18"/>
          <w:szCs w:val="18"/>
          <w:color w:val="auto"/>
        </w:rPr>
      </w:pPr>
    </w:p>
    <w:p>
      <w:pPr>
        <w:ind w:left="1740" w:hanging="436"/>
        <w:spacing w:after="0"/>
        <w:tabs>
          <w:tab w:leader="none" w:pos="174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82" w:lineRule="auto"/>
        <w:tabs>
          <w:tab w:leader="none" w:pos="1775"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and the Administrative Agent shall have received all fees required to be paid on or prior to the Closing Date (including pursuant to the Fee Letter and the Existing Fee Letter), and all reasonable and documented fees and expenses of the Administrative Agent for which invoices have been presented at least 1 Business Day prior to the Closing Date (including the reasonable and documented fees and expenses of legal counsel to the Administrative Agent) for payment on or before the Closing Date.</w:t>
      </w:r>
    </w:p>
    <w:p>
      <w:pPr>
        <w:spacing w:after="0" w:line="107" w:lineRule="exact"/>
        <w:rPr>
          <w:rFonts w:ascii="Arial" w:cs="Arial" w:eastAsia="Arial" w:hAnsi="Arial"/>
          <w:sz w:val="18"/>
          <w:szCs w:val="18"/>
          <w:color w:val="auto"/>
        </w:rPr>
      </w:pPr>
    </w:p>
    <w:p>
      <w:pPr>
        <w:ind w:firstLine="1304"/>
        <w:spacing w:after="0" w:line="260" w:lineRule="auto"/>
        <w:tabs>
          <w:tab w:leader="none" w:pos="182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the executed legal opinion of Cooley LLP, counsel to the Loan Parties, in form and substance reasonably satisfactory to the Administrative Agent.</w:t>
      </w:r>
    </w:p>
    <w:p>
      <w:pPr>
        <w:spacing w:after="0" w:line="116" w:lineRule="exact"/>
        <w:rPr>
          <w:rFonts w:ascii="Arial" w:cs="Arial" w:eastAsia="Arial" w:hAnsi="Arial"/>
          <w:sz w:val="20"/>
          <w:szCs w:val="20"/>
          <w:color w:val="auto"/>
        </w:rPr>
      </w:pPr>
    </w:p>
    <w:p>
      <w:pPr>
        <w:ind w:left="1740" w:hanging="436"/>
        <w:spacing w:after="0"/>
        <w:tabs>
          <w:tab w:leader="none" w:pos="174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b w:val="1"/>
          <w:bCs w:val="1"/>
          <w:color w:val="auto"/>
        </w:rPr>
        <w:t>.</w:t>
      </w:r>
    </w:p>
    <w:p>
      <w:pPr>
        <w:spacing w:after="0" w:line="167" w:lineRule="exact"/>
        <w:rPr>
          <w:rFonts w:ascii="Arial" w:cs="Arial" w:eastAsia="Arial" w:hAnsi="Arial"/>
          <w:sz w:val="20"/>
          <w:szCs w:val="20"/>
          <w:color w:val="auto"/>
        </w:rPr>
      </w:pPr>
    </w:p>
    <w:p>
      <w:pPr>
        <w:ind w:firstLine="1304"/>
        <w:spacing w:after="0" w:line="260" w:lineRule="auto"/>
        <w:tabs>
          <w:tab w:leader="none" w:pos="1819"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The Administrative Agent shall have received a Solvency Certificate from the chief financial officer or treasurer of the Borrower.</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771" w:right="339" w:bottom="1440" w:gutter="0" w:footer="0" w:header="0"/>
        </w:sectPr>
      </w:pPr>
    </w:p>
    <w:bookmarkStart w:id="195" w:name="page196"/>
    <w:bookmarkEnd w:id="195"/>
    <w:p>
      <w:pPr>
        <w:ind w:firstLine="1304"/>
        <w:spacing w:after="0" w:line="260" w:lineRule="auto"/>
        <w:tabs>
          <w:tab w:leader="none" w:pos="1751"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There shall not have occurred since July 31, 2020, any event or condition that has had or could be reasonably expected to have, individually or in the aggregate, a Material Adverse Effect.</w:t>
      </w:r>
    </w:p>
    <w:p>
      <w:pPr>
        <w:spacing w:after="0" w:line="122" w:lineRule="exact"/>
        <w:rPr>
          <w:rFonts w:ascii="Arial" w:cs="Arial" w:eastAsia="Arial" w:hAnsi="Arial"/>
          <w:sz w:val="20"/>
          <w:szCs w:val="20"/>
          <w:color w:val="auto"/>
        </w:rPr>
      </w:pPr>
    </w:p>
    <w:p>
      <w:pPr>
        <w:ind w:firstLine="1304"/>
        <w:spacing w:after="0" w:line="316" w:lineRule="auto"/>
        <w:tabs>
          <w:tab w:leader="none" w:pos="183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Litigation</w:t>
      </w:r>
      <w:r>
        <w:rPr>
          <w:rFonts w:ascii="Arial" w:cs="Arial" w:eastAsia="Arial" w:hAnsi="Arial"/>
          <w:sz w:val="18"/>
          <w:szCs w:val="18"/>
          <w:color w:val="auto"/>
        </w:rPr>
        <w:t>. No litigation, investigation or proceeding of or before any arbitrator or Governmental Authority is pending or, to the knowledge of any Group Member, threatened, that could reasonably be expected to have a Material Adverse Effect.</w:t>
      </w:r>
    </w:p>
    <w:p>
      <w:pPr>
        <w:spacing w:after="0" w:line="75" w:lineRule="exact"/>
        <w:rPr>
          <w:rFonts w:ascii="Arial" w:cs="Arial" w:eastAsia="Arial" w:hAnsi="Arial"/>
          <w:sz w:val="18"/>
          <w:szCs w:val="18"/>
          <w:color w:val="auto"/>
        </w:rPr>
      </w:pPr>
    </w:p>
    <w:p>
      <w:pPr>
        <w:ind w:right="20" w:firstLine="1304"/>
        <w:spacing w:after="0" w:line="260" w:lineRule="auto"/>
        <w:tabs>
          <w:tab w:leader="none" w:pos="1692"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The Administrative Agent shall have received a Compliance Certificate evidencing compliance with the requirements of </w:t>
      </w:r>
      <w:r>
        <w:rPr>
          <w:rFonts w:ascii="Arial" w:cs="Arial" w:eastAsia="Arial" w:hAnsi="Arial"/>
          <w:sz w:val="20"/>
          <w:szCs w:val="20"/>
          <w:u w:val="single" w:color="auto"/>
          <w:color w:val="auto"/>
        </w:rPr>
        <w:t>Section 2.27(b)(v)</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each Lender that has executed this Agreement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Closing Date specifying such Lender’s objection thereto and either such objection shall not have been withdrawn by notice to the Administrative Agent to that effect on or prior to the Closing Date or, if any extension of credit on the Closing Date has been requested, such Lender shall not have made available to the Administrative Agent on or prior to the Closing Date such Lender’s Revolving Percentage of such requested extension of credit.</w:t>
      </w:r>
    </w:p>
    <w:p>
      <w:pPr>
        <w:spacing w:after="0" w:line="1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5.2 Conditions to Each Extension of Credit</w:t>
      </w:r>
      <w:r>
        <w:rPr>
          <w:rFonts w:ascii="Arial" w:cs="Arial" w:eastAsia="Arial" w:hAnsi="Arial"/>
          <w:sz w:val="20"/>
          <w:szCs w:val="20"/>
          <w:color w:val="auto"/>
        </w:rPr>
        <w:t>. The agreement of each Lender to make any extension of credit requested to be made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it on any date (including its initial extension of credit but excluding any Revolving Loan Conversion and any conversion of Loans pursuant to </w:t>
      </w:r>
      <w:r>
        <w:rPr>
          <w:rFonts w:ascii="Arial" w:cs="Arial" w:eastAsia="Arial" w:hAnsi="Arial"/>
          <w:sz w:val="20"/>
          <w:szCs w:val="20"/>
          <w:u w:val="single" w:color="auto"/>
          <w:color w:val="auto"/>
        </w:rPr>
        <w:t>Section 2.13</w:t>
      </w:r>
      <w:r>
        <w:rPr>
          <w:rFonts w:ascii="Arial" w:cs="Arial" w:eastAsia="Arial" w:hAnsi="Arial"/>
          <w:sz w:val="20"/>
          <w:szCs w:val="20"/>
          <w:color w:val="auto"/>
        </w:rPr>
        <w:t>) is subject to the satisfaction of the following conditions precedent:</w:t>
      </w:r>
    </w:p>
    <w:p>
      <w:pPr>
        <w:spacing w:after="0" w:line="129" w:lineRule="exact"/>
        <w:rPr>
          <w:sz w:val="20"/>
          <w:szCs w:val="20"/>
          <w:color w:val="auto"/>
        </w:rPr>
      </w:pPr>
    </w:p>
    <w:p>
      <w:pPr>
        <w:jc w:val="both"/>
        <w:ind w:firstLine="1304"/>
        <w:spacing w:after="0" w:line="278" w:lineRule="auto"/>
        <w:tabs>
          <w:tab w:leader="none" w:pos="174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 subject to the limitations set forth in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firstLine="1304"/>
        <w:spacing w:after="0" w:line="260" w:lineRule="auto"/>
        <w:tabs>
          <w:tab w:leader="none" w:pos="1738" w:val="left"/>
        </w:tabs>
        <w:numPr>
          <w:ilvl w:val="1"/>
          <w:numId w:val="152"/>
        </w:numPr>
        <w:rPr>
          <w:rFonts w:ascii="Arial" w:cs="Arial" w:eastAsia="Arial" w:hAnsi="Arial"/>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With respect to any requests for any Revolving Extensions of Credit, after giving effect to such Revolving Extension of Credit, the availability and borrowing limitations specified in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shall be complied with.</w:t>
      </w:r>
    </w:p>
    <w:p>
      <w:pPr>
        <w:spacing w:after="0" w:line="122" w:lineRule="exact"/>
        <w:rPr>
          <w:rFonts w:ascii="Arial" w:cs="Arial" w:eastAsia="Arial" w:hAnsi="Arial"/>
          <w:sz w:val="20"/>
          <w:szCs w:val="20"/>
          <w:color w:val="auto"/>
        </w:rPr>
      </w:pPr>
    </w:p>
    <w:p>
      <w:pPr>
        <w:ind w:firstLine="1304"/>
        <w:spacing w:after="0" w:line="260" w:lineRule="auto"/>
        <w:tabs>
          <w:tab w:leader="none" w:pos="1781" w:val="left"/>
        </w:tabs>
        <w:numPr>
          <w:ilvl w:val="1"/>
          <w:numId w:val="152"/>
        </w:numPr>
        <w:rPr>
          <w:rFonts w:ascii="Arial" w:cs="Arial" w:eastAsia="Arial" w:hAnsi="Arial"/>
          <w:sz w:val="20"/>
          <w:szCs w:val="20"/>
          <w:color w:val="auto"/>
        </w:rPr>
      </w:pPr>
      <w:r>
        <w:rPr>
          <w:rFonts w:ascii="Arial" w:cs="Arial" w:eastAsia="Arial" w:hAnsi="Arial"/>
          <w:sz w:val="20"/>
          <w:szCs w:val="20"/>
          <w:u w:val="single" w:color="auto"/>
          <w:color w:val="auto"/>
        </w:rPr>
        <w:t>Notices of Borrowing.</w:t>
      </w:r>
      <w:r>
        <w:rPr>
          <w:rFonts w:ascii="Arial" w:cs="Arial" w:eastAsia="Arial" w:hAnsi="Arial"/>
          <w:sz w:val="20"/>
          <w:szCs w:val="20"/>
          <w:color w:val="auto"/>
        </w:rPr>
        <w:t xml:space="preserve"> The Administrative Agent shall have received a Notice of Borrowing in connection with any such request for extension of credit which complies with the requirements hereof.</w:t>
      </w:r>
    </w:p>
    <w:p>
      <w:pPr>
        <w:spacing w:after="0" w:line="122" w:lineRule="exact"/>
        <w:rPr>
          <w:rFonts w:ascii="Arial" w:cs="Arial" w:eastAsia="Arial" w:hAnsi="Arial"/>
          <w:sz w:val="20"/>
          <w:szCs w:val="20"/>
          <w:color w:val="auto"/>
        </w:rPr>
      </w:pPr>
    </w:p>
    <w:p>
      <w:pPr>
        <w:jc w:val="both"/>
        <w:ind w:firstLine="1304"/>
        <w:spacing w:after="0" w:line="272" w:lineRule="auto"/>
        <w:tabs>
          <w:tab w:leader="none" w:pos="1738"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xml:space="preserve"> No Default or Event of Default shall have occurred and be continuing as of or on such date or after giving effect to the extensions of credit requested to be made on such date and the use of proceeds thereof (other than in connection with Limited Condition Acquisitions as set forth in </w:t>
      </w:r>
      <w:r>
        <w:rPr>
          <w:rFonts w:ascii="Arial" w:cs="Arial" w:eastAsia="Arial" w:hAnsi="Arial"/>
          <w:sz w:val="18"/>
          <w:szCs w:val="18"/>
          <w:u w:val="single" w:color="auto"/>
          <w:color w:val="auto"/>
        </w:rPr>
        <w:t>Section 1.6</w:t>
      </w:r>
      <w:r>
        <w:rPr>
          <w:rFonts w:ascii="Arial" w:cs="Arial" w:eastAsia="Arial" w:hAnsi="Arial"/>
          <w:sz w:val="18"/>
          <w:szCs w:val="18"/>
          <w:color w:val="auto"/>
        </w:rPr>
        <w:t>, in which case there shall be (i) no Default or Event of Default as of the LCA Test Date and</w:t>
      </w:r>
    </w:p>
    <w:p>
      <w:pPr>
        <w:ind w:firstLine="8"/>
        <w:spacing w:after="0" w:line="244" w:lineRule="auto"/>
        <w:tabs>
          <w:tab w:leader="none" w:pos="305"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no Event of Default under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as of or on the date of such Revolving Extension of Credit or after giving effect to the extensions of credit requested to be made on such date and the use of proceeds thereof).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771" w:right="339" w:bottom="1440" w:gutter="0" w:footer="0" w:header="0"/>
        </w:sectPr>
      </w:pPr>
    </w:p>
    <w:bookmarkStart w:id="196" w:name="page197"/>
    <w:bookmarkEnd w:id="196"/>
    <w:p>
      <w:pPr>
        <w:jc w:val="both"/>
        <w:ind w:firstLine="1304"/>
        <w:spacing w:after="0" w:line="263" w:lineRule="auto"/>
        <w:tabs>
          <w:tab w:leader="none" w:pos="1740"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Foreign Currency</w:t>
      </w:r>
      <w:r>
        <w:rPr>
          <w:rFonts w:ascii="Arial" w:cs="Arial" w:eastAsia="Arial" w:hAnsi="Arial"/>
          <w:sz w:val="19"/>
          <w:szCs w:val="19"/>
          <w:color w:val="auto"/>
        </w:rPr>
        <w:t>. In the case of a Revolving Extension of Credit to be denominated in an Alternative Currency, there shall not have occurred any change in national or international financial, political or economic conditions or currency exchange rates or exchange controls which in the reasonable opinion of the Administrative Agent or the Issuing Lender would make it impracticable for such Revolving Extension of Credit to be denominated in the relevant Alternative Currency.</w:t>
      </w:r>
    </w:p>
    <w:p>
      <w:pPr>
        <w:spacing w:after="0" w:line="122" w:lineRule="exact"/>
        <w:rPr>
          <w:rFonts w:ascii="Arial" w:cs="Arial" w:eastAsia="Arial" w:hAnsi="Arial"/>
          <w:sz w:val="19"/>
          <w:szCs w:val="19"/>
          <w:color w:val="auto"/>
        </w:rPr>
      </w:pPr>
    </w:p>
    <w:p>
      <w:pPr>
        <w:jc w:val="both"/>
        <w:ind w:firstLine="1304"/>
        <w:spacing w:after="0" w:line="259" w:lineRule="auto"/>
        <w:tabs>
          <w:tab w:leader="none" w:pos="1719"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Pro Forma Covenant Compliance</w:t>
      </w:r>
      <w:r>
        <w:rPr>
          <w:rFonts w:ascii="Arial" w:cs="Arial" w:eastAsia="Arial" w:hAnsi="Arial"/>
          <w:sz w:val="19"/>
          <w:szCs w:val="19"/>
          <w:color w:val="auto"/>
        </w:rPr>
        <w:t xml:space="preserve">. Immediately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extension of credit and the use of proceeds thereof, the Borrower shall be in compliance with the financial covenants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hereof (including for the avoidance of doubt the covenant set forth in Section 7.1(b), if the Borrower’s pro forma Adjusted Quick Ratio would have resulted in a Covenant Testing Period), as of the end of the most recently ended reporting period for which financial statements were required to be delivered prior to the date of such extension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 extension of credit to finance a Limited Condition Acquisition in accordance with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such calculation shall be made in compliance with </w:t>
      </w:r>
      <w:r>
        <w:rPr>
          <w:rFonts w:ascii="Arial" w:cs="Arial" w:eastAsia="Arial" w:hAnsi="Arial"/>
          <w:sz w:val="19"/>
          <w:szCs w:val="19"/>
          <w:u w:val="single" w:color="auto"/>
          <w:color w:val="auto"/>
        </w:rPr>
        <w:t>Section 1.6</w:t>
      </w:r>
      <w:r>
        <w:rPr>
          <w:rFonts w:ascii="Arial" w:cs="Arial" w:eastAsia="Arial" w:hAnsi="Arial"/>
          <w:sz w:val="19"/>
          <w:szCs w:val="19"/>
          <w:color w:val="auto"/>
        </w:rPr>
        <w:t>).</w:t>
      </w:r>
    </w:p>
    <w:p>
      <w:pPr>
        <w:spacing w:after="0" w:line="124"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 xml:space="preserve">Each borrowing by and issuance of a Letter of Credit on behalf of the Borrower hereunder and each Revolving Loan Conversion shall constitute a representation and warranty by the Borrower as of the date of such extension of credit, or Revolving Loan Conversion, as applicable, that the conditions contained in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have been satisfied.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14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Borrower hereby agrees that, at all times prior to the Discharge of Obligations, each of the Loan Parties shall, and, where applicable, shall cause each of its Subsidiaries to:</w:t>
      </w:r>
    </w:p>
    <w:p>
      <w:pPr>
        <w:spacing w:after="0" w:line="1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Financial Statements</w:t>
      </w:r>
      <w:r>
        <w:rPr>
          <w:rFonts w:ascii="Arial" w:cs="Arial" w:eastAsia="Arial" w:hAnsi="Arial"/>
          <w:sz w:val="18"/>
          <w:szCs w:val="18"/>
          <w:color w:val="auto"/>
        </w:rPr>
        <w:t>. Furnish to the Administrative Agent for distribution to each Lender:</w:t>
      </w:r>
    </w:p>
    <w:p>
      <w:pPr>
        <w:spacing w:after="0" w:line="168" w:lineRule="exact"/>
        <w:rPr>
          <w:sz w:val="20"/>
          <w:szCs w:val="20"/>
          <w:color w:val="auto"/>
        </w:rPr>
      </w:pPr>
    </w:p>
    <w:p>
      <w:pPr>
        <w:jc w:val="both"/>
        <w:ind w:firstLine="1304"/>
        <w:spacing w:after="0" w:line="257" w:lineRule="auto"/>
        <w:tabs>
          <w:tab w:leader="none" w:pos="173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as soon as available, but in any event within 150 days after the end of each fiscal year of the Borrower (from and after the occurrence of a Qualified IPO of NerdWallet’s common stock, 90 days after the end of each fiscal year of the Borrower), a copy of the audited consolidated balance sheet of the Borrower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(other than a “going concern” or like qualification or exception solely as a result of the final maturity date of any Loan being scheduled to occur within 12 months from the date of such opinion), or qualification arising out of the scope of the audit, by Deloitte or other independent certified public accountants of nationally recognized standing and reasonably acceptable to the Administrative Agent; and</w:t>
      </w:r>
    </w:p>
    <w:p>
      <w:pPr>
        <w:spacing w:after="0" w:line="126" w:lineRule="exact"/>
        <w:rPr>
          <w:rFonts w:ascii="Arial" w:cs="Arial" w:eastAsia="Arial" w:hAnsi="Arial"/>
          <w:sz w:val="19"/>
          <w:szCs w:val="19"/>
          <w:color w:val="auto"/>
        </w:rPr>
      </w:pPr>
    </w:p>
    <w:p>
      <w:pPr>
        <w:jc w:val="both"/>
        <w:ind w:firstLine="1304"/>
        <w:spacing w:after="0" w:line="260" w:lineRule="auto"/>
        <w:tabs>
          <w:tab w:leader="none" w:pos="174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prior to a Qualified IPO of NerdWallet’s common stock, as soon as available, but in any event within 30 days after the end of each month, the unaudited consolidated and consolidating balance sheet of NerdWallet and its consolidated Subsidiaries as at the end of such month and the related unaudited consolidated and consolidating statements of income and of cash flows for such month and the portion of the fiscal year through the end of such month, setting forth in each case in comparative form the figures for the previous year, certified by a Responsible Officer as being fairly stated in all material respects.</w:t>
      </w:r>
    </w:p>
    <w:p>
      <w:pPr>
        <w:spacing w:after="0" w:line="126" w:lineRule="exact"/>
        <w:rPr>
          <w:rFonts w:ascii="Arial" w:cs="Arial" w:eastAsia="Arial" w:hAnsi="Arial"/>
          <w:sz w:val="19"/>
          <w:szCs w:val="19"/>
          <w:color w:val="auto"/>
        </w:rPr>
      </w:pPr>
    </w:p>
    <w:p>
      <w:pPr>
        <w:jc w:val="both"/>
        <w:ind w:firstLine="1304"/>
        <w:spacing w:after="0" w:line="243" w:lineRule="auto"/>
        <w:tabs>
          <w:tab w:leader="none" w:pos="1767" w:val="left"/>
        </w:tabs>
        <w:numPr>
          <w:ilvl w:val="0"/>
          <w:numId w:val="155"/>
        </w:numPr>
        <w:rPr>
          <w:rFonts w:ascii="Arial" w:cs="Arial" w:eastAsia="Arial" w:hAnsi="Arial"/>
          <w:sz w:val="20"/>
          <w:szCs w:val="20"/>
          <w:color w:val="auto"/>
        </w:rPr>
      </w:pPr>
      <w:r>
        <w:rPr>
          <w:rFonts w:ascii="Arial" w:cs="Arial" w:eastAsia="Arial" w:hAnsi="Arial"/>
          <w:sz w:val="20"/>
          <w:szCs w:val="20"/>
          <w:color w:val="auto"/>
        </w:rPr>
        <w:t>from and after a Qualified IPO of NerdWallet’s common stock, as soon as available, but in any event within 45 days after the end of each fiscal quarter of each fiscal year of NerdWallet, the unaudited consolidated and consolidating balance sheet of NerdWallet and its consolidated Subsidiaries as at the end of such fiscal quarter and the related unaudited consolidated and consolidating statements of income and of cash flows for such fiscal quarter and the portion of the fiscal year through the end of such quarter, setting forth in each case in comparative form the figures for the previous year, certified by a Responsible Officer as being fairly stated in all material respects.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771" w:right="339" w:bottom="1440" w:gutter="0" w:footer="0" w:header="0"/>
        </w:sectPr>
      </w:pPr>
    </w:p>
    <w:bookmarkStart w:id="197" w:name="page198"/>
    <w:bookmarkEnd w:id="197"/>
    <w:p>
      <w:pPr>
        <w:jc w:val="both"/>
        <w:spacing w:after="0" w:line="246" w:lineRule="auto"/>
        <w:rPr>
          <w:sz w:val="20"/>
          <w:szCs w:val="20"/>
          <w:color w:val="auto"/>
        </w:rPr>
      </w:pPr>
      <w:r>
        <w:rPr>
          <w:rFonts w:ascii="Arial" w:cs="Arial" w:eastAsia="Arial" w:hAnsi="Arial"/>
          <w:sz w:val="20"/>
          <w:szCs w:val="20"/>
          <w:color w:val="auto"/>
        </w:rPr>
        <w:t>All such financial statements shall be complete and correct in all material respects and shall be prepared in reasonable detail and in accordance with GAAP (except in the case of interim statements for the absence of footnotes and normal year-end adjustments) applied (except as approved by such accountants or officer, as the case may be, and disclosed in reasonable detail therein) consistently throughout the periods reflected therein and with prior periods.</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Additionally, documents required to be delivered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6.2(e)</w:t>
      </w:r>
      <w:r>
        <w:rPr>
          <w:rFonts w:ascii="Arial" w:cs="Arial" w:eastAsia="Arial" w:hAnsi="Arial"/>
          <w:sz w:val="18"/>
          <w:szCs w:val="18"/>
          <w:color w:val="auto"/>
        </w:rPr>
        <w:t xml:space="preserve"> (to the extent any such documents are included in materials otherwise filed with the SEC) may be delivered electronically and, shall be deemed to have been delivered on the date on which NerdWallet posts such documents, or provides a link thereto, either: (i) on NerdWallet’s website on the Internet at the website address listed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(ii) when such documents are posted electronically on NerdWallet’s behalf on an internet or intranet website to which each Lender and the Administrative Agent have access (whether a commercial, third-party website or whether sponsored by the Administrative Agent), if any; or (iii) on which NerdWallet files such documents with the SEC and such documents are publicly available on the SEC’s EDGAR filing system or any successor thereto, if 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NerdWallet shall deliver paper copies of such documents to the Administrative Agent or any Lender upon its request to the Borrower to deliver such paper copies until written request to cease delivering paper copies is given by the Administrative Agent or such Lender and (B) NerdWallet shall notify (which may be by facsimile or electronic mail) the Administrative Agent and each Lender of the posting of any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1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8"/>
          <w:szCs w:val="18"/>
          <w:b w:val="1"/>
          <w:bCs w:val="1"/>
          <w:color w:val="auto"/>
        </w:rPr>
        <w:t>Certificates; Reports; Other Information</w:t>
      </w:r>
      <w:r>
        <w:rPr>
          <w:rFonts w:ascii="Arial" w:cs="Arial" w:eastAsia="Arial" w:hAnsi="Arial"/>
          <w:sz w:val="18"/>
          <w:szCs w:val="18"/>
          <w:color w:val="auto"/>
        </w:rPr>
        <w:t>. Furnish to the Administrative Agent, for distribution to each Lender:</w:t>
      </w:r>
    </w:p>
    <w:p>
      <w:pPr>
        <w:spacing w:after="0" w:line="168" w:lineRule="exact"/>
        <w:rPr>
          <w:sz w:val="20"/>
          <w:szCs w:val="20"/>
          <w:color w:val="auto"/>
        </w:rPr>
      </w:pPr>
    </w:p>
    <w:p>
      <w:pPr>
        <w:jc w:val="both"/>
        <w:ind w:right="20" w:firstLine="1304"/>
        <w:spacing w:after="0" w:line="250" w:lineRule="auto"/>
        <w:tabs>
          <w:tab w:leader="none" w:pos="1811"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delivered pursuant to </w:t>
      </w:r>
      <w:r>
        <w:rPr>
          <w:rFonts w:ascii="Arial" w:cs="Arial" w:eastAsia="Arial" w:hAnsi="Arial"/>
          <w:sz w:val="20"/>
          <w:szCs w:val="20"/>
          <w:u w:val="single" w:color="auto"/>
          <w:color w:val="auto"/>
        </w:rPr>
        <w:t>Section 6.1(b)</w:t>
      </w:r>
      <w:r>
        <w:rPr>
          <w:rFonts w:ascii="Arial" w:cs="Arial" w:eastAsia="Arial" w:hAnsi="Arial"/>
          <w:sz w:val="20"/>
          <w:szCs w:val="20"/>
          <w:color w:val="auto"/>
        </w:rPr>
        <w:t>, a monthly accounts receivable aging report and a monthly Unbilled Accounts Receivable report, each in form and substance reasonably acceptable to the Administrative Agent;</w:t>
      </w:r>
    </w:p>
    <w:p>
      <w:pPr>
        <w:spacing w:after="0" w:line="131" w:lineRule="exact"/>
        <w:rPr>
          <w:rFonts w:ascii="Arial" w:cs="Arial" w:eastAsia="Arial" w:hAnsi="Arial"/>
          <w:sz w:val="20"/>
          <w:szCs w:val="20"/>
          <w:color w:val="auto"/>
        </w:rPr>
      </w:pPr>
    </w:p>
    <w:p>
      <w:pPr>
        <w:jc w:val="both"/>
        <w:ind w:firstLine="1304"/>
        <w:spacing w:after="0" w:line="272" w:lineRule="auto"/>
        <w:tabs>
          <w:tab w:leader="none" w:pos="180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any financial statements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(i) a certificate of a Responsible Officer of the Borrower stating that, to the best of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(ii) a Compliance Certificate containing all information and calculations necessary for determining compliance by each Loan Party with the provisions of this Agreement referred to therein as of the last day of the applicable period of the Borrower, and (y) to the extent not previously disclosed to the Administrative Agent, a description of any change in the jurisdiction of organization of any Loan Party, and (iii) in the case of financial statements delivered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updated insurance certificates evidencing the insurance coverage required to be maintained pursuant to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771" w:right="339" w:bottom="1440" w:gutter="0" w:footer="0" w:header="0"/>
        </w:sectPr>
      </w:pPr>
    </w:p>
    <w:bookmarkStart w:id="198" w:name="page199"/>
    <w:bookmarkEnd w:id="198"/>
    <w:p>
      <w:pPr>
        <w:jc w:val="both"/>
        <w:ind w:firstLine="1304"/>
        <w:spacing w:after="0" w:line="257" w:lineRule="auto"/>
        <w:tabs>
          <w:tab w:leader="none" w:pos="173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as soon as available, and in any event no later than 60 days after the end of each fiscal year of the Borrower, a detailed consolidated board of director approved operating budget for the following fiscal year (including a projected consolidated balance sheet of the Borrower and its Subsidiaries as of the end of each fiscal quarter of such fiscal year, the related consolidated statements of projected cash flow, projected changes in financial position and projected income and a description of the underlying assumptions applicable thereto), and, as soon as available, material revisions, if any, of such operating budget and projections with respect to such fiscal year (collectively, the “</w:t>
      </w:r>
      <w:r>
        <w:rPr>
          <w:rFonts w:ascii="Arial" w:cs="Arial" w:eastAsia="Arial" w:hAnsi="Arial"/>
          <w:sz w:val="19"/>
          <w:szCs w:val="19"/>
          <w:b w:val="1"/>
          <w:bCs w:val="1"/>
          <w:i w:val="1"/>
          <w:iCs w:val="1"/>
          <w:color w:val="auto"/>
        </w:rPr>
        <w:t>Projections</w:t>
      </w:r>
      <w:r>
        <w:rPr>
          <w:rFonts w:ascii="Arial" w:cs="Arial" w:eastAsia="Arial" w:hAnsi="Arial"/>
          <w:sz w:val="19"/>
          <w:szCs w:val="19"/>
          <w:color w:val="auto"/>
        </w:rPr>
        <w:t>”), which Projections shall in each case be accompanied by a certificate of a Responsible Officer of the Borrower stating that such Projections are based on reasonable estimates, information and assumptions and that such Responsible Officer has no reason to believe that such Projections are incorrect or misleading in any material respect;</w:t>
      </w:r>
    </w:p>
    <w:p>
      <w:pPr>
        <w:spacing w:after="0" w:line="126" w:lineRule="exact"/>
        <w:rPr>
          <w:rFonts w:ascii="Arial" w:cs="Arial" w:eastAsia="Arial" w:hAnsi="Arial"/>
          <w:sz w:val="19"/>
          <w:szCs w:val="19"/>
          <w:color w:val="auto"/>
        </w:rPr>
      </w:pPr>
    </w:p>
    <w:p>
      <w:pPr>
        <w:jc w:val="both"/>
        <w:ind w:firstLine="1304"/>
        <w:spacing w:after="0" w:line="246" w:lineRule="auto"/>
        <w:tabs>
          <w:tab w:leader="none" w:pos="1731" w:val="left"/>
        </w:tabs>
        <w:numPr>
          <w:ilvl w:val="0"/>
          <w:numId w:val="157"/>
        </w:numPr>
        <w:rPr>
          <w:rFonts w:ascii="Arial" w:cs="Arial" w:eastAsia="Arial" w:hAnsi="Arial"/>
          <w:sz w:val="20"/>
          <w:szCs w:val="20"/>
          <w:color w:val="auto"/>
        </w:rPr>
      </w:pPr>
      <w:r>
        <w:rPr>
          <w:rFonts w:ascii="Arial" w:cs="Arial" w:eastAsia="Arial" w:hAnsi="Arial"/>
          <w:sz w:val="20"/>
          <w:szCs w:val="20"/>
          <w:color w:val="auto"/>
        </w:rPr>
        <w:t>promptly, and in any event within 5 Business Days after receipt thereof by any Group Member, copies of each notice or other correspondence received from the SEC (or comparable agency in any applicable non-U.S. jurisdiction) concerning any investigation or possible investigation by such agency regarding financial or other operational results of any Group Member (other than routine comment letters from the staff of the SEC relating to the Borrower’s filings with the SEC);</w:t>
      </w:r>
    </w:p>
    <w:p>
      <w:pPr>
        <w:spacing w:after="0" w:line="137" w:lineRule="exact"/>
        <w:rPr>
          <w:rFonts w:ascii="Arial" w:cs="Arial" w:eastAsia="Arial" w:hAnsi="Arial"/>
          <w:sz w:val="20"/>
          <w:szCs w:val="20"/>
          <w:color w:val="auto"/>
        </w:rPr>
      </w:pPr>
    </w:p>
    <w:p>
      <w:pPr>
        <w:jc w:val="both"/>
        <w:ind w:firstLine="1304"/>
        <w:spacing w:after="0" w:line="244" w:lineRule="auto"/>
        <w:tabs>
          <w:tab w:leader="none" w:pos="1727" w:val="left"/>
        </w:tabs>
        <w:numPr>
          <w:ilvl w:val="0"/>
          <w:numId w:val="157"/>
        </w:numPr>
        <w:rPr>
          <w:rFonts w:ascii="Arial" w:cs="Arial" w:eastAsia="Arial" w:hAnsi="Arial"/>
          <w:sz w:val="20"/>
          <w:szCs w:val="20"/>
          <w:color w:val="auto"/>
        </w:rPr>
      </w:pPr>
      <w:r>
        <w:rPr>
          <w:rFonts w:ascii="Arial" w:cs="Arial" w:eastAsia="Arial" w:hAnsi="Arial"/>
          <w:sz w:val="20"/>
          <w:szCs w:val="20"/>
          <w:color w:val="auto"/>
        </w:rPr>
        <w:t>within 5 days after the same are sent, copies of each annual report, proxy or financial statement or other material report that any Group Member sends to the holders of any class of its Indebtedness or public equity securities and, within 5 days after the same are filed, copies of all annual, regular, periodic and special reports and registration statements which the Borrower may file with the SEC under Section 13 or 15(d) of the Exchange Act, or with any national securities exchange, and not otherwise required to be delivered to the Administrative Agent pursuant hereto;</w:t>
      </w:r>
    </w:p>
    <w:p>
      <w:pPr>
        <w:spacing w:after="0" w:line="140" w:lineRule="exact"/>
        <w:rPr>
          <w:rFonts w:ascii="Arial" w:cs="Arial" w:eastAsia="Arial" w:hAnsi="Arial"/>
          <w:sz w:val="20"/>
          <w:szCs w:val="20"/>
          <w:color w:val="auto"/>
        </w:rPr>
      </w:pPr>
    </w:p>
    <w:p>
      <w:pPr>
        <w:jc w:val="both"/>
        <w:ind w:firstLine="1304"/>
        <w:spacing w:after="0" w:line="246" w:lineRule="auto"/>
        <w:tabs>
          <w:tab w:leader="none" w:pos="175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upon reasonable request by the Administrative Agent, within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the Group Members; and</w:t>
      </w:r>
    </w:p>
    <w:p>
      <w:pPr>
        <w:spacing w:after="0" w:line="137" w:lineRule="exact"/>
        <w:rPr>
          <w:rFonts w:ascii="Arial" w:cs="Arial" w:eastAsia="Arial" w:hAnsi="Arial"/>
          <w:sz w:val="20"/>
          <w:szCs w:val="20"/>
          <w:color w:val="auto"/>
        </w:rPr>
      </w:pPr>
    </w:p>
    <w:p>
      <w:pPr>
        <w:jc w:val="both"/>
        <w:ind w:firstLine="1304"/>
        <w:spacing w:after="0" w:line="250" w:lineRule="auto"/>
        <w:tabs>
          <w:tab w:leader="none" w:pos="180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promptly, such additional other information regarding the operations, business affairs and financial condition of the Group Members, or compliance with the terms of the Loan Documents as the Administrative Agent or any Lender may from time to time reasonably request with respect to the Group Members.</w:t>
      </w:r>
    </w:p>
    <w:p>
      <w:pPr>
        <w:spacing w:after="0" w:line="1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6.4 Payment of Obligations</w:t>
      </w:r>
      <w:r>
        <w:rPr>
          <w:rFonts w:ascii="Arial" w:cs="Arial" w:eastAsia="Arial" w:hAnsi="Arial"/>
          <w:sz w:val="19"/>
          <w:szCs w:val="19"/>
          <w:color w:val="auto"/>
        </w:rPr>
        <w:t>. Pay, discharge or otherwise satisfy at or before maturity or before they become delinquent (after</w:t>
      </w:r>
      <w:r>
        <w:rPr>
          <w:rFonts w:ascii="Arial" w:cs="Arial" w:eastAsia="Arial" w:hAnsi="Arial"/>
          <w:sz w:val="19"/>
          <w:szCs w:val="19"/>
          <w:b w:val="1"/>
          <w:bCs w:val="1"/>
          <w:color w:val="auto"/>
        </w:rPr>
        <w:t xml:space="preserve"> </w:t>
      </w:r>
      <w:r>
        <w:rPr>
          <w:rFonts w:ascii="Arial" w:cs="Arial" w:eastAsia="Arial" w:hAnsi="Arial"/>
          <w:sz w:val="19"/>
          <w:szCs w:val="19"/>
          <w:color w:val="auto"/>
        </w:rPr>
        <w:t>giving effect to any extensions granted or grace periods in effect), as the 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Group Member.</w:t>
      </w:r>
    </w:p>
    <w:p>
      <w:pPr>
        <w:spacing w:after="0" w:line="1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6.5 Maintenance of Existence; Compliance</w:t>
      </w:r>
      <w:r>
        <w:rPr>
          <w:rFonts w:ascii="Arial" w:cs="Arial" w:eastAsia="Arial" w:hAnsi="Arial"/>
          <w:sz w:val="18"/>
          <w:szCs w:val="18"/>
          <w:color w:val="auto"/>
        </w:rPr>
        <w:t>. (a)(i) Preserve, renew and keep in full force and effect its organizational existence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(ii) take all reasonable action to maintain or obtain all Governmental Approvals and all other rights, privileges and franchises necessary or desirable in the normal conduct of its business or necessary for the performance by such Person of its Obligations under any Loan Document, except, in each case, as otherwise permitted by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and except, in the case of clause (ii) above, to the extent that failure to do so could not reasonably be expected to have a Material Adverse Effect; (b) comply with all Contractual Obligations (including with respect to leasehold interests of the Borrower) and Requirements of Law except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ERISA Affiliates to: (1) maintain each Plan in compliance in all material respects with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771" w:right="339" w:bottom="1440" w:gutter="0" w:footer="0" w:header="0"/>
        </w:sectPr>
      </w:pPr>
    </w:p>
    <w:bookmarkStart w:id="199" w:name="page200"/>
    <w:bookmarkEnd w:id="199"/>
    <w:p>
      <w:pPr>
        <w:jc w:val="both"/>
        <w:spacing w:after="0" w:line="250" w:lineRule="auto"/>
        <w:rPr>
          <w:sz w:val="20"/>
          <w:szCs w:val="20"/>
          <w:color w:val="auto"/>
        </w:rPr>
      </w:pPr>
      <w:r>
        <w:rPr>
          <w:rFonts w:ascii="Arial" w:cs="Arial" w:eastAsia="Arial" w:hAnsi="Arial"/>
          <w:sz w:val="20"/>
          <w:szCs w:val="20"/>
          <w:color w:val="auto"/>
        </w:rPr>
        <w:t>the applicable provisions of ERISA, the Code or other Federal or state law; (2) cause each Qualified Plan to maintain its qualified status under Section 401(a) of the Code; (3) make all required material contributions to any Plan; and (4) not become a party to any Multiemployer Plan.</w:t>
      </w:r>
    </w:p>
    <w:p>
      <w:pPr>
        <w:spacing w:after="0" w:line="1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6.6 Maintenance of Property; Insurance</w:t>
      </w:r>
      <w:r>
        <w:rPr>
          <w:rFonts w:ascii="Arial" w:cs="Arial" w:eastAsia="Arial" w:hAnsi="Arial"/>
          <w:sz w:val="19"/>
          <w:szCs w:val="19"/>
          <w:color w:val="auto"/>
        </w:rPr>
        <w:t>. (a) Keep all property useful and necessary in its business in good working order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 ordinary wear and tear and casualty excepted, (b)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and shall provide to the Administrative Agent, insurance certificates and accompanying endorsements naming the Administrative Agent (for the benefit of the Secured Parties) as an “additional insured” or “lender loss payee,” as applicable, with respect to such insurance policies of the Loan Parties in form and substance reasonably satisfactory to the Administrative Agent, and (c) maintain flood insurance on all real property subject to a Mortgage as required under </w:t>
      </w:r>
      <w:r>
        <w:rPr>
          <w:rFonts w:ascii="Arial" w:cs="Arial" w:eastAsia="Arial" w:hAnsi="Arial"/>
          <w:sz w:val="19"/>
          <w:szCs w:val="19"/>
          <w:u w:val="single" w:color="auto"/>
          <w:color w:val="auto"/>
        </w:rPr>
        <w:t>Section 6.12(b)</w:t>
      </w:r>
      <w:r>
        <w:rPr>
          <w:rFonts w:ascii="Arial" w:cs="Arial" w:eastAsia="Arial" w:hAnsi="Arial"/>
          <w:sz w:val="19"/>
          <w:szCs w:val="19"/>
          <w:color w:val="auto"/>
        </w:rPr>
        <w:t>.</w:t>
      </w:r>
    </w:p>
    <w:p>
      <w:pPr>
        <w:spacing w:after="0" w:line="1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6.7 Books and Records; Discussions</w:t>
      </w:r>
      <w:r>
        <w:rPr>
          <w:rFonts w:ascii="Arial" w:cs="Arial" w:eastAsia="Arial" w:hAnsi="Arial"/>
          <w:sz w:val="18"/>
          <w:szCs w:val="18"/>
          <w:color w:val="auto"/>
        </w:rPr>
        <w:t>. (a) Keep proper books of records and account in which full, true and correct entries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conformity with GAAP and all Requirements of Law shall be made of all dealings and transactions in relation to its business and activities and (b) permit representatives and independent contractors of the Administrative Agent (who may be accompanied by any Lender)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directors and employees of the Group Members and with their independent certified public accountants;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such inspections shall not be undertaken more frequently than once every 12 months unless an Event of Default has occurred and is continuing, and (ii) nothing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require any Group Member to take any action that would violate a confidentiality agreement (to the extent not created in contemplation of such Group Member’s obligations hereunder) or waive any attorney-client or similar privilege (to the extent not created in contemplation of such Group Member’s obligations hereunder) of such Group Member.</w:t>
      </w:r>
    </w:p>
    <w:p>
      <w:pPr>
        <w:spacing w:after="0" w:line="1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6.8</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8"/>
          <w:szCs w:val="18"/>
          <w:color w:val="auto"/>
        </w:rPr>
        <w:t>. Give prompt written notice to the Administrative Agent of:</w:t>
      </w:r>
    </w:p>
    <w:p>
      <w:pPr>
        <w:spacing w:after="0" w:line="168" w:lineRule="exact"/>
        <w:rPr>
          <w:sz w:val="20"/>
          <w:szCs w:val="20"/>
          <w:color w:val="auto"/>
        </w:rPr>
      </w:pPr>
    </w:p>
    <w:p>
      <w:pPr>
        <w:ind w:left="1720" w:hanging="416"/>
        <w:spacing w:after="0"/>
        <w:tabs>
          <w:tab w:leader="none" w:pos="172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161" w:lineRule="exact"/>
        <w:rPr>
          <w:rFonts w:ascii="Arial" w:cs="Arial" w:eastAsia="Arial" w:hAnsi="Arial"/>
          <w:sz w:val="20"/>
          <w:szCs w:val="20"/>
          <w:color w:val="auto"/>
        </w:rPr>
      </w:pPr>
    </w:p>
    <w:p>
      <w:pPr>
        <w:jc w:val="both"/>
        <w:ind w:firstLine="1304"/>
        <w:spacing w:after="0" w:line="269" w:lineRule="auto"/>
        <w:tabs>
          <w:tab w:leader="none" w:pos="192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15" w:lineRule="exact"/>
        <w:rPr>
          <w:rFonts w:ascii="Arial" w:cs="Arial" w:eastAsia="Arial" w:hAnsi="Arial"/>
          <w:sz w:val="19"/>
          <w:szCs w:val="19"/>
          <w:color w:val="auto"/>
        </w:rPr>
      </w:pPr>
    </w:p>
    <w:p>
      <w:pPr>
        <w:jc w:val="both"/>
        <w:ind w:firstLine="1304"/>
        <w:spacing w:after="0" w:line="269" w:lineRule="auto"/>
        <w:tabs>
          <w:tab w:leader="none" w:pos="171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any litigation or proceeding affecting any Group Member (i) in which the amount involved is $500,000 or more and not covered by insurance, (ii) in which injunctive or similar relief is sought against any Group Member which, if not cured or if adversely determined, could reasonably be expected to have a Material Adverse Effect, or (iii) which relates to any Loan Document;</w:t>
      </w:r>
    </w:p>
    <w:p>
      <w:pPr>
        <w:spacing w:after="0" w:line="115" w:lineRule="exact"/>
        <w:rPr>
          <w:rFonts w:ascii="Arial" w:cs="Arial" w:eastAsia="Arial" w:hAnsi="Arial"/>
          <w:sz w:val="19"/>
          <w:szCs w:val="19"/>
          <w:color w:val="auto"/>
        </w:rPr>
      </w:pPr>
    </w:p>
    <w:p>
      <w:pPr>
        <w:jc w:val="both"/>
        <w:ind w:firstLine="1304"/>
        <w:spacing w:after="0" w:line="256" w:lineRule="auto"/>
        <w:tabs>
          <w:tab w:leader="none" w:pos="178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 promptly after the Borrower has knowledge or becomes aware of the occurrence of any of the following ERISA Events affecting the Borrower or any ERISA Affiliate (but in no event more than 10 days after such event (or such longer period as the Administrative Agent may agree in its reasonable discretion),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(A) an ERISA Event, (B) the adoption of any new Pension Plan by the Borrower or any ERISA Affiliate, (C) the adoption of any amendment to a Pension Plan, if such amendment will result in a material increase in contribution obligations or unfunded benefit liabilities (as defined in Section 4001(a)(18) of ERISA), or (D) the commencement of contributions by the Borrower or any ERISA Affiliate to any Plan that is subject to Title IV of ERISA or Section 412 of the Code;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771" w:right="339" w:bottom="1440" w:gutter="0" w:footer="0" w:header="0"/>
        </w:sectPr>
      </w:pPr>
    </w:p>
    <w:bookmarkStart w:id="200" w:name="page201"/>
    <w:bookmarkEnd w:id="200"/>
    <w:p>
      <w:pPr>
        <w:jc w:val="both"/>
        <w:ind w:firstLine="1952"/>
        <w:spacing w:after="0" w:line="278" w:lineRule="auto"/>
        <w:tabs>
          <w:tab w:leader="none" w:pos="2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 promptly after request from the Administrative Agent, copies of each Schedule B (Actuarial Information) to the annual report (Form 5500 Series) filed by the Borrower or any of its ERISA Affiliates with the IRS with respect to each Pension Plan and such other documents or governmental reports or filings relating to any Pension Plan or Multiemployer Plan as the Administrative Agent shall reasonably request, and (B) promptly after the giving, sending or filing thereof, or the receipt thereof, copies of all notices received by the Borrower or any of its ERISA Affiliates from a Multiemployer Plan sponsor concerning an ERISA Event;</w:t>
      </w:r>
    </w:p>
    <w:p>
      <w:pPr>
        <w:spacing w:after="0" w:line="110" w:lineRule="exact"/>
        <w:rPr>
          <w:rFonts w:ascii="Arial" w:cs="Arial" w:eastAsia="Arial" w:hAnsi="Arial"/>
          <w:sz w:val="18"/>
          <w:szCs w:val="18"/>
          <w:color w:val="auto"/>
        </w:rPr>
      </w:pPr>
    </w:p>
    <w:p>
      <w:pPr>
        <w:ind w:left="1720" w:hanging="416"/>
        <w:spacing w:after="0"/>
        <w:tabs>
          <w:tab w:leader="none" w:pos="17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any material change in the information provided in the most recently delivered Beneficial Ownership Certification;</w:t>
      </w:r>
    </w:p>
    <w:p>
      <w:pPr>
        <w:spacing w:after="0" w:line="173" w:lineRule="exact"/>
        <w:rPr>
          <w:rFonts w:ascii="Arial" w:cs="Arial" w:eastAsia="Arial" w:hAnsi="Arial"/>
          <w:sz w:val="19"/>
          <w:szCs w:val="19"/>
          <w:color w:val="auto"/>
        </w:rPr>
      </w:pPr>
    </w:p>
    <w:p>
      <w:pPr>
        <w:ind w:left="1700" w:hanging="396"/>
        <w:spacing w:after="0"/>
        <w:tabs>
          <w:tab w:leader="none" w:pos="17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any material change in it accounting policies or financial reporting practices by any Loan Party;</w:t>
      </w:r>
    </w:p>
    <w:p>
      <w:pPr>
        <w:spacing w:after="0" w:line="161" w:lineRule="exact"/>
        <w:rPr>
          <w:rFonts w:ascii="Arial" w:cs="Arial" w:eastAsia="Arial" w:hAnsi="Arial"/>
          <w:sz w:val="20"/>
          <w:szCs w:val="20"/>
          <w:color w:val="auto"/>
        </w:rPr>
      </w:pPr>
    </w:p>
    <w:p>
      <w:pPr>
        <w:jc w:val="both"/>
        <w:ind w:firstLine="1304"/>
        <w:spacing w:after="0" w:line="244" w:lineRule="auto"/>
        <w:tabs>
          <w:tab w:leader="none" w:pos="173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any deferral of payment of any contested taxes in excess of $100,000, and the Borrower shall (i) within thirty (30) days (or such longer period as the Administrative Agent may agree in its reasonable discretion) notify the Administrative Agent in writing of the commencement of, and any material development in, the proceedings with respect to such contested taxes, and (ii) post bonds or take any other steps required to prevent the governmental authority levying such contested taxes from obtaining a Lien upon any of the Collateral that is not a Lien permitted pursuant to </w:t>
      </w:r>
      <w:r>
        <w:rPr>
          <w:rFonts w:ascii="Arial" w:cs="Arial" w:eastAsia="Arial" w:hAnsi="Arial"/>
          <w:sz w:val="20"/>
          <w:szCs w:val="20"/>
          <w:u w:val="single" w:color="auto"/>
          <w:color w:val="auto"/>
        </w:rPr>
        <w:t>Section 7.3</w:t>
      </w:r>
      <w:r>
        <w:rPr>
          <w:rFonts w:ascii="Arial" w:cs="Arial" w:eastAsia="Arial" w:hAnsi="Arial"/>
          <w:sz w:val="20"/>
          <w:szCs w:val="20"/>
          <w:color w:val="auto"/>
        </w:rPr>
        <w:t>; and</w:t>
      </w:r>
    </w:p>
    <w:p>
      <w:pPr>
        <w:spacing w:after="0" w:line="140" w:lineRule="exact"/>
        <w:rPr>
          <w:rFonts w:ascii="Arial" w:cs="Arial" w:eastAsia="Arial" w:hAnsi="Arial"/>
          <w:sz w:val="20"/>
          <w:szCs w:val="20"/>
          <w:color w:val="auto"/>
        </w:rPr>
      </w:pPr>
    </w:p>
    <w:p>
      <w:pPr>
        <w:ind w:left="1740" w:hanging="436"/>
        <w:spacing w:after="0"/>
        <w:tabs>
          <w:tab w:leader="none" w:pos="174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any development or event that has had or could reasonably be expected to have a Material Adverse Effect.</w:t>
      </w:r>
    </w:p>
    <w:p>
      <w:pPr>
        <w:spacing w:after="0" w:line="16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be accompanied by a statement of a Responsible Officer of the Borrower setting forth details of the occurrence referred to therein and stating what action the relevant Group Member proposes to take with respect thereto.</w:t>
      </w:r>
    </w:p>
    <w:p>
      <w:pPr>
        <w:spacing w:after="0" w:line="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6.9</w:t>
      </w:r>
      <w:r>
        <w:rPr>
          <w:sz w:val="20"/>
          <w:szCs w:val="20"/>
          <w:color w:val="auto"/>
        </w:rPr>
        <w:tab/>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46" w:lineRule="auto"/>
        <w:tabs>
          <w:tab w:leader="none" w:pos="1726" w:val="left"/>
        </w:tabs>
        <w:numPr>
          <w:ilvl w:val="0"/>
          <w:numId w:val="161"/>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comply with, and ensure compliance by all tenants and subtenants, if any, with, all applicable Environmental Laws, and obtain and comply with and maintain, and ensure that all tenants and subtenants obtain and comply with and maintain, any and all licenses, approvals, notifications, registrations or permits required by applicable Environmental Laws.</w:t>
      </w:r>
    </w:p>
    <w:p>
      <w:pPr>
        <w:spacing w:after="0" w:line="137" w:lineRule="exact"/>
        <w:rPr>
          <w:rFonts w:ascii="Arial" w:cs="Arial" w:eastAsia="Arial" w:hAnsi="Arial"/>
          <w:sz w:val="20"/>
          <w:szCs w:val="20"/>
          <w:color w:val="auto"/>
        </w:rPr>
      </w:pPr>
    </w:p>
    <w:p>
      <w:pPr>
        <w:jc w:val="both"/>
        <w:ind w:firstLine="1304"/>
        <w:spacing w:after="0" w:line="250" w:lineRule="auto"/>
        <w:tabs>
          <w:tab w:leader="none" w:pos="191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conduct and complete all investigations, studies, sampling and testing, and all remedial, removal and other actions required under Environmental Laws and promptly comply with all lawful orders and directives of all Governmental Authorities regarding Environmental Laws.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771" w:right="339" w:bottom="1440" w:gutter="0" w:footer="0" w:header="0"/>
        </w:sectPr>
      </w:pPr>
    </w:p>
    <w:bookmarkStart w:id="201" w:name="page202"/>
    <w:bookmarkEnd w:id="201"/>
    <w:p>
      <w:pPr>
        <w:jc w:val="both"/>
        <w:ind w:firstLine="648"/>
        <w:spacing w:after="0" w:line="270" w:lineRule="auto"/>
        <w:rPr>
          <w:sz w:val="20"/>
          <w:szCs w:val="20"/>
          <w:color w:val="auto"/>
        </w:rPr>
      </w:pPr>
      <w:r>
        <w:rPr>
          <w:rFonts w:ascii="Arial" w:cs="Arial" w:eastAsia="Arial" w:hAnsi="Arial"/>
          <w:sz w:val="18"/>
          <w:szCs w:val="18"/>
          <w:b w:val="1"/>
          <w:bCs w:val="1"/>
          <w:color w:val="auto"/>
        </w:rPr>
        <w:t>6.10 Operating Accounts</w:t>
      </w:r>
      <w:r>
        <w:rPr>
          <w:rFonts w:ascii="Arial" w:cs="Arial" w:eastAsia="Arial" w:hAnsi="Arial"/>
          <w:sz w:val="18"/>
          <w:szCs w:val="18"/>
          <w:color w:val="auto"/>
        </w:rPr>
        <w:t>. Unless the Borrower and the Administrative Agent otherwise agree, the Borrower shall maintain its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of its Domestic Subsidiaries’ operating and other deposit accounts, and securities/investment accounts with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Borrower shall be permitted to maintain an additional account or accounts at financial institutions other than the Lenders (the “</w:t>
      </w:r>
      <w:r>
        <w:rPr>
          <w:rFonts w:ascii="Arial" w:cs="Arial" w:eastAsia="Arial" w:hAnsi="Arial"/>
          <w:sz w:val="18"/>
          <w:szCs w:val="18"/>
          <w:b w:val="1"/>
          <w:b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w:t>
      </w:r>
      <w:r>
        <w:rPr>
          <w:rFonts w:ascii="Arial" w:cs="Arial" w:eastAsia="Arial" w:hAnsi="Arial"/>
          <w:sz w:val="18"/>
          <w:szCs w:val="18"/>
          <w:color w:val="auto"/>
        </w:rPr>
        <w:t>”), so long as (i) the aggregate principal balance in such Other Accounts does not exceed $10,000,000 at any time; and (ii)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Accounts are subject to a Control Agreement or Control Agreements in favor of the Administrative Agent. The Borrower and any other Loan Party shall (i) except as otherwise permitted pursuant to </w:t>
      </w:r>
      <w:r>
        <w:rPr>
          <w:rFonts w:ascii="Arial" w:cs="Arial" w:eastAsia="Arial" w:hAnsi="Arial"/>
          <w:sz w:val="18"/>
          <w:szCs w:val="18"/>
          <w:u w:val="single" w:color="auto"/>
          <w:color w:val="auto"/>
        </w:rPr>
        <w:t>Section 7.2(g)</w:t>
      </w:r>
      <w:r>
        <w:rPr>
          <w:rFonts w:ascii="Arial" w:cs="Arial" w:eastAsia="Arial" w:hAnsi="Arial"/>
          <w:sz w:val="18"/>
          <w:szCs w:val="18"/>
          <w:color w:val="auto"/>
        </w:rPr>
        <w:t>, obtain any Letters of Credit exclusively from the Lenders; and</w:t>
      </w:r>
    </w:p>
    <w:p>
      <w:pPr>
        <w:spacing w:after="0" w:line="2" w:lineRule="exact"/>
        <w:rPr>
          <w:sz w:val="20"/>
          <w:szCs w:val="20"/>
          <w:color w:val="auto"/>
        </w:rPr>
      </w:pPr>
    </w:p>
    <w:p>
      <w:pPr>
        <w:ind w:right="20" w:firstLine="8"/>
        <w:spacing w:after="0" w:line="244" w:lineRule="auto"/>
        <w:tabs>
          <w:tab w:leader="none" w:pos="315" w:val="left"/>
        </w:tabs>
        <w:numPr>
          <w:ilvl w:val="0"/>
          <w:numId w:val="162"/>
        </w:numPr>
        <w:rPr>
          <w:rFonts w:ascii="Arial" w:cs="Arial" w:eastAsia="Arial" w:hAnsi="Arial"/>
          <w:sz w:val="20"/>
          <w:szCs w:val="20"/>
          <w:color w:val="auto"/>
        </w:rPr>
      </w:pPr>
      <w:r>
        <w:rPr>
          <w:rFonts w:ascii="Arial" w:cs="Arial" w:eastAsia="Arial" w:hAnsi="Arial"/>
          <w:sz w:val="20"/>
          <w:szCs w:val="20"/>
          <w:color w:val="auto"/>
        </w:rPr>
        <w:t>except in jurisdictions where SVB does not offer business credit card services and as otherwise agreed by the Administrative Agent, obtain business credit cards exclusively from SVB.</w:t>
      </w:r>
    </w:p>
    <w:p>
      <w:pPr>
        <w:spacing w:after="0" w:line="13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6.11 Audits</w:t>
      </w:r>
      <w:r>
        <w:rPr>
          <w:rFonts w:ascii="Arial" w:cs="Arial" w:eastAsia="Arial" w:hAnsi="Arial"/>
          <w:sz w:val="19"/>
          <w:szCs w:val="19"/>
          <w:color w:val="auto"/>
        </w:rPr>
        <w:t>. At reasonable times, on 5 Business Day’s’ notice (</w:t>
      </w:r>
      <w:r>
        <w:rPr>
          <w:rFonts w:ascii="Arial" w:cs="Arial" w:eastAsia="Arial" w:hAnsi="Arial"/>
          <w:sz w:val="19"/>
          <w:szCs w:val="19"/>
          <w:u w:val="single" w:color="auto"/>
          <w:color w:val="auto"/>
        </w:rPr>
        <w:t>provided that</w:t>
      </w:r>
      <w:r>
        <w:rPr>
          <w:rFonts w:ascii="Arial" w:cs="Arial" w:eastAsia="Arial" w:hAnsi="Arial"/>
          <w:sz w:val="19"/>
          <w:szCs w:val="19"/>
          <w:b w:val="1"/>
          <w:bCs w:val="1"/>
          <w:color w:val="auto"/>
        </w:rPr>
        <w:t xml:space="preserve"> </w:t>
      </w:r>
      <w:r>
        <w:rPr>
          <w:rFonts w:ascii="Arial" w:cs="Arial" w:eastAsia="Arial" w:hAnsi="Arial"/>
          <w:sz w:val="19"/>
          <w:szCs w:val="19"/>
          <w:color w:val="auto"/>
        </w:rPr>
        <w:t>no notice is required if an Event of Default has</w:t>
      </w:r>
      <w:r>
        <w:rPr>
          <w:rFonts w:ascii="Arial" w:cs="Arial" w:eastAsia="Arial" w:hAnsi="Arial"/>
          <w:sz w:val="19"/>
          <w:szCs w:val="19"/>
          <w:b w:val="1"/>
          <w:bCs w:val="1"/>
          <w:color w:val="auto"/>
        </w:rPr>
        <w:t xml:space="preserve"> </w:t>
      </w:r>
      <w:r>
        <w:rPr>
          <w:rFonts w:ascii="Arial" w:cs="Arial" w:eastAsia="Arial" w:hAnsi="Arial"/>
          <w:sz w:val="19"/>
          <w:szCs w:val="19"/>
          <w:color w:val="auto"/>
        </w:rPr>
        <w:t>occurred and is continuing), the Administrative Agent, or its agents or independent contractors, shall have the right to inspect the Collateral and the right to audit and copy any and all of any Loan Party’s books and records including ledgers, federal and state tax returns, records regarding assets or liabilities, the Collateral, business operations or financial condition, and all computer programs or storage or any equipment containing such information. The foregoing inspections and audits shall be at the Borrower’s expense, and the charge therefor shall be $1,000 per person per day (or such higher amount as shall represent the Administrative Agent’s then-current standard charge for the same), plus reasonable out-of-pocket expenses. Such inspections and audits shall not be undertaken more frequently than once every 12 months, unless an Event of Default has occurred and is continuing.</w:t>
      </w:r>
    </w:p>
    <w:p>
      <w:pPr>
        <w:spacing w:after="0" w:line="11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18"/>
          <w:szCs w:val="18"/>
          <w:b w:val="1"/>
          <w:bCs w:val="1"/>
          <w:color w:val="auto"/>
        </w:rPr>
        <w:t>Additional Collateral, Etc.</w:t>
      </w:r>
    </w:p>
    <w:p>
      <w:pPr>
        <w:spacing w:after="0" w:line="168" w:lineRule="exact"/>
        <w:rPr>
          <w:sz w:val="20"/>
          <w:szCs w:val="20"/>
          <w:color w:val="auto"/>
        </w:rPr>
      </w:pPr>
    </w:p>
    <w:p>
      <w:pPr>
        <w:jc w:val="both"/>
        <w:ind w:firstLine="1304"/>
        <w:spacing w:after="0" w:line="257" w:lineRule="auto"/>
        <w:tabs>
          <w:tab w:leader="none" w:pos="175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With respect to any property (to the extent included in the definition of Collateral) acquired after the Closing Date by any Loan Party (other than (x) any property described in paragraph (b), (c) or (d) below, and (y) any property subject to a Lien expressly permitted by </w:t>
      </w:r>
      <w:r>
        <w:rPr>
          <w:rFonts w:ascii="Arial" w:cs="Arial" w:eastAsia="Arial" w:hAnsi="Arial"/>
          <w:sz w:val="19"/>
          <w:szCs w:val="19"/>
          <w:u w:val="single" w:color="auto"/>
          <w:color w:val="auto"/>
        </w:rPr>
        <w:t>Section 7.3(g)</w:t>
      </w:r>
      <w:r>
        <w:rPr>
          <w:rFonts w:ascii="Arial" w:cs="Arial" w:eastAsia="Arial" w:hAnsi="Arial"/>
          <w:sz w:val="19"/>
          <w:szCs w:val="19"/>
          <w:color w:val="auto"/>
        </w:rPr>
        <w:t xml:space="preserve">) as to which the Administrative Agent, for the benefit of the Secured Parties, does not have a perfected Lien, promptly (and in any event within 10 Business Days or such later date as the Administrative Agent may agree in its sole discretion) take all actions necessary or advisable in the opinion of the Administrative Agent to grant to the Administrative Agent, for the benefit of the Secured Parties, a perfected first priority (except as expressly permitted by </w:t>
      </w:r>
      <w:r>
        <w:rPr>
          <w:rFonts w:ascii="Arial" w:cs="Arial" w:eastAsia="Arial" w:hAnsi="Arial"/>
          <w:sz w:val="19"/>
          <w:szCs w:val="19"/>
          <w:u w:val="single" w:color="auto"/>
          <w:color w:val="auto"/>
        </w:rPr>
        <w:t>Section 7.3</w:t>
      </w:r>
      <w:r>
        <w:rPr>
          <w:rFonts w:ascii="Arial" w:cs="Arial" w:eastAsia="Arial" w:hAnsi="Arial"/>
          <w:sz w:val="19"/>
          <w:szCs w:val="19"/>
          <w:color w:val="auto"/>
        </w:rPr>
        <w:t>) security interest and Lien in such property, including the filing of Uniform Commercial Code financing statements in such jurisdictions as may be required by the Guarantee and Collateral Agreement or by law or as may be requested by the Administrative Agent.</w:t>
      </w:r>
    </w:p>
    <w:p>
      <w:pPr>
        <w:spacing w:after="0" w:line="126" w:lineRule="exact"/>
        <w:rPr>
          <w:rFonts w:ascii="Arial" w:cs="Arial" w:eastAsia="Arial" w:hAnsi="Arial"/>
          <w:sz w:val="19"/>
          <w:szCs w:val="19"/>
          <w:color w:val="auto"/>
        </w:rPr>
      </w:pPr>
    </w:p>
    <w:p>
      <w:pPr>
        <w:jc w:val="both"/>
        <w:ind w:firstLine="1304"/>
        <w:spacing w:after="0" w:line="269" w:lineRule="auto"/>
        <w:tabs>
          <w:tab w:leader="none" w:pos="17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With respect to any fee interest in any real property having a fair market value (together with improvements thereof) of at least $1,000,000 (or such other amount as approved in writing by the Administrative Agent in its sole discretion) acquired after the Closing Date by any Loan Party (other than any such real property subject to a Lien expressly permitted by </w:t>
      </w:r>
      <w:r>
        <w:rPr>
          <w:rFonts w:ascii="Arial" w:cs="Arial" w:eastAsia="Arial" w:hAnsi="Arial"/>
          <w:sz w:val="18"/>
          <w:szCs w:val="18"/>
          <w:u w:val="single" w:color="auto"/>
          <w:color w:val="auto"/>
        </w:rPr>
        <w:t>Section 7.3(g)</w:t>
      </w:r>
      <w:r>
        <w:rPr>
          <w:rFonts w:ascii="Arial" w:cs="Arial" w:eastAsia="Arial" w:hAnsi="Arial"/>
          <w:sz w:val="18"/>
          <w:szCs w:val="18"/>
          <w:color w:val="auto"/>
        </w:rPr>
        <w:t xml:space="preserve">), promptly (and in any event within 60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 In connection with the foregoing, no later than 5 Business Days prior to the date on which a Mortgage is executed and delivered pursuant to this </w:t>
      </w:r>
      <w:r>
        <w:rPr>
          <w:rFonts w:ascii="Arial" w:cs="Arial" w:eastAsia="Arial" w:hAnsi="Arial"/>
          <w:sz w:val="18"/>
          <w:szCs w:val="18"/>
          <w:u w:val="single" w:color="auto"/>
          <w:color w:val="auto"/>
        </w:rPr>
        <w:t>Section 6.12</w:t>
      </w:r>
      <w:r>
        <w:rPr>
          <w:rFonts w:ascii="Arial" w:cs="Arial" w:eastAsia="Arial" w:hAnsi="Arial"/>
          <w:sz w:val="18"/>
          <w:szCs w:val="18"/>
          <w:color w:val="auto"/>
        </w:rPr>
        <w:t>, in order to comply with the Flood Laws, the Administrative Agent (for delivery to each Lender) shall have received the following documents (collectively, the “</w:t>
      </w:r>
      <w:r>
        <w:rPr>
          <w:rFonts w:ascii="Arial" w:cs="Arial" w:eastAsia="Arial" w:hAnsi="Arial"/>
          <w:sz w:val="18"/>
          <w:szCs w:val="18"/>
          <w:b w:val="1"/>
          <w:bCs w:val="1"/>
          <w:i w:val="1"/>
          <w:iCs w:val="1"/>
          <w:color w:val="auto"/>
        </w:rPr>
        <w:t>Flood Documents</w:t>
      </w:r>
      <w:r>
        <w:rPr>
          <w:rFonts w:ascii="Arial" w:cs="Arial" w:eastAsia="Arial" w:hAnsi="Arial"/>
          <w:sz w:val="18"/>
          <w:szCs w:val="18"/>
          <w:color w:val="auto"/>
        </w:rPr>
        <w:t>”): (A) a completed standard “life of loan” flood hazard determination form (a “</w:t>
      </w:r>
      <w:r>
        <w:rPr>
          <w:rFonts w:ascii="Arial" w:cs="Arial" w:eastAsia="Arial" w:hAnsi="Arial"/>
          <w:sz w:val="18"/>
          <w:szCs w:val="18"/>
          <w:b w:val="1"/>
          <w:bCs w:val="1"/>
          <w:i w:val="1"/>
          <w:iCs w:val="1"/>
          <w:color w:val="auto"/>
        </w:rPr>
        <w:t>Flood Determination Form</w:t>
      </w:r>
      <w:r>
        <w:rPr>
          <w:rFonts w:ascii="Arial" w:cs="Arial" w:eastAsia="Arial" w:hAnsi="Arial"/>
          <w:sz w:val="18"/>
          <w:szCs w:val="18"/>
          <w:color w:val="auto"/>
        </w:rPr>
        <w:t>”) and such other documents as any Lender may reasonably request to complete its flood due diligence, (B) if the improvement(s) to the applicable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765" w:right="339" w:bottom="1440" w:gutter="0" w:footer="0" w:header="0"/>
        </w:sectPr>
      </w:pPr>
    </w:p>
    <w:bookmarkStart w:id="202" w:name="page203"/>
    <w:bookmarkEnd w:id="202"/>
    <w:p>
      <w:pPr>
        <w:jc w:val="both"/>
        <w:spacing w:after="0" w:line="269" w:lineRule="auto"/>
        <w:rPr>
          <w:sz w:val="20"/>
          <w:szCs w:val="20"/>
          <w:color w:val="auto"/>
        </w:rPr>
      </w:pPr>
      <w:r>
        <w:rPr>
          <w:rFonts w:ascii="Arial" w:cs="Arial" w:eastAsia="Arial" w:hAnsi="Arial"/>
          <w:sz w:val="18"/>
          <w:szCs w:val="18"/>
          <w:color w:val="auto"/>
        </w:rPr>
        <w:t>improved real property is located in a special flood hazard area, a notification to the applicable Loan Party (if applicable) (“</w:t>
      </w:r>
      <w:r>
        <w:rPr>
          <w:rFonts w:ascii="Arial" w:cs="Arial" w:eastAsia="Arial" w:hAnsi="Arial"/>
          <w:sz w:val="18"/>
          <w:szCs w:val="18"/>
          <w:b w:val="1"/>
          <w:bCs w:val="1"/>
          <w:i w:val="1"/>
          <w:iCs w:val="1"/>
          <w:color w:val="auto"/>
        </w:rPr>
        <w:t>Loan Party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flood insurance coverage under the National Flood Insurance Program (“</w:t>
      </w:r>
      <w:r>
        <w:rPr>
          <w:rFonts w:ascii="Arial" w:cs="Arial" w:eastAsia="Arial" w:hAnsi="Arial"/>
          <w:sz w:val="18"/>
          <w:szCs w:val="18"/>
          <w:b w:val="1"/>
          <w:bCs w:val="1"/>
          <w:i w:val="1"/>
          <w:iCs w:val="1"/>
          <w:color w:val="auto"/>
        </w:rPr>
        <w:t>NFIP</w:t>
      </w:r>
      <w:r>
        <w:rPr>
          <w:rFonts w:ascii="Arial" w:cs="Arial" w:eastAsia="Arial" w:hAnsi="Arial"/>
          <w:sz w:val="18"/>
          <w:szCs w:val="18"/>
          <w:color w:val="auto"/>
        </w:rPr>
        <w:t>”) is not available because the community does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Arial" w:cs="Arial" w:eastAsia="Arial" w:hAnsi="Arial"/>
          <w:sz w:val="18"/>
          <w:szCs w:val="18"/>
          <w:b w:val="1"/>
          <w:bCs w:val="1"/>
          <w:i w:val="1"/>
          <w:iCs w:val="1"/>
          <w:color w:val="auto"/>
        </w:rPr>
        <w:t>Evidence of Flood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Notwithstanding anything contained herein to the contrary, no Mortgage will be executed and delivered until each Lender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confirmed to the Administrative Agent that such Lender has satisfactorily completed its flood insurance due diligence and compliance requirements. Each of the parties hereto acknowledges and agrees that, if there are any Mortgaged Properties, any increase, extension or renewal of any of the Revolving Commitments (including the provision of any Increase or any other incremental credit facilities hereunder, but excluding (i) any continuation or conversion of borrowings, (ii) the making of any Revolving Loans or (iii) the issuance, renewal or extension of Letters of Credit) shall be subject to (and conditioned upon): (A) the prior delivery of all applicable Flood Documents with respect to such Mortgaged Properties as required by the Flood Laws and as otherwise reasonably required by the Lenders and (B) the Administrative Agent having received written confirmation from each Lenders.</w:t>
      </w:r>
    </w:p>
    <w:p>
      <w:pPr>
        <w:spacing w:after="0" w:line="120" w:lineRule="exact"/>
        <w:rPr>
          <w:sz w:val="20"/>
          <w:szCs w:val="20"/>
          <w:color w:val="auto"/>
        </w:rPr>
      </w:pPr>
    </w:p>
    <w:p>
      <w:pPr>
        <w:jc w:val="both"/>
        <w:ind w:firstLine="1304"/>
        <w:spacing w:after="0" w:line="268" w:lineRule="auto"/>
        <w:tabs>
          <w:tab w:leader="none" w:pos="173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With respect to any Subsidiary (other than an Immaterial Subsidiary) created or acquired after the Closing Date by any Loan Party (including pursuant to a Permitted Acquisition), or any new Subsidiary formed by Division or if an Immaterial Subsidiary ceases to qualify as an Immaterial Subsidiary, except to the extent compliance with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is prohibited by existing Contractual Obligations (so long as such prohibition is not incurred in contemplation of such acquisition or the obligations hereunder) or Requirements of Law binding on such Subsidiary or its properties, or could reasonably be expected to result in material adverse tax consequences to NerdWallet or any of its Subsidiaries (as reasonably determined in good faith by NerdWallet), within 60 days (or such longer period as may be agreed to by the Administrative Agent, in its reasonable discretion) (i) execute and deliver to the Administrative Agent such amendments to the Guarantee and Collateral Agreement as the Administrative Agent reasonably deems necessary or advisable to grant to the Administrative Agent, for the benefit of the Secured Parties, a perfected first priority security interest in the Capital Stock of such Subsidiary that is owned directly by such Loan Party, (ii) deliver to the Administrative Agent such documents and instruments as may be required to grant, perfect, protect and ensure the priority of such security interest, including but not limited to, the certificates representing such Capital Stock (if applicable), together with undated stock powers, in blank, executed and delivered by a duly authorized officer of the relevant Loan Party, (iii) cause such Subsidiary (A) to become a party to the Guarantee and Collateral Agreement,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reasonably requested by the Administrative Agent and (C) to deliver to the Administrative Agent a certificate of such Subsidiary, in a form reasonably satisfactory to the Administrative Agent,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it being agreed that if such new Subsidiary is formed by a Division, the foregoing requirements shall be satisfied concurrently with the formation of such Subsidiary.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240"/>
          </w:cols>
          <w:pgMar w:left="320" w:top="771" w:right="339" w:bottom="1440" w:gutter="0" w:footer="0" w:header="0"/>
        </w:sectPr>
      </w:pPr>
    </w:p>
    <w:bookmarkStart w:id="203" w:name="page204"/>
    <w:bookmarkEnd w:id="203"/>
    <w:p>
      <w:pPr>
        <w:jc w:val="both"/>
        <w:ind w:firstLine="1304"/>
        <w:spacing w:after="0" w:line="255" w:lineRule="auto"/>
        <w:tabs>
          <w:tab w:leader="none" w:pos="181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At the request of the Administrative Agent, each Loan Party shall use commercially reasonable efforts to obtain a landlord’s agreement or bailee letter, as applicable, from the lessor of each leased property or bailee with respect to any warehouse, processor or converter facility or other location where Collateral having a value in excess of $500,000 is stored or located, which agreement or letter shall contain a waiver or subordination of all Liens or claims that the landlord or bailee may assert against the Collateral at that location, and shall otherwise be reasonably satisfactory in form and substance to the Administrative Agent. After the Closing Date, no Collateral having a value in excess of $500,000 shall be stored at any location leased by any Loan Party and no Collateral having a value in excess of $500,000 shall be shipped to a processor or converter under arrangements established after the Closing Date without the prior written consent of the Administrative Agent unless and until the Borrower shall have used commercially reasonable efforts to obtain a reasonably satisfactory landlord agreement or bailee letter, as appropriate, with respect to such location. Each Loan Party shall pay and perform its material obligations under all leases and other agreements with respect to each leased location, warehouse or processing center where any Collateral is or may be located.</w:t>
      </w:r>
    </w:p>
    <w:p>
      <w:pPr>
        <w:spacing w:after="0" w:line="132" w:lineRule="exact"/>
        <w:rPr>
          <w:rFonts w:ascii="Arial" w:cs="Arial" w:eastAsia="Arial" w:hAnsi="Arial"/>
          <w:sz w:val="19"/>
          <w:szCs w:val="19"/>
          <w:color w:val="auto"/>
        </w:rPr>
      </w:pPr>
    </w:p>
    <w:p>
      <w:pPr>
        <w:jc w:val="both"/>
        <w:ind w:firstLine="1304"/>
        <w:spacing w:after="0" w:line="305" w:lineRule="auto"/>
        <w:tabs>
          <w:tab w:leader="none" w:pos="171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Notwithstanding the foregoing, (i) in the case of Foreign Subsidiaries, all guarantees and security shall be subject to any applicable general mandatory statutory limitations, fraudulent preference, equitable subordination, foreign exchange laws or regulations (or analogous restrictions), transfer pricing or “thin capitalization” rules, earnings stripping, exchange control restrictions, applicable maintenance of capital, retention of title claims, employee consultation or approval requirements, corporate benefit, financial assistance, protection of liquidity, and similar laws, rules and regulations and customary guarantee limitation language in the relevant jurisdiction;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relevant Group Member shall use commercially reasonable endeavors to overcome such limitations;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Group Member shall be required to take any action the cost or risk of which such Group Member determines in its reasonable discretion exceeds the benefit of overcoming the applicable limitations; and (ii) Subsidiaries may be excluded from the guarantee requirements in circumstances where (1) the Borrower and the Administrative Agent reasonably agree that the cost or other consequence of providing such a guarantee is excessive in relation to the value afforded thereby or (2) in the case of Foreign Subsidiaries, such requirements would contravene any legal prohibition, could reasonably be expected to result in any violation or breach of, or conflict with, fiduciary duties or result in a risk of personal or criminal liability on the part of any officer, director, member or manager of such Subsidiary;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relevant Loan Party shall use commercially reasonable endeavors to overcome such limitations;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Group Member shall be required to take any action the cost or risk of which such Group Member determines in its reasonable discretion exceeds the benefit of overcoming the applicable limitations. As a result of the limitations in clause (i) above, the Administrative Agent may elect to waive the requirement to cause a Group Member to become a Guarantor hereunder and such Group Member shall not be a Loan Party for any purposes hereof.</w:t>
      </w:r>
    </w:p>
    <w:p>
      <w:pPr>
        <w:spacing w:after="0" w:line="32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6.13</w:t>
      </w:r>
      <w:r>
        <w:rPr>
          <w:sz w:val="20"/>
          <w:szCs w:val="20"/>
          <w:color w:val="auto"/>
        </w:rPr>
        <w:tab/>
      </w:r>
      <w:r>
        <w:rPr>
          <w:rFonts w:ascii="Arial" w:cs="Arial" w:eastAsia="Arial" w:hAnsi="Arial"/>
          <w:sz w:val="16"/>
          <w:szCs w:val="16"/>
          <w:b w:val="1"/>
          <w:bCs w:val="1"/>
          <w:color w:val="auto"/>
        </w:rPr>
        <w:t>Use of Proceeds</w:t>
      </w:r>
      <w:r>
        <w:rPr>
          <w:rFonts w:ascii="Arial" w:cs="Arial" w:eastAsia="Arial" w:hAnsi="Arial"/>
          <w:sz w:val="16"/>
          <w:szCs w:val="16"/>
          <w:color w:val="auto"/>
        </w:rPr>
        <w:t>. Use the proceeds of each credit extension only for the purposes specified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4.16</w:t>
      </w:r>
      <w:r>
        <w:rPr>
          <w:rFonts w:ascii="Arial" w:cs="Arial" w:eastAsia="Arial" w:hAnsi="Arial"/>
          <w:sz w:val="16"/>
          <w:szCs w:val="16"/>
          <w:color w:val="auto"/>
        </w:rPr>
        <w:t>.</w:t>
      </w:r>
    </w:p>
    <w:p>
      <w:pPr>
        <w:spacing w:after="0" w:line="162" w:lineRule="exact"/>
        <w:rPr>
          <w:sz w:val="20"/>
          <w:szCs w:val="20"/>
          <w:color w:val="auto"/>
        </w:rPr>
      </w:pPr>
    </w:p>
    <w:p>
      <w:pPr>
        <w:ind w:right="20" w:firstLine="648"/>
        <w:spacing w:after="0" w:line="293" w:lineRule="auto"/>
        <w:rPr>
          <w:sz w:val="20"/>
          <w:szCs w:val="20"/>
          <w:color w:val="auto"/>
        </w:rPr>
      </w:pPr>
      <w:r>
        <w:rPr>
          <w:rFonts w:ascii="Arial" w:cs="Arial" w:eastAsia="Arial" w:hAnsi="Arial"/>
          <w:sz w:val="19"/>
          <w:szCs w:val="19"/>
          <w:b w:val="1"/>
          <w:bCs w:val="1"/>
          <w:color w:val="auto"/>
        </w:rPr>
        <w:t>6.14 Designated Senior Indebtedness</w:t>
      </w:r>
      <w:r>
        <w:rPr>
          <w:rFonts w:ascii="Arial" w:cs="Arial" w:eastAsia="Arial" w:hAnsi="Arial"/>
          <w:sz w:val="19"/>
          <w:szCs w:val="19"/>
          <w:color w:val="auto"/>
        </w:rPr>
        <w:t>. Cause the Loan Documents and all of the Obligations to be deemed “Designated Senior</w:t>
      </w:r>
      <w:r>
        <w:rPr>
          <w:rFonts w:ascii="Arial" w:cs="Arial" w:eastAsia="Arial" w:hAnsi="Arial"/>
          <w:sz w:val="19"/>
          <w:szCs w:val="19"/>
          <w:b w:val="1"/>
          <w:bCs w:val="1"/>
          <w:color w:val="auto"/>
        </w:rPr>
        <w:t xml:space="preserve"> </w:t>
      </w:r>
      <w:r>
        <w:rPr>
          <w:rFonts w:ascii="Arial" w:cs="Arial" w:eastAsia="Arial" w:hAnsi="Arial"/>
          <w:sz w:val="19"/>
          <w:szCs w:val="19"/>
          <w:color w:val="auto"/>
        </w:rPr>
        <w:t>Indebtedness” or a similar concept thereto, if applicable, for purposes of any Indebtedness of the Loan Parties.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240"/>
          </w:cols>
          <w:pgMar w:left="320" w:top="771" w:right="339" w:bottom="1440" w:gutter="0" w:footer="0" w:header="0"/>
        </w:sectPr>
      </w:pPr>
    </w:p>
    <w:bookmarkStart w:id="204" w:name="page205"/>
    <w:bookmarkEnd w:id="204"/>
    <w:p>
      <w:pPr>
        <w:jc w:val="both"/>
        <w:ind w:firstLine="648"/>
        <w:spacing w:after="0" w:line="267" w:lineRule="auto"/>
        <w:rPr>
          <w:sz w:val="20"/>
          <w:szCs w:val="20"/>
          <w:color w:val="auto"/>
        </w:rPr>
      </w:pPr>
      <w:r>
        <w:rPr>
          <w:rFonts w:ascii="Arial" w:cs="Arial" w:eastAsia="Arial" w:hAnsi="Arial"/>
          <w:sz w:val="20"/>
          <w:szCs w:val="20"/>
          <w:b w:val="1"/>
          <w:bCs w:val="1"/>
          <w:color w:val="auto"/>
        </w:rPr>
        <w:t>6.15 Anti-Corruption Laws</w:t>
      </w:r>
      <w:r>
        <w:rPr>
          <w:rFonts w:ascii="Arial" w:cs="Arial" w:eastAsia="Arial" w:hAnsi="Arial"/>
          <w:sz w:val="20"/>
          <w:szCs w:val="20"/>
          <w:color w:val="auto"/>
        </w:rPr>
        <w:t>. Conduct its business in compliance in all material respects with all applicable anti-corruption laws</w:t>
      </w:r>
      <w:r>
        <w:rPr>
          <w:rFonts w:ascii="Arial" w:cs="Arial" w:eastAsia="Arial" w:hAnsi="Arial"/>
          <w:sz w:val="20"/>
          <w:szCs w:val="20"/>
          <w:b w:val="1"/>
          <w:bCs w:val="1"/>
          <w:color w:val="auto"/>
        </w:rPr>
        <w:t xml:space="preserve"> </w:t>
      </w:r>
      <w:r>
        <w:rPr>
          <w:rFonts w:ascii="Arial" w:cs="Arial" w:eastAsia="Arial" w:hAnsi="Arial"/>
          <w:sz w:val="20"/>
          <w:szCs w:val="20"/>
          <w:color w:val="auto"/>
        </w:rPr>
        <w:t>and maintain policies and procedures designed to promote and achieve compliance with such laws.</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6.16 Further Assurances</w:t>
      </w:r>
      <w:r>
        <w:rPr>
          <w:rFonts w:ascii="Arial" w:cs="Arial" w:eastAsia="Arial" w:hAnsi="Arial"/>
          <w:sz w:val="20"/>
          <w:szCs w:val="20"/>
          <w:color w:val="auto"/>
        </w:rPr>
        <w:t>. Execute any further instruments and take such further action as the Administrative Agent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deems necessary to perfect, protect, ensure the priority of or continue the Administrative Agent’s Lien on the Collateral or to effect the purposes of this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14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Borrower hereby agrees that, at all times prior to the Discharge of Obligations, no Loan Party shall, nor shall any Loan Party permit any of its respective Subsidiaries to, directly or indirectly:</w:t>
      </w:r>
    </w:p>
    <w:p>
      <w:pPr>
        <w:spacing w:after="0" w:line="1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Financial Condition Covenants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8" w:lineRule="auto"/>
        <w:tabs>
          <w:tab w:leader="none" w:pos="1713"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Adjusted Quick Ratio</w:t>
      </w:r>
      <w:r>
        <w:rPr>
          <w:rFonts w:ascii="Arial" w:cs="Arial" w:eastAsia="Arial" w:hAnsi="Arial"/>
          <w:sz w:val="18"/>
          <w:szCs w:val="18"/>
          <w:color w:val="auto"/>
        </w:rPr>
        <w:t xml:space="preserve">. Permit the Adjusted Quick Ratio, tested as of the last day of each calendar month to be less than 1.25:1.00;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foregoing financial covenant shall be tested quarterly as of the last day of each calendar quarter (i) from and after a Qualified IPO of NerdWallet’s common stock, and (ii) prior to a Qualified IPO of NerdWallet’s common stock, if there are no Revolving Extensions of Credit outstanding (other than undrawn Letters of Credit outstanding prior to the First Amendment Effective Date) at all times from the last day of any applicable month until financial statements for such month have been delivered as required hereunder.</w:t>
      </w:r>
    </w:p>
    <w:p>
      <w:pPr>
        <w:spacing w:after="0" w:line="110" w:lineRule="exact"/>
        <w:rPr>
          <w:rFonts w:ascii="Arial" w:cs="Arial" w:eastAsia="Arial" w:hAnsi="Arial"/>
          <w:sz w:val="18"/>
          <w:szCs w:val="18"/>
          <w:color w:val="auto"/>
        </w:rPr>
      </w:pPr>
    </w:p>
    <w:p>
      <w:pPr>
        <w:jc w:val="both"/>
        <w:ind w:firstLine="1304"/>
        <w:spacing w:after="0" w:line="250" w:lineRule="auto"/>
        <w:tabs>
          <w:tab w:leader="none" w:pos="1738"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Consolidated Adjusted EBITDA</w:t>
      </w:r>
      <w:r>
        <w:rPr>
          <w:rFonts w:ascii="Arial" w:cs="Arial" w:eastAsia="Arial" w:hAnsi="Arial"/>
          <w:sz w:val="20"/>
          <w:szCs w:val="20"/>
          <w:color w:val="auto"/>
        </w:rPr>
        <w:t>. During a Covenant Testing Period, permit the Consolidated Adjusted EBITDA of the Borrower and its consolidated Subsidiaries, as of the last day of any fiscal quarter of the Borrower, on a trailing twelve month basis, to be less than the following:</w:t>
      </w:r>
    </w:p>
    <w:p>
      <w:pPr>
        <w:spacing w:after="0" w:line="179"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4540" w:type="dxa"/>
            <w:vAlign w:val="bottom"/>
          </w:tcPr>
          <w:p>
            <w:pPr>
              <w:ind w:left="1000"/>
              <w:spacing w:after="0"/>
              <w:rPr>
                <w:sz w:val="20"/>
                <w:szCs w:val="20"/>
                <w:color w:val="auto"/>
              </w:rPr>
            </w:pPr>
            <w:r>
              <w:rPr>
                <w:rFonts w:ascii="Arial" w:cs="Arial" w:eastAsia="Arial" w:hAnsi="Arial"/>
                <w:sz w:val="20"/>
                <w:szCs w:val="20"/>
                <w:b w:val="1"/>
                <w:bCs w:val="1"/>
                <w:color w:val="auto"/>
              </w:rPr>
              <w:t>Quarterly Period Ending</w:t>
            </w:r>
          </w:p>
        </w:tc>
        <w:tc>
          <w:tcPr>
            <w:tcW w:w="2940" w:type="dxa"/>
            <w:vAlign w:val="bottom"/>
          </w:tcPr>
          <w:p>
            <w:pPr>
              <w:jc w:val="right"/>
              <w:ind w:right="341"/>
              <w:spacing w:after="0"/>
              <w:rPr>
                <w:sz w:val="20"/>
                <w:szCs w:val="20"/>
                <w:color w:val="auto"/>
              </w:rPr>
            </w:pPr>
            <w:r>
              <w:rPr>
                <w:rFonts w:ascii="Arial" w:cs="Arial" w:eastAsia="Arial" w:hAnsi="Arial"/>
                <w:sz w:val="20"/>
                <w:szCs w:val="20"/>
                <w:b w:val="1"/>
                <w:bCs w:val="1"/>
                <w:color w:val="auto"/>
              </w:rPr>
              <w:t>Adjusted EBITDA</w:t>
            </w:r>
          </w:p>
        </w:tc>
      </w:tr>
      <w:tr>
        <w:trPr>
          <w:trHeight w:val="256"/>
        </w:trPr>
        <w:tc>
          <w:tcPr>
            <w:tcW w:w="4540" w:type="dxa"/>
            <w:vAlign w:val="bottom"/>
          </w:tcPr>
          <w:p>
            <w:pPr>
              <w:spacing w:after="0"/>
              <w:rPr>
                <w:sz w:val="22"/>
                <w:szCs w:val="22"/>
                <w:color w:val="auto"/>
              </w:rPr>
            </w:pPr>
          </w:p>
        </w:tc>
        <w:tc>
          <w:tcPr>
            <w:tcW w:w="2940" w:type="dxa"/>
            <w:vAlign w:val="bottom"/>
          </w:tcPr>
          <w:p>
            <w:pPr>
              <w:jc w:val="right"/>
              <w:spacing w:after="0"/>
              <w:rPr>
                <w:sz w:val="20"/>
                <w:szCs w:val="20"/>
                <w:color w:val="auto"/>
              </w:rPr>
            </w:pPr>
            <w:r>
              <w:rPr>
                <w:rFonts w:ascii="Arial" w:cs="Arial" w:eastAsia="Arial" w:hAnsi="Arial"/>
                <w:sz w:val="20"/>
                <w:szCs w:val="20"/>
                <w:b w:val="1"/>
                <w:bCs w:val="1"/>
                <w:color w:val="auto"/>
              </w:rPr>
              <w:t>(negative Adjusted EBITDA)</w:t>
            </w:r>
          </w:p>
        </w:tc>
      </w:tr>
      <w:tr>
        <w:trPr>
          <w:trHeight w:val="432"/>
        </w:trPr>
        <w:tc>
          <w:tcPr>
            <w:tcW w:w="4540" w:type="dxa"/>
            <w:vAlign w:val="bottom"/>
          </w:tcPr>
          <w:p>
            <w:pPr>
              <w:spacing w:after="0"/>
              <w:rPr>
                <w:sz w:val="20"/>
                <w:szCs w:val="20"/>
                <w:color w:val="auto"/>
              </w:rPr>
            </w:pPr>
            <w:r>
              <w:rPr>
                <w:rFonts w:ascii="Arial" w:cs="Arial" w:eastAsia="Arial" w:hAnsi="Arial"/>
                <w:sz w:val="20"/>
                <w:szCs w:val="20"/>
                <w:color w:val="auto"/>
              </w:rPr>
              <w:t>September 30, 2020</w:t>
            </w:r>
          </w:p>
        </w:tc>
        <w:tc>
          <w:tcPr>
            <w:tcW w:w="2940" w:type="dxa"/>
            <w:vAlign w:val="bottom"/>
          </w:tcPr>
          <w:p>
            <w:pPr>
              <w:jc w:val="right"/>
              <w:ind w:right="81"/>
              <w:spacing w:after="0"/>
              <w:rPr>
                <w:sz w:val="20"/>
                <w:szCs w:val="20"/>
                <w:color w:val="auto"/>
              </w:rPr>
            </w:pPr>
            <w:r>
              <w:rPr>
                <w:rFonts w:ascii="Arial" w:cs="Arial" w:eastAsia="Arial" w:hAnsi="Arial"/>
                <w:sz w:val="20"/>
                <w:szCs w:val="20"/>
                <w:color w:val="auto"/>
              </w:rPr>
              <w:t>$0.00</w:t>
            </w:r>
          </w:p>
        </w:tc>
      </w:tr>
      <w:tr>
        <w:trPr>
          <w:trHeight w:val="432"/>
        </w:trPr>
        <w:tc>
          <w:tcPr>
            <w:tcW w:w="4540" w:type="dxa"/>
            <w:vAlign w:val="bottom"/>
          </w:tcPr>
          <w:p>
            <w:pPr>
              <w:spacing w:after="0"/>
              <w:rPr>
                <w:sz w:val="20"/>
                <w:szCs w:val="20"/>
                <w:color w:val="auto"/>
              </w:rPr>
            </w:pPr>
            <w:r>
              <w:rPr>
                <w:rFonts w:ascii="Arial" w:cs="Arial" w:eastAsia="Arial" w:hAnsi="Arial"/>
                <w:sz w:val="20"/>
                <w:szCs w:val="20"/>
                <w:color w:val="auto"/>
              </w:rPr>
              <w:t>December 31, 2020</w:t>
            </w:r>
          </w:p>
        </w:tc>
        <w:tc>
          <w:tcPr>
            <w:tcW w:w="2940" w:type="dxa"/>
            <w:vAlign w:val="bottom"/>
          </w:tcPr>
          <w:p>
            <w:pPr>
              <w:jc w:val="right"/>
              <w:ind w:right="81"/>
              <w:spacing w:after="0"/>
              <w:rPr>
                <w:sz w:val="20"/>
                <w:szCs w:val="20"/>
                <w:color w:val="auto"/>
              </w:rPr>
            </w:pPr>
            <w:r>
              <w:rPr>
                <w:rFonts w:ascii="Arial" w:cs="Arial" w:eastAsia="Arial" w:hAnsi="Arial"/>
                <w:sz w:val="20"/>
                <w:szCs w:val="20"/>
                <w:color w:val="auto"/>
              </w:rPr>
              <w:t>$0.00</w:t>
            </w:r>
          </w:p>
        </w:tc>
      </w:tr>
      <w:tr>
        <w:trPr>
          <w:trHeight w:val="432"/>
        </w:trPr>
        <w:tc>
          <w:tcPr>
            <w:tcW w:w="4540" w:type="dxa"/>
            <w:vAlign w:val="bottom"/>
          </w:tcPr>
          <w:p>
            <w:pPr>
              <w:spacing w:after="0"/>
              <w:rPr>
                <w:sz w:val="20"/>
                <w:szCs w:val="20"/>
                <w:color w:val="auto"/>
              </w:rPr>
            </w:pPr>
            <w:r>
              <w:rPr>
                <w:rFonts w:ascii="Arial" w:cs="Arial" w:eastAsia="Arial" w:hAnsi="Arial"/>
                <w:sz w:val="20"/>
                <w:szCs w:val="20"/>
                <w:color w:val="auto"/>
              </w:rPr>
              <w:t>March 31, 2021</w:t>
            </w:r>
          </w:p>
        </w:tc>
        <w:tc>
          <w:tcPr>
            <w:tcW w:w="2940" w:type="dxa"/>
            <w:vAlign w:val="bottom"/>
          </w:tcPr>
          <w:p>
            <w:pPr>
              <w:jc w:val="right"/>
              <w:ind w:right="81"/>
              <w:spacing w:after="0"/>
              <w:rPr>
                <w:sz w:val="20"/>
                <w:szCs w:val="20"/>
                <w:color w:val="auto"/>
              </w:rPr>
            </w:pPr>
            <w:r>
              <w:rPr>
                <w:rFonts w:ascii="Arial" w:cs="Arial" w:eastAsia="Arial" w:hAnsi="Arial"/>
                <w:sz w:val="20"/>
                <w:szCs w:val="20"/>
                <w:color w:val="auto"/>
              </w:rPr>
              <w:t>($20,000,000)</w:t>
            </w:r>
          </w:p>
        </w:tc>
      </w:tr>
      <w:tr>
        <w:trPr>
          <w:trHeight w:val="432"/>
        </w:trPr>
        <w:tc>
          <w:tcPr>
            <w:tcW w:w="4540" w:type="dxa"/>
            <w:vAlign w:val="bottom"/>
          </w:tcPr>
          <w:p>
            <w:pPr>
              <w:spacing w:after="0"/>
              <w:rPr>
                <w:sz w:val="20"/>
                <w:szCs w:val="20"/>
                <w:color w:val="auto"/>
              </w:rPr>
            </w:pPr>
            <w:r>
              <w:rPr>
                <w:rFonts w:ascii="Arial" w:cs="Arial" w:eastAsia="Arial" w:hAnsi="Arial"/>
                <w:sz w:val="20"/>
                <w:szCs w:val="20"/>
                <w:color w:val="auto"/>
              </w:rPr>
              <w:t>June 30, 2021</w:t>
            </w:r>
          </w:p>
        </w:tc>
        <w:tc>
          <w:tcPr>
            <w:tcW w:w="2940" w:type="dxa"/>
            <w:vAlign w:val="bottom"/>
          </w:tcPr>
          <w:p>
            <w:pPr>
              <w:jc w:val="right"/>
              <w:ind w:right="81"/>
              <w:spacing w:after="0"/>
              <w:rPr>
                <w:sz w:val="20"/>
                <w:szCs w:val="20"/>
                <w:color w:val="auto"/>
              </w:rPr>
            </w:pPr>
            <w:r>
              <w:rPr>
                <w:rFonts w:ascii="Arial" w:cs="Arial" w:eastAsia="Arial" w:hAnsi="Arial"/>
                <w:sz w:val="20"/>
                <w:szCs w:val="20"/>
                <w:color w:val="auto"/>
              </w:rPr>
              <w:t>($20,000,000)</w:t>
            </w:r>
          </w:p>
        </w:tc>
      </w:tr>
      <w:tr>
        <w:trPr>
          <w:trHeight w:val="411"/>
        </w:trPr>
        <w:tc>
          <w:tcPr>
            <w:tcW w:w="4540" w:type="dxa"/>
            <w:vAlign w:val="bottom"/>
          </w:tcPr>
          <w:p>
            <w:pPr>
              <w:spacing w:after="0"/>
              <w:rPr>
                <w:sz w:val="20"/>
                <w:szCs w:val="20"/>
                <w:color w:val="auto"/>
              </w:rPr>
            </w:pPr>
            <w:r>
              <w:rPr>
                <w:rFonts w:ascii="Arial" w:cs="Arial" w:eastAsia="Arial" w:hAnsi="Arial"/>
                <w:sz w:val="20"/>
                <w:szCs w:val="20"/>
                <w:color w:val="auto"/>
              </w:rPr>
              <w:t>September 30, 2021 through and including March</w:t>
            </w:r>
          </w:p>
        </w:tc>
        <w:tc>
          <w:tcPr>
            <w:tcW w:w="2940" w:type="dxa"/>
            <w:vAlign w:val="bottom"/>
          </w:tcPr>
          <w:p>
            <w:pPr>
              <w:jc w:val="right"/>
              <w:ind w:right="81"/>
              <w:spacing w:after="0"/>
              <w:rPr>
                <w:sz w:val="20"/>
                <w:szCs w:val="20"/>
                <w:color w:val="auto"/>
              </w:rPr>
            </w:pPr>
            <w:r>
              <w:rPr>
                <w:rFonts w:ascii="Arial" w:cs="Arial" w:eastAsia="Arial" w:hAnsi="Arial"/>
                <w:sz w:val="20"/>
                <w:szCs w:val="20"/>
                <w:color w:val="auto"/>
              </w:rPr>
              <w:t>($25,000,000)</w:t>
            </w:r>
          </w:p>
        </w:tc>
      </w:tr>
      <w:tr>
        <w:trPr>
          <w:trHeight w:val="250"/>
        </w:trPr>
        <w:tc>
          <w:tcPr>
            <w:tcW w:w="4540" w:type="dxa"/>
            <w:vAlign w:val="bottom"/>
          </w:tcPr>
          <w:p>
            <w:pPr>
              <w:spacing w:after="0"/>
              <w:rPr>
                <w:sz w:val="20"/>
                <w:szCs w:val="20"/>
                <w:color w:val="auto"/>
              </w:rPr>
            </w:pPr>
            <w:r>
              <w:rPr>
                <w:rFonts w:ascii="Arial" w:cs="Arial" w:eastAsia="Arial" w:hAnsi="Arial"/>
                <w:sz w:val="20"/>
                <w:szCs w:val="20"/>
                <w:color w:val="auto"/>
              </w:rPr>
              <w:t>31, 2022</w:t>
            </w:r>
          </w:p>
        </w:tc>
        <w:tc>
          <w:tcPr>
            <w:tcW w:w="2940" w:type="dxa"/>
            <w:vAlign w:val="bottom"/>
          </w:tcPr>
          <w:p>
            <w:pPr>
              <w:spacing w:after="0"/>
              <w:rPr>
                <w:sz w:val="21"/>
                <w:szCs w:val="21"/>
                <w:color w:val="auto"/>
              </w:rPr>
            </w:pPr>
          </w:p>
        </w:tc>
      </w:tr>
      <w:tr>
        <w:trPr>
          <w:trHeight w:val="465"/>
        </w:trPr>
        <w:tc>
          <w:tcPr>
            <w:tcW w:w="4540" w:type="dxa"/>
            <w:vAlign w:val="bottom"/>
          </w:tcPr>
          <w:p>
            <w:pPr>
              <w:spacing w:after="0"/>
              <w:rPr>
                <w:sz w:val="20"/>
                <w:szCs w:val="20"/>
                <w:color w:val="auto"/>
              </w:rPr>
            </w:pPr>
            <w:r>
              <w:rPr>
                <w:rFonts w:ascii="Arial" w:cs="Arial" w:eastAsia="Arial" w:hAnsi="Arial"/>
                <w:sz w:val="20"/>
                <w:szCs w:val="20"/>
                <w:color w:val="auto"/>
                <w:w w:val="99"/>
              </w:rPr>
              <w:t>June 30, 2022 through and including December 31,</w:t>
            </w:r>
          </w:p>
        </w:tc>
        <w:tc>
          <w:tcPr>
            <w:tcW w:w="2940" w:type="dxa"/>
            <w:vAlign w:val="bottom"/>
          </w:tcPr>
          <w:p>
            <w:pPr>
              <w:jc w:val="right"/>
              <w:ind w:right="81"/>
              <w:spacing w:after="0"/>
              <w:rPr>
                <w:sz w:val="20"/>
                <w:szCs w:val="20"/>
                <w:color w:val="auto"/>
              </w:rPr>
            </w:pPr>
            <w:r>
              <w:rPr>
                <w:rFonts w:ascii="Arial" w:cs="Arial" w:eastAsia="Arial" w:hAnsi="Arial"/>
                <w:sz w:val="20"/>
                <w:szCs w:val="20"/>
                <w:color w:val="auto"/>
              </w:rPr>
              <w:t>($15,000,000)</w:t>
            </w:r>
          </w:p>
        </w:tc>
      </w:tr>
      <w:tr>
        <w:trPr>
          <w:trHeight w:val="250"/>
        </w:trPr>
        <w:tc>
          <w:tcPr>
            <w:tcW w:w="4540" w:type="dxa"/>
            <w:vAlign w:val="bottom"/>
          </w:tcPr>
          <w:p>
            <w:pPr>
              <w:spacing w:after="0"/>
              <w:rPr>
                <w:sz w:val="20"/>
                <w:szCs w:val="20"/>
                <w:color w:val="auto"/>
              </w:rPr>
            </w:pPr>
            <w:r>
              <w:rPr>
                <w:rFonts w:ascii="Arial" w:cs="Arial" w:eastAsia="Arial" w:hAnsi="Arial"/>
                <w:sz w:val="20"/>
                <w:szCs w:val="20"/>
                <w:color w:val="auto"/>
              </w:rPr>
              <w:t>2022</w:t>
            </w:r>
          </w:p>
        </w:tc>
        <w:tc>
          <w:tcPr>
            <w:tcW w:w="2940" w:type="dxa"/>
            <w:vAlign w:val="bottom"/>
          </w:tcPr>
          <w:p>
            <w:pPr>
              <w:spacing w:after="0"/>
              <w:rPr>
                <w:sz w:val="21"/>
                <w:szCs w:val="21"/>
                <w:color w:val="auto"/>
              </w:rPr>
            </w:pPr>
          </w:p>
        </w:tc>
      </w:tr>
      <w:tr>
        <w:trPr>
          <w:trHeight w:val="486"/>
        </w:trPr>
        <w:tc>
          <w:tcPr>
            <w:tcW w:w="4540" w:type="dxa"/>
            <w:vAlign w:val="bottom"/>
          </w:tcPr>
          <w:p>
            <w:pPr>
              <w:spacing w:after="0"/>
              <w:rPr>
                <w:sz w:val="20"/>
                <w:szCs w:val="20"/>
                <w:color w:val="auto"/>
              </w:rPr>
            </w:pPr>
            <w:r>
              <w:rPr>
                <w:rFonts w:ascii="Arial" w:cs="Arial" w:eastAsia="Arial" w:hAnsi="Arial"/>
                <w:sz w:val="20"/>
                <w:szCs w:val="20"/>
                <w:color w:val="auto"/>
              </w:rPr>
              <w:t>March 31, 2023</w:t>
            </w:r>
          </w:p>
        </w:tc>
        <w:tc>
          <w:tcPr>
            <w:tcW w:w="2940" w:type="dxa"/>
            <w:vAlign w:val="bottom"/>
          </w:tcPr>
          <w:p>
            <w:pPr>
              <w:jc w:val="right"/>
              <w:ind w:right="81"/>
              <w:spacing w:after="0"/>
              <w:rPr>
                <w:sz w:val="20"/>
                <w:szCs w:val="20"/>
                <w:color w:val="auto"/>
              </w:rPr>
            </w:pPr>
            <w:r>
              <w:rPr>
                <w:rFonts w:ascii="Arial" w:cs="Arial" w:eastAsia="Arial" w:hAnsi="Arial"/>
                <w:sz w:val="20"/>
                <w:szCs w:val="20"/>
                <w:color w:val="auto"/>
              </w:rPr>
              <w:t>($10,000,000)</w:t>
            </w:r>
          </w:p>
        </w:tc>
      </w:tr>
      <w:tr>
        <w:trPr>
          <w:trHeight w:val="317"/>
        </w:trPr>
        <w:tc>
          <w:tcPr>
            <w:tcW w:w="4540" w:type="dxa"/>
            <w:vAlign w:val="bottom"/>
          </w:tcPr>
          <w:p>
            <w:pPr>
              <w:ind w:left="60"/>
              <w:spacing w:after="0"/>
              <w:rPr>
                <w:sz w:val="20"/>
                <w:szCs w:val="20"/>
                <w:color w:val="auto"/>
              </w:rPr>
            </w:pPr>
            <w:r>
              <w:rPr>
                <w:rFonts w:ascii="Arial" w:cs="Arial" w:eastAsia="Arial" w:hAnsi="Arial"/>
                <w:sz w:val="20"/>
                <w:szCs w:val="20"/>
                <w:color w:val="auto"/>
              </w:rPr>
              <w:t>June 30, 2023 and each calendar quarter ending</w:t>
            </w:r>
          </w:p>
        </w:tc>
        <w:tc>
          <w:tcPr>
            <w:tcW w:w="2940" w:type="dxa"/>
            <w:vAlign w:val="bottom"/>
          </w:tcPr>
          <w:p>
            <w:pPr>
              <w:jc w:val="right"/>
              <w:ind w:right="81"/>
              <w:spacing w:after="0"/>
              <w:rPr>
                <w:sz w:val="20"/>
                <w:szCs w:val="20"/>
                <w:color w:val="auto"/>
              </w:rPr>
            </w:pPr>
            <w:r>
              <w:rPr>
                <w:rFonts w:ascii="Arial" w:cs="Arial" w:eastAsia="Arial" w:hAnsi="Arial"/>
                <w:sz w:val="20"/>
                <w:szCs w:val="20"/>
                <w:color w:val="auto"/>
              </w:rPr>
              <w:t>$0</w:t>
            </w:r>
          </w:p>
        </w:tc>
      </w:tr>
      <w:tr>
        <w:trPr>
          <w:trHeight w:val="250"/>
        </w:trPr>
        <w:tc>
          <w:tcPr>
            <w:tcW w:w="4540" w:type="dxa"/>
            <w:vAlign w:val="bottom"/>
          </w:tcPr>
          <w:p>
            <w:pPr>
              <w:spacing w:after="0"/>
              <w:rPr>
                <w:sz w:val="20"/>
                <w:szCs w:val="20"/>
                <w:color w:val="auto"/>
              </w:rPr>
            </w:pPr>
            <w:r>
              <w:rPr>
                <w:rFonts w:ascii="Arial" w:cs="Arial" w:eastAsia="Arial" w:hAnsi="Arial"/>
                <w:sz w:val="20"/>
                <w:szCs w:val="20"/>
                <w:color w:val="auto"/>
              </w:rPr>
              <w:t>thereafter</w:t>
            </w:r>
          </w:p>
        </w:tc>
        <w:tc>
          <w:tcPr>
            <w:tcW w:w="2940" w:type="dxa"/>
            <w:vAlign w:val="bottom"/>
          </w:tcPr>
          <w:p>
            <w:pPr>
              <w:spacing w:after="0"/>
              <w:rPr>
                <w:sz w:val="21"/>
                <w:szCs w:val="21"/>
                <w:color w:val="auto"/>
              </w:rPr>
            </w:pPr>
          </w:p>
        </w:tc>
      </w:tr>
    </w:tbl>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Create, issue, incur, assume, become liable in respect of or suffer to exist any Indebtedness, except:</w:t>
      </w:r>
    </w:p>
    <w:p>
      <w:pPr>
        <w:spacing w:after="0" w:line="168" w:lineRule="exact"/>
        <w:rPr>
          <w:sz w:val="20"/>
          <w:szCs w:val="20"/>
          <w:color w:val="auto"/>
        </w:rPr>
      </w:pPr>
    </w:p>
    <w:p>
      <w:pPr>
        <w:ind w:left="1720" w:hanging="416"/>
        <w:spacing w:after="0"/>
        <w:tabs>
          <w:tab w:leader="none" w:pos="172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Indebtedness of any Loan Party pursuant to any Loan Document and under any Cash Management Agreement;</w:t>
      </w:r>
    </w:p>
    <w:p>
      <w:pPr>
        <w:spacing w:after="0" w:line="173" w:lineRule="exact"/>
        <w:rPr>
          <w:rFonts w:ascii="Arial" w:cs="Arial" w:eastAsia="Arial" w:hAnsi="Arial"/>
          <w:sz w:val="19"/>
          <w:szCs w:val="19"/>
          <w:color w:val="auto"/>
        </w:rPr>
      </w:pPr>
    </w:p>
    <w:p>
      <w:pPr>
        <w:jc w:val="both"/>
        <w:ind w:firstLine="1304"/>
        <w:spacing w:after="0" w:line="250" w:lineRule="auto"/>
        <w:tabs>
          <w:tab w:leader="none" w:pos="174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Indebtedness of (i) any Loan Party owing to any other Loan Party; (ii) any Group Member (which is not a Loan Party) owing to any other Group Member (which is not a Loan Party); (iii) any Group Member (which is not a Loan Party) owing to any Loan Party, which constitutes an Investment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765" w:right="339" w:bottom="1440" w:gutter="0" w:footer="0" w:header="0"/>
        </w:sectPr>
      </w:pPr>
    </w:p>
    <w:bookmarkStart w:id="205" w:name="page206"/>
    <w:bookmarkEnd w:id="205"/>
    <w:p>
      <w:pPr>
        <w:jc w:val="both"/>
        <w:spacing w:after="0" w:line="244" w:lineRule="auto"/>
        <w:rPr>
          <w:sz w:val="20"/>
          <w:szCs w:val="20"/>
          <w:color w:val="auto"/>
        </w:rPr>
      </w:pPr>
      <w:r>
        <w:rPr>
          <w:rFonts w:ascii="Arial" w:cs="Arial" w:eastAsia="Arial" w:hAnsi="Arial"/>
          <w:sz w:val="20"/>
          <w:szCs w:val="20"/>
          <w:color w:val="auto"/>
        </w:rPr>
        <w:t xml:space="preserve">permitted by </w:t>
      </w:r>
      <w:r>
        <w:rPr>
          <w:rFonts w:ascii="Arial" w:cs="Arial" w:eastAsia="Arial" w:hAnsi="Arial"/>
          <w:sz w:val="20"/>
          <w:szCs w:val="20"/>
          <w:u w:val="single" w:color="auto"/>
          <w:color w:val="auto"/>
        </w:rPr>
        <w:t>Section 7.8(f)(iii)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if such Indebtedness is owing from any Group Member which is not a Loan Party to a Loan Party (other than to the extent such Indebtedness constitutes an Investment permitted by </w:t>
      </w:r>
      <w:r>
        <w:rPr>
          <w:rFonts w:ascii="Arial" w:cs="Arial" w:eastAsia="Arial" w:hAnsi="Arial"/>
          <w:sz w:val="20"/>
          <w:szCs w:val="20"/>
          <w:u w:val="single" w:color="auto"/>
          <w:color w:val="auto"/>
        </w:rPr>
        <w:t>Section 7.8(f)(iii)(B)</w:t>
      </w:r>
      <w:r>
        <w:rPr>
          <w:rFonts w:ascii="Arial" w:cs="Arial" w:eastAsia="Arial" w:hAnsi="Arial"/>
          <w:sz w:val="20"/>
          <w:szCs w:val="20"/>
          <w:color w:val="auto"/>
        </w:rPr>
        <w:t xml:space="preserve">) greater than $5,000,000 shall be evidenced by a promissory note and such promissory note shall be pledged as Collateral; and (iv) any Loan Party owing to any Group Member (which is not a Loan Party);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Indebtedness is subordinated to the Obligations on terms and conditions reasonably acceptable to the Administrative Agent;</w:t>
      </w:r>
    </w:p>
    <w:p>
      <w:pPr>
        <w:spacing w:after="0" w:line="140" w:lineRule="exact"/>
        <w:rPr>
          <w:sz w:val="20"/>
          <w:szCs w:val="20"/>
          <w:color w:val="auto"/>
        </w:rPr>
      </w:pPr>
    </w:p>
    <w:p>
      <w:pPr>
        <w:jc w:val="both"/>
        <w:ind w:firstLine="1304"/>
        <w:spacing w:after="0" w:line="243" w:lineRule="auto"/>
        <w:tabs>
          <w:tab w:leader="none" w:pos="1772"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Guarantee Obligations (i) of any Loan Party of the Indebtedness of any other Loan Party; (ii) of any Group Member (which is not a Loan Party) of the Indebtedness of any Loan Party;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Arial" w:cs="Arial" w:eastAsia="Arial" w:hAnsi="Arial"/>
          <w:sz w:val="20"/>
          <w:szCs w:val="20"/>
          <w:u w:val="single" w:color="auto"/>
          <w:color w:val="auto"/>
        </w:rPr>
        <w:t>Section 7.8(f)(iii)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in any case of clauses (i), (ii), (iii), or (iv), the underlying Indebtedness so guaranteed is otherwise permitted by the terms hereof;</w:t>
      </w:r>
    </w:p>
    <w:p>
      <w:pPr>
        <w:spacing w:after="0" w:line="141" w:lineRule="exact"/>
        <w:rPr>
          <w:rFonts w:ascii="Arial" w:cs="Arial" w:eastAsia="Arial" w:hAnsi="Arial"/>
          <w:sz w:val="20"/>
          <w:szCs w:val="20"/>
          <w:color w:val="auto"/>
        </w:rPr>
      </w:pPr>
    </w:p>
    <w:p>
      <w:pPr>
        <w:jc w:val="both"/>
        <w:ind w:firstLine="1304"/>
        <w:spacing w:after="0" w:line="246" w:lineRule="auto"/>
        <w:tabs>
          <w:tab w:leader="none" w:pos="179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(i) Indebtedness outstanding on the Closing Date and listed on </w:t>
      </w:r>
      <w:r>
        <w:rPr>
          <w:rFonts w:ascii="Arial" w:cs="Arial" w:eastAsia="Arial" w:hAnsi="Arial"/>
          <w:sz w:val="20"/>
          <w:szCs w:val="20"/>
          <w:u w:val="single" w:color="auto"/>
          <w:color w:val="auto"/>
        </w:rPr>
        <w:t>Schedule 7.2(d)</w:t>
      </w:r>
      <w:r>
        <w:rPr>
          <w:rFonts w:ascii="Arial" w:cs="Arial" w:eastAsia="Arial" w:hAnsi="Arial"/>
          <w:sz w:val="20"/>
          <w:szCs w:val="20"/>
          <w:color w:val="auto"/>
        </w:rPr>
        <w:t xml:space="preserve"> of the Disclosure Letter and (ii) any refinancings, refundings, renewals or extensions thereof (which do not shorten the maturity thereof or increase the principal amount thereof, except by an amount equal to a reasonable premium and other fees and expenses reasonably incurred in connection therewith); </w:t>
      </w:r>
      <w:r>
        <w:rPr>
          <w:rFonts w:ascii="Arial" w:cs="Arial" w:eastAsia="Arial" w:hAnsi="Arial"/>
          <w:sz w:val="20"/>
          <w:szCs w:val="20"/>
          <w:u w:val="single" w:color="auto"/>
          <w:color w:val="auto"/>
        </w:rPr>
        <w:t>provided</w:t>
      </w:r>
      <w:r>
        <w:rPr>
          <w:rFonts w:ascii="Arial" w:cs="Arial" w:eastAsia="Arial" w:hAnsi="Arial"/>
          <w:sz w:val="20"/>
          <w:szCs w:val="20"/>
          <w:color w:val="auto"/>
        </w:rPr>
        <w:t>, that the underlying Indebtedness is otherwise permitted by the terms hereof;</w:t>
      </w:r>
    </w:p>
    <w:p>
      <w:pPr>
        <w:spacing w:after="0" w:line="137" w:lineRule="exact"/>
        <w:rPr>
          <w:rFonts w:ascii="Arial" w:cs="Arial" w:eastAsia="Arial" w:hAnsi="Arial"/>
          <w:sz w:val="20"/>
          <w:szCs w:val="20"/>
          <w:color w:val="auto"/>
        </w:rPr>
      </w:pPr>
    </w:p>
    <w:p>
      <w:pPr>
        <w:jc w:val="both"/>
        <w:ind w:firstLine="1304"/>
        <w:spacing w:after="0" w:line="260" w:lineRule="auto"/>
        <w:tabs>
          <w:tab w:leader="none" w:pos="1717"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Indebtedness (including, without limitation, Capital Lease Obligations and purchase money financing) secured by Liens permitted by </w:t>
      </w:r>
      <w:r>
        <w:rPr>
          <w:rFonts w:ascii="Arial" w:cs="Arial" w:eastAsia="Arial" w:hAnsi="Arial"/>
          <w:sz w:val="19"/>
          <w:szCs w:val="19"/>
          <w:u w:val="single" w:color="auto"/>
          <w:color w:val="auto"/>
        </w:rPr>
        <w:t>Section 7.3(g)</w:t>
      </w:r>
      <w:r>
        <w:rPr>
          <w:rFonts w:ascii="Arial" w:cs="Arial" w:eastAsia="Arial" w:hAnsi="Arial"/>
          <w:sz w:val="19"/>
          <w:szCs w:val="19"/>
          <w:color w:val="auto"/>
        </w:rPr>
        <w:t xml:space="preserve"> in an aggregate principal amount not to exceed $5,000,000 (or such greater amount as the Administrative Agent may agree in its sole discretion) at any one time outstanding and any refinancings, refundings, renewals or extensions thereof (which do not shorten the maturity thereof or increase the principal amount thereof, except by an amount equal to a reasonable premium and other fees and expenses reasonably incurred in connection therewith);</w:t>
      </w:r>
    </w:p>
    <w:p>
      <w:pPr>
        <w:spacing w:after="0" w:line="126" w:lineRule="exact"/>
        <w:rPr>
          <w:rFonts w:ascii="Arial" w:cs="Arial" w:eastAsia="Arial" w:hAnsi="Arial"/>
          <w:sz w:val="19"/>
          <w:szCs w:val="19"/>
          <w:color w:val="auto"/>
        </w:rPr>
      </w:pPr>
    </w:p>
    <w:p>
      <w:pPr>
        <w:ind w:left="1700" w:hanging="396"/>
        <w:spacing w:after="0"/>
        <w:tabs>
          <w:tab w:leader="none" w:pos="170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Subordinated Indebtedness (including the Investor Indebtedness);</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735" w:val="left"/>
        </w:tabs>
        <w:numPr>
          <w:ilvl w:val="0"/>
          <w:numId w:val="168"/>
        </w:numPr>
        <w:rPr>
          <w:rFonts w:ascii="Arial" w:cs="Arial" w:eastAsia="Arial" w:hAnsi="Arial"/>
          <w:sz w:val="20"/>
          <w:szCs w:val="20"/>
          <w:color w:val="auto"/>
        </w:rPr>
      </w:pPr>
      <w:r>
        <w:rPr>
          <w:rFonts w:ascii="Arial" w:cs="Arial" w:eastAsia="Arial" w:hAnsi="Arial"/>
          <w:sz w:val="20"/>
          <w:szCs w:val="20"/>
          <w:color w:val="auto"/>
        </w:rPr>
        <w:t>Surety Indebtedness and any other Indebtedness in respect of letters of credit, banker’s acceptances, bank guarantees or similar arrangements, provided that the aggregate principal amount of any such Indebtedness outstanding at any time shall not exceed $1,000,000;</w:t>
      </w:r>
    </w:p>
    <w:p>
      <w:pPr>
        <w:spacing w:after="0" w:line="131" w:lineRule="exact"/>
        <w:rPr>
          <w:rFonts w:ascii="Arial" w:cs="Arial" w:eastAsia="Arial" w:hAnsi="Arial"/>
          <w:sz w:val="20"/>
          <w:szCs w:val="20"/>
          <w:color w:val="auto"/>
        </w:rPr>
      </w:pPr>
    </w:p>
    <w:p>
      <w:pPr>
        <w:ind w:left="1740" w:hanging="436"/>
        <w:spacing w:after="0"/>
        <w:tabs>
          <w:tab w:leader="none" w:pos="174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unsecured Indebtedness to trade creditors in the ordinary course of business;</w:t>
      </w:r>
    </w:p>
    <w:p>
      <w:pPr>
        <w:spacing w:after="0" w:line="161" w:lineRule="exact"/>
        <w:rPr>
          <w:rFonts w:ascii="Arial" w:cs="Arial" w:eastAsia="Arial" w:hAnsi="Arial"/>
          <w:sz w:val="20"/>
          <w:szCs w:val="20"/>
          <w:color w:val="auto"/>
        </w:rPr>
      </w:pPr>
    </w:p>
    <w:p>
      <w:pPr>
        <w:jc w:val="both"/>
        <w:ind w:right="20" w:firstLine="1304"/>
        <w:spacing w:after="0" w:line="385" w:lineRule="auto"/>
        <w:tabs>
          <w:tab w:leader="none" w:pos="171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obligations (contingent or otherwise) of the Group Members existing or arising under any Specified Swap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obligations are (or were) entered into by such Person in accordance with </w:t>
      </w:r>
      <w:r>
        <w:rPr>
          <w:rFonts w:ascii="Arial" w:cs="Arial" w:eastAsia="Arial" w:hAnsi="Arial"/>
          <w:sz w:val="16"/>
          <w:szCs w:val="16"/>
          <w:u w:val="single" w:color="auto"/>
          <w:color w:val="auto"/>
        </w:rPr>
        <w:t>Section 7.13</w:t>
      </w:r>
      <w:r>
        <w:rPr>
          <w:rFonts w:ascii="Arial" w:cs="Arial" w:eastAsia="Arial" w:hAnsi="Arial"/>
          <w:sz w:val="16"/>
          <w:szCs w:val="16"/>
          <w:color w:val="auto"/>
        </w:rPr>
        <w:t xml:space="preserve"> and not for purposes of speculation;</w:t>
      </w:r>
    </w:p>
    <w:p>
      <w:pPr>
        <w:spacing w:after="0" w:line="30" w:lineRule="exact"/>
        <w:rPr>
          <w:rFonts w:ascii="Arial" w:cs="Arial" w:eastAsia="Arial" w:hAnsi="Arial"/>
          <w:sz w:val="16"/>
          <w:szCs w:val="16"/>
          <w:color w:val="auto"/>
        </w:rPr>
      </w:pPr>
    </w:p>
    <w:p>
      <w:pPr>
        <w:jc w:val="both"/>
        <w:ind w:firstLine="1304"/>
        <w:spacing w:after="0" w:line="243" w:lineRule="auto"/>
        <w:tabs>
          <w:tab w:leader="none" w:pos="170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Indebtedness of a Person (other than a Loan Party or an existing Subsidiary) existing at the time such Person is merged with or into a Loan Party or a Subsidiary or becomes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and any of its Subsidiaries are the only obligors in respect of such Indebtedness, and (B) to the extent such Indebtedness is permitted to be secured hereunder, only the assets of such Subsidiary and any of its Subsidiaries secure such Indebtedness, and (iv) the aggregate amount of such Indebtedness does not exceed $1,000,000 in the aggregate;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240"/>
          </w:cols>
          <w:pgMar w:left="320" w:top="771" w:right="339" w:bottom="1440" w:gutter="0" w:footer="0" w:header="0"/>
        </w:sectPr>
      </w:pPr>
    </w:p>
    <w:bookmarkStart w:id="206" w:name="page207"/>
    <w:bookmarkEnd w:id="206"/>
    <w:p>
      <w:pPr>
        <w:ind w:left="1740" w:hanging="436"/>
        <w:spacing w:after="0"/>
        <w:tabs>
          <w:tab w:leader="none" w:pos="17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84" w:lineRule="exact"/>
        <w:rPr>
          <w:rFonts w:ascii="Arial" w:cs="Arial" w:eastAsia="Arial" w:hAnsi="Arial"/>
          <w:sz w:val="18"/>
          <w:szCs w:val="18"/>
          <w:color w:val="auto"/>
        </w:rPr>
      </w:pPr>
    </w:p>
    <w:p>
      <w:pPr>
        <w:jc w:val="both"/>
        <w:ind w:firstLine="1304"/>
        <w:spacing w:after="0" w:line="282" w:lineRule="auto"/>
        <w:tabs>
          <w:tab w:leader="none" w:pos="181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Indebtedness in the form of purchase price adjustments, earn outs, deferred compensation, or other arrangements representing acquisition consideration or deferred payments of a similar nature incurred in connection with Investments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amount of such obligation shall be deemed part of the cost of such Investment (the amount of which shall be deemed to be the amount required to be accrued as a liability in accordance with GAAP or the amount actually paid);</w:t>
      </w:r>
    </w:p>
    <w:p>
      <w:pPr>
        <w:spacing w:after="0" w:line="107" w:lineRule="exact"/>
        <w:rPr>
          <w:rFonts w:ascii="Arial" w:cs="Arial" w:eastAsia="Arial" w:hAnsi="Arial"/>
          <w:sz w:val="18"/>
          <w:szCs w:val="18"/>
          <w:color w:val="auto"/>
        </w:rPr>
      </w:pPr>
    </w:p>
    <w:p>
      <w:pPr>
        <w:ind w:left="1780" w:hanging="476"/>
        <w:spacing w:after="0"/>
        <w:tabs>
          <w:tab w:leader="none" w:pos="178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Indebtedness consisting of the financing of insurance premiums;</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812"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Indebtedness of Foreign Subsidiaries (i) in respect of business credit cards in an aggregate principal amount not to exceed $2,500,000 at any time outstanding; and (ii) otherwise in an aggregate principal amount not to exceed $5,000,000 at any time outstanding; and</w:t>
      </w:r>
    </w:p>
    <w:p>
      <w:pPr>
        <w:spacing w:after="0" w:line="131" w:lineRule="exact"/>
        <w:rPr>
          <w:rFonts w:ascii="Arial" w:cs="Arial" w:eastAsia="Arial" w:hAnsi="Arial"/>
          <w:sz w:val="20"/>
          <w:szCs w:val="20"/>
          <w:color w:val="auto"/>
        </w:rPr>
      </w:pPr>
    </w:p>
    <w:p>
      <w:pPr>
        <w:ind w:left="1760" w:hanging="456"/>
        <w:spacing w:after="0"/>
        <w:tabs>
          <w:tab w:leader="none" w:pos="17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Indebtedness not otherwise permitted by this Section in an aggregate principal amount not to exceed $5,000,000 at any</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time outstanding.</w:t>
      </w:r>
    </w:p>
    <w:p>
      <w:pPr>
        <w:spacing w:after="0" w:line="14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8"/>
          <w:szCs w:val="18"/>
          <w:b w:val="1"/>
          <w:bCs w:val="1"/>
          <w:color w:val="auto"/>
        </w:rPr>
        <w:t>Liens</w:t>
      </w:r>
      <w:r>
        <w:rPr>
          <w:rFonts w:ascii="Arial" w:cs="Arial" w:eastAsia="Arial" w:hAnsi="Arial"/>
          <w:sz w:val="18"/>
          <w:szCs w:val="18"/>
          <w:color w:val="auto"/>
        </w:rPr>
        <w:t>. Create, incur, assume or suffer to exist any Lien upon any of its property, whether now owned or hereafter acquired,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except:</w:t>
      </w:r>
    </w:p>
    <w:p>
      <w:pPr>
        <w:spacing w:after="0" w:line="146" w:lineRule="exact"/>
        <w:rPr>
          <w:sz w:val="20"/>
          <w:szCs w:val="20"/>
          <w:color w:val="auto"/>
        </w:rPr>
      </w:pPr>
    </w:p>
    <w:p>
      <w:pPr>
        <w:ind w:right="20" w:firstLine="1304"/>
        <w:spacing w:after="0" w:line="287" w:lineRule="auto"/>
        <w:tabs>
          <w:tab w:leader="none" w:pos="1731"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Liens for taxes not yet due or that are being contested in good faith by appropriate proceedings;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adequate reserves with respect thereto are maintained on the books of the applicable Group Member in conformity with GAAP;</w:t>
      </w:r>
    </w:p>
    <w:p>
      <w:pPr>
        <w:spacing w:after="0" w:line="98" w:lineRule="exact"/>
        <w:rPr>
          <w:rFonts w:ascii="Arial" w:cs="Arial" w:eastAsia="Arial" w:hAnsi="Arial"/>
          <w:sz w:val="19"/>
          <w:szCs w:val="19"/>
          <w:color w:val="auto"/>
        </w:rPr>
      </w:pPr>
    </w:p>
    <w:p>
      <w:pPr>
        <w:jc w:val="both"/>
        <w:ind w:firstLine="1304"/>
        <w:spacing w:after="0" w:line="250" w:lineRule="auto"/>
        <w:tabs>
          <w:tab w:leader="none" w:pos="1829" w:val="left"/>
        </w:tabs>
        <w:numPr>
          <w:ilvl w:val="0"/>
          <w:numId w:val="170"/>
        </w:numPr>
        <w:rPr>
          <w:rFonts w:ascii="Arial" w:cs="Arial" w:eastAsia="Arial" w:hAnsi="Arial"/>
          <w:sz w:val="20"/>
          <w:szCs w:val="20"/>
          <w:color w:val="auto"/>
        </w:rPr>
      </w:pPr>
      <w:r>
        <w:rPr>
          <w:rFonts w:ascii="Arial" w:cs="Arial" w:eastAsia="Arial" w:hAnsi="Arial"/>
          <w:sz w:val="20"/>
          <w:szCs w:val="20"/>
          <w:color w:val="auto"/>
        </w:rPr>
        <w:t>carriers’, warehousemen’s, landlord’s, mechanics’, materialmen’s, repairmen’s supplier’s, construction or other like Liens arising in the ordinary course of business that are not overdue for a period of more than 30 days or that are being contested in good faith by appropriate proceedings;</w:t>
      </w:r>
    </w:p>
    <w:p>
      <w:pPr>
        <w:spacing w:after="0" w:line="131" w:lineRule="exact"/>
        <w:rPr>
          <w:rFonts w:ascii="Arial" w:cs="Arial" w:eastAsia="Arial" w:hAnsi="Arial"/>
          <w:sz w:val="20"/>
          <w:szCs w:val="20"/>
          <w:color w:val="auto"/>
        </w:rPr>
      </w:pPr>
    </w:p>
    <w:p>
      <w:pPr>
        <w:ind w:left="1840" w:hanging="536"/>
        <w:spacing w:after="0"/>
        <w:tabs>
          <w:tab w:leader="none" w:pos="18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unemployment insurance and other social security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legislation;</w:t>
      </w:r>
    </w:p>
    <w:p>
      <w:pPr>
        <w:spacing w:after="0" w:line="145" w:lineRule="exact"/>
        <w:rPr>
          <w:rFonts w:ascii="Arial" w:cs="Arial" w:eastAsia="Arial" w:hAnsi="Arial"/>
          <w:sz w:val="18"/>
          <w:szCs w:val="18"/>
          <w:color w:val="auto"/>
        </w:rPr>
      </w:pPr>
    </w:p>
    <w:p>
      <w:pPr>
        <w:jc w:val="both"/>
        <w:ind w:firstLine="1304"/>
        <w:spacing w:after="0" w:line="269" w:lineRule="auto"/>
        <w:tabs>
          <w:tab w:leader="none" w:pos="191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deposits to secure the performance of bids, trade contracts (other than for borrowed money), leases, statutory obligations, surety and appeal bonds, performance bonds and other obligations of a like nature incurred in the ordinary course of business (other than for indebtedness or any Liens arising under ERISA) or deposits made in connection with Permitted Acquisitions;</w:t>
      </w:r>
    </w:p>
    <w:p>
      <w:pPr>
        <w:spacing w:after="0" w:line="115" w:lineRule="exact"/>
        <w:rPr>
          <w:rFonts w:ascii="Arial" w:cs="Arial" w:eastAsia="Arial" w:hAnsi="Arial"/>
          <w:sz w:val="19"/>
          <w:szCs w:val="19"/>
          <w:color w:val="auto"/>
        </w:rPr>
      </w:pPr>
    </w:p>
    <w:p>
      <w:pPr>
        <w:jc w:val="both"/>
        <w:ind w:right="20" w:firstLine="1304"/>
        <w:spacing w:after="0" w:line="250" w:lineRule="auto"/>
        <w:tabs>
          <w:tab w:leader="none" w:pos="1749" w:val="left"/>
        </w:tabs>
        <w:numPr>
          <w:ilvl w:val="0"/>
          <w:numId w:val="170"/>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19"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Liens in existence on the Closing Date and listed on </w:t>
      </w:r>
      <w:r>
        <w:rPr>
          <w:rFonts w:ascii="Arial" w:cs="Arial" w:eastAsia="Arial" w:hAnsi="Arial"/>
          <w:sz w:val="20"/>
          <w:szCs w:val="20"/>
          <w:u w:val="single" w:color="auto"/>
          <w:color w:val="auto"/>
        </w:rPr>
        <w:t>Schedule 7.3(f)</w:t>
      </w:r>
      <w:r>
        <w:rPr>
          <w:rFonts w:ascii="Arial" w:cs="Arial" w:eastAsia="Arial" w:hAnsi="Arial"/>
          <w:sz w:val="20"/>
          <w:szCs w:val="20"/>
          <w:color w:val="auto"/>
        </w:rPr>
        <w:t xml:space="preserve"> of the Disclosure Letter;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 no such Lien is spread to cover any additional property after the Closing Date, (ii) the amount of Indebtedness or obligations secured or benefitted thereby is not increased, (iii) the direct or any contingent obligor with respect thereto is not changed, and (iv) any renewal or extension of the obligations secured thereby is permitted by </w:t>
      </w:r>
      <w:r>
        <w:rPr>
          <w:rFonts w:ascii="Arial" w:cs="Arial" w:eastAsia="Arial" w:hAnsi="Arial"/>
          <w:sz w:val="20"/>
          <w:szCs w:val="20"/>
          <w:u w:val="single" w:color="auto"/>
          <w:color w:val="auto"/>
        </w:rPr>
        <w:t>Section 7.2(d)</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firstLine="1304"/>
        <w:spacing w:after="0" w:line="263" w:lineRule="auto"/>
        <w:tabs>
          <w:tab w:leader="none" w:pos="18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Liens securing Indebtedness incurred pursuant to </w:t>
      </w:r>
      <w:r>
        <w:rPr>
          <w:rFonts w:ascii="Arial" w:cs="Arial" w:eastAsia="Arial" w:hAnsi="Arial"/>
          <w:sz w:val="19"/>
          <w:szCs w:val="19"/>
          <w:u w:val="single" w:color="auto"/>
          <w:color w:val="auto"/>
        </w:rPr>
        <w:t>Section 7.2(e)</w:t>
      </w:r>
      <w:r>
        <w:rPr>
          <w:rFonts w:ascii="Arial" w:cs="Arial" w:eastAsia="Arial" w:hAnsi="Arial"/>
          <w:sz w:val="19"/>
          <w:szCs w:val="19"/>
          <w:color w:val="auto"/>
        </w:rPr>
        <w:t xml:space="preserve"> to finance the acquisition of fixed or capital assets;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 such Liens shall be created substantially simultaneously with, or within 90 days after, the acquisition of such fixed or capital assets, (ii) such Liens do not at any time encumber any property other than the property financed by such Indebtedness and the proceeds thereof, and (iii) the amount of Indebtedness secured thereby is not increased;</w:t>
      </w:r>
    </w:p>
    <w:p>
      <w:pPr>
        <w:spacing w:after="0" w:line="122" w:lineRule="exact"/>
        <w:rPr>
          <w:rFonts w:ascii="Arial" w:cs="Arial" w:eastAsia="Arial" w:hAnsi="Arial"/>
          <w:sz w:val="19"/>
          <w:szCs w:val="19"/>
          <w:color w:val="auto"/>
        </w:rPr>
      </w:pPr>
    </w:p>
    <w:p>
      <w:pPr>
        <w:ind w:left="1740" w:hanging="436"/>
        <w:spacing w:after="0"/>
        <w:tabs>
          <w:tab w:leader="none" w:pos="174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Liens created pursuant to the Security Documents;</w:t>
      </w:r>
    </w:p>
    <w:p>
      <w:pPr>
        <w:spacing w:after="0" w:line="161" w:lineRule="exact"/>
        <w:rPr>
          <w:rFonts w:ascii="Arial" w:cs="Arial" w:eastAsia="Arial" w:hAnsi="Arial"/>
          <w:sz w:val="20"/>
          <w:szCs w:val="20"/>
          <w:color w:val="auto"/>
        </w:rPr>
      </w:pPr>
    </w:p>
    <w:p>
      <w:pPr>
        <w:ind w:firstLine="1304"/>
        <w:spacing w:after="0" w:line="260" w:lineRule="auto"/>
        <w:tabs>
          <w:tab w:leader="none" w:pos="169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(x) any interest or title of a lessor or licensor under any lease or license entered into by a Group Member in the ordinary course of its business and covering only the assets so leased or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240"/>
          </w:cols>
          <w:pgMar w:left="320" w:top="771" w:right="339" w:bottom="1440" w:gutter="0" w:footer="0" w:header="0"/>
        </w:sectPr>
      </w:pPr>
    </w:p>
    <w:bookmarkStart w:id="207" w:name="page208"/>
    <w:bookmarkEnd w:id="207"/>
    <w:p>
      <w:pPr>
        <w:jc w:val="both"/>
        <w:spacing w:after="0" w:line="282" w:lineRule="auto"/>
        <w:rPr>
          <w:sz w:val="20"/>
          <w:szCs w:val="20"/>
          <w:color w:val="auto"/>
        </w:rPr>
      </w:pPr>
      <w:r>
        <w:rPr>
          <w:rFonts w:ascii="Arial" w:cs="Arial" w:eastAsia="Arial" w:hAnsi="Arial"/>
          <w:sz w:val="18"/>
          <w:szCs w:val="18"/>
          <w:color w:val="auto"/>
        </w:rPr>
        <w:t>licensed, (y) leases, licenses, subleases and sublicenses of real property granted to others in the ordinary course of business and (z) non-exclusive licenses of Intellectual Property in the ordinary course of business and other licenses and sublicenses that could not result in a legal transfer of title of the licensed property but that may be exclusive in respects other than territory and that may be exclusive as to territory only as to discreet geographical areas outside of the United States, in each case in the ordinary course of business;</w:t>
      </w:r>
    </w:p>
    <w:p>
      <w:pPr>
        <w:spacing w:after="0" w:line="107" w:lineRule="exact"/>
        <w:rPr>
          <w:sz w:val="20"/>
          <w:szCs w:val="20"/>
          <w:color w:val="auto"/>
        </w:rPr>
      </w:pPr>
    </w:p>
    <w:p>
      <w:pPr>
        <w:ind w:left="1680" w:hanging="376"/>
        <w:spacing w:after="0"/>
        <w:tabs>
          <w:tab w:leader="none" w:pos="168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xml:space="preserve">judgment Liens that do not constitute a Default or an Event of Default under </w:t>
      </w:r>
      <w:r>
        <w:rPr>
          <w:rFonts w:ascii="Arial" w:cs="Arial" w:eastAsia="Arial" w:hAnsi="Arial"/>
          <w:sz w:val="19"/>
          <w:szCs w:val="19"/>
          <w:u w:val="single" w:color="auto"/>
          <w:color w:val="auto"/>
        </w:rPr>
        <w:t>Section 8.1(h)</w:t>
      </w:r>
      <w:r>
        <w:rPr>
          <w:rFonts w:ascii="Arial" w:cs="Arial" w:eastAsia="Arial" w:hAnsi="Arial"/>
          <w:sz w:val="19"/>
          <w:szCs w:val="19"/>
          <w:color w:val="auto"/>
        </w:rPr>
        <w:t xml:space="preserve"> of this Agreement;</w:t>
      </w:r>
    </w:p>
    <w:p>
      <w:pPr>
        <w:spacing w:after="0" w:line="173" w:lineRule="exact"/>
        <w:rPr>
          <w:rFonts w:ascii="Arial" w:cs="Arial" w:eastAsia="Arial" w:hAnsi="Arial"/>
          <w:sz w:val="19"/>
          <w:szCs w:val="19"/>
          <w:color w:val="auto"/>
        </w:rPr>
      </w:pPr>
    </w:p>
    <w:p>
      <w:pPr>
        <w:jc w:val="both"/>
        <w:ind w:firstLine="1304"/>
        <w:spacing w:after="0" w:line="278" w:lineRule="auto"/>
        <w:tabs>
          <w:tab w:leader="none" w:pos="172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10" w:lineRule="exact"/>
        <w:rPr>
          <w:rFonts w:ascii="Arial" w:cs="Arial" w:eastAsia="Arial" w:hAnsi="Arial"/>
          <w:sz w:val="18"/>
          <w:szCs w:val="18"/>
          <w:color w:val="auto"/>
        </w:rPr>
      </w:pPr>
    </w:p>
    <w:p>
      <w:pPr>
        <w:ind w:left="1700" w:hanging="396"/>
        <w:spacing w:after="0"/>
        <w:tabs>
          <w:tab w:leader="none" w:pos="17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(i) cash deposits and liens on cash and Cash Equivalents pledged to secure Indebtedness permitted under </w:t>
      </w:r>
      <w:r>
        <w:rPr>
          <w:rFonts w:ascii="Arial" w:cs="Arial" w:eastAsia="Arial" w:hAnsi="Arial"/>
          <w:sz w:val="16"/>
          <w:szCs w:val="16"/>
          <w:u w:val="single" w:color="auto"/>
          <w:color w:val="auto"/>
        </w:rPr>
        <w:t>Section 7.2(g)</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jc w:val="both"/>
        <w:ind w:firstLine="8"/>
        <w:spacing w:after="0" w:line="281" w:lineRule="auto"/>
        <w:tabs>
          <w:tab w:leader="none" w:pos="30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Liens securing reimbursement obligations with respect to letters of credit, banker’s acceptances, bank guarantees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7.2(g)</w:t>
      </w:r>
      <w:r>
        <w:rPr>
          <w:rFonts w:ascii="Arial" w:cs="Arial" w:eastAsia="Arial" w:hAnsi="Arial"/>
          <w:sz w:val="18"/>
          <w:szCs w:val="18"/>
          <w:color w:val="auto"/>
        </w:rPr>
        <w:t xml:space="preserve"> that encumber documents and other property relating to such letters of credit, (iii) Liens securing Obligations under any Specified Swap Agreements permitted by </w:t>
      </w:r>
      <w:r>
        <w:rPr>
          <w:rFonts w:ascii="Arial" w:cs="Arial" w:eastAsia="Arial" w:hAnsi="Arial"/>
          <w:sz w:val="18"/>
          <w:szCs w:val="18"/>
          <w:u w:val="single" w:color="auto"/>
          <w:color w:val="auto"/>
        </w:rPr>
        <w:t>Section 7.2(i)</w:t>
      </w:r>
      <w:r>
        <w:rPr>
          <w:rFonts w:ascii="Arial" w:cs="Arial" w:eastAsia="Arial" w:hAnsi="Arial"/>
          <w:sz w:val="18"/>
          <w:szCs w:val="18"/>
          <w:color w:val="auto"/>
        </w:rPr>
        <w:t>, and (iv) Liens on cash deposits securing minimum capitalization requirements;</w:t>
      </w:r>
    </w:p>
    <w:p>
      <w:pPr>
        <w:spacing w:after="0" w:line="107" w:lineRule="exact"/>
        <w:rPr>
          <w:rFonts w:ascii="Arial" w:cs="Arial" w:eastAsia="Arial" w:hAnsi="Arial"/>
          <w:sz w:val="18"/>
          <w:szCs w:val="18"/>
          <w:color w:val="auto"/>
        </w:rPr>
      </w:pPr>
    </w:p>
    <w:p>
      <w:pPr>
        <w:jc w:val="both"/>
        <w:ind w:firstLine="1304"/>
        <w:spacing w:after="0" w:line="282" w:lineRule="auto"/>
        <w:tabs>
          <w:tab w:leader="none" w:pos="187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acquired by, merged into or consolidated with a Group Member or becomes a Subsidiary of a Group Member or acquired by a Group Member;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such Liens were not created in contemplation of such acquisition, merger, consolidation or Investment, (ii) such Liens do not extend to any assets other than those of such Person, and (iii) the applicable Indebtedness or obligation secured by such Lien is not prohibited under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jc w:val="both"/>
        <w:ind w:firstLine="1304"/>
        <w:spacing w:after="0" w:line="250" w:lineRule="auto"/>
        <w:tabs>
          <w:tab w:leader="none" w:pos="186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spacing w:after="0" w:line="131" w:lineRule="exact"/>
        <w:rPr>
          <w:rFonts w:ascii="Arial" w:cs="Arial" w:eastAsia="Arial" w:hAnsi="Arial"/>
          <w:sz w:val="20"/>
          <w:szCs w:val="20"/>
          <w:color w:val="auto"/>
        </w:rPr>
      </w:pPr>
    </w:p>
    <w:p>
      <w:pPr>
        <w:ind w:left="1740" w:hanging="436"/>
        <w:spacing w:after="0"/>
        <w:tabs>
          <w:tab w:leader="none" w:pos="17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Liens on insurance proceeds in favor of insurance companies granted solely to secured financed insurance premiums;</w:t>
      </w:r>
    </w:p>
    <w:p>
      <w:pPr>
        <w:spacing w:after="0" w:line="184" w:lineRule="exact"/>
        <w:rPr>
          <w:rFonts w:ascii="Arial" w:cs="Arial" w:eastAsia="Arial" w:hAnsi="Arial"/>
          <w:sz w:val="18"/>
          <w:szCs w:val="18"/>
          <w:color w:val="auto"/>
        </w:rPr>
      </w:pPr>
    </w:p>
    <w:p>
      <w:pPr>
        <w:ind w:right="20" w:firstLine="1304"/>
        <w:spacing w:after="0" w:line="260" w:lineRule="auto"/>
        <w:tabs>
          <w:tab w:leader="none" w:pos="1768" w:val="left"/>
        </w:tabs>
        <w:numPr>
          <w:ilvl w:val="1"/>
          <w:numId w:val="172"/>
        </w:numPr>
        <w:rPr>
          <w:rFonts w:ascii="Arial" w:cs="Arial" w:eastAsia="Arial" w:hAnsi="Arial"/>
          <w:sz w:val="20"/>
          <w:szCs w:val="20"/>
          <w:color w:val="auto"/>
        </w:rPr>
      </w:pPr>
      <w:r>
        <w:rPr>
          <w:rFonts w:ascii="Arial" w:cs="Arial" w:eastAsia="Arial" w:hAnsi="Arial"/>
          <w:sz w:val="20"/>
          <w:szCs w:val="20"/>
          <w:color w:val="auto"/>
        </w:rPr>
        <w:t>Liens in favor of custom and revenue authorities arising as a matter of law to secure the payment of custom duties in connection with the importation of goods;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240"/>
          </w:cols>
          <w:pgMar w:left="320" w:top="771" w:right="339" w:bottom="1440" w:gutter="0" w:footer="0" w:header="0"/>
        </w:sectPr>
      </w:pPr>
    </w:p>
    <w:bookmarkStart w:id="208" w:name="page209"/>
    <w:bookmarkEnd w:id="208"/>
    <w:p>
      <w:pPr>
        <w:ind w:firstLine="1304"/>
        <w:spacing w:after="0" w:line="260" w:lineRule="auto"/>
        <w:tabs>
          <w:tab w:leader="none" w:pos="1833" w:val="left"/>
        </w:tabs>
        <w:numPr>
          <w:ilvl w:val="0"/>
          <w:numId w:val="173"/>
        </w:numPr>
        <w:rPr>
          <w:rFonts w:ascii="Arial" w:cs="Arial" w:eastAsia="Arial" w:hAnsi="Arial"/>
          <w:sz w:val="20"/>
          <w:szCs w:val="20"/>
          <w:color w:val="auto"/>
        </w:rPr>
      </w:pPr>
      <w:r>
        <w:rPr>
          <w:rFonts w:ascii="Arial" w:cs="Arial" w:eastAsia="Arial" w:hAnsi="Arial"/>
          <w:sz w:val="20"/>
          <w:szCs w:val="20"/>
          <w:color w:val="auto"/>
        </w:rPr>
        <w:t>Liens on any earnest money deposits required in connection with a Permitted Acquisition or consisting of earnest money deposits required in connection with an acquisition of property not otherwise prohibited hereunder;</w:t>
      </w:r>
    </w:p>
    <w:p>
      <w:pPr>
        <w:spacing w:after="0" w:line="122" w:lineRule="exact"/>
        <w:rPr>
          <w:rFonts w:ascii="Arial" w:cs="Arial" w:eastAsia="Arial" w:hAnsi="Arial"/>
          <w:sz w:val="20"/>
          <w:szCs w:val="20"/>
          <w:color w:val="auto"/>
        </w:rPr>
      </w:pPr>
    </w:p>
    <w:p>
      <w:pPr>
        <w:ind w:left="1700" w:hanging="396"/>
        <w:spacing w:after="0"/>
        <w:tabs>
          <w:tab w:leader="none" w:pos="170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Liens securing Subordinated Indebtedness permitted under </w:t>
      </w:r>
      <w:r>
        <w:rPr>
          <w:rFonts w:ascii="Arial" w:cs="Arial" w:eastAsia="Arial" w:hAnsi="Arial"/>
          <w:sz w:val="20"/>
          <w:szCs w:val="20"/>
          <w:u w:val="single" w:color="auto"/>
          <w:color w:val="auto"/>
        </w:rPr>
        <w:t>Section 7.2(f)</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1304"/>
        <w:spacing w:after="0" w:line="260" w:lineRule="auto"/>
        <w:tabs>
          <w:tab w:leader="none" w:pos="173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Liens that are contractual rights of setoff relating to purchase orders and other agreements entered into with customers of such Person in the ordinary course of business;</w:t>
      </w:r>
    </w:p>
    <w:p>
      <w:pPr>
        <w:spacing w:after="0" w:line="122" w:lineRule="exact"/>
        <w:rPr>
          <w:rFonts w:ascii="Arial" w:cs="Arial" w:eastAsia="Arial" w:hAnsi="Arial"/>
          <w:sz w:val="20"/>
          <w:szCs w:val="20"/>
          <w:color w:val="auto"/>
        </w:rPr>
      </w:pPr>
    </w:p>
    <w:p>
      <w:pPr>
        <w:ind w:left="1680" w:hanging="376"/>
        <w:spacing w:after="0"/>
        <w:tabs>
          <w:tab w:leader="none" w:pos="168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Liens securing Indebtedness incurred pursuant to </w:t>
      </w:r>
      <w:r>
        <w:rPr>
          <w:rFonts w:ascii="Arial" w:cs="Arial" w:eastAsia="Arial" w:hAnsi="Arial"/>
          <w:sz w:val="20"/>
          <w:szCs w:val="20"/>
          <w:u w:val="single" w:color="auto"/>
          <w:color w:val="auto"/>
        </w:rPr>
        <w:t>Section 7.2(o)</w:t>
      </w:r>
      <w:r>
        <w:rPr>
          <w:rFonts w:ascii="Arial" w:cs="Arial" w:eastAsia="Arial" w:hAnsi="Arial"/>
          <w:sz w:val="20"/>
          <w:szCs w:val="20"/>
          <w:color w:val="auto"/>
        </w:rPr>
        <w:t>; and</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other Liens securing obligations in an outstanding amount not to exceed $5,000,000 at any one time.</w:t>
      </w:r>
    </w:p>
    <w:p>
      <w:pPr>
        <w:spacing w:after="0" w:line="16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Notwithstanding the foregoing, no Lien shall encumber any Group Member’s Intellectual Property except for Liens arising by operation of law and Liens described in clause (i)(z) above.</w:t>
      </w:r>
    </w:p>
    <w:p>
      <w:pPr>
        <w:spacing w:after="0" w:line="117"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7.4 Fundamental Changes</w:t>
      </w:r>
      <w:r>
        <w:rPr>
          <w:rFonts w:ascii="Arial" w:cs="Arial" w:eastAsia="Arial" w:hAnsi="Arial"/>
          <w:sz w:val="20"/>
          <w:szCs w:val="20"/>
          <w:color w:val="auto"/>
        </w:rPr>
        <w:t>. Consummate any merger, consolidation or amalgamation, or liquidate, wind up or dissolve itself (or</w:t>
      </w:r>
      <w:r>
        <w:rPr>
          <w:rFonts w:ascii="Arial" w:cs="Arial" w:eastAsia="Arial" w:hAnsi="Arial"/>
          <w:sz w:val="20"/>
          <w:szCs w:val="20"/>
          <w:b w:val="1"/>
          <w:bCs w:val="1"/>
          <w:color w:val="auto"/>
        </w:rPr>
        <w:t xml:space="preserve"> </w:t>
      </w:r>
      <w:r>
        <w:rPr>
          <w:rFonts w:ascii="Arial" w:cs="Arial" w:eastAsia="Arial" w:hAnsi="Arial"/>
          <w:sz w:val="20"/>
          <w:szCs w:val="20"/>
          <w:color w:val="auto"/>
        </w:rPr>
        <w:t>suffer any liquidation or dissolution), or Dispose of all or substantially all of its property or business, except that:</w:t>
      </w:r>
    </w:p>
    <w:p>
      <w:pPr>
        <w:spacing w:after="0" w:line="115" w:lineRule="exact"/>
        <w:rPr>
          <w:sz w:val="20"/>
          <w:szCs w:val="20"/>
          <w:color w:val="auto"/>
        </w:rPr>
      </w:pPr>
    </w:p>
    <w:p>
      <w:pPr>
        <w:jc w:val="both"/>
        <w:ind w:firstLine="1304"/>
        <w:spacing w:after="0" w:line="259" w:lineRule="auto"/>
        <w:tabs>
          <w:tab w:leader="none" w:pos="1722" w:val="left"/>
        </w:tabs>
        <w:numPr>
          <w:ilvl w:val="1"/>
          <w:numId w:val="174"/>
        </w:numPr>
        <w:rPr>
          <w:rFonts w:ascii="Arial" w:cs="Arial" w:eastAsia="Arial" w:hAnsi="Arial"/>
          <w:sz w:val="19"/>
          <w:szCs w:val="19"/>
          <w:color w:val="auto"/>
        </w:rPr>
      </w:pPr>
      <w:r>
        <w:rPr>
          <w:rFonts w:ascii="Arial" w:cs="Arial" w:eastAsia="Arial" w:hAnsi="Arial"/>
          <w:sz w:val="19"/>
          <w:szCs w:val="19"/>
          <w:color w:val="auto"/>
        </w:rPr>
        <w:t>(i) any Group Member that is not a Loan Party may be merged, amalgamated or consolidated with or into (A) any Loan Party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such merger, amalgamation or consolidation involves (x) NerdWallet, NerdWallet shall be the continuing or surviving Person or (y) NerdWallet Compare and not NerdWallet, NerdWallet Compare shall be the continuing or surviving Person);</w:t>
      </w:r>
    </w:p>
    <w:p>
      <w:pPr>
        <w:spacing w:after="0" w:line="124" w:lineRule="exact"/>
        <w:rPr>
          <w:rFonts w:ascii="Arial" w:cs="Arial" w:eastAsia="Arial" w:hAnsi="Arial"/>
          <w:sz w:val="19"/>
          <w:szCs w:val="19"/>
          <w:color w:val="auto"/>
        </w:rPr>
      </w:pPr>
    </w:p>
    <w:p>
      <w:pPr>
        <w:jc w:val="both"/>
        <w:ind w:firstLine="1304"/>
        <w:spacing w:after="0" w:line="272" w:lineRule="auto"/>
        <w:tabs>
          <w:tab w:leader="none" w:pos="182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(i) any Group Member that is not a Loan Party may Dispose of any or all of its assets (including upon voluntary liquidation, dissolution or otherwise) (A) to any other Group Member or (B) pursuant to a Disposition permitted by </w:t>
      </w:r>
      <w:r>
        <w:rPr>
          <w:rFonts w:ascii="Arial" w:cs="Arial" w:eastAsia="Arial" w:hAnsi="Arial"/>
          <w:sz w:val="18"/>
          <w:szCs w:val="18"/>
          <w:u w:val="single" w:color="auto"/>
          <w:color w:val="auto"/>
        </w:rPr>
        <w:t>Section 7.5</w:t>
      </w:r>
      <w:r>
        <w:rPr>
          <w:rFonts w:ascii="Arial" w:cs="Arial" w:eastAsia="Arial" w:hAnsi="Arial"/>
          <w:sz w:val="18"/>
          <w:szCs w:val="18"/>
          <w:color w:val="auto"/>
        </w:rPr>
        <w:t>; and (ii) any Loan Party (other than NerdWallet) may Dispose of any or all of its assets (including upon voluntary liquidation, dissolution or otherwise)</w:t>
      </w:r>
    </w:p>
    <w:p>
      <w:pPr>
        <w:ind w:left="340" w:hanging="332"/>
        <w:spacing w:after="0"/>
        <w:tabs>
          <w:tab w:leader="none" w:pos="34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to any other Loan Party or (B) pursuant to a Disposition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w:t>
      </w:r>
    </w:p>
    <w:p>
      <w:pPr>
        <w:spacing w:after="0" w:line="145" w:lineRule="exact"/>
        <w:rPr>
          <w:rFonts w:ascii="Arial" w:cs="Arial" w:eastAsia="Arial" w:hAnsi="Arial"/>
          <w:sz w:val="20"/>
          <w:szCs w:val="20"/>
          <w:color w:val="auto"/>
        </w:rPr>
      </w:pPr>
    </w:p>
    <w:p>
      <w:pPr>
        <w:ind w:left="1720" w:hanging="416"/>
        <w:spacing w:after="0"/>
        <w:tabs>
          <w:tab w:leader="none" w:pos="17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any Investment expressly permitted by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may be structured as a merger, consolidation or amalgamation; and</w:t>
      </w:r>
    </w:p>
    <w:p>
      <w:pPr>
        <w:spacing w:after="0" w:line="184" w:lineRule="exact"/>
        <w:rPr>
          <w:rFonts w:ascii="Arial" w:cs="Arial" w:eastAsia="Arial" w:hAnsi="Arial"/>
          <w:sz w:val="18"/>
          <w:szCs w:val="18"/>
          <w:color w:val="auto"/>
        </w:rPr>
      </w:pPr>
    </w:p>
    <w:p>
      <w:pPr>
        <w:ind w:right="20" w:firstLine="1304"/>
        <w:spacing w:after="0" w:line="316" w:lineRule="auto"/>
        <w:tabs>
          <w:tab w:leader="none" w:pos="176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Subsidiary that is a limited liability company may consummate a Division as the dividing Person if, immediately upon the consummation of the Division, the assets of the applicable dividing Person are held by one or more Guarantors.</w:t>
      </w:r>
    </w:p>
    <w:p>
      <w:pPr>
        <w:spacing w:after="0" w:line="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8"/>
          <w:szCs w:val="18"/>
          <w:b w:val="1"/>
          <w:bCs w:val="1"/>
          <w:color w:val="auto"/>
        </w:rPr>
        <w:t>Disposition of Property</w:t>
      </w:r>
      <w:r>
        <w:rPr>
          <w:rFonts w:ascii="Arial" w:cs="Arial" w:eastAsia="Arial" w:hAnsi="Arial"/>
          <w:sz w:val="18"/>
          <w:szCs w:val="18"/>
          <w:color w:val="auto"/>
        </w:rPr>
        <w:t>. Dispose of any of its property, whether now owned or hereafter acquired, or, in the case of any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Subsidiary of the Borrower, issue or sell any shares of such Subsidiary’s Capital Stock to any Person, except:</w:t>
      </w:r>
    </w:p>
    <w:p>
      <w:pPr>
        <w:spacing w:after="0" w:line="146" w:lineRule="exact"/>
        <w:rPr>
          <w:sz w:val="20"/>
          <w:szCs w:val="20"/>
          <w:color w:val="auto"/>
        </w:rPr>
      </w:pPr>
    </w:p>
    <w:p>
      <w:pPr>
        <w:ind w:left="1720" w:hanging="416"/>
        <w:spacing w:after="0"/>
        <w:tabs>
          <w:tab w:leader="none" w:pos="17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Dispositions of obsolete, worn out or surplus property in the ordinary course of business;</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240"/>
          </w:cols>
          <w:pgMar w:left="320" w:top="771" w:right="339" w:bottom="1440" w:gutter="0" w:footer="0" w:header="0"/>
        </w:sectPr>
      </w:pPr>
    </w:p>
    <w:bookmarkStart w:id="209" w:name="page210"/>
    <w:bookmarkEnd w:id="209"/>
    <w:p>
      <w:pPr>
        <w:ind w:left="1720" w:hanging="416"/>
        <w:spacing w:after="0"/>
        <w:tabs>
          <w:tab w:leader="none" w:pos="172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Sections 7.4(b)(i)(A)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(b)(ii)(A)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sale or issuance of the Capital Stock of a Subsidiary of the Borrower (i) to the Borrower or any other Loan Party, or</w:t>
      </w:r>
    </w:p>
    <w:p>
      <w:pPr>
        <w:spacing w:after="0" w:line="38" w:lineRule="exact"/>
        <w:rPr>
          <w:rFonts w:ascii="Arial" w:cs="Arial" w:eastAsia="Arial" w:hAnsi="Arial"/>
          <w:sz w:val="18"/>
          <w:szCs w:val="18"/>
          <w:color w:val="auto"/>
        </w:rPr>
      </w:pPr>
    </w:p>
    <w:p>
      <w:pPr>
        <w:ind w:right="20" w:firstLine="8"/>
        <w:spacing w:after="0" w:line="244" w:lineRule="auto"/>
        <w:tabs>
          <w:tab w:leader="none" w:pos="294" w:val="left"/>
        </w:tabs>
        <w:numPr>
          <w:ilvl w:val="0"/>
          <w:numId w:val="178"/>
        </w:numPr>
        <w:rPr>
          <w:rFonts w:ascii="Arial" w:cs="Arial" w:eastAsia="Arial" w:hAnsi="Arial"/>
          <w:sz w:val="20"/>
          <w:szCs w:val="20"/>
          <w:color w:val="auto"/>
        </w:rPr>
      </w:pPr>
      <w:r>
        <w:rPr>
          <w:rFonts w:ascii="Arial" w:cs="Arial" w:eastAsia="Arial" w:hAnsi="Arial"/>
          <w:sz w:val="20"/>
          <w:szCs w:val="20"/>
          <w:color w:val="auto"/>
        </w:rPr>
        <w:t>by a Subsidiary that is not a Loan Party to another Subsidiary that is not a Loan Party or (iii) in connection with any transaction that does not result in a Change of Control;</w:t>
      </w:r>
    </w:p>
    <w:p>
      <w:pPr>
        <w:spacing w:after="0" w:line="137" w:lineRule="exact"/>
        <w:rPr>
          <w:rFonts w:ascii="Arial" w:cs="Arial" w:eastAsia="Arial" w:hAnsi="Arial"/>
          <w:sz w:val="20"/>
          <w:szCs w:val="20"/>
          <w:color w:val="auto"/>
        </w:rPr>
      </w:pPr>
    </w:p>
    <w:p>
      <w:pPr>
        <w:ind w:firstLine="1304"/>
        <w:spacing w:after="0" w:line="260" w:lineRule="auto"/>
        <w:tabs>
          <w:tab w:leader="none" w:pos="1718" w:val="left"/>
        </w:tabs>
        <w:numPr>
          <w:ilvl w:val="1"/>
          <w:numId w:val="178"/>
        </w:numPr>
        <w:rPr>
          <w:rFonts w:ascii="Arial" w:cs="Arial" w:eastAsia="Arial" w:hAnsi="Arial"/>
          <w:sz w:val="20"/>
          <w:szCs w:val="20"/>
          <w:color w:val="auto"/>
        </w:rPr>
      </w:pPr>
      <w:r>
        <w:rPr>
          <w:rFonts w:ascii="Arial" w:cs="Arial" w:eastAsia="Arial" w:hAnsi="Arial"/>
          <w:sz w:val="20"/>
          <w:szCs w:val="20"/>
          <w:color w:val="auto"/>
        </w:rPr>
        <w:t>the use or transfer of money, cash or Cash Equivalents in a manner that is not prohibited by the terms of this Agreement or the other Loan Documents;</w:t>
      </w:r>
    </w:p>
    <w:p>
      <w:pPr>
        <w:spacing w:after="0" w:line="122" w:lineRule="exact"/>
        <w:rPr>
          <w:rFonts w:ascii="Arial" w:cs="Arial" w:eastAsia="Arial" w:hAnsi="Arial"/>
          <w:sz w:val="20"/>
          <w:szCs w:val="20"/>
          <w:color w:val="auto"/>
        </w:rPr>
      </w:pPr>
    </w:p>
    <w:p>
      <w:pPr>
        <w:ind w:left="1780" w:hanging="476"/>
        <w:spacing w:after="0"/>
        <w:tabs>
          <w:tab w:leader="none" w:pos="17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non-exclusive licensing of patents, trademarks, copyrights, and other Intellectual Property rights in the ordinary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course of business;</w:t>
      </w:r>
    </w:p>
    <w:p>
      <w:pPr>
        <w:spacing w:after="0" w:line="145" w:lineRule="exact"/>
        <w:rPr>
          <w:rFonts w:ascii="Arial" w:cs="Arial" w:eastAsia="Arial" w:hAnsi="Arial"/>
          <w:sz w:val="18"/>
          <w:szCs w:val="18"/>
          <w:color w:val="auto"/>
        </w:rPr>
      </w:pPr>
    </w:p>
    <w:p>
      <w:pPr>
        <w:jc w:val="both"/>
        <w:ind w:firstLine="1304"/>
        <w:spacing w:after="0" w:line="246" w:lineRule="auto"/>
        <w:tabs>
          <w:tab w:leader="none" w:pos="1729"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the Disposition of property (i) from any Loan Party to any other Loan Party, and (ii) from any Group Member (which is not a Loan Party) to any other Group Member;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in each case in which there is a Lien over the relevant property in favor of the Administrative Agent in advance of the Disposition, an equivalent Lien will be granted to the Administrative Agent by the Group Member which acquires the property;</w:t>
      </w:r>
    </w:p>
    <w:p>
      <w:pPr>
        <w:spacing w:after="0" w:line="137" w:lineRule="exact"/>
        <w:rPr>
          <w:rFonts w:ascii="Arial" w:cs="Arial" w:eastAsia="Arial" w:hAnsi="Arial"/>
          <w:sz w:val="20"/>
          <w:szCs w:val="20"/>
          <w:color w:val="auto"/>
        </w:rPr>
      </w:pPr>
    </w:p>
    <w:p>
      <w:pPr>
        <w:ind w:left="1740" w:hanging="436"/>
        <w:spacing w:after="0"/>
        <w:tabs>
          <w:tab w:leader="none" w:pos="174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Dispositions of property subject to a Casualty Event;</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leases or subleases of real property;</w:t>
      </w:r>
    </w:p>
    <w:p>
      <w:pPr>
        <w:spacing w:after="0" w:line="161" w:lineRule="exact"/>
        <w:rPr>
          <w:rFonts w:ascii="Arial" w:cs="Arial" w:eastAsia="Arial" w:hAnsi="Arial"/>
          <w:sz w:val="20"/>
          <w:szCs w:val="20"/>
          <w:color w:val="auto"/>
        </w:rPr>
      </w:pPr>
    </w:p>
    <w:p>
      <w:pPr>
        <w:ind w:firstLine="1304"/>
        <w:spacing w:after="0" w:line="260" w:lineRule="auto"/>
        <w:tabs>
          <w:tab w:leader="none" w:pos="1681" w:val="left"/>
        </w:tabs>
        <w:numPr>
          <w:ilvl w:val="1"/>
          <w:numId w:val="178"/>
        </w:numPr>
        <w:rPr>
          <w:rFonts w:ascii="Arial" w:cs="Arial" w:eastAsia="Arial" w:hAnsi="Arial"/>
          <w:sz w:val="20"/>
          <w:szCs w:val="20"/>
          <w:color w:val="auto"/>
        </w:rPr>
      </w:pPr>
      <w:r>
        <w:rPr>
          <w:rFonts w:ascii="Arial" w:cs="Arial" w:eastAsia="Arial" w:hAnsi="Arial"/>
          <w:sz w:val="20"/>
          <w:szCs w:val="20"/>
          <w:color w:val="auto"/>
        </w:rPr>
        <w:t>the sale or discount without recourse of accounts receivable arising in the ordinary course of business in connection with the compromise or collection thereof;</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737" w:val="left"/>
        </w:tabs>
        <w:numPr>
          <w:ilvl w:val="1"/>
          <w:numId w:val="178"/>
        </w:numPr>
        <w:rPr>
          <w:rFonts w:ascii="Arial" w:cs="Arial" w:eastAsia="Arial" w:hAnsi="Arial"/>
          <w:sz w:val="20"/>
          <w:szCs w:val="20"/>
          <w:color w:val="auto"/>
        </w:rPr>
      </w:pPr>
      <w:r>
        <w:rPr>
          <w:rFonts w:ascii="Arial" w:cs="Arial" w:eastAsia="Arial" w:hAnsi="Arial"/>
          <w:sz w:val="20"/>
          <w:szCs w:val="20"/>
          <w:color w:val="auto"/>
        </w:rPr>
        <w:t>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w:t>
      </w:r>
    </w:p>
    <w:p>
      <w:pPr>
        <w:spacing w:after="0" w:line="131" w:lineRule="exact"/>
        <w:rPr>
          <w:rFonts w:ascii="Arial" w:cs="Arial" w:eastAsia="Arial" w:hAnsi="Arial"/>
          <w:sz w:val="20"/>
          <w:szCs w:val="20"/>
          <w:color w:val="auto"/>
        </w:rPr>
      </w:pPr>
    </w:p>
    <w:p>
      <w:pPr>
        <w:jc w:val="both"/>
        <w:ind w:firstLine="1304"/>
        <w:spacing w:after="0" w:line="250" w:lineRule="auto"/>
        <w:tabs>
          <w:tab w:leader="none" w:pos="1716"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Dispositions of other property having a fair market value not to exceed $1,000,000 in the aggregate for any fiscal year of the Borrower,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at the time of any such Disposition, no Event of Default shall have occurred and be continuing or would result from such Disposition; and</w:t>
      </w:r>
    </w:p>
    <w:p>
      <w:pPr>
        <w:spacing w:after="0" w:line="131" w:lineRule="exact"/>
        <w:rPr>
          <w:rFonts w:ascii="Arial" w:cs="Arial" w:eastAsia="Arial" w:hAnsi="Arial"/>
          <w:sz w:val="20"/>
          <w:szCs w:val="20"/>
          <w:color w:val="auto"/>
        </w:rPr>
      </w:pPr>
    </w:p>
    <w:p>
      <w:pPr>
        <w:ind w:left="1840" w:hanging="536"/>
        <w:spacing w:after="0"/>
        <w:tabs>
          <w:tab w:leader="none" w:pos="18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Restricted Payments permitted by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Investments permitted by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7.3</w:t>
      </w:r>
      <w:r>
        <w:rPr>
          <w:rFonts w:ascii="Arial" w:cs="Arial" w:eastAsia="Arial" w:hAnsi="Arial"/>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Disposition made pursuant to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(other than Dispositions (x) solely between Loan Parties,</w:t>
      </w:r>
    </w:p>
    <w:p>
      <w:pPr>
        <w:spacing w:after="0" w:line="39" w:lineRule="exact"/>
        <w:rPr>
          <w:sz w:val="20"/>
          <w:szCs w:val="20"/>
          <w:color w:val="auto"/>
        </w:rPr>
      </w:pPr>
    </w:p>
    <w:p>
      <w:pPr>
        <w:jc w:val="both"/>
        <w:ind w:right="20" w:firstLine="8"/>
        <w:spacing w:after="0" w:line="241" w:lineRule="auto"/>
        <w:tabs>
          <w:tab w:leader="none" w:pos="2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Dispositions solely between Group Members that are not Loan Parties or (z) Dispositions between a Loan Party and a Group Member that is not a Loan Party in which the terms thereof in favor of a Loan Party are at least arm’s length terms) shall be made in good faith on an arm’s length basis for fair value.</w:t>
      </w:r>
    </w:p>
    <w:p>
      <w:pPr>
        <w:spacing w:after="0" w:line="1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7.6 Restricted Payments</w:t>
      </w:r>
      <w:r>
        <w:rPr>
          <w:rFonts w:ascii="Arial" w:cs="Arial" w:eastAsia="Arial" w:hAnsi="Arial"/>
          <w:sz w:val="20"/>
          <w:szCs w:val="20"/>
          <w:color w:val="auto"/>
        </w:rPr>
        <w:t>. Make any payment or prepayment of principal of, premium, if any, or interest on, or redemption,</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retirement, defeasance (including in-substance or legal defeasance), sinking fund or similar payment with respect to, any Subordinated Indebtedness, pay any earn-out payment, seller debt or deferred purchase price payments, declare or pay any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Arial" w:cs="Arial" w:eastAsia="Arial" w:hAnsi="Arial"/>
          <w:sz w:val="20"/>
          <w:szCs w:val="20"/>
          <w:b w:val="1"/>
          <w:bCs w:val="1"/>
          <w:i w:val="1"/>
          <w:iCs w:val="1"/>
          <w:color w:val="auto"/>
        </w:rPr>
        <w:t>Restricted Payments</w:t>
      </w:r>
      <w:r>
        <w:rPr>
          <w:rFonts w:ascii="Arial" w:cs="Arial" w:eastAsia="Arial" w:hAnsi="Arial"/>
          <w:sz w:val="20"/>
          <w:szCs w:val="20"/>
          <w:color w:val="auto"/>
        </w:rPr>
        <w:t>”), except that, so long as no Event of Default shall have occurred and be continuing at the time of any action described below or would result therefrom;</w:t>
      </w:r>
    </w:p>
    <w:p>
      <w:pPr>
        <w:spacing w:after="0" w:line="141" w:lineRule="exact"/>
        <w:rPr>
          <w:sz w:val="20"/>
          <w:szCs w:val="20"/>
          <w:color w:val="auto"/>
        </w:rPr>
      </w:pPr>
    </w:p>
    <w:p>
      <w:pPr>
        <w:ind w:firstLine="1304"/>
        <w:spacing w:after="0" w:line="260" w:lineRule="auto"/>
        <w:tabs>
          <w:tab w:leader="none" w:pos="1734"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Group Member may make Restricted Payments to any Loan Party and any Group Member that is not a Loan Party may make Restricted Payments to any other Group Member;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240"/>
          </w:cols>
          <w:pgMar w:left="320" w:top="771" w:right="339" w:bottom="1440" w:gutter="0" w:footer="0" w:header="0"/>
        </w:sectPr>
      </w:pPr>
    </w:p>
    <w:bookmarkStart w:id="210" w:name="page211"/>
    <w:bookmarkEnd w:id="210"/>
    <w:p>
      <w:pPr>
        <w:jc w:val="both"/>
        <w:ind w:firstLine="1304"/>
        <w:spacing w:after="0" w:line="250" w:lineRule="auto"/>
        <w:tabs>
          <w:tab w:leader="none" w:pos="179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each Loan Party may purchase Capital Stock from present or former officers, directors or employees, of any Group Member;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aggregate amount of payments made under this clause (b) shall not exceed $2,500,000 during any fiscal year of the Borrower;</w:t>
      </w:r>
    </w:p>
    <w:p>
      <w:pPr>
        <w:spacing w:after="0" w:line="131" w:lineRule="exact"/>
        <w:rPr>
          <w:rFonts w:ascii="Arial" w:cs="Arial" w:eastAsia="Arial" w:hAnsi="Arial"/>
          <w:sz w:val="20"/>
          <w:szCs w:val="20"/>
          <w:color w:val="auto"/>
        </w:rPr>
      </w:pPr>
    </w:p>
    <w:p>
      <w:pPr>
        <w:jc w:val="both"/>
        <w:ind w:firstLine="1304"/>
        <w:spacing w:after="0" w:line="270" w:lineRule="auto"/>
        <w:tabs>
          <w:tab w:leader="none" w:pos="183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Loan Party may repurchase its Capital Stock and/or purchase Capital Stock from present or former officers, directors or employees, consultants, advisors, or other service providers of any Group Member (but excluding equity investment firms) (each a “</w:t>
      </w:r>
      <w:r>
        <w:rPr>
          <w:rFonts w:ascii="Arial" w:cs="Arial" w:eastAsia="Arial" w:hAnsi="Arial"/>
          <w:sz w:val="18"/>
          <w:szCs w:val="18"/>
          <w:b w:val="1"/>
          <w:bCs w:val="1"/>
          <w:color w:val="auto"/>
        </w:rPr>
        <w:t>Share Repurchase</w:t>
      </w:r>
      <w:r>
        <w:rPr>
          <w:rFonts w:ascii="Arial" w:cs="Arial" w:eastAsia="Arial" w:hAnsi="Arial"/>
          <w:sz w:val="18"/>
          <w:szCs w:val="18"/>
          <w:color w:val="auto"/>
        </w:rPr>
        <w:t xml:space="preserve">”) so long as (i) immediately after giving effect to any such Share Repurchase, the Borrower has an Adjusted Quick Ratio equal to or greater than 1.50:1.00, (ii) immediately after giving effect to any such Share Repurchase, the aggregate amount of the Borrower’s Qualified Cash is equal to or greater than $50,000,000, and (iii) immediately after giving effect to any such Share Repurchase, the Borrower is (A) in pro forma compliance with the Consolidated Adjusted EBITDA financial covenant contained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(including for the avoidance of doubt the covenant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if the Borrower’s pro forma Adjusted Quick Ratio would have resulted in a Covenant Testing Period) as of the most recently ended fiscal quarter for which financial statements were required to be delivered, and (B) projected to be in compliance with the financial covenants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(including for the avoidance of doubt the covenant set forth in </w:t>
      </w:r>
      <w:r>
        <w:rPr>
          <w:rFonts w:ascii="Arial" w:cs="Arial" w:eastAsia="Arial" w:hAnsi="Arial"/>
          <w:sz w:val="18"/>
          <w:szCs w:val="18"/>
          <w:u w:val="single" w:color="auto"/>
          <w:color w:val="auto"/>
        </w:rPr>
        <w:t>Section 7.1(b)</w:t>
      </w:r>
      <w:r>
        <w:rPr>
          <w:rFonts w:ascii="Arial" w:cs="Arial" w:eastAsia="Arial" w:hAnsi="Arial"/>
          <w:sz w:val="18"/>
          <w:szCs w:val="18"/>
          <w:color w:val="auto"/>
        </w:rPr>
        <w:t>, if the Borrower’s pro forma Adjusted Quick Ratio would have resulted in a Covenant Testing Period) for the twelve (12) month period thereafter, in each case based on financial statements and projections delivered to the Administrative Agent which give effect, on a pro forma basis, to such Share Repurchase;</w:t>
      </w:r>
    </w:p>
    <w:p>
      <w:pPr>
        <w:spacing w:after="0" w:line="121" w:lineRule="exact"/>
        <w:rPr>
          <w:rFonts w:ascii="Arial" w:cs="Arial" w:eastAsia="Arial" w:hAnsi="Arial"/>
          <w:sz w:val="18"/>
          <w:szCs w:val="18"/>
          <w:color w:val="auto"/>
        </w:rPr>
      </w:pPr>
    </w:p>
    <w:p>
      <w:pPr>
        <w:jc w:val="both"/>
        <w:ind w:firstLine="1304"/>
        <w:spacing w:after="0" w:line="244" w:lineRule="auto"/>
        <w:tabs>
          <w:tab w:leader="none" w:pos="1857"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the Group Members make payments in respect of any earn-out obligation, seller debt or deferred purchase price payments so long as immediately after giving effect to any such payment, the Borrower is in pro forma compliance with the financial covenants contained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(including for the avoidance of doubt the covenant set forth in </w:t>
      </w:r>
      <w:r>
        <w:rPr>
          <w:rFonts w:ascii="Arial" w:cs="Arial" w:eastAsia="Arial" w:hAnsi="Arial"/>
          <w:sz w:val="20"/>
          <w:szCs w:val="20"/>
          <w:u w:val="single" w:color="auto"/>
          <w:color w:val="auto"/>
        </w:rPr>
        <w:t>Section 7.1(b)</w:t>
      </w:r>
      <w:r>
        <w:rPr>
          <w:rFonts w:ascii="Arial" w:cs="Arial" w:eastAsia="Arial" w:hAnsi="Arial"/>
          <w:sz w:val="20"/>
          <w:szCs w:val="20"/>
          <w:color w:val="auto"/>
        </w:rPr>
        <w:t>, if the Borrower’s pro forma Adjusted Quick Ratio would have resulted in a Covenant Testing Period)as of the most recently ended fiscal quarter for which financial statements were required to be delivered;</w:t>
      </w:r>
    </w:p>
    <w:p>
      <w:pPr>
        <w:spacing w:after="0" w:line="140" w:lineRule="exact"/>
        <w:rPr>
          <w:rFonts w:ascii="Arial" w:cs="Arial" w:eastAsia="Arial" w:hAnsi="Arial"/>
          <w:sz w:val="20"/>
          <w:szCs w:val="20"/>
          <w:color w:val="auto"/>
        </w:rPr>
      </w:pPr>
    </w:p>
    <w:p>
      <w:pPr>
        <w:jc w:val="both"/>
        <w:ind w:firstLine="1304"/>
        <w:spacing w:after="0" w:line="244" w:lineRule="auto"/>
        <w:tabs>
          <w:tab w:leader="none" w:pos="179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(i) each Group Member may make repurchases of Capital Stock deemed to occur upon exercise of stock options or warrants if such repurchased Capital Stock represents a portion of the exercise price of such options or warrants, and (ii) each Group Member may make repurchases of Capital Stock deemed to occur upon the withholding of a portion of the Capital Stock issued, granted or awarded to a current or former officer, director, employee or consultant to pay for the taxes payable by such Person upon such issuance, grant or award (or upon vesting thereof);</w:t>
      </w:r>
    </w:p>
    <w:p>
      <w:pPr>
        <w:spacing w:after="0" w:line="140" w:lineRule="exact"/>
        <w:rPr>
          <w:rFonts w:ascii="Arial" w:cs="Arial" w:eastAsia="Arial" w:hAnsi="Arial"/>
          <w:sz w:val="20"/>
          <w:szCs w:val="20"/>
          <w:color w:val="auto"/>
        </w:rPr>
      </w:pPr>
    </w:p>
    <w:p>
      <w:pPr>
        <w:ind w:firstLine="1304"/>
        <w:spacing w:after="0" w:line="260" w:lineRule="auto"/>
        <w:tabs>
          <w:tab w:leader="none" w:pos="173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any Group Member may make payments in respect of Subordinated Indebtedness solely to the extent such payment is made in accordance with </w:t>
      </w:r>
      <w:r>
        <w:rPr>
          <w:rFonts w:ascii="Arial" w:cs="Arial" w:eastAsia="Arial" w:hAnsi="Arial"/>
          <w:sz w:val="20"/>
          <w:szCs w:val="20"/>
          <w:u w:val="single" w:color="auto"/>
          <w:color w:val="auto"/>
        </w:rPr>
        <w:t>Section 7.22</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78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each Group Member may purchase, redeem or otherwise acquire Capital Stock issued by it solely with the proceeds received from the substantially concurrent issue of new shares of its Capital Stock (other than Disqualified Stock);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any such issuance is otherwise permitted hereunder;</w:t>
      </w:r>
    </w:p>
    <w:p>
      <w:pPr>
        <w:spacing w:after="0" w:line="131" w:lineRule="exact"/>
        <w:rPr>
          <w:rFonts w:ascii="Arial" w:cs="Arial" w:eastAsia="Arial" w:hAnsi="Arial"/>
          <w:sz w:val="20"/>
          <w:szCs w:val="20"/>
          <w:color w:val="auto"/>
        </w:rPr>
      </w:pPr>
    </w:p>
    <w:p>
      <w:pPr>
        <w:ind w:firstLine="1304"/>
        <w:spacing w:after="0" w:line="260" w:lineRule="auto"/>
        <w:tabs>
          <w:tab w:leader="none" w:pos="181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the Borrower may deliver its common Capital Stock upon conversion of any convertible Indebtedness having been issued by the Borrower;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Indebtedness is otherwise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firstLine="1304"/>
        <w:spacing w:after="0" w:line="260" w:lineRule="auto"/>
        <w:tabs>
          <w:tab w:leader="none" w:pos="183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Borrower may deliver its common Capital Stock in connection with the exercise of stock options, warrants, restricted stock units or other equity awards by way of cashless exercise;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240"/>
          </w:cols>
          <w:pgMar w:left="320" w:top="771" w:right="339" w:bottom="1440" w:gutter="0" w:footer="0" w:header="0"/>
        </w:sectPr>
      </w:pPr>
    </w:p>
    <w:bookmarkStart w:id="211" w:name="page212"/>
    <w:bookmarkEnd w:id="211"/>
    <w:p>
      <w:pPr>
        <w:jc w:val="both"/>
        <w:ind w:firstLine="1304"/>
        <w:spacing w:after="0" w:line="246" w:lineRule="auto"/>
        <w:tabs>
          <w:tab w:leader="none" w:pos="195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NerdWallet may pay the Investor Indebtedness in full with the proceeds of a Qualified IPO substantially contemporaneously with the receipt of such proceeds so long as such Qualified IPO results in at least $50,000,000 of proceeds, net of any underwriting discount and commissions, to the Borrower, to the extent required by the applicable Investor Indebtedness and in accordance with the terms of the Investor Subordination Agreement;</w:t>
      </w:r>
    </w:p>
    <w:p>
      <w:pPr>
        <w:spacing w:after="0" w:line="137" w:lineRule="exact"/>
        <w:rPr>
          <w:rFonts w:ascii="Arial" w:cs="Arial" w:eastAsia="Arial" w:hAnsi="Arial"/>
          <w:sz w:val="20"/>
          <w:szCs w:val="20"/>
          <w:color w:val="auto"/>
        </w:rPr>
      </w:pPr>
    </w:p>
    <w:p>
      <w:pPr>
        <w:ind w:left="1740" w:hanging="436"/>
        <w:spacing w:after="0"/>
        <w:tabs>
          <w:tab w:leader="none" w:pos="17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Borrower may make distributions or dividends consisting solely of its Capital Stock (other than Disqualified Stock);</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45" w:lineRule="exact"/>
        <w:rPr>
          <w:rFonts w:ascii="Arial" w:cs="Arial" w:eastAsia="Arial" w:hAnsi="Arial"/>
          <w:sz w:val="18"/>
          <w:szCs w:val="18"/>
          <w:color w:val="auto"/>
        </w:rPr>
      </w:pPr>
    </w:p>
    <w:p>
      <w:pPr>
        <w:ind w:firstLine="1304"/>
        <w:spacing w:after="0" w:line="260" w:lineRule="auto"/>
        <w:tabs>
          <w:tab w:leader="none" w:pos="1681"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Group Members may make other Restricted Payments in an aggregate amount not to exceed $2,500,000 in any fiscal year of the Borrower.</w:t>
      </w:r>
    </w:p>
    <w:p>
      <w:pPr>
        <w:spacing w:after="0" w:line="1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7.8 Investments</w:t>
      </w:r>
      <w:r>
        <w:rPr>
          <w:rFonts w:ascii="Arial" w:cs="Arial" w:eastAsia="Arial" w:hAnsi="Arial"/>
          <w:sz w:val="20"/>
          <w:szCs w:val="20"/>
          <w:color w:val="auto"/>
        </w:rPr>
        <w:t>. Make any advance, loan, extension of credit (by way of guarantee or otherwise) or capital contribution to, or</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any Capital Stock, bonds, notes, debentures or other debt securities of, or any assets constituting a business unit of, or make any other investment in, any Person (all of the foregoing, “</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except:</w:t>
      </w:r>
    </w:p>
    <w:p>
      <w:pPr>
        <w:spacing w:after="0" w:line="129" w:lineRule="exact"/>
        <w:rPr>
          <w:sz w:val="20"/>
          <w:szCs w:val="20"/>
          <w:color w:val="auto"/>
        </w:rPr>
      </w:pPr>
    </w:p>
    <w:p>
      <w:pPr>
        <w:ind w:left="1720" w:hanging="416"/>
        <w:spacing w:after="0"/>
        <w:tabs>
          <w:tab w:leader="none" w:pos="172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extensions of trade credit in the ordinary course of business;</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161" w:lineRule="exact"/>
        <w:rPr>
          <w:rFonts w:ascii="Arial" w:cs="Arial" w:eastAsia="Arial" w:hAnsi="Arial"/>
          <w:sz w:val="20"/>
          <w:szCs w:val="20"/>
          <w:color w:val="auto"/>
        </w:rPr>
      </w:pPr>
    </w:p>
    <w:p>
      <w:pPr>
        <w:ind w:firstLine="1304"/>
        <w:spacing w:after="0" w:line="260" w:lineRule="auto"/>
        <w:tabs>
          <w:tab w:leader="none" w:pos="172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 xml:space="preserve">Guarantee Obligations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and Guarantee Obligations of obligations not constituting Indebtedness in the ordinary course of business;</w:t>
      </w:r>
    </w:p>
    <w:p>
      <w:pPr>
        <w:spacing w:after="0" w:line="122" w:lineRule="exact"/>
        <w:rPr>
          <w:rFonts w:ascii="Arial" w:cs="Arial" w:eastAsia="Arial" w:hAnsi="Arial"/>
          <w:sz w:val="20"/>
          <w:szCs w:val="20"/>
          <w:color w:val="auto"/>
        </w:rPr>
      </w:pPr>
    </w:p>
    <w:p>
      <w:pPr>
        <w:jc w:val="both"/>
        <w:ind w:firstLine="1304"/>
        <w:spacing w:after="0" w:line="291" w:lineRule="auto"/>
        <w:tabs>
          <w:tab w:leader="none" w:pos="174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the Group Members pursuant to employee stock purchase plans or agreements approved by the Borrower’s board of directors;</w:t>
      </w:r>
    </w:p>
    <w:p>
      <w:pPr>
        <w:spacing w:after="0" w:line="97" w:lineRule="exact"/>
        <w:rPr>
          <w:rFonts w:ascii="Arial" w:cs="Arial" w:eastAsia="Arial" w:hAnsi="Arial"/>
          <w:sz w:val="18"/>
          <w:szCs w:val="18"/>
          <w:color w:val="auto"/>
        </w:rPr>
      </w:pPr>
    </w:p>
    <w:p>
      <w:pPr>
        <w:ind w:left="1720" w:hanging="416"/>
        <w:spacing w:after="0"/>
        <w:tabs>
          <w:tab w:leader="none" w:pos="1720" w:val="left"/>
        </w:tabs>
        <w:numPr>
          <w:ilvl w:val="1"/>
          <w:numId w:val="183"/>
        </w:numPr>
        <w:rPr>
          <w:rFonts w:ascii="Arial" w:cs="Arial" w:eastAsia="Arial" w:hAnsi="Arial"/>
          <w:sz w:val="20"/>
          <w:szCs w:val="20"/>
          <w:color w:val="auto"/>
        </w:rPr>
      </w:pPr>
      <w:r>
        <w:rPr>
          <w:rFonts w:ascii="Arial" w:cs="Arial" w:eastAsia="Arial" w:hAnsi="Arial"/>
          <w:sz w:val="20"/>
          <w:szCs w:val="20"/>
          <w:color w:val="auto"/>
        </w:rPr>
        <w:t xml:space="preserve">Investments existing on the Closing Date and set forth on </w:t>
      </w:r>
      <w:r>
        <w:rPr>
          <w:rFonts w:ascii="Arial" w:cs="Arial" w:eastAsia="Arial" w:hAnsi="Arial"/>
          <w:sz w:val="20"/>
          <w:szCs w:val="20"/>
          <w:u w:val="single" w:color="auto"/>
          <w:color w:val="auto"/>
        </w:rPr>
        <w:t>Schedule 7.8</w:t>
      </w:r>
      <w:r>
        <w:rPr>
          <w:rFonts w:ascii="Arial" w:cs="Arial" w:eastAsia="Arial" w:hAnsi="Arial"/>
          <w:sz w:val="20"/>
          <w:szCs w:val="20"/>
          <w:color w:val="auto"/>
        </w:rPr>
        <w:t xml:space="preserve"> of the Disclosure Letter;</w:t>
      </w:r>
    </w:p>
    <w:p>
      <w:pPr>
        <w:spacing w:after="0" w:line="161" w:lineRule="exact"/>
        <w:rPr>
          <w:rFonts w:ascii="Arial" w:cs="Arial" w:eastAsia="Arial" w:hAnsi="Arial"/>
          <w:sz w:val="20"/>
          <w:szCs w:val="20"/>
          <w:color w:val="auto"/>
        </w:rPr>
      </w:pPr>
    </w:p>
    <w:p>
      <w:pPr>
        <w:jc w:val="both"/>
        <w:ind w:firstLine="1304"/>
        <w:spacing w:after="0" w:line="269" w:lineRule="auto"/>
        <w:tabs>
          <w:tab w:leader="none" w:pos="1761"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intercompany Investments by (i) any Loan Party in any other Loan Party, (ii) any Group Member that is not a Loan Party in any other Group Member, (iii) any Loan Party in any Group Member that is not a Loan Party (A) to the extent (x) no Default or Event of Defaults exists or would result therefrom and (y) such Investments (valued at cost) do not exceed $5,000,000 in the aggregate for all such Investments in any fiscal year of the Borrower (or such greater amount as the Administrative Agent may agree to in its sole discretion) or (B) to the extent arising from customary cost-plus services agreements entered into in the ordinary course of business, or (iv) to the extent</w:t>
      </w:r>
    </w:p>
    <w:p>
      <w:pPr>
        <w:spacing w:after="0" w:line="3" w:lineRule="exact"/>
        <w:rPr>
          <w:rFonts w:ascii="Arial" w:cs="Arial" w:eastAsia="Arial" w:hAnsi="Arial"/>
          <w:sz w:val="18"/>
          <w:szCs w:val="18"/>
          <w:color w:val="auto"/>
        </w:rPr>
      </w:pPr>
    </w:p>
    <w:p>
      <w:pPr>
        <w:jc w:val="both"/>
        <w:ind w:firstLine="8"/>
        <w:spacing w:after="0"/>
        <w:tabs>
          <w:tab w:leader="none" w:pos="348" w:val="left"/>
        </w:tabs>
        <w:numPr>
          <w:ilvl w:val="0"/>
          <w:numId w:val="184"/>
        </w:numPr>
        <w:rPr>
          <w:rFonts w:ascii="Arial" w:cs="Arial" w:eastAsia="Arial" w:hAnsi="Arial"/>
          <w:sz w:val="20"/>
          <w:szCs w:val="20"/>
          <w:color w:val="auto"/>
        </w:rPr>
      </w:pPr>
      <w:r>
        <w:rPr>
          <w:rFonts w:ascii="Arial" w:cs="Arial" w:eastAsia="Arial" w:hAnsi="Arial"/>
          <w:sz w:val="20"/>
          <w:szCs w:val="20"/>
          <w:color w:val="auto"/>
        </w:rPr>
        <w:t xml:space="preserve">no Default or Event of Default exists or would result therefrom and (B) the Borrower is in pro forma compliance with the financial covenants contained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(including for the avoidance of doubt, the covenant set forth in </w:t>
      </w:r>
      <w:r>
        <w:rPr>
          <w:rFonts w:ascii="Arial" w:cs="Arial" w:eastAsia="Arial" w:hAnsi="Arial"/>
          <w:sz w:val="20"/>
          <w:szCs w:val="20"/>
          <w:u w:val="single" w:color="auto"/>
          <w:color w:val="auto"/>
        </w:rPr>
        <w:t>Section 7.1(b)</w:t>
      </w:r>
      <w:r>
        <w:rPr>
          <w:rFonts w:ascii="Arial" w:cs="Arial" w:eastAsia="Arial" w:hAnsi="Arial"/>
          <w:sz w:val="20"/>
          <w:szCs w:val="20"/>
          <w:color w:val="auto"/>
        </w:rPr>
        <w:t>, if the Borrower’s pro forma Adjusted Quick Ratio would have resulted in a Covenant Testing Period) as of the most recently ended reporting period for which financial statements were required to be delivered, any Group Member in NerdWallet Insurance Services, Inc. sufficient to ensure that NerdWallet Insurance Services, Inc. maintains sufficient funds to comply with the financial responsibility requirements applicable to it pursuant to applicable law and/or the rules and regulations of any Governmental Authority (including, for the avoidance of doubt, any amounts that the staff of such Governmental Authority indicates in writing as part of any examination or proceeding should be maintained by NerdWallet Insurance Services, Inc.);</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240"/>
          </w:cols>
          <w:pgMar w:left="320" w:top="771" w:right="339" w:bottom="1440" w:gutter="0" w:footer="0" w:header="0"/>
        </w:sectPr>
      </w:pPr>
    </w:p>
    <w:bookmarkStart w:id="212" w:name="page213"/>
    <w:bookmarkEnd w:id="212"/>
    <w:p>
      <w:pPr>
        <w:ind w:left="1780" w:hanging="476"/>
        <w:spacing w:after="0"/>
        <w:tabs>
          <w:tab w:leader="none" w:pos="17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of negotiable instruments for collection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deposit;</w:t>
      </w:r>
    </w:p>
    <w:p>
      <w:pPr>
        <w:spacing w:after="0" w:line="146" w:lineRule="exact"/>
        <w:rPr>
          <w:sz w:val="20"/>
          <w:szCs w:val="20"/>
          <w:color w:val="auto"/>
        </w:rPr>
      </w:pPr>
    </w:p>
    <w:p>
      <w:pPr>
        <w:jc w:val="both"/>
        <w:ind w:firstLine="1304"/>
        <w:spacing w:after="0" w:line="250" w:lineRule="auto"/>
        <w:tabs>
          <w:tab w:leader="none" w:pos="1737" w:val="left"/>
        </w:tabs>
        <w:numPr>
          <w:ilvl w:val="0"/>
          <w:numId w:val="186"/>
        </w:numPr>
        <w:rPr>
          <w:rFonts w:ascii="Arial" w:cs="Arial" w:eastAsia="Arial" w:hAnsi="Arial"/>
          <w:sz w:val="20"/>
          <w:szCs w:val="20"/>
          <w:color w:val="auto"/>
        </w:rPr>
      </w:pPr>
      <w:r>
        <w:rPr>
          <w:rFonts w:ascii="Arial" w:cs="Arial" w:eastAsia="Arial" w:hAnsi="Arial"/>
          <w:sz w:val="20"/>
          <w:szCs w:val="20"/>
          <w:color w:val="auto"/>
        </w:rPr>
        <w:t>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74"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Investments held by any Person as of the date such Person is acquired in connection with a Permitted Acquisition,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 such Investments were not made, in any case, by such Person in connection with, or in contemplation of, such Permitted Acquisition, and (B) with respect to any such Person which becomes a Subsidiary as a result of such Permitted Acquisition, such Subsidiary remains the only holder of such Investment;</w:t>
      </w:r>
    </w:p>
    <w:p>
      <w:pPr>
        <w:spacing w:after="0" w:line="137" w:lineRule="exact"/>
        <w:rPr>
          <w:rFonts w:ascii="Arial" w:cs="Arial" w:eastAsia="Arial" w:hAnsi="Arial"/>
          <w:sz w:val="20"/>
          <w:szCs w:val="20"/>
          <w:color w:val="auto"/>
        </w:rPr>
      </w:pPr>
    </w:p>
    <w:p>
      <w:pPr>
        <w:jc w:val="both"/>
        <w:ind w:firstLine="1304"/>
        <w:spacing w:after="0" w:line="250" w:lineRule="auto"/>
        <w:tabs>
          <w:tab w:leader="none" w:pos="1759"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so long as no Event of Default exists immediately after giving effect to such Investment, in addition to Investments otherwise expressly permitted by this </w:t>
      </w:r>
      <w:r>
        <w:rPr>
          <w:rFonts w:ascii="Arial" w:cs="Arial" w:eastAsia="Arial" w:hAnsi="Arial"/>
          <w:sz w:val="20"/>
          <w:szCs w:val="20"/>
          <w:u w:val="single" w:color="auto"/>
          <w:color w:val="auto"/>
        </w:rPr>
        <w:t>Section 7.8</w:t>
      </w:r>
      <w:r>
        <w:rPr>
          <w:rFonts w:ascii="Arial" w:cs="Arial" w:eastAsia="Arial" w:hAnsi="Arial"/>
          <w:sz w:val="20"/>
          <w:szCs w:val="20"/>
          <w:color w:val="auto"/>
        </w:rPr>
        <w:t>, any Investments in an aggregate amount not to exceed $5,000,000 in any fiscal year of NerdWallet;</w:t>
      </w:r>
    </w:p>
    <w:p>
      <w:pPr>
        <w:spacing w:after="0" w:line="131" w:lineRule="exact"/>
        <w:rPr>
          <w:rFonts w:ascii="Arial" w:cs="Arial" w:eastAsia="Arial" w:hAnsi="Arial"/>
          <w:sz w:val="20"/>
          <w:szCs w:val="20"/>
          <w:color w:val="auto"/>
        </w:rPr>
      </w:pPr>
    </w:p>
    <w:p>
      <w:pPr>
        <w:ind w:firstLine="1304"/>
        <w:spacing w:after="0" w:line="260" w:lineRule="auto"/>
        <w:tabs>
          <w:tab w:leader="none" w:pos="1776"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deposits made to secure the performance of leases, licenses or contracts in the ordinary course of business, and other deposits made in connection with the incurrence of Liens permitted under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firstLine="1304"/>
        <w:spacing w:after="0" w:line="260" w:lineRule="auto"/>
        <w:tabs>
          <w:tab w:leader="none" w:pos="1774"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licensing or contribution of Intellectual Property pursuant to joint marketing or joint venture arrangements with other Persons in the ordinary course of business;</w:t>
      </w:r>
    </w:p>
    <w:p>
      <w:pPr>
        <w:spacing w:after="0" w:line="122" w:lineRule="exact"/>
        <w:rPr>
          <w:rFonts w:ascii="Arial" w:cs="Arial" w:eastAsia="Arial" w:hAnsi="Arial"/>
          <w:sz w:val="20"/>
          <w:szCs w:val="20"/>
          <w:color w:val="auto"/>
        </w:rPr>
      </w:pPr>
    </w:p>
    <w:p>
      <w:pPr>
        <w:jc w:val="both"/>
        <w:ind w:firstLine="1304"/>
        <w:spacing w:after="0" w:line="250" w:lineRule="auto"/>
        <w:tabs>
          <w:tab w:leader="none" w:pos="180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promissory notes and other non-cash consideration received in connection with Dispositions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 to the extent not exceeding the limits specified therein with respect to the receipt of non-cash consideration in connection with such Dispositions; and</w:t>
      </w:r>
    </w:p>
    <w:p>
      <w:pPr>
        <w:spacing w:after="0" w:line="131" w:lineRule="exact"/>
        <w:rPr>
          <w:rFonts w:ascii="Arial" w:cs="Arial" w:eastAsia="Arial" w:hAnsi="Arial"/>
          <w:sz w:val="20"/>
          <w:szCs w:val="20"/>
          <w:color w:val="auto"/>
        </w:rPr>
      </w:pPr>
    </w:p>
    <w:p>
      <w:pPr>
        <w:jc w:val="both"/>
        <w:ind w:firstLine="1304"/>
        <w:spacing w:after="0" w:line="269" w:lineRule="auto"/>
        <w:tabs>
          <w:tab w:leader="none" w:pos="174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so long as no Event of Default exists immediately after giving effect to such Investment, Investments in joint ventures, corporate collaborations, or strategic alliances;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aggregate amount of all such Investments made in cash shall not exceed, together with Investments permitted by </w:t>
      </w:r>
      <w:r>
        <w:rPr>
          <w:rFonts w:ascii="Arial" w:cs="Arial" w:eastAsia="Arial" w:hAnsi="Arial"/>
          <w:sz w:val="19"/>
          <w:szCs w:val="19"/>
          <w:u w:val="single" w:color="auto"/>
          <w:color w:val="auto"/>
        </w:rPr>
        <w:t>Section 7.8(o)</w:t>
      </w:r>
      <w:r>
        <w:rPr>
          <w:rFonts w:ascii="Arial" w:cs="Arial" w:eastAsia="Arial" w:hAnsi="Arial"/>
          <w:sz w:val="19"/>
          <w:szCs w:val="19"/>
          <w:color w:val="auto"/>
        </w:rPr>
        <w:t>, $5,000,000 in any fiscal year of the Borrower; and</w:t>
      </w:r>
    </w:p>
    <w:p>
      <w:pPr>
        <w:spacing w:after="0" w:line="115" w:lineRule="exact"/>
        <w:rPr>
          <w:rFonts w:ascii="Arial" w:cs="Arial" w:eastAsia="Arial" w:hAnsi="Arial"/>
          <w:sz w:val="19"/>
          <w:szCs w:val="19"/>
          <w:color w:val="auto"/>
        </w:rPr>
      </w:pPr>
    </w:p>
    <w:p>
      <w:pPr>
        <w:jc w:val="both"/>
        <w:ind w:firstLine="1304"/>
        <w:spacing w:after="0" w:line="250" w:lineRule="auto"/>
        <w:tabs>
          <w:tab w:leader="none" w:pos="1727"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so long as no Event of Default exists immediately after giving effect to such Investment, minority equity Investments in companies in similar line of business with non-U.S. operations in amounts not to exceed, together with Investments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7.8(n)</w:t>
      </w:r>
      <w:r>
        <w:rPr>
          <w:rFonts w:ascii="Arial" w:cs="Arial" w:eastAsia="Arial" w:hAnsi="Arial"/>
          <w:sz w:val="20"/>
          <w:szCs w:val="20"/>
          <w:color w:val="auto"/>
        </w:rPr>
        <w:t>, $2,500,000 in any fiscal year of the Borrower;</w:t>
      </w:r>
    </w:p>
    <w:p>
      <w:pPr>
        <w:spacing w:after="0" w:line="131" w:lineRule="exact"/>
        <w:rPr>
          <w:rFonts w:ascii="Arial" w:cs="Arial" w:eastAsia="Arial" w:hAnsi="Arial"/>
          <w:sz w:val="20"/>
          <w:szCs w:val="20"/>
          <w:color w:val="auto"/>
        </w:rPr>
      </w:pPr>
    </w:p>
    <w:p>
      <w:pPr>
        <w:jc w:val="both"/>
        <w:ind w:firstLine="1304"/>
        <w:spacing w:after="0" w:line="246" w:lineRule="auto"/>
        <w:tabs>
          <w:tab w:leader="none" w:pos="1779" w:val="left"/>
        </w:tabs>
        <w:numPr>
          <w:ilvl w:val="0"/>
          <w:numId w:val="186"/>
        </w:numPr>
        <w:rPr>
          <w:rFonts w:ascii="Arial" w:cs="Arial" w:eastAsia="Arial" w:hAnsi="Arial"/>
          <w:sz w:val="20"/>
          <w:szCs w:val="20"/>
          <w:color w:val="auto"/>
        </w:rPr>
      </w:pPr>
      <w:r>
        <w:rPr>
          <w:rFonts w:ascii="Arial" w:cs="Arial" w:eastAsia="Arial" w:hAnsi="Arial"/>
          <w:sz w:val="20"/>
          <w:szCs w:val="20"/>
          <w:color w:val="auto"/>
        </w:rPr>
        <w:t>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Arial" w:cs="Arial" w:eastAsia="Arial" w:hAnsi="Arial"/>
          <w:sz w:val="20"/>
          <w:szCs w:val="20"/>
          <w:b w:val="1"/>
          <w:bCs w:val="1"/>
          <w:i w:val="1"/>
          <w:iCs w:val="1"/>
          <w:color w:val="auto"/>
        </w:rPr>
        <w:t>Permitted Acquisition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with respect to each such purchase or other acquisition consummated pursuant to this </w:t>
      </w:r>
      <w:r>
        <w:rPr>
          <w:rFonts w:ascii="Arial" w:cs="Arial" w:eastAsia="Arial" w:hAnsi="Arial"/>
          <w:sz w:val="20"/>
          <w:szCs w:val="20"/>
          <w:u w:val="single" w:color="auto"/>
          <w:color w:val="auto"/>
        </w:rPr>
        <w:t>Section 7.8(p)</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ind w:firstLine="1952"/>
        <w:spacing w:after="0" w:line="260" w:lineRule="auto"/>
        <w:tabs>
          <w:tab w:leader="none" w:pos="2393" w:val="left"/>
        </w:tabs>
        <w:numPr>
          <w:ilvl w:val="1"/>
          <w:numId w:val="186"/>
        </w:numPr>
        <w:rPr>
          <w:rFonts w:ascii="Arial" w:cs="Arial" w:eastAsia="Arial" w:hAnsi="Arial"/>
          <w:sz w:val="20"/>
          <w:szCs w:val="20"/>
          <w:color w:val="auto"/>
        </w:rPr>
      </w:pPr>
      <w:r>
        <w:rPr>
          <w:rFonts w:ascii="Arial" w:cs="Arial" w:eastAsia="Arial" w:hAnsi="Arial"/>
          <w:sz w:val="20"/>
          <w:szCs w:val="20"/>
          <w:color w:val="auto"/>
        </w:rPr>
        <w:t xml:space="preserve">the newly-created or acquired Subsidiary (or assets acquired in connection with such asset sale) shall be in a business permitted by </w:t>
      </w:r>
      <w:r>
        <w:rPr>
          <w:rFonts w:ascii="Arial" w:cs="Arial" w:eastAsia="Arial" w:hAnsi="Arial"/>
          <w:sz w:val="20"/>
          <w:szCs w:val="20"/>
          <w:u w:val="single" w:color="auto"/>
          <w:color w:val="auto"/>
        </w:rPr>
        <w:t>Section 7.17</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firstLine="1952"/>
        <w:spacing w:after="0" w:line="260" w:lineRule="auto"/>
        <w:tabs>
          <w:tab w:leader="none" w:pos="2534" w:val="left"/>
        </w:tabs>
        <w:numPr>
          <w:ilvl w:val="1"/>
          <w:numId w:val="186"/>
        </w:numPr>
        <w:rPr>
          <w:rFonts w:ascii="Arial" w:cs="Arial" w:eastAsia="Arial" w:hAnsi="Arial"/>
          <w:sz w:val="20"/>
          <w:szCs w:val="20"/>
          <w:color w:val="auto"/>
        </w:rPr>
      </w:pPr>
      <w:r>
        <w:rPr>
          <w:rFonts w:ascii="Arial" w:cs="Arial" w:eastAsia="Arial" w:hAnsi="Arial"/>
          <w:sz w:val="20"/>
          <w:szCs w:val="20"/>
          <w:color w:val="auto"/>
        </w:rPr>
        <w:t>all transactions related to such purchase or acquisition shall be consummated in all material respects in accordance with all Requirements of Law;</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240"/>
          </w:cols>
          <w:pgMar w:left="320" w:top="771" w:right="339" w:bottom="1440" w:gutter="0" w:footer="0" w:header="0"/>
        </w:sectPr>
      </w:pPr>
    </w:p>
    <w:bookmarkStart w:id="213" w:name="page214"/>
    <w:bookmarkEnd w:id="213"/>
    <w:p>
      <w:pPr>
        <w:jc w:val="both"/>
        <w:ind w:firstLine="1952"/>
        <w:spacing w:after="0" w:line="246" w:lineRule="auto"/>
        <w:tabs>
          <w:tab w:leader="none" w:pos="245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no Loan Party shall, as a result of or in connection with any such purchase or acquisition, assume or incur any direct or contingent liabilities (whether relating to environmental, tax, litigation or other matters) that, as of the date of such purchase or acquisition (or in the case of a Limited Condition Acquisition, as of the LCA Test Date), could reasonably be expected to result in the existence or incurrence of a Material Adverse Effect;</w:t>
      </w:r>
    </w:p>
    <w:p>
      <w:pPr>
        <w:spacing w:after="0" w:line="137" w:lineRule="exact"/>
        <w:rPr>
          <w:rFonts w:ascii="Arial" w:cs="Arial" w:eastAsia="Arial" w:hAnsi="Arial"/>
          <w:sz w:val="20"/>
          <w:szCs w:val="20"/>
          <w:color w:val="auto"/>
        </w:rPr>
      </w:pPr>
    </w:p>
    <w:p>
      <w:pPr>
        <w:ind w:left="2480" w:hanging="528"/>
        <w:spacing w:after="0"/>
        <w:tabs>
          <w:tab w:leader="none" w:pos="2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Borrower shall give the Administrative Agent at least 10 Business Days’ prior written notice of any such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purchase or acquisition;</w:t>
      </w:r>
    </w:p>
    <w:p>
      <w:pPr>
        <w:spacing w:after="0" w:line="145" w:lineRule="exact"/>
        <w:rPr>
          <w:rFonts w:ascii="Arial" w:cs="Arial" w:eastAsia="Arial" w:hAnsi="Arial"/>
          <w:sz w:val="18"/>
          <w:szCs w:val="18"/>
          <w:color w:val="auto"/>
        </w:rPr>
      </w:pPr>
    </w:p>
    <w:p>
      <w:pPr>
        <w:jc w:val="both"/>
        <w:ind w:firstLine="1952"/>
        <w:spacing w:after="0" w:line="250" w:lineRule="auto"/>
        <w:tabs>
          <w:tab w:leader="none" w:pos="2422"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Borrower shall provide to the Administrative Agent as soon as available but in any event not later than 5 Business Days after the execution thereof, a copy of any executed purchase agreement or similar agreement with respect to any such purchase or acquisition;</w:t>
      </w:r>
    </w:p>
    <w:p>
      <w:pPr>
        <w:spacing w:after="0" w:line="131" w:lineRule="exact"/>
        <w:rPr>
          <w:rFonts w:ascii="Arial" w:cs="Arial" w:eastAsia="Arial" w:hAnsi="Arial"/>
          <w:sz w:val="20"/>
          <w:szCs w:val="20"/>
          <w:color w:val="auto"/>
        </w:rPr>
      </w:pPr>
    </w:p>
    <w:p>
      <w:pPr>
        <w:jc w:val="both"/>
        <w:ind w:right="20" w:firstLine="1952"/>
        <w:spacing w:after="0" w:line="291" w:lineRule="auto"/>
        <w:tabs>
          <w:tab w:leader="none" w:pos="247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any such newly-created or acquired Subsidiary, or the Loan Party that is the acquirer of assets in connection with an asset acquisition, shall comply or be prepared to comply with the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except to the extent compliance with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is prohibited by pre-existing Contractual Obligations or Requirements of Law binding on such Subsidiary or its properties;</w:t>
      </w:r>
    </w:p>
    <w:p>
      <w:pPr>
        <w:spacing w:after="0" w:line="97" w:lineRule="exact"/>
        <w:rPr>
          <w:rFonts w:ascii="Arial" w:cs="Arial" w:eastAsia="Arial" w:hAnsi="Arial"/>
          <w:sz w:val="18"/>
          <w:szCs w:val="18"/>
          <w:color w:val="auto"/>
        </w:rPr>
      </w:pPr>
    </w:p>
    <w:p>
      <w:pPr>
        <w:jc w:val="both"/>
        <w:ind w:firstLine="1952"/>
        <w:spacing w:after="0" w:line="246" w:lineRule="auto"/>
        <w:tabs>
          <w:tab w:leader="none" w:pos="249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immediately after giving effect to any such purchase or other acquisition, no Default or Event of Default shall have occurred and be continuing (other than in connection with a Limited Condition Acquisition, in which case there shall be (x) no Default or Event of Default as of the LCA Test Date and (y) no Event of Default under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 xml:space="preserve"> immediately after giving effect to any such purchase or other acquisition);</w:t>
      </w:r>
    </w:p>
    <w:p>
      <w:pPr>
        <w:spacing w:after="0" w:line="137" w:lineRule="exact"/>
        <w:rPr>
          <w:rFonts w:ascii="Arial" w:cs="Arial" w:eastAsia="Arial" w:hAnsi="Arial"/>
          <w:sz w:val="20"/>
          <w:szCs w:val="20"/>
          <w:color w:val="auto"/>
        </w:rPr>
      </w:pPr>
    </w:p>
    <w:p>
      <w:pPr>
        <w:jc w:val="both"/>
        <w:ind w:firstLine="1952"/>
        <w:spacing w:after="0" w:line="255" w:lineRule="auto"/>
        <w:tabs>
          <w:tab w:leader="none" w:pos="255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(A) immediately after giving effect to any such purchase or acquisition, the Borrower has an Adjusted Quick Ratio equal to or greater than 1.25:1.00; (B) immediately after giving effect to any such purchase or acquisition, the aggregate amount of the Borrower’s Qualified Cash is equal to or greater than $50,000,000; and (C) immediately after giving effect to any such purchase or acquisition the Borrower is (I) in pro forma compliance with the financial covenants contained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(including for the avoidance of doubt, the covenant set forth in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if the Borrower’s pro forma Adjusted Quick Ratio would have resulted in a Covenant Testing Period), as of the most recently ended reporting period for which financial statements were required to be delivered, and (II) projected to be in compliance with the financial covenants contained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for the twelve (12) month period thereafter (including for the avoidance of doubt, the covenant set forth in </w:t>
      </w:r>
      <w:r>
        <w:rPr>
          <w:rFonts w:ascii="Arial" w:cs="Arial" w:eastAsia="Arial" w:hAnsi="Arial"/>
          <w:sz w:val="19"/>
          <w:szCs w:val="19"/>
          <w:u w:val="single" w:color="auto"/>
          <w:color w:val="auto"/>
        </w:rPr>
        <w:t>Section 7.1(b)</w:t>
      </w:r>
      <w:r>
        <w:rPr>
          <w:rFonts w:ascii="Arial" w:cs="Arial" w:eastAsia="Arial" w:hAnsi="Arial"/>
          <w:sz w:val="19"/>
          <w:szCs w:val="19"/>
          <w:color w:val="auto"/>
        </w:rPr>
        <w:t>, if the Borrower’s pro forma Adjusted Quick Ratio would have resulted in a Covenant Testing Period), in each case, based on financial statements and projections delivered to the Administrative Agent which give effect, on a pro forma basis to such purchase or acquisition;</w:t>
      </w:r>
    </w:p>
    <w:p>
      <w:pPr>
        <w:spacing w:after="0" w:line="135" w:lineRule="exact"/>
        <w:rPr>
          <w:rFonts w:ascii="Arial" w:cs="Arial" w:eastAsia="Arial" w:hAnsi="Arial"/>
          <w:sz w:val="19"/>
          <w:szCs w:val="19"/>
          <w:color w:val="auto"/>
        </w:rPr>
      </w:pPr>
    </w:p>
    <w:p>
      <w:pPr>
        <w:jc w:val="both"/>
        <w:ind w:firstLine="1952"/>
        <w:spacing w:after="0" w:line="250" w:lineRule="auto"/>
        <w:tabs>
          <w:tab w:leader="none" w:pos="2448" w:val="left"/>
        </w:tabs>
        <w:numPr>
          <w:ilvl w:val="0"/>
          <w:numId w:val="187"/>
        </w:numPr>
        <w:rPr>
          <w:rFonts w:ascii="Arial" w:cs="Arial" w:eastAsia="Arial" w:hAnsi="Arial"/>
          <w:sz w:val="20"/>
          <w:szCs w:val="20"/>
          <w:color w:val="auto"/>
        </w:rPr>
      </w:pPr>
      <w:r>
        <w:rPr>
          <w:rFonts w:ascii="Arial" w:cs="Arial" w:eastAsia="Arial" w:hAnsi="Arial"/>
          <w:sz w:val="20"/>
          <w:szCs w:val="20"/>
          <w:color w:val="auto"/>
        </w:rPr>
        <w:t>for a Permitted Acquisition with a purchase price in excess of $50,000,000, deliver at least 10 Business Days’ prior to the consummation of any such purchase or acquisition, a quality of earnings report, in form and substance acceptable to the Administrative Agent;</w:t>
      </w:r>
    </w:p>
    <w:p>
      <w:pPr>
        <w:spacing w:after="0" w:line="131" w:lineRule="exact"/>
        <w:rPr>
          <w:rFonts w:ascii="Arial" w:cs="Arial" w:eastAsia="Arial" w:hAnsi="Arial"/>
          <w:sz w:val="20"/>
          <w:szCs w:val="20"/>
          <w:color w:val="auto"/>
        </w:rPr>
      </w:pPr>
    </w:p>
    <w:p>
      <w:pPr>
        <w:ind w:firstLine="1952"/>
        <w:spacing w:after="0" w:line="260" w:lineRule="auto"/>
        <w:tabs>
          <w:tab w:leader="none" w:pos="252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no Indebtedness is assumed or incurred in connection with any such purchase or acquisition other than Indebtedness permitted by the terms of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2440" w:hanging="488"/>
        <w:spacing w:after="0"/>
        <w:tabs>
          <w:tab w:leader="none" w:pos="24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such purchase or acquisition shall not constitute an Unfriendly Acquisition;</w:t>
      </w:r>
    </w:p>
    <w:p>
      <w:pPr>
        <w:spacing w:after="0" w:line="161" w:lineRule="exact"/>
        <w:rPr>
          <w:rFonts w:ascii="Arial" w:cs="Arial" w:eastAsia="Arial" w:hAnsi="Arial"/>
          <w:sz w:val="20"/>
          <w:szCs w:val="20"/>
          <w:color w:val="auto"/>
        </w:rPr>
      </w:pPr>
    </w:p>
    <w:p>
      <w:pPr>
        <w:ind w:right="20" w:firstLine="1952"/>
        <w:spacing w:after="0" w:line="287" w:lineRule="auto"/>
        <w:tabs>
          <w:tab w:leader="none" w:pos="2537"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to the extent required by </w:t>
      </w:r>
      <w:r>
        <w:rPr>
          <w:rFonts w:ascii="Arial" w:cs="Arial" w:eastAsia="Arial" w:hAnsi="Arial"/>
          <w:sz w:val="19"/>
          <w:szCs w:val="19"/>
          <w:u w:val="single" w:color="auto"/>
          <w:color w:val="auto"/>
        </w:rPr>
        <w:t>Section 6.12</w:t>
      </w:r>
      <w:r>
        <w:rPr>
          <w:rFonts w:ascii="Arial" w:cs="Arial" w:eastAsia="Arial" w:hAnsi="Arial"/>
          <w:sz w:val="19"/>
          <w:szCs w:val="19"/>
          <w:color w:val="auto"/>
        </w:rPr>
        <w:t>, each such Permitted Acquisition is of a Person that becomes a Loan Party or of assets that become Collateral hereunder, except as otherwise agreed to in writing by the Administrative Agent;</w:t>
      </w:r>
    </w:p>
    <w:p>
      <w:pPr>
        <w:spacing w:after="0" w:line="98" w:lineRule="exact"/>
        <w:rPr>
          <w:rFonts w:ascii="Arial" w:cs="Arial" w:eastAsia="Arial" w:hAnsi="Arial"/>
          <w:sz w:val="19"/>
          <w:szCs w:val="19"/>
          <w:color w:val="auto"/>
        </w:rPr>
      </w:pPr>
    </w:p>
    <w:p>
      <w:pPr>
        <w:ind w:left="2540" w:hanging="588"/>
        <w:spacing w:after="0"/>
        <w:tabs>
          <w:tab w:leader="none" w:pos="25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in any merger involving the Borrower, the Borrower is the sole surviving entity;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240"/>
          </w:cols>
          <w:pgMar w:left="320" w:top="771" w:right="339" w:bottom="1440" w:gutter="0" w:footer="0" w:header="0"/>
        </w:sectPr>
      </w:pPr>
    </w:p>
    <w:bookmarkStart w:id="214" w:name="page215"/>
    <w:bookmarkEnd w:id="214"/>
    <w:p>
      <w:pPr>
        <w:ind w:firstLine="1952"/>
        <w:spacing w:after="0" w:line="260" w:lineRule="auto"/>
        <w:tabs>
          <w:tab w:leader="none" w:pos="2649" w:val="left"/>
        </w:tabs>
        <w:numPr>
          <w:ilvl w:val="0"/>
          <w:numId w:val="188"/>
        </w:numPr>
        <w:rPr>
          <w:rFonts w:ascii="Arial" w:cs="Arial" w:eastAsia="Arial" w:hAnsi="Arial"/>
          <w:sz w:val="20"/>
          <w:szCs w:val="20"/>
          <w:color w:val="auto"/>
        </w:rPr>
      </w:pPr>
      <w:r>
        <w:rPr>
          <w:rFonts w:ascii="Arial" w:cs="Arial" w:eastAsia="Arial" w:hAnsi="Arial"/>
          <w:sz w:val="20"/>
          <w:szCs w:val="20"/>
          <w:color w:val="auto"/>
        </w:rPr>
        <w:t>such Permitted Acquisition shall only involve assets or entities located in the United States, the United Kingdom, Canada or Australia (unless the Administrative Agent otherwise consents, in its reasonable discretion); and</w:t>
      </w:r>
    </w:p>
    <w:p>
      <w:pPr>
        <w:spacing w:after="0" w:line="122" w:lineRule="exact"/>
        <w:rPr>
          <w:rFonts w:ascii="Arial" w:cs="Arial" w:eastAsia="Arial" w:hAnsi="Arial"/>
          <w:sz w:val="20"/>
          <w:szCs w:val="20"/>
          <w:color w:val="auto"/>
        </w:rPr>
      </w:pPr>
    </w:p>
    <w:p>
      <w:pPr>
        <w:jc w:val="both"/>
        <w:ind w:firstLine="1952"/>
        <w:spacing w:after="0" w:line="244" w:lineRule="auto"/>
        <w:tabs>
          <w:tab w:leader="none" w:pos="251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Borrower shall have delivered to the Administrative Agent, at least 5 Business Days prior to the date on which any such purchase or other acquisition is to be consummated (or such later date as is agreed by the Administrative Agent in its sole discretion), a certificate of a Responsible Officer of the Borrower, in form and substance reasonably satisfactory to the Administrative Agent, certifying that all of the requirements set forth in this definition have been satisfied or will be satisfied on or prior to the consummation of such purchase or other acquisition.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anything herein to the contrary, no Group Member shall consummate an Unfriendly Acquisition.</w:t>
      </w:r>
    </w:p>
    <w:p>
      <w:pPr>
        <w:spacing w:after="0" w:line="1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7.9 ERISA</w:t>
      </w:r>
      <w:r>
        <w:rPr>
          <w:rFonts w:ascii="Arial" w:cs="Arial" w:eastAsia="Arial" w:hAnsi="Arial"/>
          <w:sz w:val="18"/>
          <w:szCs w:val="18"/>
          <w:color w:val="auto"/>
        </w:rPr>
        <w:t>. The Borrower shall not, and shall not permit any of its ERISA Affiliates to: (a) terminate any Pension Plan so as to</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any material liability to the Borrower or any ERISA Affiliate, (b) permit to exist any ERISA Event, or any other event or condition, which presents the risk of a material liability to any ERISA Affiliate, (c) make a complete or partial withdrawal (within the meaning of ERISA Section 4201) from any Multiemployer Plan so as to result in any material liability to the Borrower or any ERISA Affiliate, (d) enter into any new Pension Plan or Multiemployer Plan or modify any existing Pension Plan or Multiemployer Plan so as to increase its obligations thereunder which could be reasonably likely to result in material liability to any ERISA Affiliate or permit the present value of all nonforfeitable accrued benefits under any Pension Plan (using the actuarial assumptions utilized by the PBGC upon termination of a Plan) materially to exceed the fair market value of Pension Plan assets allocable to such benefits, all determined as of the most recent valuation date for each such Pension Plan, or (e)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Section 406 of ERISA or Section 4975 of the Code with respect to a Plan, except, in the case of each of the foregoing clauses, to the extent that failure to comply therewith could not reasonably be expected to have a Material Adverse Effect.</w:t>
      </w:r>
    </w:p>
    <w:p>
      <w:pPr>
        <w:spacing w:after="0" w:line="1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7.10 Optional Payments and Modifications of Certain Preferred Stock</w:t>
      </w:r>
      <w:r>
        <w:rPr>
          <w:rFonts w:ascii="Arial" w:cs="Arial" w:eastAsia="Arial" w:hAnsi="Arial"/>
          <w:sz w:val="19"/>
          <w:szCs w:val="19"/>
          <w:color w:val="auto"/>
        </w:rPr>
        <w:t>. Amend, modify, waive or otherwise change, or consent</w:t>
      </w:r>
      <w:r>
        <w:rPr>
          <w:rFonts w:ascii="Arial" w:cs="Arial" w:eastAsia="Arial" w:hAnsi="Arial"/>
          <w:sz w:val="19"/>
          <w:szCs w:val="19"/>
          <w:b w:val="1"/>
          <w:bCs w:val="1"/>
          <w:color w:val="auto"/>
        </w:rPr>
        <w:t xml:space="preserve"> </w:t>
      </w:r>
      <w:r>
        <w:rPr>
          <w:rFonts w:ascii="Arial" w:cs="Arial" w:eastAsia="Arial" w:hAnsi="Arial"/>
          <w:sz w:val="19"/>
          <w:szCs w:val="19"/>
          <w:color w:val="auto"/>
        </w:rPr>
        <w:t>or agree to any amendment, modification, waiver or other change to, any of the terms of the Preferred Stock (a) that would move to an earlier date the scheduled redemption date (but only to the extent that moving any such scheduled redemption date would result in the redemption to be prior to 91 days after the Revolving Termination Date) or increase the amount of any scheduled redemption payment or increase the rate or move to an earlier date any date for payment of dividends thereon or (b) that could reasonably be expected to be otherwise materially adverse to any Lender or any other Secured Party.</w:t>
      </w:r>
    </w:p>
    <w:p>
      <w:pPr>
        <w:spacing w:after="0" w:line="11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7.11 Transactions with Affiliates</w:t>
      </w:r>
      <w:r>
        <w:rPr>
          <w:rFonts w:ascii="Arial" w:cs="Arial" w:eastAsia="Arial" w:hAnsi="Arial"/>
          <w:sz w:val="18"/>
          <w:szCs w:val="18"/>
          <w:color w:val="auto"/>
        </w:rPr>
        <w:t>. Directly or indirectly enter into or permit to exist any material transaction with any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Loan Party except for (a) transactions between Loan Parties not otherwise restricted hereunder, (b) transactions permitted by </w:t>
      </w:r>
      <w:r>
        <w:rPr>
          <w:rFonts w:ascii="Arial" w:cs="Arial" w:eastAsia="Arial" w:hAnsi="Arial"/>
          <w:sz w:val="18"/>
          <w:szCs w:val="18"/>
          <w:u w:val="single" w:color="auto"/>
          <w:color w:val="auto"/>
        </w:rPr>
        <w:t>Sections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7.8</w:t>
      </w:r>
      <w:r>
        <w:rPr>
          <w:rFonts w:ascii="Arial" w:cs="Arial" w:eastAsia="Arial" w:hAnsi="Arial"/>
          <w:sz w:val="18"/>
          <w:szCs w:val="18"/>
          <w:color w:val="auto"/>
        </w:rPr>
        <w:t xml:space="preserve"> hereof, (c) transactions that are in the ordinary course of such Loan Party’s business, upon fair and reasonable terms that are no less favorable to such Loan Party than would be obtained in an arm’s length transaction with a non-affiliated Person, (d) reasonable and customary indemnification arrangements, employee benefits, compensation arrangements (including equity-based compensation and bonuses), and reimbursement of expenses of employees, consultants, officers, and directors, in each case, approved by the board of directors or management of a Group Member, or (e) equity (other than Disqualified Stock) or debt financings with the Borrower’s investors so long as any such debt financings constitute Subordinated Indebtedness permitted under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0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7.12 Sale Leaseback Transactions</w:t>
      </w:r>
      <w:r>
        <w:rPr>
          <w:rFonts w:ascii="Arial" w:cs="Arial" w:eastAsia="Arial" w:hAnsi="Arial"/>
          <w:sz w:val="20"/>
          <w:szCs w:val="20"/>
          <w:color w:val="auto"/>
        </w:rPr>
        <w:t>. Enter into any Sale Leaseback Transaction, except in connection with transactions that would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permitted under this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240"/>
          </w:cols>
          <w:pgMar w:left="320" w:top="771" w:right="339" w:bottom="1440" w:gutter="0" w:footer="0" w:header="0"/>
        </w:sectPr>
      </w:pPr>
    </w:p>
    <w:bookmarkStart w:id="215" w:name="page216"/>
    <w:bookmarkEnd w:id="215"/>
    <w:p>
      <w:pPr>
        <w:jc w:val="both"/>
        <w:ind w:firstLine="648"/>
        <w:spacing w:after="0" w:line="248" w:lineRule="auto"/>
        <w:rPr>
          <w:sz w:val="20"/>
          <w:szCs w:val="20"/>
          <w:color w:val="auto"/>
        </w:rPr>
      </w:pPr>
      <w:r>
        <w:rPr>
          <w:rFonts w:ascii="Arial" w:cs="Arial" w:eastAsia="Arial" w:hAnsi="Arial"/>
          <w:sz w:val="20"/>
          <w:szCs w:val="20"/>
          <w:b w:val="1"/>
          <w:bCs w:val="1"/>
          <w:color w:val="auto"/>
        </w:rPr>
        <w:t>7.13 Swap Agreements</w:t>
      </w:r>
      <w:r>
        <w:rPr>
          <w:rFonts w:ascii="Arial" w:cs="Arial" w:eastAsia="Arial" w:hAnsi="Arial"/>
          <w:sz w:val="20"/>
          <w:szCs w:val="20"/>
          <w:color w:val="auto"/>
        </w:rPr>
        <w:t>. Enter into any Swap Agreement, except Specified Swap Agreements which are entered into by a Group</w:t>
      </w:r>
      <w:r>
        <w:rPr>
          <w:rFonts w:ascii="Arial" w:cs="Arial" w:eastAsia="Arial" w:hAnsi="Arial"/>
          <w:sz w:val="20"/>
          <w:szCs w:val="20"/>
          <w:b w:val="1"/>
          <w:bCs w:val="1"/>
          <w:color w:val="auto"/>
        </w:rPr>
        <w:t xml:space="preserve"> </w:t>
      </w:r>
      <w:r>
        <w:rPr>
          <w:rFonts w:ascii="Arial" w:cs="Arial" w:eastAsia="Arial" w:hAnsi="Arial"/>
          <w:sz w:val="20"/>
          <w:szCs w:val="20"/>
          <w:color w:val="auto"/>
        </w:rPr>
        <w:t>Member to (a) hedge or mitigate risks to which such Group Member has actual exposure, or (b) effectively cap, collar or exchange interest rates (from fixed to floating rates, from one floating rate to another floating rate or otherwise) with respect to any interest-bearing liability or investment of such Group Member.</w:t>
      </w:r>
    </w:p>
    <w:p>
      <w:pPr>
        <w:spacing w:after="0" w:line="1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7.14 Accounting Changes</w:t>
      </w:r>
      <w:r>
        <w:rPr>
          <w:rFonts w:ascii="Arial" w:cs="Arial" w:eastAsia="Arial" w:hAnsi="Arial"/>
          <w:sz w:val="20"/>
          <w:szCs w:val="20"/>
          <w:color w:val="auto"/>
        </w:rPr>
        <w:t>. Make any change in its (a) accounting policies or reporting practices, except as required or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by GAAP, or (b) fiscal year, in each case, without the prior written consent of the Administrative Agent (such consent not to be unreasonably withheld or delayed).</w:t>
      </w:r>
    </w:p>
    <w:p>
      <w:pPr>
        <w:spacing w:after="0" w:line="1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7.15 Negative Pledge Clauses</w:t>
      </w:r>
      <w:r>
        <w:rPr>
          <w:rFonts w:ascii="Arial" w:cs="Arial" w:eastAsia="Arial" w:hAnsi="Arial"/>
          <w:sz w:val="19"/>
          <w:szCs w:val="19"/>
          <w:color w:val="auto"/>
        </w:rPr>
        <w:t>. Enter into or suffer to exist or become effective any agreement that prohibits or limits the 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Loan Party to create, incur, assume or suffer to exist any Lien upon any of its property or revenues, whether now owned or hereafter acquired, to secure its Obligations under the Loan Documents to which it is a party, other than (a) this Agreement and the other Loan Documents, and (b) pursuant to agreements entered into in accordance with </w:t>
      </w:r>
      <w:r>
        <w:rPr>
          <w:rFonts w:ascii="Arial" w:cs="Arial" w:eastAsia="Arial" w:hAnsi="Arial"/>
          <w:sz w:val="19"/>
          <w:szCs w:val="19"/>
          <w:u w:val="single" w:color="auto"/>
          <w:color w:val="auto"/>
        </w:rPr>
        <w:t>Sections 7.2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7.3</w:t>
      </w:r>
      <w:r>
        <w:rPr>
          <w:rFonts w:ascii="Arial" w:cs="Arial" w:eastAsia="Arial" w:hAnsi="Arial"/>
          <w:sz w:val="19"/>
          <w:szCs w:val="19"/>
          <w:color w:val="auto"/>
        </w:rPr>
        <w:t>.</w:t>
      </w:r>
    </w:p>
    <w:p>
      <w:pPr>
        <w:spacing w:after="0" w:line="11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b w:val="1"/>
          <w:bCs w:val="1"/>
          <w:color w:val="auto"/>
        </w:rPr>
        <w:t>7.16 Clauses Restricting Subsidiary Distributions</w:t>
      </w:r>
      <w:r>
        <w:rPr>
          <w:rFonts w:ascii="Arial" w:cs="Arial" w:eastAsia="Arial" w:hAnsi="Arial"/>
          <w:sz w:val="16"/>
          <w:szCs w:val="16"/>
          <w:color w:val="auto"/>
        </w:rPr>
        <w:t>. Enter into or suffer to exist or become effective any consensual encumbrance</w:t>
      </w:r>
      <w:r>
        <w:rPr>
          <w:rFonts w:ascii="Arial" w:cs="Arial" w:eastAsia="Arial" w:hAnsi="Arial"/>
          <w:sz w:val="16"/>
          <w:szCs w:val="16"/>
          <w:b w:val="1"/>
          <w:bCs w:val="1"/>
          <w:color w:val="auto"/>
        </w:rPr>
        <w:t xml:space="preserve"> </w:t>
      </w:r>
      <w:r>
        <w:rPr>
          <w:rFonts w:ascii="Arial" w:cs="Arial" w:eastAsia="Arial" w:hAnsi="Arial"/>
          <w:sz w:val="16"/>
          <w:szCs w:val="16"/>
          <w:color w:val="auto"/>
        </w:rPr>
        <w:t>or restriction on the ability of any Subsidiary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of the nature referred to in clause (c) above under agreements governing purchase money liens or Capital Lease Obligations otherwise permitted hereby which restrictions are only effective against the assets financed thereby, (v) any agreement in effect at the time any Subsidiary becomes a Subsidiary of a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is not as a whole materially less favorable to such Subsidiary, (vi) restrictions under any Subordinated Debt Documents, (vii) restrictions on the transfer of any asset pending the close of the sale of such asset and customary restrictions contained in purchase agreements and acquisition agreements (including by way of merger, acquisition or consolidation), to the extent in effect pending the consummation of such transaction, (viii) customary net worth provisions or similar financial maintenance provisions contained in real property leases entered into by a Foreign Subsidiary, so long as the Borrower has determined in good faith that such net worth provisions could not reasonably be expected to impair the ability of the Group Members to meet their ongoing obligations under the Loan Documents,</w:t>
      </w:r>
    </w:p>
    <w:p>
      <w:pPr>
        <w:spacing w:after="0" w:line="191" w:lineRule="exact"/>
        <w:rPr>
          <w:sz w:val="20"/>
          <w:szCs w:val="20"/>
          <w:color w:val="auto"/>
        </w:rPr>
      </w:pPr>
    </w:p>
    <w:p>
      <w:pPr>
        <w:jc w:val="both"/>
        <w:ind w:firstLine="8"/>
        <w:spacing w:after="0" w:line="256" w:lineRule="auto"/>
        <w:tabs>
          <w:tab w:leader="none" w:pos="349"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applicable law, (x) restrictions on cash or other deposits or net worth imposed under agreements entered into in the ordinary course of business, (xi) provisions in joint venture agreements and other similar agreements (including equity holder agreements) relating to such joint venture or its members or entered into in the ordinary course of business, (xii) Requirements of Law applicable to a Foreign Subsidiary prohibiting or restricting the applicable Foreign Subsidiary from making Restricted Payments to the Borrower, or (xiii) any restriction pursuant to any document, agreement or instrument governing or relating to any Lien permitted under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122" w:lineRule="exact"/>
        <w:rPr>
          <w:sz w:val="20"/>
          <w:szCs w:val="20"/>
          <w:color w:val="auto"/>
        </w:rPr>
      </w:pPr>
    </w:p>
    <w:p>
      <w:pPr>
        <w:ind w:firstLine="648"/>
        <w:spacing w:after="0" w:line="293" w:lineRule="auto"/>
        <w:rPr>
          <w:sz w:val="20"/>
          <w:szCs w:val="20"/>
          <w:color w:val="auto"/>
        </w:rPr>
      </w:pPr>
      <w:r>
        <w:rPr>
          <w:rFonts w:ascii="Arial" w:cs="Arial" w:eastAsia="Arial" w:hAnsi="Arial"/>
          <w:sz w:val="19"/>
          <w:szCs w:val="19"/>
          <w:b w:val="1"/>
          <w:bCs w:val="1"/>
          <w:color w:val="auto"/>
        </w:rPr>
        <w:t>7.17 Lines of Business</w:t>
      </w:r>
      <w:r>
        <w:rPr>
          <w:rFonts w:ascii="Arial" w:cs="Arial" w:eastAsia="Arial" w:hAnsi="Arial"/>
          <w:sz w:val="19"/>
          <w:szCs w:val="19"/>
          <w:color w:val="auto"/>
        </w:rPr>
        <w:t>. Enter into any business, either directly or through any Subsidiary, except for those businesses in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Group Members are engaged on the date of this Agreement or that are reasonably related, ancillary or incidental thereto.</w:t>
      </w:r>
    </w:p>
    <w:p>
      <w:pPr>
        <w:spacing w:after="0" w:line="88"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7.18 Designation of other Indebtedness</w:t>
      </w:r>
      <w:r>
        <w:rPr>
          <w:rFonts w:ascii="Arial" w:cs="Arial" w:eastAsia="Arial" w:hAnsi="Arial"/>
          <w:sz w:val="20"/>
          <w:szCs w:val="20"/>
          <w:color w:val="auto"/>
        </w:rPr>
        <w:t>. Designate any Indebtedness or indebtedness other than the Obligations as “Designated</w:t>
      </w:r>
      <w:r>
        <w:rPr>
          <w:rFonts w:ascii="Arial" w:cs="Arial" w:eastAsia="Arial" w:hAnsi="Arial"/>
          <w:sz w:val="20"/>
          <w:szCs w:val="20"/>
          <w:b w:val="1"/>
          <w:bCs w:val="1"/>
          <w:color w:val="auto"/>
        </w:rPr>
        <w:t xml:space="preserve"> </w:t>
      </w:r>
      <w:r>
        <w:rPr>
          <w:rFonts w:ascii="Arial" w:cs="Arial" w:eastAsia="Arial" w:hAnsi="Arial"/>
          <w:sz w:val="20"/>
          <w:szCs w:val="20"/>
          <w:color w:val="auto"/>
        </w:rPr>
        <w:t>Senior Indebtedness” or a similar concept thereto, if applicable.</w:t>
      </w:r>
    </w:p>
    <w:p>
      <w:pPr>
        <w:spacing w:after="0" w:line="10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7.19</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240"/>
          </w:cols>
          <w:pgMar w:left="320" w:top="765" w:right="339" w:bottom="1440" w:gutter="0" w:footer="0" w:header="0"/>
        </w:sectPr>
      </w:pPr>
    </w:p>
    <w:bookmarkStart w:id="216" w:name="page217"/>
    <w:bookmarkEnd w:id="216"/>
    <w:p>
      <w:pPr>
        <w:jc w:val="both"/>
        <w:ind w:firstLine="648"/>
        <w:spacing w:after="0" w:line="265" w:lineRule="auto"/>
        <w:rPr>
          <w:sz w:val="20"/>
          <w:szCs w:val="20"/>
          <w:color w:val="auto"/>
        </w:rPr>
      </w:pPr>
      <w:r>
        <w:rPr>
          <w:rFonts w:ascii="Arial" w:cs="Arial" w:eastAsia="Arial" w:hAnsi="Arial"/>
          <w:sz w:val="19"/>
          <w:szCs w:val="19"/>
          <w:b w:val="1"/>
          <w:bCs w:val="1"/>
          <w:color w:val="auto"/>
        </w:rPr>
        <w:t>7.20 Amendments to Operating Documents and Material Contracts</w:t>
      </w:r>
      <w:r>
        <w:rPr>
          <w:rFonts w:ascii="Arial" w:cs="Arial" w:eastAsia="Arial" w:hAnsi="Arial"/>
          <w:sz w:val="19"/>
          <w:szCs w:val="19"/>
          <w:color w:val="auto"/>
        </w:rPr>
        <w:t>. (a) Amend or permit any amendments to any Loan Party’s</w:t>
      </w:r>
      <w:r>
        <w:rPr>
          <w:rFonts w:ascii="Arial" w:cs="Arial" w:eastAsia="Arial" w:hAnsi="Arial"/>
          <w:sz w:val="19"/>
          <w:szCs w:val="19"/>
          <w:b w:val="1"/>
          <w:bCs w:val="1"/>
          <w:color w:val="auto"/>
        </w:rPr>
        <w:t xml:space="preserve"> </w:t>
      </w:r>
      <w:r>
        <w:rPr>
          <w:rFonts w:ascii="Arial" w:cs="Arial" w:eastAsia="Arial" w:hAnsi="Arial"/>
          <w:sz w:val="19"/>
          <w:szCs w:val="19"/>
          <w:color w:val="auto"/>
        </w:rPr>
        <w:t>organizational documents if such amendment, termination, or waiver would be adverse to the Administrative Agent or the Lenders in any material respect; or (b) amend or permit any amendments to, or terminate or waive any provision of, any material Contractual Obligation if such amendment, termination or waiver could reasonably be expected to result in a Material Adverse Effect.</w:t>
      </w:r>
    </w:p>
    <w:p>
      <w:pPr>
        <w:spacing w:after="0" w:line="1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7.21 Use of Proceeds</w:t>
      </w:r>
      <w:r>
        <w:rPr>
          <w:rFonts w:ascii="Arial" w:cs="Arial" w:eastAsia="Arial" w:hAnsi="Arial"/>
          <w:sz w:val="18"/>
          <w:szCs w:val="18"/>
          <w:color w:val="auto"/>
        </w:rPr>
        <w:t>. Use the proceeds of any Loan or extension of credit hereunder, whether directly or indirectly, and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incidentally or ultimately,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an Unfriendly Acquisition; (c)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Issuing Lender, Swingline Lender, or otherwise) of Sanctions (or lend, contribute or otherwise make available such proceeds to any Subsidiary, joint venture partner or other individual or entity in violation of the foregoing); or (d) for any purpose which would breach the United States Foreign Corrupt Practices Act of 1977, the UK Bribery Act 2010, or other similar legislation in other jurisdictions.</w:t>
      </w:r>
    </w:p>
    <w:p>
      <w:pPr>
        <w:spacing w:after="0" w:line="1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7.22</w:t>
      </w:r>
      <w:r>
        <w:rPr>
          <w:sz w:val="20"/>
          <w:szCs w:val="20"/>
          <w:color w:val="auto"/>
        </w:rPr>
        <w:tab/>
      </w:r>
      <w:r>
        <w:rPr>
          <w:rFonts w:ascii="Arial" w:cs="Arial" w:eastAsia="Arial" w:hAnsi="Arial"/>
          <w:sz w:val="16"/>
          <w:szCs w:val="16"/>
          <w:b w:val="1"/>
          <w:bCs w:val="1"/>
          <w:color w:val="auto"/>
        </w:rPr>
        <w:t>Subordinated Indebtedness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91" w:lineRule="auto"/>
        <w:tabs>
          <w:tab w:leader="none" w:pos="1956"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Amend, modify, supplement, waive compliance with, or consent to noncompliance with, any Subordinated Debt Document, unless the amendment, modification, supplement, waiver or consent is in compliance with the subordination provisions therein and any subordination agreement with respect thereto in favor of the Administrative Agent and the Lenders.</w:t>
      </w:r>
    </w:p>
    <w:p>
      <w:pPr>
        <w:spacing w:after="0" w:line="97" w:lineRule="exact"/>
        <w:rPr>
          <w:rFonts w:ascii="Arial" w:cs="Arial" w:eastAsia="Arial" w:hAnsi="Arial"/>
          <w:sz w:val="18"/>
          <w:szCs w:val="18"/>
          <w:color w:val="auto"/>
        </w:rPr>
      </w:pPr>
    </w:p>
    <w:p>
      <w:pPr>
        <w:jc w:val="both"/>
        <w:ind w:firstLine="1304"/>
        <w:spacing w:after="0" w:line="246" w:lineRule="auto"/>
        <w:tabs>
          <w:tab w:leader="none" w:pos="1886"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Make any payment (including any interest payment, other than paid-in-kind interest), prepayment or repayment on, redemption, exchange or acquisition for value of, any sinking fund or similar payment with respect to, any Subordinated Indebtedness, except as permitted by the subordination provisions in the applicable Subordinated Debt Documents and any subordination agreement with respect thereto in favor of the Administrative Agent and the Lenders.</w:t>
      </w:r>
    </w:p>
    <w:p>
      <w:pPr>
        <w:spacing w:after="0" w:line="13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7.23 Anti-Terrorism Laws</w:t>
      </w:r>
      <w:r>
        <w:rPr>
          <w:rFonts w:ascii="Arial" w:cs="Arial" w:eastAsia="Arial" w:hAnsi="Arial"/>
          <w:sz w:val="20"/>
          <w:szCs w:val="20"/>
          <w:color w:val="auto"/>
        </w:rPr>
        <w:t>. Conduct, deal in or engage in or permit any Affiliate or agent of any Loan Party within its control to</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deal in or engage in any of the following activities: (a) conduct any business or engage in any transaction or dealing with any person blocked pursuant to Executive Order No. 13224 (a “</w:t>
      </w:r>
      <w:r>
        <w:rPr>
          <w:rFonts w:ascii="Arial" w:cs="Arial" w:eastAsia="Arial" w:hAnsi="Arial"/>
          <w:sz w:val="20"/>
          <w:szCs w:val="20"/>
          <w:b w:val="1"/>
          <w:bCs w:val="1"/>
          <w:i w:val="1"/>
          <w:iCs w:val="1"/>
          <w:color w:val="auto"/>
        </w:rPr>
        <w:t>Blocked Person</w:t>
      </w:r>
      <w:r>
        <w:rPr>
          <w:rFonts w:ascii="Arial" w:cs="Arial" w:eastAsia="Arial" w:hAnsi="Arial"/>
          <w:sz w:val="20"/>
          <w:szCs w:val="20"/>
          <w:color w:val="auto"/>
        </w:rPr>
        <w:t>”), including the making or receiving of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 purpose of evading or avoiding, or attempts to violate, any of the prohibitions set forth in Executive Order No. 13224 or the Patriot Act.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b w:val="1"/>
          <w:bCs w:val="1"/>
          <w:color w:val="auto"/>
        </w:rPr>
        <w:t>Events of Default</w:t>
      </w:r>
      <w:r>
        <w:rPr>
          <w:rFonts w:ascii="Arial" w:cs="Arial" w:eastAsia="Arial" w:hAnsi="Arial"/>
          <w:sz w:val="18"/>
          <w:szCs w:val="18"/>
          <w:color w:val="auto"/>
        </w:rPr>
        <w:t>. The occurrence of any of the following shall constitute an Event of Default:</w:t>
      </w:r>
    </w:p>
    <w:p>
      <w:pPr>
        <w:spacing w:after="0" w:line="168" w:lineRule="exact"/>
        <w:rPr>
          <w:sz w:val="20"/>
          <w:szCs w:val="20"/>
          <w:color w:val="auto"/>
        </w:rPr>
      </w:pPr>
    </w:p>
    <w:p>
      <w:pPr>
        <w:jc w:val="both"/>
        <w:ind w:firstLine="1304"/>
        <w:spacing w:after="0" w:line="269" w:lineRule="auto"/>
        <w:tabs>
          <w:tab w:leader="none" w:pos="1757"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Borrower shall fail to pay any amount of principal of any Loan when due in accordance with the terms hereof; or the Borrower shall fail to pay any amount of interest on any Loan, or any other amount payable hereunder or under any other Loan Document, within 3 Business Days after any such interest or other amount becomes due in accordance with the terms hereof; or</w:t>
      </w:r>
    </w:p>
    <w:p>
      <w:pPr>
        <w:spacing w:after="0" w:line="115" w:lineRule="exact"/>
        <w:rPr>
          <w:rFonts w:ascii="Arial" w:cs="Arial" w:eastAsia="Arial" w:hAnsi="Arial"/>
          <w:sz w:val="19"/>
          <w:szCs w:val="19"/>
          <w:color w:val="auto"/>
        </w:rPr>
      </w:pPr>
    </w:p>
    <w:p>
      <w:pPr>
        <w:ind w:firstLine="1304"/>
        <w:spacing w:after="0" w:line="260" w:lineRule="auto"/>
        <w:tabs>
          <w:tab w:leader="none" w:pos="174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any Loan Party herein or in any other Loan Document or that is contained in any certificate, document or financial or other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240"/>
          </w:cols>
          <w:pgMar w:left="320" w:top="765" w:right="339" w:bottom="1440" w:gutter="0" w:footer="0" w:header="0"/>
        </w:sectPr>
      </w:pPr>
    </w:p>
    <w:bookmarkStart w:id="217" w:name="page218"/>
    <w:bookmarkEnd w:id="217"/>
    <w:p>
      <w:pPr>
        <w:jc w:val="both"/>
        <w:spacing w:after="0" w:line="250" w:lineRule="auto"/>
        <w:rPr>
          <w:sz w:val="20"/>
          <w:szCs w:val="20"/>
          <w:color w:val="auto"/>
        </w:rPr>
      </w:pPr>
      <w:r>
        <w:rPr>
          <w:rFonts w:ascii="Arial" w:cs="Arial" w:eastAsia="Arial" w:hAnsi="Arial"/>
          <w:sz w:val="20"/>
          <w:szCs w:val="20"/>
          <w:color w:val="auto"/>
        </w:rPr>
        <w:t>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32" w:lineRule="exact"/>
        <w:rPr>
          <w:sz w:val="20"/>
          <w:szCs w:val="20"/>
          <w:color w:val="auto"/>
        </w:rPr>
      </w:pPr>
    </w:p>
    <w:p>
      <w:pPr>
        <w:jc w:val="both"/>
        <w:ind w:firstLine="1304"/>
        <w:spacing w:after="0" w:line="269" w:lineRule="auto"/>
        <w:tabs>
          <w:tab w:leader="none" w:pos="175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(i) any Loan Party shall default in the observance or performance of any agreement contained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6.2</w:t>
      </w:r>
      <w:r>
        <w:rPr>
          <w:rFonts w:ascii="Arial" w:cs="Arial" w:eastAsia="Arial" w:hAnsi="Arial"/>
          <w:sz w:val="19"/>
          <w:szCs w:val="19"/>
          <w:color w:val="auto"/>
        </w:rPr>
        <w:t xml:space="preserve">, clause (i) or (ii) of </w:t>
      </w:r>
      <w:r>
        <w:rPr>
          <w:rFonts w:ascii="Arial" w:cs="Arial" w:eastAsia="Arial" w:hAnsi="Arial"/>
          <w:sz w:val="19"/>
          <w:szCs w:val="19"/>
          <w:u w:val="single" w:color="auto"/>
          <w:color w:val="auto"/>
        </w:rPr>
        <w:t>Section 6.5(a)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6.6(b)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6.8(a)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of this Agreement or (ii) an “Event of Default” under and as defined in any Security Document shall have occurred and be continuing; or</w:t>
      </w:r>
    </w:p>
    <w:p>
      <w:pPr>
        <w:spacing w:after="0" w:line="115" w:lineRule="exact"/>
        <w:rPr>
          <w:rFonts w:ascii="Arial" w:cs="Arial" w:eastAsia="Arial" w:hAnsi="Arial"/>
          <w:sz w:val="19"/>
          <w:szCs w:val="19"/>
          <w:color w:val="auto"/>
        </w:rPr>
      </w:pPr>
    </w:p>
    <w:p>
      <w:pPr>
        <w:jc w:val="both"/>
        <w:ind w:firstLine="1304"/>
        <w:spacing w:after="0" w:line="257" w:lineRule="auto"/>
        <w:tabs>
          <w:tab w:leader="none" w:pos="1759"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any Loan Party shall default in the observance or performance of any other agreement contained in this Agreement or any other Loan Document (other than as provided in paragraphs (a) through (c) of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such default shall continue unremedied for a period of 15 Business Days thereafter;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that if the default cannot by its nature be cured within the 15 Business Days or cannot after diligent attempts by the applicable Loan Party be cured within such 15 Business Days period, and such default is likely to be cured within a reasonable time, then such Loan Party shall have an additional period (which shall not in any case exceed 45 days) to attempt to cure such default), and within such reasonable time period the failure to cure the default shall not be deemed an Event of Default (but no Revolving Extensions of Credit shall be made during such cure period); or</w:t>
      </w:r>
    </w:p>
    <w:p>
      <w:pPr>
        <w:spacing w:after="0" w:line="130" w:lineRule="exact"/>
        <w:rPr>
          <w:rFonts w:ascii="Arial" w:cs="Arial" w:eastAsia="Arial" w:hAnsi="Arial"/>
          <w:sz w:val="19"/>
          <w:szCs w:val="19"/>
          <w:color w:val="auto"/>
        </w:rPr>
      </w:pPr>
    </w:p>
    <w:p>
      <w:pPr>
        <w:jc w:val="both"/>
        <w:ind w:firstLine="1304"/>
        <w:spacing w:after="0" w:line="268" w:lineRule="auto"/>
        <w:tabs>
          <w:tab w:leader="none" w:pos="177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(i) any Group Member shall (A) default in making any payment of any principal of any Indebtedness (including any Guarantee Obligation, but excluding the Loans) on the scheduled or original due date with respect thereto; (B) default in making any 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with the giving of notice if required, any Group Member to purchase, redeem, mandatorily prepay or make an offer to purchase, redeem or mandatorily prepay such Indebtedness prior to its stated maturity;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default, event or condition described in clauses (i)(A), (B), (C), or (D) of this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shall not at any time constitute an Event of Default unless, at such time, one or more defaults, events or conditions of the type described in any of clauses (i)(A), (B), (C), or (D) of this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shall have occurred with respect to Indebtedness, the outstanding principal amount (and, in the case of Swap Agreements, the Swap Termination Value) of which, individually or in the aggregate for all such Indebtedness, exceeds $5,000,000; or (ii) any default or event of default (however designated) shall occur with respect to any Subordinated Indebtedness of any Group Member (after any applicable grace period (but excluding any standstill or similar period) and to the extent not waived); or</w:t>
      </w:r>
    </w:p>
    <w:p>
      <w:pPr>
        <w:spacing w:after="0" w:line="130" w:lineRule="exact"/>
        <w:rPr>
          <w:rFonts w:ascii="Arial" w:cs="Arial" w:eastAsia="Arial" w:hAnsi="Arial"/>
          <w:sz w:val="18"/>
          <w:szCs w:val="18"/>
          <w:color w:val="auto"/>
        </w:rPr>
      </w:pPr>
    </w:p>
    <w:p>
      <w:pPr>
        <w:jc w:val="both"/>
        <w:ind w:firstLine="1304"/>
        <w:spacing w:after="0" w:line="257" w:lineRule="auto"/>
        <w:tabs>
          <w:tab w:leader="none" w:pos="1692"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shall make a general assignment for the benefit of its creditors; or (ii) there shall be commenced against any Group Member any case, proceeding or other action of a nature referred to in clause (i) above that (x) results in the entry of an order for relief or any such adjudication or appointment or (y) remains undismissed, undischarged or unbonded for a period of 60 days (</w:t>
      </w:r>
      <w:r>
        <w:rPr>
          <w:rFonts w:ascii="Arial" w:cs="Arial" w:eastAsia="Arial" w:hAnsi="Arial"/>
          <w:sz w:val="19"/>
          <w:szCs w:val="19"/>
          <w:u w:val="single" w:color="auto"/>
          <w:color w:val="auto"/>
        </w:rPr>
        <w:t>provided that</w:t>
      </w:r>
      <w:r>
        <w:rPr>
          <w:rFonts w:ascii="Arial" w:cs="Arial" w:eastAsia="Arial" w:hAnsi="Arial"/>
          <w:sz w:val="19"/>
          <w:szCs w:val="19"/>
          <w:color w:val="auto"/>
        </w:rPr>
        <w:t>, during such 60 day period, no Loan shall be advanced or Letters of Credit issued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240"/>
          </w:cols>
          <w:pgMar w:left="320" w:top="771" w:right="339" w:bottom="1440" w:gutter="0" w:footer="0" w:header="0"/>
        </w:sectPr>
      </w:pPr>
    </w:p>
    <w:bookmarkStart w:id="218" w:name="page219"/>
    <w:bookmarkEnd w:id="218"/>
    <w:p>
      <w:pPr>
        <w:jc w:val="both"/>
        <w:spacing w:after="0" w:line="243" w:lineRule="auto"/>
        <w:rPr>
          <w:sz w:val="20"/>
          <w:szCs w:val="20"/>
          <w:color w:val="auto"/>
        </w:rPr>
      </w:pPr>
      <w:r>
        <w:rPr>
          <w:rFonts w:ascii="Arial" w:cs="Arial" w:eastAsia="Arial" w:hAnsi="Arial"/>
          <w:sz w:val="20"/>
          <w:szCs w:val="20"/>
          <w:color w:val="auto"/>
        </w:rPr>
        <w:t>hereunder);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during such 60 day period, no Loan shall be advanced or Letters of Credit issued hereunder); or (iv) 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w:t>
      </w:r>
    </w:p>
    <w:p>
      <w:pPr>
        <w:spacing w:after="0" w:line="139" w:lineRule="exact"/>
        <w:rPr>
          <w:sz w:val="20"/>
          <w:szCs w:val="20"/>
          <w:color w:val="auto"/>
        </w:rPr>
      </w:pPr>
    </w:p>
    <w:p>
      <w:pPr>
        <w:jc w:val="both"/>
        <w:ind w:firstLine="1304"/>
        <w:spacing w:after="0" w:line="244" w:lineRule="auto"/>
        <w:tabs>
          <w:tab w:leader="none" w:pos="173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there shall occur one or more ERISA Events which individually or in the aggregate results in or otherwise is associated with liability of any Loan Party or any ERISA Affiliate thereof in excess of $5,000,000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$5,000,000; or</w:t>
      </w:r>
    </w:p>
    <w:p>
      <w:pPr>
        <w:spacing w:after="0" w:line="140" w:lineRule="exact"/>
        <w:rPr>
          <w:rFonts w:ascii="Arial" w:cs="Arial" w:eastAsia="Arial" w:hAnsi="Arial"/>
          <w:sz w:val="20"/>
          <w:szCs w:val="20"/>
          <w:color w:val="auto"/>
        </w:rPr>
      </w:pPr>
    </w:p>
    <w:p>
      <w:pPr>
        <w:jc w:val="both"/>
        <w:ind w:firstLine="1304"/>
        <w:spacing w:after="0" w:line="243" w:lineRule="auto"/>
        <w:tabs>
          <w:tab w:leader="none" w:pos="184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there is entered against any Group Member (i) one or more final judgments or orders for the payment of money involving in the aggregate a liability (not paid or fully covered by insurance as to which the relevant insurance company has acknowledged coverage) of $5,000,000 or more, or (ii) one or more non-monetary final judgments that have, or would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60 days from the entry thereof; or</w:t>
      </w:r>
    </w:p>
    <w:p>
      <w:pPr>
        <w:spacing w:after="0" w:line="141" w:lineRule="exact"/>
        <w:rPr>
          <w:rFonts w:ascii="Arial" w:cs="Arial" w:eastAsia="Arial" w:hAnsi="Arial"/>
          <w:sz w:val="20"/>
          <w:szCs w:val="20"/>
          <w:color w:val="auto"/>
        </w:rPr>
      </w:pPr>
    </w:p>
    <w:p>
      <w:pPr>
        <w:jc w:val="both"/>
        <w:ind w:firstLine="1304"/>
        <w:spacing w:after="0" w:line="250" w:lineRule="auto"/>
        <w:tabs>
          <w:tab w:leader="none" w:pos="173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(i)any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240"/>
          </w:cols>
          <w:pgMar w:left="320" w:top="771" w:right="339" w:bottom="1440" w:gutter="0" w:footer="0" w:header="0"/>
        </w:sectPr>
      </w:pPr>
    </w:p>
    <w:bookmarkStart w:id="219" w:name="page220"/>
    <w:bookmarkEnd w:id="219"/>
    <w:p>
      <w:pPr>
        <w:ind w:firstLine="1952"/>
        <w:spacing w:after="0" w:line="260" w:lineRule="auto"/>
        <w:tabs>
          <w:tab w:leader="none" w:pos="2489" w:val="left"/>
        </w:tabs>
        <w:numPr>
          <w:ilvl w:val="1"/>
          <w:numId w:val="194"/>
        </w:numPr>
        <w:rPr>
          <w:rFonts w:ascii="Arial" w:cs="Arial" w:eastAsia="Arial" w:hAnsi="Arial"/>
          <w:sz w:val="20"/>
          <w:szCs w:val="20"/>
          <w:color w:val="auto"/>
        </w:rPr>
      </w:pPr>
      <w:r>
        <w:rPr>
          <w:rFonts w:ascii="Arial" w:cs="Arial" w:eastAsia="Arial" w:hAnsi="Arial"/>
          <w:sz w:val="20"/>
          <w:szCs w:val="20"/>
          <w:color w:val="auto"/>
        </w:rPr>
        <w:t>any court order enjoins, restrains or prevents a Loan Party from conducting all or any material part of its business for more than seven consecutive Business Days; or</w:t>
      </w:r>
    </w:p>
    <w:p>
      <w:pPr>
        <w:spacing w:after="0" w:line="122" w:lineRule="exact"/>
        <w:rPr>
          <w:rFonts w:ascii="Arial" w:cs="Arial" w:eastAsia="Arial" w:hAnsi="Arial"/>
          <w:sz w:val="20"/>
          <w:szCs w:val="20"/>
          <w:color w:val="auto"/>
        </w:rPr>
      </w:pPr>
    </w:p>
    <w:p>
      <w:pPr>
        <w:ind w:firstLine="1304"/>
        <w:spacing w:after="0" w:line="260" w:lineRule="auto"/>
        <w:tabs>
          <w:tab w:leader="none" w:pos="169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guarantee contained in Section 2 of the Guarantee and Collateral Agreement shall cease, for any reason, to be in full force and effect or any Loan Party shall so assert; or</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 Change of Control shall occur; or</w:t>
      </w:r>
    </w:p>
    <w:p>
      <w:pPr>
        <w:spacing w:after="0" w:line="161" w:lineRule="exact"/>
        <w:rPr>
          <w:rFonts w:ascii="Arial" w:cs="Arial" w:eastAsia="Arial" w:hAnsi="Arial"/>
          <w:sz w:val="20"/>
          <w:szCs w:val="20"/>
          <w:color w:val="auto"/>
        </w:rPr>
      </w:pPr>
    </w:p>
    <w:p>
      <w:pPr>
        <w:jc w:val="both"/>
        <w:ind w:firstLine="1304"/>
        <w:spacing w:after="0" w:line="273" w:lineRule="auto"/>
        <w:tabs>
          <w:tab w:leader="none" w:pos="168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of the Governmental Approvals necessary for an of the Group Members to operate its respective business shall have been (i) revoked, rescinded, suspended, modified in an adverse manner or not renewed in the ordinary course for a full term or (ii) subject to any decision by a Governmental Authority that designates a hearing with respect to any applications for renewal of any of the Governmental Approvals or that could result in the Governmental Authority taking any of the actions described in clause (i) above, and such decision or such revocation, rescission, suspension, modification or nonrenewal (x) has, or could reasonably be expected to have, a Material Adverse Effect, or (y) adversely affects the legal qualifications of any Group Member to hold any material Governmental Approval in any applicable jurisdiction and such adverse effect on the legal qualifications of any such Group Member to hold any material Governmental Approval in any applicable jurisdiction could reasonably be expected to have a Material Adverse Effect; or</w:t>
      </w:r>
    </w:p>
    <w:p>
      <w:pPr>
        <w:spacing w:after="0" w:line="114" w:lineRule="exact"/>
        <w:rPr>
          <w:rFonts w:ascii="Arial" w:cs="Arial" w:eastAsia="Arial" w:hAnsi="Arial"/>
          <w:sz w:val="18"/>
          <w:szCs w:val="18"/>
          <w:color w:val="auto"/>
        </w:rPr>
      </w:pPr>
    </w:p>
    <w:p>
      <w:pPr>
        <w:jc w:val="both"/>
        <w:ind w:firstLine="1304"/>
        <w:spacing w:after="0" w:line="243" w:lineRule="auto"/>
        <w:tabs>
          <w:tab w:leader="none" w:pos="178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any Loan Document (including the subordination provisions of any subordination or intercreditor agreement governing Subordinated Indebtedness) not otherwise referenced in </w:t>
      </w:r>
      <w:r>
        <w:rPr>
          <w:rFonts w:ascii="Arial" w:cs="Arial" w:eastAsia="Arial" w:hAnsi="Arial"/>
          <w:sz w:val="20"/>
          <w:szCs w:val="20"/>
          <w:u w:val="single" w:color="auto"/>
          <w:color w:val="auto"/>
        </w:rPr>
        <w:t>Section 8.1(i)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at any time after its execution and delivery and for any reason other than as expressly permitted hereunder or thereunder or the Discharge of Obligations, ceases to be in full force and effect; or any Loan Party or any other Person contests in any manner the validity or enforceability of any Loan Document; or any Loan Party denies that it has any liability or obligation under any Loan Document to which it is a party, or purports to revoke, terminate or rescind any such Loan Document; or</w:t>
      </w:r>
    </w:p>
    <w:p>
      <w:pPr>
        <w:spacing w:after="0" w:line="141" w:lineRule="exact"/>
        <w:rPr>
          <w:rFonts w:ascii="Arial" w:cs="Arial" w:eastAsia="Arial" w:hAnsi="Arial"/>
          <w:sz w:val="20"/>
          <w:szCs w:val="20"/>
          <w:color w:val="auto"/>
        </w:rPr>
      </w:pPr>
    </w:p>
    <w:p>
      <w:pPr>
        <w:ind w:left="1740" w:hanging="436"/>
        <w:spacing w:after="0"/>
        <w:tabs>
          <w:tab w:leader="none" w:pos="17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occurrence of a Deemed Liquidation Event (as defined in the Investor Indebtedness documents); or</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 event or condition occurs or exists that has had a Material Adverse Effect.</w:t>
      </w:r>
    </w:p>
    <w:p>
      <w:pPr>
        <w:spacing w:after="0" w:line="156"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auto"/>
        </w:rPr>
        <w:t>8.2 Remedies Upon Event of Default</w:t>
      </w:r>
      <w:r>
        <w:rPr>
          <w:rFonts w:ascii="Arial" w:cs="Arial" w:eastAsia="Arial" w:hAnsi="Arial"/>
          <w:sz w:val="20"/>
          <w:szCs w:val="20"/>
          <w:color w:val="auto"/>
        </w:rPr>
        <w:t>. If any Event of Default occurs and is continuing, the Administrative Agent shall, at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request of, or may, with the consent of, the Required Lenders, take any or all of the following actions:</w:t>
      </w:r>
    </w:p>
    <w:p>
      <w:pPr>
        <w:spacing w:after="0" w:line="115" w:lineRule="exact"/>
        <w:rPr>
          <w:sz w:val="20"/>
          <w:szCs w:val="20"/>
          <w:color w:val="auto"/>
        </w:rPr>
      </w:pPr>
    </w:p>
    <w:p>
      <w:pPr>
        <w:jc w:val="both"/>
        <w:ind w:firstLine="1304"/>
        <w:spacing w:after="0" w:line="269" w:lineRule="auto"/>
        <w:tabs>
          <w:tab w:leader="none" w:pos="1787"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if such event is an Event of Default specified in clause (i) or (ii) of paragraph (f) of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with respect to the Borrower, the Commitments shall immediately terminate automatically and the Loans (with accrued interest thereon) and all other amounts owing under this Agreement and the other Loan Documents shall automatically immediately become due and payable, and</w:t>
      </w:r>
    </w:p>
    <w:p>
      <w:pPr>
        <w:spacing w:after="0" w:line="115" w:lineRule="exact"/>
        <w:rPr>
          <w:rFonts w:ascii="Arial" w:cs="Arial" w:eastAsia="Arial" w:hAnsi="Arial"/>
          <w:sz w:val="19"/>
          <w:szCs w:val="19"/>
          <w:color w:val="auto"/>
        </w:rPr>
      </w:pPr>
    </w:p>
    <w:p>
      <w:pPr>
        <w:jc w:val="both"/>
        <w:ind w:firstLine="1304"/>
        <w:spacing w:after="0" w:line="255" w:lineRule="auto"/>
        <w:tabs>
          <w:tab w:leader="none" w:pos="1815" w:val="left"/>
        </w:tabs>
        <w:numPr>
          <w:ilvl w:val="0"/>
          <w:numId w:val="196"/>
        </w:numPr>
        <w:rPr>
          <w:rFonts w:ascii="Arial" w:cs="Arial" w:eastAsia="Arial" w:hAnsi="Arial"/>
          <w:sz w:val="19"/>
          <w:szCs w:val="19"/>
          <w:color w:val="auto"/>
        </w:rPr>
      </w:pPr>
      <w:r>
        <w:rPr>
          <w:rFonts w:ascii="Arial" w:cs="Arial" w:eastAsia="Arial" w:hAnsi="Arial"/>
          <w:sz w:val="19"/>
          <w:szCs w:val="19"/>
          <w:color w:val="auto"/>
        </w:rPr>
        <w:t>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Swingline Commitments and the L/C Commitments to be terminated forthwith, whereupon the Revolving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Loan Parties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(including for the avoidance of doubt, place a “hold” on any account maintained with SVB and/or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240"/>
          </w:cols>
          <w:pgMar w:left="320" w:top="771" w:right="339" w:bottom="1440" w:gutter="0" w:footer="0" w:header="0"/>
        </w:sectPr>
      </w:pPr>
    </w:p>
    <w:bookmarkStart w:id="220" w:name="page221"/>
    <w:bookmarkEnd w:id="220"/>
    <w:p>
      <w:pPr>
        <w:jc w:val="both"/>
        <w:spacing w:after="0" w:line="250" w:lineRule="auto"/>
        <w:rPr>
          <w:sz w:val="20"/>
          <w:szCs w:val="20"/>
          <w:color w:val="auto"/>
        </w:rPr>
      </w:pPr>
      <w:r>
        <w:rPr>
          <w:rFonts w:ascii="Arial" w:cs="Arial" w:eastAsia="Arial" w:hAnsi="Arial"/>
          <w:sz w:val="20"/>
          <w:szCs w:val="20"/>
          <w:color w:val="auto"/>
        </w:rPr>
        <w:t>deliver a notice of exclusive control, any entitlement order, or other directions or instructions pursuant to any Control Agreement or similar agreements providing control of any Collateral and demand and receive possession of Borrower’s books and records), any such Cash Management Bank, the Lenders and the Issuing Lender under the Loan Documents.</w:t>
      </w:r>
    </w:p>
    <w:p>
      <w:pPr>
        <w:spacing w:after="0" w:line="132"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 xml:space="preserve">With respect to all Letters of Credit with respect to which presentment for honor shall not have occurred at the time of an acceleration pursuant to this paragraph, the Borrower shall Cash Collateralize an amount equal to 105% (110% in the case of a Letter of Credit denominated in an Alternative Currency)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in accordance with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addition, (x) the Borrower shall also Cash Collateralize the full amount of any Swingline Loans then outstanding, and</w:t>
      </w:r>
    </w:p>
    <w:p>
      <w:pPr>
        <w:spacing w:after="0" w:line="39" w:lineRule="exact"/>
        <w:rPr>
          <w:sz w:val="20"/>
          <w:szCs w:val="20"/>
          <w:color w:val="auto"/>
        </w:rPr>
      </w:pPr>
    </w:p>
    <w:p>
      <w:pPr>
        <w:jc w:val="both"/>
        <w:ind w:firstLine="8"/>
        <w:spacing w:after="0" w:line="274" w:lineRule="auto"/>
        <w:tabs>
          <w:tab w:leader="none" w:pos="28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jc w:val="both"/>
        <w:ind w:firstLine="1304"/>
        <w:spacing w:after="0" w:line="243" w:lineRule="auto"/>
        <w:tabs>
          <w:tab w:leader="none" w:pos="1739" w:val="left"/>
        </w:tabs>
        <w:numPr>
          <w:ilvl w:val="1"/>
          <w:numId w:val="197"/>
        </w:numPr>
        <w:rPr>
          <w:rFonts w:ascii="Arial" w:cs="Arial" w:eastAsia="Arial" w:hAnsi="Arial"/>
          <w:sz w:val="20"/>
          <w:szCs w:val="20"/>
          <w:color w:val="auto"/>
        </w:rPr>
      </w:pPr>
      <w:r>
        <w:rPr>
          <w:rFonts w:ascii="Arial" w:cs="Arial" w:eastAsia="Arial" w:hAnsi="Arial"/>
          <w:sz w:val="20"/>
          <w:szCs w:val="20"/>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13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8.3 Application of Funds</w:t>
      </w:r>
      <w:r>
        <w:rPr>
          <w:rFonts w:ascii="Arial" w:cs="Arial" w:eastAsia="Arial" w:hAnsi="Arial"/>
          <w:sz w:val="20"/>
          <w:szCs w:val="20"/>
          <w:color w:val="auto"/>
        </w:rPr>
        <w:t>. After the exercise of remedies provided for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8.2</w:t>
      </w:r>
      <w:r>
        <w:rPr>
          <w:rFonts w:ascii="Arial" w:cs="Arial" w:eastAsia="Arial" w:hAnsi="Arial"/>
          <w:sz w:val="20"/>
          <w:szCs w:val="20"/>
          <w:color w:val="auto"/>
        </w:rPr>
        <w:t>, any amounts received by the Administrative</w:t>
      </w:r>
      <w:r>
        <w:rPr>
          <w:rFonts w:ascii="Arial" w:cs="Arial" w:eastAsia="Arial" w:hAnsi="Arial"/>
          <w:sz w:val="20"/>
          <w:szCs w:val="20"/>
          <w:b w:val="1"/>
          <w:bCs w:val="1"/>
          <w:color w:val="auto"/>
        </w:rPr>
        <w:t xml:space="preserve"> </w:t>
      </w:r>
      <w:r>
        <w:rPr>
          <w:rFonts w:ascii="Arial" w:cs="Arial" w:eastAsia="Arial" w:hAnsi="Arial"/>
          <w:sz w:val="20"/>
          <w:szCs w:val="20"/>
          <w:color w:val="auto"/>
        </w:rPr>
        <w:t>Agent on account of the Obligations shall be applied by the Administrative Agent in the following order:</w:t>
      </w:r>
    </w:p>
    <w:p>
      <w:pPr>
        <w:spacing w:after="0" w:line="11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w:t>
      </w:r>
      <w:r>
        <w:rPr>
          <w:rFonts w:ascii="Arial" w:cs="Arial" w:eastAsia="Arial" w:hAnsi="Arial"/>
          <w:sz w:val="20"/>
          <w:szCs w:val="20"/>
          <w:u w:val="single" w:color="auto"/>
          <w:color w:val="auto"/>
        </w:rPr>
        <w:t>Sections 2.19</w:t>
      </w:r>
      <w:r>
        <w:rPr>
          <w:rFonts w:ascii="Arial" w:cs="Arial" w:eastAsia="Arial" w:hAnsi="Arial"/>
          <w:sz w:val="20"/>
          <w:szCs w:val="20"/>
          <w:color w:val="auto"/>
        </w:rPr>
        <w:t xml:space="preserve">, </w:t>
      </w:r>
      <w:r>
        <w:rPr>
          <w:rFonts w:ascii="Arial" w:cs="Arial" w:eastAsia="Arial" w:hAnsi="Arial"/>
          <w:sz w:val="20"/>
          <w:szCs w:val="20"/>
          <w:u w:val="single" w:color="auto"/>
          <w:color w:val="auto"/>
        </w:rPr>
        <w:t>2.20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2.21</w:t>
      </w:r>
      <w:r>
        <w:rPr>
          <w:rFonts w:ascii="Arial" w:cs="Arial" w:eastAsia="Arial" w:hAnsi="Arial"/>
          <w:sz w:val="20"/>
          <w:szCs w:val="20"/>
          <w:color w:val="auto"/>
        </w:rPr>
        <w:t xml:space="preserve"> (including interest thereon)) payable to the Administrative Agent, in its capacity as such;</w:t>
      </w:r>
    </w:p>
    <w:p>
      <w:pPr>
        <w:spacing w:after="0" w:line="13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reasonable and documented out-of-pocket fees, charges and disbursements of counsel to the respective Lenders and the Issuing Lender, and amounts payable under </w:t>
      </w:r>
      <w:r>
        <w:rPr>
          <w:rFonts w:ascii="Arial" w:cs="Arial" w:eastAsia="Arial" w:hAnsi="Arial"/>
          <w:sz w:val="19"/>
          <w:szCs w:val="19"/>
          <w:u w:val="single" w:color="auto"/>
          <w:color w:val="auto"/>
        </w:rPr>
        <w:t>Sections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2.21</w:t>
      </w:r>
      <w:r>
        <w:rPr>
          <w:rFonts w:ascii="Arial" w:cs="Arial" w:eastAsia="Arial" w:hAnsi="Arial"/>
          <w:sz w:val="19"/>
          <w:szCs w:val="19"/>
          <w:color w:val="auto"/>
        </w:rPr>
        <w:t xml:space="preserve">), in each case,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2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240"/>
          </w:cols>
          <w:pgMar w:left="320" w:top="771" w:right="339" w:bottom="1440" w:gutter="0" w:footer="0" w:header="0"/>
        </w:sectPr>
      </w:pPr>
    </w:p>
    <w:bookmarkStart w:id="221" w:name="page222"/>
    <w:bookmarkEnd w:id="221"/>
    <w:p>
      <w:pPr>
        <w:jc w:val="both"/>
        <w:ind w:firstLine="1296"/>
        <w:spacing w:after="0" w:line="259"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the payment of that portion of the Obligations constituting accrued and unpaid Letter of Credit Fees and interest in respect of any Cash Management Services and on the Loans and L/C Disbursements which have not yet been converted into Revolving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payable to them;</w:t>
      </w:r>
    </w:p>
    <w:p>
      <w:pPr>
        <w:spacing w:after="0" w:line="124"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payment of that portion of the Obligations constituting unpaid principal of the Loans, L/C Disbursements which have not yet been converted into Revolving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and payable to them;</w:t>
      </w:r>
    </w:p>
    <w:p>
      <w:pPr>
        <w:spacing w:after="0" w:line="11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u w:val="single" w:color="auto"/>
          <w:color w:val="auto"/>
        </w:rPr>
        <w:t>Sixth</w:t>
      </w:r>
      <w:r>
        <w:rPr>
          <w:rFonts w:ascii="Arial" w:cs="Arial" w:eastAsia="Arial" w:hAnsi="Arial"/>
          <w:sz w:val="19"/>
          <w:szCs w:val="19"/>
          <w:color w:val="auto"/>
        </w:rPr>
        <w:t xml:space="preserve">, to the Administrative Agent for the account of the Issuing Lender, to Cash Collateralize that portion of the L/C Exposure comprised of the Dollar Equivalent of the aggregate undrawn amount of Letters of Credit pursuant to </w:t>
      </w:r>
      <w:r>
        <w:rPr>
          <w:rFonts w:ascii="Arial" w:cs="Arial" w:eastAsia="Arial" w:hAnsi="Arial"/>
          <w:sz w:val="19"/>
          <w:szCs w:val="19"/>
          <w:u w:val="single" w:color="auto"/>
          <w:color w:val="auto"/>
        </w:rPr>
        <w:t>Section 3.10</w:t>
      </w:r>
      <w:r>
        <w:rPr>
          <w:rFonts w:ascii="Arial" w:cs="Arial" w:eastAsia="Arial" w:hAnsi="Arial"/>
          <w:sz w:val="19"/>
          <w:szCs w:val="19"/>
          <w:color w:val="auto"/>
        </w:rPr>
        <w:t>;</w:t>
      </w:r>
    </w:p>
    <w:p>
      <w:pPr>
        <w:spacing w:after="0" w:line="98"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for the account of any applicable Qualified Counterparty and any applicable Cash Management Bank, to any settlement amounts, payment amounts and other termination payment obligations under any Specified Swap Agreements and Cash Management Agreements not paid pursuant to clause Fifth and to Cash Collateralize Obligations arising under any then outstanding Specified Swap Agreements and Cash Management Services, in each case, ratably among them in proportion to the respective amounts described in this clause </w:t>
      </w: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payable to them;</w:t>
      </w:r>
    </w:p>
    <w:p>
      <w:pPr>
        <w:spacing w:after="0" w:line="14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u w:val="single" w:color="auto"/>
          <w:color w:val="auto"/>
        </w:rPr>
        <w:t>Eighth</w:t>
      </w:r>
      <w:r>
        <w:rPr>
          <w:rFonts w:ascii="Arial" w:cs="Arial" w:eastAsia="Arial" w:hAnsi="Arial"/>
          <w:sz w:val="20"/>
          <w:szCs w:val="20"/>
          <w:color w:val="auto"/>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Arial" w:cs="Arial" w:eastAsia="Arial" w:hAnsi="Arial"/>
          <w:sz w:val="20"/>
          <w:szCs w:val="20"/>
          <w:u w:val="single" w:color="auto"/>
          <w:color w:val="auto"/>
        </w:rPr>
        <w:t>Eight</w:t>
      </w:r>
      <w:r>
        <w:rPr>
          <w:rFonts w:ascii="Arial" w:cs="Arial" w:eastAsia="Arial" w:hAnsi="Arial"/>
          <w:sz w:val="20"/>
          <w:szCs w:val="20"/>
          <w:color w:val="auto"/>
        </w:rPr>
        <w:t xml:space="preserve"> and payable to them;</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the Discharge of Obligations, to the Borrower or as otherwise required by Law.</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2.24(a)</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amounts used to Cash Collateralize the Dollar Equivalent of the aggregate undrawn amount of Letters of Credit pursuant to clause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240"/>
          </w:cols>
          <w:pgMar w:left="320" w:top="771"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20"/>
          <w:szCs w:val="20"/>
          <w:b w:val="1"/>
          <w:bCs w:val="1"/>
          <w:color w:val="auto"/>
        </w:rPr>
        <w:t>SECTION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ADMINISTRATIVE AGENT</w:t>
      </w:r>
    </w:p>
    <w:p>
      <w:pPr>
        <w:spacing w:after="0" w:line="14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8"/>
          <w:szCs w:val="18"/>
          <w:b w:val="1"/>
          <w:bCs w:val="1"/>
          <w:color w:val="auto"/>
        </w:rPr>
        <w:t>Appointment and Authority</w:t>
      </w:r>
      <w:r>
        <w:rPr>
          <w:rFonts w:ascii="Arial" w:cs="Arial" w:eastAsia="Arial" w:hAnsi="Arial"/>
          <w:sz w:val="18"/>
          <w:szCs w:val="18"/>
          <w:color w:val="auto"/>
        </w:rPr>
        <w:t>.</w:t>
      </w:r>
    </w:p>
    <w:p>
      <w:pPr>
        <w:spacing w:after="0" w:line="168" w:lineRule="exact"/>
        <w:rPr>
          <w:sz w:val="20"/>
          <w:szCs w:val="20"/>
          <w:color w:val="auto"/>
        </w:rPr>
      </w:pPr>
    </w:p>
    <w:p>
      <w:pPr>
        <w:jc w:val="both"/>
        <w:ind w:firstLine="1304"/>
        <w:spacing w:after="0" w:line="246" w:lineRule="auto"/>
        <w:tabs>
          <w:tab w:leader="none" w:pos="1763" w:val="left"/>
        </w:tabs>
        <w:numPr>
          <w:ilvl w:val="0"/>
          <w:numId w:val="198"/>
        </w:numPr>
        <w:rPr>
          <w:rFonts w:ascii="Arial" w:cs="Arial" w:eastAsia="Arial" w:hAnsi="Arial"/>
          <w:sz w:val="20"/>
          <w:szCs w:val="20"/>
          <w:color w:val="auto"/>
        </w:rPr>
      </w:pPr>
      <w:r>
        <w:rPr>
          <w:rFonts w:ascii="Arial" w:cs="Arial" w:eastAsia="Arial" w:hAnsi="Arial"/>
          <w:sz w:val="20"/>
          <w:szCs w:val="20"/>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37" w:lineRule="exact"/>
        <w:rPr>
          <w:rFonts w:ascii="Arial" w:cs="Arial" w:eastAsia="Arial" w:hAnsi="Arial"/>
          <w:sz w:val="20"/>
          <w:szCs w:val="20"/>
          <w:color w:val="auto"/>
        </w:rPr>
      </w:pPr>
    </w:p>
    <w:p>
      <w:pPr>
        <w:jc w:val="both"/>
        <w:ind w:firstLine="1304"/>
        <w:spacing w:after="0" w:line="272" w:lineRule="auto"/>
        <w:tabs>
          <w:tab w:leader="none" w:pos="173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16" w:lineRule="exact"/>
        <w:rPr>
          <w:rFonts w:ascii="Arial" w:cs="Arial" w:eastAsia="Arial" w:hAnsi="Arial"/>
          <w:sz w:val="18"/>
          <w:szCs w:val="18"/>
          <w:color w:val="auto"/>
        </w:rPr>
      </w:pPr>
    </w:p>
    <w:p>
      <w:pPr>
        <w:jc w:val="both"/>
        <w:ind w:firstLine="1304"/>
        <w:spacing w:after="0" w:line="269" w:lineRule="auto"/>
        <w:tabs>
          <w:tab w:leader="none" w:pos="173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 Collateral Agreement and any subordination or intercreditor agreements contemplated hereby,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9.7</w:t>
      </w:r>
      <w:r>
        <w:rPr>
          <w:rFonts w:ascii="Arial" w:cs="Arial" w:eastAsia="Arial" w:hAnsi="Arial"/>
          <w:sz w:val="18"/>
          <w:szCs w:val="18"/>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6741795</wp:posOffset>
            </wp:positionH>
            <wp:positionV relativeFrom="paragraph">
              <wp:posOffset>-1975485</wp:posOffset>
            </wp:positionV>
            <wp:extent cx="463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46355" cy="8255"/>
                    </a:xfrm>
                    <a:prstGeom prst="rect">
                      <a:avLst/>
                    </a:prstGeom>
                    <a:noFill/>
                  </pic:spPr>
                </pic:pic>
              </a:graphicData>
            </a:graphic>
          </wp:anchor>
        </w:drawing>
      </w:r>
    </w:p>
    <w:p>
      <w:pPr>
        <w:spacing w:after="0" w:line="9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9.2 Delegation of Duties</w:t>
      </w:r>
      <w:r>
        <w:rPr>
          <w:rFonts w:ascii="Arial" w:cs="Arial" w:eastAsia="Arial" w:hAnsi="Arial"/>
          <w:sz w:val="18"/>
          <w:szCs w:val="18"/>
          <w:color w:val="auto"/>
        </w:rPr>
        <w:t>. The Administrative Agent may perform any and all of its duties and exercise its rights and powers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240"/>
          </w:cols>
          <w:pgMar w:left="320" w:top="765" w:right="339" w:bottom="1440" w:gutter="0" w:footer="0" w:header="0"/>
        </w:sectPr>
      </w:pPr>
    </w:p>
    <w:bookmarkStart w:id="223" w:name="page224"/>
    <w:bookmarkEnd w:id="223"/>
    <w:p>
      <w:pPr>
        <w:jc w:val="both"/>
        <w:ind w:firstLine="648"/>
        <w:spacing w:after="0" w:line="253" w:lineRule="auto"/>
        <w:rPr>
          <w:sz w:val="20"/>
          <w:szCs w:val="20"/>
          <w:color w:val="auto"/>
        </w:rPr>
      </w:pPr>
      <w:r>
        <w:rPr>
          <w:rFonts w:ascii="Arial" w:cs="Arial" w:eastAsia="Arial" w:hAnsi="Arial"/>
          <w:sz w:val="20"/>
          <w:szCs w:val="20"/>
          <w:b w:val="1"/>
          <w:bCs w:val="1"/>
          <w:color w:val="auto"/>
        </w:rPr>
        <w:t>9.3 Exculpatory Provisions</w:t>
      </w:r>
      <w:r>
        <w:rPr>
          <w:rFonts w:ascii="Arial" w:cs="Arial" w:eastAsia="Arial" w:hAnsi="Arial"/>
          <w:sz w:val="20"/>
          <w:szCs w:val="20"/>
          <w:color w:val="auto"/>
        </w:rPr>
        <w:t>. The Administrative Agent shall have no duties or obligations except those expressly set forth herein</w:t>
      </w:r>
      <w:r>
        <w:rPr>
          <w:rFonts w:ascii="Arial" w:cs="Arial" w:eastAsia="Arial" w:hAnsi="Arial"/>
          <w:sz w:val="20"/>
          <w:szCs w:val="20"/>
          <w:b w:val="1"/>
          <w:bCs w:val="1"/>
          <w:color w:val="auto"/>
        </w:rPr>
        <w:t xml:space="preserve"> </w:t>
      </w:r>
      <w:r>
        <w:rPr>
          <w:rFonts w:ascii="Arial" w:cs="Arial" w:eastAsia="Arial" w:hAnsi="Arial"/>
          <w:sz w:val="20"/>
          <w:szCs w:val="20"/>
          <w:color w:val="auto"/>
        </w:rPr>
        <w:t>and in the other Loan Documents, and its duties hereunder and thereunder shall be administrative in nature. Without limiting the generality of the foregoing, the Administrative Agent shall not:</w:t>
      </w:r>
    </w:p>
    <w:p>
      <w:pPr>
        <w:spacing w:after="0" w:line="129" w:lineRule="exact"/>
        <w:rPr>
          <w:sz w:val="20"/>
          <w:szCs w:val="20"/>
          <w:color w:val="auto"/>
        </w:rPr>
      </w:pPr>
    </w:p>
    <w:p>
      <w:pPr>
        <w:ind w:firstLine="1304"/>
        <w:spacing w:after="0" w:line="260" w:lineRule="auto"/>
        <w:tabs>
          <w:tab w:leader="none" w:pos="181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be subject to any fiduciary or other implied duties, regardless of whether any Default or any Event of Default has occurred and is continuing;</w:t>
      </w:r>
    </w:p>
    <w:p>
      <w:pPr>
        <w:spacing w:after="0" w:line="122" w:lineRule="exact"/>
        <w:rPr>
          <w:rFonts w:ascii="Arial" w:cs="Arial" w:eastAsia="Arial" w:hAnsi="Arial"/>
          <w:sz w:val="20"/>
          <w:szCs w:val="20"/>
          <w:color w:val="auto"/>
        </w:rPr>
      </w:pPr>
    </w:p>
    <w:p>
      <w:pPr>
        <w:jc w:val="both"/>
        <w:ind w:firstLine="1304"/>
        <w:spacing w:after="0" w:line="274" w:lineRule="auto"/>
        <w:tabs>
          <w:tab w:leader="none" w:pos="18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14" w:lineRule="exact"/>
        <w:rPr>
          <w:rFonts w:ascii="Arial" w:cs="Arial" w:eastAsia="Arial" w:hAnsi="Arial"/>
          <w:sz w:val="18"/>
          <w:szCs w:val="18"/>
          <w:color w:val="auto"/>
        </w:rPr>
      </w:pPr>
    </w:p>
    <w:p>
      <w:pPr>
        <w:jc w:val="both"/>
        <w:ind w:firstLine="1304"/>
        <w:spacing w:after="0" w:line="250" w:lineRule="auto"/>
        <w:tabs>
          <w:tab w:leader="none" w:pos="172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w:t>
      </w:r>
      <w:r>
        <w:rPr>
          <w:rFonts w:ascii="Arial" w:cs="Arial" w:eastAsia="Arial" w:hAnsi="Arial"/>
          <w:sz w:val="19"/>
          <w:szCs w:val="19"/>
          <w:color w:val="auto"/>
        </w:rPr>
        <w:t>), or (ii) in the absence of its own gross negligence or willful misconduct as determined by a court of competent jurisdiction by final and nonappealable judgment.</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9.4 Reliance by Administrative Agent</w:t>
      </w:r>
      <w:r>
        <w:rPr>
          <w:rFonts w:ascii="Arial" w:cs="Arial" w:eastAsia="Arial" w:hAnsi="Arial"/>
          <w:sz w:val="19"/>
          <w:szCs w:val="19"/>
          <w:color w:val="auto"/>
        </w:rPr>
        <w:t>. The Administrative Agent shall be entitled to rely upon, and shall not incur any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240"/>
          </w:cols>
          <w:pgMar w:left="320" w:top="765" w:right="339" w:bottom="1440" w:gutter="0" w:footer="0" w:header="0"/>
        </w:sectPr>
      </w:pPr>
    </w:p>
    <w:bookmarkStart w:id="224" w:name="page225"/>
    <w:bookmarkEnd w:id="224"/>
    <w:p>
      <w:pPr>
        <w:jc w:val="both"/>
        <w:spacing w:after="0" w:line="256" w:lineRule="auto"/>
        <w:rPr>
          <w:sz w:val="20"/>
          <w:szCs w:val="20"/>
          <w:color w:val="auto"/>
        </w:rPr>
      </w:pPr>
      <w:r>
        <w:rPr>
          <w:rFonts w:ascii="Arial" w:cs="Arial" w:eastAsia="Arial" w:hAnsi="Arial"/>
          <w:sz w:val="19"/>
          <w:szCs w:val="19"/>
          <w:color w:val="auto"/>
        </w:rPr>
        <w:t>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w:t>
      </w:r>
    </w:p>
    <w:p>
      <w:pPr>
        <w:spacing w:after="0" w:line="12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9.5 Notice of Default</w:t>
      </w:r>
      <w:r>
        <w:rPr>
          <w:rFonts w:ascii="Arial" w:cs="Arial" w:eastAsia="Arial" w:hAnsi="Arial"/>
          <w:sz w:val="19"/>
          <w:szCs w:val="19"/>
          <w:color w:val="auto"/>
        </w:rPr>
        <w:t>. The Administrative Agent shall not be deemed to have knowledge or notice of the occurrence of any Default</w:t>
      </w:r>
      <w:r>
        <w:rPr>
          <w:rFonts w:ascii="Arial" w:cs="Arial" w:eastAsia="Arial" w:hAnsi="Arial"/>
          <w:sz w:val="19"/>
          <w:szCs w:val="19"/>
          <w:b w:val="1"/>
          <w:bCs w:val="1"/>
          <w:color w:val="auto"/>
        </w:rPr>
        <w:t xml:space="preserve"> </w:t>
      </w:r>
      <w:r>
        <w:rPr>
          <w:rFonts w:ascii="Arial" w:cs="Arial" w:eastAsia="Arial" w:hAnsi="Arial"/>
          <w:sz w:val="19"/>
          <w:szCs w:val="19"/>
          <w:color w:val="auto"/>
        </w:rPr>
        <w:t>or Event of Default unless the Administrative Agent has received notice in writing from a Lender or the Borrower referring to this Agreement, describing such Default or Event of Default and stating that such notice is a “</w:t>
      </w:r>
      <w:r>
        <w:rPr>
          <w:rFonts w:ascii="Arial" w:cs="Arial" w:eastAsia="Arial" w:hAnsi="Arial"/>
          <w:sz w:val="19"/>
          <w:szCs w:val="19"/>
          <w:b w:val="1"/>
          <w:bCs w:val="1"/>
          <w:i w:val="1"/>
          <w:iCs w:val="1"/>
          <w:color w:val="auto"/>
        </w:rPr>
        <w:t>notice of default</w:t>
      </w:r>
      <w:r>
        <w:rPr>
          <w:rFonts w:ascii="Arial" w:cs="Arial" w:eastAsia="Arial" w:hAnsi="Arial"/>
          <w:sz w:val="19"/>
          <w:szCs w:val="19"/>
          <w:color w:val="auto"/>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9.6 Non-Reliance on Administrative Agent and Other Lenders</w:t>
      </w:r>
      <w:r>
        <w:rPr>
          <w:rFonts w:ascii="Arial" w:cs="Arial" w:eastAsia="Arial" w:hAnsi="Arial"/>
          <w:sz w:val="18"/>
          <w:szCs w:val="18"/>
          <w:color w:val="auto"/>
        </w:rPr>
        <w:t>. Each Lender expressly acknowledges that neither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spacing w:after="0" w:line="1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9.7 Indemnification</w:t>
      </w:r>
      <w:r>
        <w:rPr>
          <w:rFonts w:ascii="Arial" w:cs="Arial" w:eastAsia="Arial" w:hAnsi="Arial"/>
          <w:sz w:val="20"/>
          <w:szCs w:val="20"/>
          <w:color w:val="auto"/>
        </w:rPr>
        <w:t>. Each of the Lenders agrees to indemnify each of the Administrative Agent, the Issuing Lender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Swingline Lender and each of its Related Parties in its capacity as such (to the extent not reimbursed by the Borrower or any other Loan Party and without limiting the obligation of the Borrower or any other Loan Party to do so) according to its Aggregate Exposure Percentage in effect on the date on which indemnification is sought under this </w:t>
      </w:r>
      <w:r>
        <w:rPr>
          <w:rFonts w:ascii="Arial" w:cs="Arial" w:eastAsia="Arial" w:hAnsi="Arial"/>
          <w:sz w:val="20"/>
          <w:szCs w:val="20"/>
          <w:u w:val="single" w:color="auto"/>
          <w:color w:val="auto"/>
        </w:rPr>
        <w:t>Section 9.7</w:t>
      </w:r>
      <w:r>
        <w:rPr>
          <w:rFonts w:ascii="Arial" w:cs="Arial" w:eastAsia="Arial" w:hAnsi="Arial"/>
          <w:sz w:val="20"/>
          <w:szCs w:val="20"/>
          <w:color w:val="auto"/>
        </w:rPr>
        <w:t xml:space="preserve">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240"/>
          </w:cols>
          <w:pgMar w:left="320" w:top="771" w:right="339" w:bottom="1440" w:gutter="0" w:footer="0" w:header="0"/>
        </w:sectPr>
      </w:pPr>
    </w:p>
    <w:bookmarkStart w:id="225" w:name="page226"/>
    <w:bookmarkEnd w:id="225"/>
    <w:p>
      <w:pPr>
        <w:jc w:val="both"/>
        <w:spacing w:after="0" w:line="270" w:lineRule="auto"/>
        <w:rPr>
          <w:sz w:val="20"/>
          <w:szCs w:val="20"/>
          <w:color w:val="auto"/>
        </w:rPr>
      </w:pPr>
      <w:r>
        <w:rPr>
          <w:rFonts w:ascii="Arial" w:cs="Arial" w:eastAsia="Arial" w:hAnsi="Arial"/>
          <w:sz w:val="18"/>
          <w:szCs w:val="18"/>
          <w:color w:val="auto"/>
        </w:rPr>
        <w:t xml:space="preserve">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the Borrower or such other Loan Party;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gross negligence or willful misconduct, and that with respect to such unpaid amounts owed to any Issuing Lender or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The agreements in this Section shall survive the payment of the Loans and all other amounts payable hereunder.</w:t>
      </w:r>
    </w:p>
    <w:p>
      <w:pPr>
        <w:spacing w:after="0" w:line="1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9.8 Agent in Its Individual Capacity</w:t>
      </w:r>
      <w:r>
        <w:rPr>
          <w:rFonts w:ascii="Arial" w:cs="Arial" w:eastAsia="Arial" w:hAnsi="Arial"/>
          <w:sz w:val="20"/>
          <w:szCs w:val="20"/>
          <w:color w:val="auto"/>
        </w:rPr>
        <w:t>. The Person serving as the Administrative Agent hereunder shall have the same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240"/>
          </w:cols>
          <w:pgMar w:left="320" w:top="771" w:right="339" w:bottom="1440" w:gutter="0" w:footer="0" w:header="0"/>
        </w:sectPr>
      </w:pPr>
    </w:p>
    <w:bookmarkStart w:id="226" w:name="page227"/>
    <w:bookmarkEnd w:id="226"/>
    <w:p>
      <w:pPr>
        <w:ind w:left="660"/>
        <w:spacing w:after="0"/>
        <w:tabs>
          <w:tab w:leader="none" w:pos="1080" w:val="left"/>
        </w:tabs>
        <w:rPr>
          <w:sz w:val="20"/>
          <w:szCs w:val="20"/>
          <w:color w:val="auto"/>
        </w:rPr>
      </w:pPr>
      <w:r>
        <w:rPr>
          <w:rFonts w:ascii="Arial" w:cs="Arial" w:eastAsia="Arial" w:hAnsi="Arial"/>
          <w:sz w:val="20"/>
          <w:szCs w:val="20"/>
          <w:b w:val="1"/>
          <w:bCs w:val="1"/>
          <w:color w:val="auto"/>
        </w:rPr>
        <w:t>9.9</w:t>
      </w:r>
      <w:r>
        <w:rPr>
          <w:sz w:val="20"/>
          <w:szCs w:val="20"/>
          <w:color w:val="auto"/>
        </w:rPr>
        <w:tab/>
      </w:r>
      <w:r>
        <w:rPr>
          <w:rFonts w:ascii="Arial" w:cs="Arial" w:eastAsia="Arial" w:hAnsi="Arial"/>
          <w:sz w:val="16"/>
          <w:szCs w:val="16"/>
          <w:b w:val="1"/>
          <w:bCs w:val="1"/>
          <w:color w:val="auto"/>
        </w:rPr>
        <w:t>Successor Administrative Agent</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7" w:lineRule="auto"/>
        <w:tabs>
          <w:tab w:leader="none" w:pos="1725"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b w:val="1"/>
          <w:bCs w:val="1"/>
          <w:i w:val="1"/>
          <w:iCs w:val="1"/>
          <w:color w:val="auto"/>
        </w:rPr>
        <w:t>Resignation Effective Date</w:t>
      </w:r>
      <w:r>
        <w:rPr>
          <w:rFonts w:ascii="Arial" w:cs="Arial" w:eastAsia="Arial" w:hAnsi="Arial"/>
          <w:sz w:val="19"/>
          <w:szCs w:val="19"/>
          <w:color w:val="auto"/>
        </w:rPr>
        <w:t xml:space="preserve">”), then the retiring Administrative Agent may (but shall not be obligated to), on behalf of the Lenders, appoint a successor Administrative Agent meeting the qualifications set forth above;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no event shall any such successor Administrative Agent be a Defaulting Lender. Whether or not a successor has been appointed, such resignation shall become effective in accordance with such notice on the Resignation Effective Date.</w:t>
      </w:r>
    </w:p>
    <w:p>
      <w:pPr>
        <w:spacing w:after="0" w:line="126" w:lineRule="exact"/>
        <w:rPr>
          <w:rFonts w:ascii="Arial" w:cs="Arial" w:eastAsia="Arial" w:hAnsi="Arial"/>
          <w:sz w:val="19"/>
          <w:szCs w:val="19"/>
          <w:color w:val="auto"/>
        </w:rPr>
      </w:pPr>
    </w:p>
    <w:p>
      <w:pPr>
        <w:jc w:val="both"/>
        <w:ind w:firstLine="1304"/>
        <w:spacing w:after="0" w:line="243" w:lineRule="auto"/>
        <w:tabs>
          <w:tab w:leader="none" w:pos="1727"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0"/>
          <w:szCs w:val="20"/>
          <w:b w:val="1"/>
          <w:bCs w:val="1"/>
          <w:i w:val="1"/>
          <w:iCs w:val="1"/>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41" w:lineRule="exact"/>
        <w:rPr>
          <w:rFonts w:ascii="Arial" w:cs="Arial" w:eastAsia="Arial" w:hAnsi="Arial"/>
          <w:sz w:val="20"/>
          <w:szCs w:val="20"/>
          <w:color w:val="auto"/>
        </w:rPr>
      </w:pPr>
    </w:p>
    <w:p>
      <w:pPr>
        <w:jc w:val="both"/>
        <w:ind w:firstLine="1304"/>
        <w:spacing w:after="0" w:line="269" w:lineRule="auto"/>
        <w:tabs>
          <w:tab w:leader="none" w:pos="183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1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8"/>
          <w:szCs w:val="18"/>
          <w:b w:val="1"/>
          <w:bCs w:val="1"/>
          <w:color w:val="auto"/>
        </w:rPr>
        <w:t>Collateral and Guaranty Matters</w:t>
      </w:r>
      <w:r>
        <w:rPr>
          <w:rFonts w:ascii="Arial" w:cs="Arial" w:eastAsia="Arial" w:hAnsi="Arial"/>
          <w:sz w:val="18"/>
          <w:szCs w:val="18"/>
          <w:color w:val="auto"/>
        </w:rPr>
        <w:t>.</w:t>
      </w:r>
    </w:p>
    <w:p>
      <w:pPr>
        <w:spacing w:after="0" w:line="168" w:lineRule="exact"/>
        <w:rPr>
          <w:sz w:val="20"/>
          <w:szCs w:val="20"/>
          <w:color w:val="auto"/>
        </w:rPr>
      </w:pPr>
    </w:p>
    <w:p>
      <w:pPr>
        <w:ind w:left="1720" w:hanging="416"/>
        <w:spacing w:after="0"/>
        <w:tabs>
          <w:tab w:leader="none" w:pos="172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The Lenders irrevocably authorize the Administrative Agent, at its option and in its discretion,</w:t>
      </w:r>
    </w:p>
    <w:p>
      <w:pPr>
        <w:spacing w:after="0" w:line="161" w:lineRule="exact"/>
        <w:rPr>
          <w:rFonts w:ascii="Arial" w:cs="Arial" w:eastAsia="Arial" w:hAnsi="Arial"/>
          <w:sz w:val="20"/>
          <w:szCs w:val="20"/>
          <w:color w:val="auto"/>
        </w:rPr>
      </w:pPr>
    </w:p>
    <w:p>
      <w:pPr>
        <w:jc w:val="both"/>
        <w:ind w:firstLine="1952"/>
        <w:spacing w:after="0" w:line="244" w:lineRule="auto"/>
        <w:tabs>
          <w:tab w:leader="none" w:pos="2329" w:val="left"/>
        </w:tabs>
        <w:numPr>
          <w:ilvl w:val="1"/>
          <w:numId w:val="201"/>
        </w:numPr>
        <w:rPr>
          <w:rFonts w:ascii="Arial" w:cs="Arial" w:eastAsia="Arial" w:hAnsi="Arial"/>
          <w:sz w:val="20"/>
          <w:szCs w:val="20"/>
          <w:color w:val="auto"/>
        </w:rPr>
      </w:pPr>
      <w:r>
        <w:rPr>
          <w:rFonts w:ascii="Arial" w:cs="Arial" w:eastAsia="Arial" w:hAnsi="Arial"/>
          <w:sz w:val="20"/>
          <w:szCs w:val="20"/>
          <w:color w:val="auto"/>
        </w:rPr>
        <w:t>to release any Lien on any Collateral or other property granted to or held by the Administrative Agent under any Loan Document (A) upon the Discharge of Obligations (other than contingent indemnification obligations)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permitted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240"/>
          </w:cols>
          <w:pgMar w:left="320" w:top="765" w:right="339" w:bottom="1440" w:gutter="0" w:footer="0" w:header="0"/>
        </w:sectPr>
      </w:pPr>
    </w:p>
    <w:bookmarkStart w:id="227" w:name="page228"/>
    <w:bookmarkEnd w:id="227"/>
    <w:p>
      <w:pPr>
        <w:spacing w:after="0" w:line="260" w:lineRule="auto"/>
        <w:rPr>
          <w:sz w:val="20"/>
          <w:szCs w:val="20"/>
          <w:color w:val="auto"/>
        </w:rPr>
      </w:pPr>
      <w:r>
        <w:rPr>
          <w:rFonts w:ascii="Arial" w:cs="Arial" w:eastAsia="Arial" w:hAnsi="Arial"/>
          <w:sz w:val="20"/>
          <w:szCs w:val="20"/>
          <w:color w:val="auto"/>
        </w:rPr>
        <w:t xml:space="preserve">hereunder or under any other Loan Document, or (C) subject to </w:t>
      </w:r>
      <w:r>
        <w:rPr>
          <w:rFonts w:ascii="Arial" w:cs="Arial" w:eastAsia="Arial" w:hAnsi="Arial"/>
          <w:sz w:val="20"/>
          <w:szCs w:val="20"/>
          <w:u w:val="single" w:color="auto"/>
          <w:color w:val="auto"/>
        </w:rPr>
        <w:t>Section 10.1</w:t>
      </w:r>
      <w:r>
        <w:rPr>
          <w:rFonts w:ascii="Arial" w:cs="Arial" w:eastAsia="Arial" w:hAnsi="Arial"/>
          <w:sz w:val="20"/>
          <w:szCs w:val="20"/>
          <w:color w:val="auto"/>
        </w:rPr>
        <w:t>, if approved, authorized or ratified in writing by the Required Lenders;</w:t>
      </w:r>
    </w:p>
    <w:p>
      <w:pPr>
        <w:spacing w:after="0" w:line="123" w:lineRule="exact"/>
        <w:rPr>
          <w:sz w:val="20"/>
          <w:szCs w:val="20"/>
          <w:color w:val="auto"/>
        </w:rPr>
      </w:pPr>
    </w:p>
    <w:p>
      <w:pPr>
        <w:ind w:firstLine="1952"/>
        <w:spacing w:after="0" w:line="260" w:lineRule="auto"/>
        <w:tabs>
          <w:tab w:leader="none" w:pos="2461"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to subordinate any Lien on any Collateral or other property granted to or held by the Administrative Agent under any Loan Document to the holder of any Lien on such property that is permitted by </w:t>
      </w:r>
      <w:r>
        <w:rPr>
          <w:rFonts w:ascii="Arial" w:cs="Arial" w:eastAsia="Arial" w:hAnsi="Arial"/>
          <w:sz w:val="20"/>
          <w:szCs w:val="20"/>
          <w:u w:val="single" w:color="auto"/>
          <w:color w:val="auto"/>
        </w:rPr>
        <w:t>Sections 7.3 (g)</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w:t>
      </w:r>
      <w:r>
        <w:rPr>
          <w:rFonts w:ascii="Arial" w:cs="Arial" w:eastAsia="Arial" w:hAnsi="Arial"/>
          <w:sz w:val="20"/>
          <w:szCs w:val="20"/>
          <w:color w:val="auto"/>
        </w:rPr>
        <w:t>; and</w:t>
      </w:r>
    </w:p>
    <w:p>
      <w:pPr>
        <w:spacing w:after="0" w:line="122" w:lineRule="exact"/>
        <w:rPr>
          <w:rFonts w:ascii="Arial" w:cs="Arial" w:eastAsia="Arial" w:hAnsi="Arial"/>
          <w:sz w:val="20"/>
          <w:szCs w:val="20"/>
          <w:color w:val="auto"/>
        </w:rPr>
      </w:pPr>
    </w:p>
    <w:p>
      <w:pPr>
        <w:ind w:firstLine="1952"/>
        <w:spacing w:after="0" w:line="260" w:lineRule="auto"/>
        <w:tabs>
          <w:tab w:leader="none" w:pos="251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Guarantee and Collateral Agreement if such Person ceases to be a Subsidiary as a result of a transaction permitted under the Loan Documents.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132" w:lineRule="exact"/>
        <w:rPr>
          <w:sz w:val="20"/>
          <w:szCs w:val="20"/>
          <w:color w:val="auto"/>
        </w:rPr>
      </w:pPr>
    </w:p>
    <w:p>
      <w:pPr>
        <w:jc w:val="both"/>
        <w:ind w:firstLine="1304"/>
        <w:spacing w:after="0" w:line="246" w:lineRule="auto"/>
        <w:tabs>
          <w:tab w:leader="none" w:pos="1756" w:val="left"/>
        </w:tabs>
        <w:numPr>
          <w:ilvl w:val="0"/>
          <w:numId w:val="203"/>
        </w:numPr>
        <w:rPr>
          <w:rFonts w:ascii="Arial" w:cs="Arial" w:eastAsia="Arial" w:hAnsi="Arial"/>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37" w:lineRule="exact"/>
        <w:rPr>
          <w:rFonts w:ascii="Arial" w:cs="Arial" w:eastAsia="Arial" w:hAnsi="Arial"/>
          <w:sz w:val="20"/>
          <w:szCs w:val="20"/>
          <w:color w:val="auto"/>
        </w:rPr>
      </w:pPr>
    </w:p>
    <w:p>
      <w:pPr>
        <w:jc w:val="both"/>
        <w:ind w:firstLine="1304"/>
        <w:spacing w:after="0" w:line="268" w:lineRule="auto"/>
        <w:tabs>
          <w:tab w:leader="none" w:pos="181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w:t>
      </w:r>
    </w:p>
    <w:p>
      <w:pPr>
        <w:spacing w:after="0" w:line="1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9.11 Administrative Agent May File Proofs of Claim</w:t>
      </w:r>
      <w:r>
        <w:rPr>
          <w:rFonts w:ascii="Arial" w:cs="Arial" w:eastAsia="Arial" w:hAnsi="Arial"/>
          <w:sz w:val="20"/>
          <w:szCs w:val="20"/>
          <w:color w:val="auto"/>
        </w:rPr>
        <w:t>. In case of the pendency of any proceeding under any Debtor Relief Law or</w:t>
      </w:r>
      <w:r>
        <w:rPr>
          <w:rFonts w:ascii="Arial" w:cs="Arial" w:eastAsia="Arial" w:hAnsi="Arial"/>
          <w:sz w:val="20"/>
          <w:szCs w:val="20"/>
          <w:b w:val="1"/>
          <w:bCs w:val="1"/>
          <w:color w:val="auto"/>
        </w:rPr>
        <w:t xml:space="preserve"> </w:t>
      </w:r>
      <w:r>
        <w:rPr>
          <w:rFonts w:ascii="Arial" w:cs="Arial" w:eastAsia="Arial" w:hAnsi="Arial"/>
          <w:sz w:val="20"/>
          <w:szCs w:val="20"/>
          <w:color w:val="auto"/>
        </w:rPr>
        <w:t>any other judicial proceeding relative to any Loan Party, the Administrative Agent (irrespective of whether the principal of any Loan or Obligation in respect of any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240"/>
          </w:cols>
          <w:pgMar w:left="320" w:top="771" w:right="339" w:bottom="1440" w:gutter="0" w:footer="0" w:header="0"/>
        </w:sectPr>
      </w:pPr>
    </w:p>
    <w:bookmarkStart w:id="228" w:name="page229"/>
    <w:bookmarkEnd w:id="228"/>
    <w:p>
      <w:pPr>
        <w:jc w:val="both"/>
        <w:spacing w:after="0" w:line="250" w:lineRule="auto"/>
        <w:rPr>
          <w:sz w:val="20"/>
          <w:szCs w:val="20"/>
          <w:color w:val="auto"/>
        </w:rPr>
      </w:pPr>
      <w:r>
        <w:rPr>
          <w:rFonts w:ascii="Arial" w:cs="Arial" w:eastAsia="Arial" w:hAnsi="Arial"/>
          <w:sz w:val="20"/>
          <w:szCs w:val="20"/>
          <w:color w:val="auto"/>
        </w:rPr>
        <w:t>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32" w:lineRule="exact"/>
        <w:rPr>
          <w:sz w:val="20"/>
          <w:szCs w:val="20"/>
          <w:color w:val="auto"/>
        </w:rPr>
      </w:pPr>
    </w:p>
    <w:p>
      <w:pPr>
        <w:jc w:val="both"/>
        <w:ind w:firstLine="1304"/>
        <w:spacing w:after="0" w:line="278" w:lineRule="auto"/>
        <w:tabs>
          <w:tab w:leader="none" w:pos="175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allowed in such judicial proceeding; and</w:t>
      </w:r>
    </w:p>
    <w:p>
      <w:pPr>
        <w:spacing w:after="0" w:line="110" w:lineRule="exact"/>
        <w:rPr>
          <w:rFonts w:ascii="Arial" w:cs="Arial" w:eastAsia="Arial" w:hAnsi="Arial"/>
          <w:sz w:val="18"/>
          <w:szCs w:val="18"/>
          <w:color w:val="auto"/>
        </w:rPr>
      </w:pPr>
    </w:p>
    <w:p>
      <w:pPr>
        <w:ind w:left="1820" w:hanging="516"/>
        <w:spacing w:after="0"/>
        <w:tabs>
          <w:tab w:leader="none" w:pos="18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10.5</w:t>
      </w:r>
      <w:r>
        <w:rPr>
          <w:rFonts w:ascii="Arial" w:cs="Arial" w:eastAsia="Arial" w:hAnsi="Arial"/>
          <w:sz w:val="20"/>
          <w:szCs w:val="20"/>
          <w:color w:val="auto"/>
        </w:rPr>
        <w:t>.</w:t>
      </w:r>
    </w:p>
    <w:p>
      <w:pPr>
        <w:spacing w:after="0" w:line="1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9.12 No Other Duties, etc.</w:t>
      </w:r>
      <w:r>
        <w:rPr>
          <w:rFonts w:ascii="Arial" w:cs="Arial" w:eastAsia="Arial" w:hAnsi="Arial"/>
          <w:sz w:val="19"/>
          <w:szCs w:val="19"/>
          <w:color w:val="auto"/>
        </w:rPr>
        <w:t>. Anything herein to the contrary notwithstanding, the Lead Arranger listed on the cover page hereof</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have any powers, duties or responsibilities under this Agreement or any of the other Loan Documents, except in its capacity, as applicable, as the Administrative Agent, a Lender, the Issuing Lender or the Swingline Lender hereunder.</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9.13 Cash Management Bank and Qualified Counterparty Reports</w:t>
      </w:r>
      <w:r>
        <w:rPr>
          <w:rFonts w:ascii="Arial" w:cs="Arial" w:eastAsia="Arial" w:hAnsi="Arial"/>
          <w:sz w:val="19"/>
          <w:szCs w:val="19"/>
          <w:color w:val="auto"/>
        </w:rPr>
        <w:t>. Each Cash Management Bank and each 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Counterparty agrees to furnish to the Administrative Agent, as frequently as the Administrative Agent may reasonably request, with a summary of all Obligations in respect of Cash Management Services and/or Specified Swap Agreements, as applicable, due or to become due to such Cash Management Bank or Qualified Counterparty, as applicable. In connection with any distributions to be made hereunder, the Administrative Agent shall be entitled to assume that no amounts are due to any Cash Management Bank or Qualified Counterparty (in its capacity as a Cash Management Bank or Qualified Counterparty and not in its capacity as a Lender) unless the Administrative Agent has received written notice thereof from such Cash Management Bank or Qualified Counterparty and if such notice is received, the Administrative Agent shall be entitled to assume that the only amounts due to such Cash Management Bank or Qualified Counterparty on account of Cash Management Services or Specified Swap Agreements are set forth in such notice.</w:t>
      </w:r>
    </w:p>
    <w:p>
      <w:pPr>
        <w:spacing w:after="0" w:line="12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9.14</w:t>
      </w:r>
      <w:r>
        <w:rPr>
          <w:sz w:val="20"/>
          <w:szCs w:val="20"/>
          <w:color w:val="auto"/>
        </w:rPr>
        <w:tab/>
      </w:r>
      <w:r>
        <w:rPr>
          <w:rFonts w:ascii="Arial" w:cs="Arial" w:eastAsia="Arial" w:hAnsi="Arial"/>
          <w:sz w:val="19"/>
          <w:szCs w:val="19"/>
          <w:b w:val="1"/>
          <w:bCs w:val="1"/>
          <w:color w:val="auto"/>
        </w:rPr>
        <w:t>Certain ERISA Matters</w:t>
      </w:r>
      <w:r>
        <w:rPr>
          <w:rFonts w:ascii="Arial" w:cs="Arial" w:eastAsia="Arial" w:hAnsi="Arial"/>
          <w:sz w:val="19"/>
          <w:szCs w:val="19"/>
          <w:color w:val="auto"/>
        </w:rPr>
        <w:t>.</w:t>
      </w:r>
    </w:p>
    <w:p>
      <w:pPr>
        <w:spacing w:after="0" w:line="168" w:lineRule="exact"/>
        <w:rPr>
          <w:sz w:val="20"/>
          <w:szCs w:val="20"/>
          <w:color w:val="auto"/>
        </w:rPr>
      </w:pPr>
    </w:p>
    <w:p>
      <w:pPr>
        <w:jc w:val="both"/>
        <w:ind w:firstLine="1304"/>
        <w:spacing w:after="0" w:line="263" w:lineRule="auto"/>
        <w:tabs>
          <w:tab w:leader="none" w:pos="1859" w:val="left"/>
        </w:tabs>
        <w:numPr>
          <w:ilvl w:val="0"/>
          <w:numId w:val="205"/>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at least one of the following is and will be true:</w:t>
      </w:r>
    </w:p>
    <w:p>
      <w:pPr>
        <w:spacing w:after="0" w:line="122" w:lineRule="exact"/>
        <w:rPr>
          <w:rFonts w:ascii="Arial" w:cs="Arial" w:eastAsia="Arial" w:hAnsi="Arial"/>
          <w:sz w:val="19"/>
          <w:szCs w:val="19"/>
          <w:color w:val="auto"/>
        </w:rPr>
      </w:pPr>
    </w:p>
    <w:p>
      <w:pPr>
        <w:jc w:val="both"/>
        <w:ind w:firstLine="1952"/>
        <w:spacing w:after="0" w:line="250" w:lineRule="auto"/>
        <w:tabs>
          <w:tab w:leader="none" w:pos="2416" w:val="left"/>
        </w:tabs>
        <w:numPr>
          <w:ilvl w:val="1"/>
          <w:numId w:val="205"/>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Assets Regulations or otherwise for purposes of Title I of ERISA or Section 4975 of the Code) of one or more Benefit Plans in connection with the Loans, the Letters of Credit or the Commitments,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240"/>
          </w:cols>
          <w:pgMar w:left="320" w:top="771" w:right="339" w:bottom="1440" w:gutter="0" w:footer="0" w:header="0"/>
        </w:sectPr>
      </w:pPr>
    </w:p>
    <w:bookmarkStart w:id="229" w:name="page230"/>
    <w:bookmarkEnd w:id="229"/>
    <w:p>
      <w:pPr>
        <w:jc w:val="both"/>
        <w:ind w:firstLine="1952"/>
        <w:spacing w:after="0" w:line="276" w:lineRule="auto"/>
        <w:tabs>
          <w:tab w:leader="none" w:pos="241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10" w:lineRule="exact"/>
        <w:rPr>
          <w:rFonts w:ascii="Arial" w:cs="Arial" w:eastAsia="Arial" w:hAnsi="Arial"/>
          <w:sz w:val="18"/>
          <w:szCs w:val="18"/>
          <w:color w:val="auto"/>
        </w:rPr>
      </w:pPr>
    </w:p>
    <w:p>
      <w:pPr>
        <w:jc w:val="both"/>
        <w:ind w:firstLine="1952"/>
        <w:spacing w:after="0" w:line="257" w:lineRule="auto"/>
        <w:tabs>
          <w:tab w:leader="none" w:pos="2532"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30" w:lineRule="exact"/>
        <w:rPr>
          <w:rFonts w:ascii="Arial" w:cs="Arial" w:eastAsia="Arial" w:hAnsi="Arial"/>
          <w:sz w:val="19"/>
          <w:szCs w:val="19"/>
          <w:color w:val="auto"/>
        </w:rPr>
      </w:pPr>
    </w:p>
    <w:p>
      <w:pPr>
        <w:ind w:firstLine="1952"/>
        <w:spacing w:after="0" w:line="260" w:lineRule="auto"/>
        <w:tabs>
          <w:tab w:leader="none" w:pos="2524" w:val="left"/>
        </w:tabs>
        <w:numPr>
          <w:ilvl w:val="0"/>
          <w:numId w:val="206"/>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none of the Administrative Agent, or the Lead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14" w:lineRule="exact"/>
        <w:rPr>
          <w:sz w:val="20"/>
          <w:szCs w:val="20"/>
          <w:color w:val="auto"/>
        </w:rPr>
      </w:pPr>
    </w:p>
    <w:p>
      <w:pPr>
        <w:jc w:val="both"/>
        <w:ind w:firstLine="656"/>
        <w:spacing w:after="0" w:line="271" w:lineRule="auto"/>
        <w:tabs>
          <w:tab w:leader="none" w:pos="107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Administrative Agent and the Lead Arranger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9.15</w:t>
      </w:r>
      <w:r>
        <w:rPr>
          <w:sz w:val="20"/>
          <w:szCs w:val="20"/>
          <w:color w:val="auto"/>
        </w:rPr>
        <w:tab/>
      </w:r>
      <w:r>
        <w:rPr>
          <w:rFonts w:ascii="Arial" w:cs="Arial" w:eastAsia="Arial" w:hAnsi="Arial"/>
          <w:sz w:val="16"/>
          <w:szCs w:val="16"/>
          <w:b w:val="1"/>
          <w:bCs w:val="1"/>
          <w:color w:val="auto"/>
        </w:rPr>
        <w:t>Erroneous Payment</w:t>
      </w:r>
      <w:r>
        <w:rPr>
          <w:rFonts w:ascii="Arial" w:cs="Arial" w:eastAsia="Arial" w:hAnsi="Arial"/>
          <w:sz w:val="16"/>
          <w:szCs w:val="16"/>
          <w:color w:val="auto"/>
        </w:rPr>
        <w:t>.</w:t>
      </w:r>
    </w:p>
    <w:p>
      <w:pPr>
        <w:spacing w:after="0" w:line="168" w:lineRule="exact"/>
        <w:rPr>
          <w:sz w:val="20"/>
          <w:szCs w:val="20"/>
          <w:color w:val="auto"/>
        </w:rPr>
      </w:pPr>
    </w:p>
    <w:p>
      <w:pPr>
        <w:jc w:val="both"/>
        <w:ind w:firstLine="656"/>
        <w:spacing w:after="0" w:line="250" w:lineRule="auto"/>
        <w:tabs>
          <w:tab w:leader="none" w:pos="1159" w:val="left"/>
        </w:tabs>
        <w:numPr>
          <w:ilvl w:val="0"/>
          <w:numId w:val="208"/>
        </w:numPr>
        <w:rPr>
          <w:rFonts w:ascii="Arial" w:cs="Arial" w:eastAsia="Arial" w:hAnsi="Arial"/>
          <w:sz w:val="20"/>
          <w:szCs w:val="20"/>
          <w:color w:val="auto"/>
        </w:rPr>
      </w:pPr>
      <w:r>
        <w:rPr>
          <w:rFonts w:ascii="Arial" w:cs="Arial" w:eastAsia="Arial" w:hAnsi="Arial"/>
          <w:sz w:val="20"/>
          <w:szCs w:val="20"/>
          <w:color w:val="auto"/>
        </w:rPr>
        <w:t>If the Administrative Agent notifies a Lender, Issuing Lender, Swingline Lender, or Secured Party, or any Person who has received funds on behalf of a Lender, Issuing Lender, Swingline Lender, or Secured Party (any such Lender, Issuing Lender, Swingline Lender, Secured Party or other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240"/>
          </w:cols>
          <w:pgMar w:left="320" w:top="771" w:right="339" w:bottom="1440" w:gutter="0" w:footer="0" w:header="0"/>
        </w:sectPr>
      </w:pPr>
    </w:p>
    <w:bookmarkStart w:id="230" w:name="page231"/>
    <w:bookmarkEnd w:id="230"/>
    <w:p>
      <w:pPr>
        <w:jc w:val="both"/>
        <w:spacing w:after="0" w:line="269" w:lineRule="auto"/>
        <w:rPr>
          <w:sz w:val="20"/>
          <w:szCs w:val="20"/>
          <w:color w:val="auto"/>
        </w:rPr>
      </w:pPr>
      <w:r>
        <w:rPr>
          <w:rFonts w:ascii="Arial" w:cs="Arial" w:eastAsia="Arial" w:hAnsi="Arial"/>
          <w:sz w:val="18"/>
          <w:szCs w:val="18"/>
          <w:color w:val="auto"/>
        </w:rPr>
        <w:t>recipient, a “Payment Recipient”)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Lender, Swingline Lender, Secured Party or other Payment Recipient on its behalf) (any such funds, whether received as a payment, prepayment or repayment of principal, interest, fees, distribution or otherwise, individually and collectively, an “Erroneous Payment”)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Swingline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6" w:lineRule="exact"/>
        <w:rPr>
          <w:sz w:val="20"/>
          <w:szCs w:val="20"/>
          <w:color w:val="auto"/>
        </w:rPr>
      </w:pPr>
    </w:p>
    <w:p>
      <w:pPr>
        <w:jc w:val="both"/>
        <w:ind w:firstLine="656"/>
        <w:spacing w:after="0" w:line="273" w:lineRule="auto"/>
        <w:tabs>
          <w:tab w:leader="none" w:pos="114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Without limiting immediately preceding clause (a), each Lender, Issuing Lender, Swingline Lender or Secured Party, or any Person who has received funds on behalf of a Lender, Issuing Lender, Swingline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Swingline Lender, or Secured Party, or other such recipient, otherwise becomes aware was transmitted, or received, in error or by mistake (in whole or in part) in each case.</w:t>
      </w:r>
    </w:p>
    <w:p>
      <w:pPr>
        <w:spacing w:after="0" w:line="195" w:lineRule="exact"/>
        <w:rPr>
          <w:rFonts w:ascii="Arial" w:cs="Arial" w:eastAsia="Arial" w:hAnsi="Arial"/>
          <w:sz w:val="18"/>
          <w:szCs w:val="18"/>
          <w:color w:val="auto"/>
        </w:rPr>
      </w:pPr>
    </w:p>
    <w:p>
      <w:pPr>
        <w:jc w:val="both"/>
        <w:ind w:firstLine="656"/>
        <w:spacing w:after="0" w:line="244" w:lineRule="auto"/>
        <w:tabs>
          <w:tab w:leader="none" w:pos="108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Each Lender, Issuing Lender, Swingline Lender or Secured Party hereby authorizes the Administrative Agent to set off, net and apply any and all amounts at any time owing to such Lender, Issuing Lender, Swingline Lender or Secured Party under any Loan Document, or otherwise payable or distributable by the Administrative Agent to such Lender, Issuing Lender, Swingline Lender or Secured Party from any source, against any amount due to the Administrative Agent under clause (a) hereof or under the indemnification provisions of this Agreement.</w:t>
      </w:r>
    </w:p>
    <w:p>
      <w:pPr>
        <w:spacing w:after="0" w:line="221" w:lineRule="exact"/>
        <w:rPr>
          <w:rFonts w:ascii="Arial" w:cs="Arial" w:eastAsia="Arial" w:hAnsi="Arial"/>
          <w:sz w:val="20"/>
          <w:szCs w:val="20"/>
          <w:color w:val="auto"/>
        </w:rPr>
      </w:pPr>
    </w:p>
    <w:p>
      <w:pPr>
        <w:jc w:val="both"/>
        <w:ind w:firstLine="656"/>
        <w:spacing w:after="0" w:line="255" w:lineRule="auto"/>
        <w:tabs>
          <w:tab w:leader="none" w:pos="944"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In the event that an Erroneous Payment (or portion thereof) is not recovered by the Administrative Agent for any reason, after demand therefor by the Administrative Agent in accordance with clause (a) hereof, from any Lender, Issuing Lender or Swingline Lender that has received such Erroneous Payment (or portion thereof) (and/or from any Payment Recipient who received such Erroneous Payment (or portion thereof) on its respective behalf) (such unrecovered amount, an “Erroneous Payment Return Deficiency”), upon the Administrative Agent’s notice to such Lender, Issuing Lender or Swingline Lender at any time, (i) such Lender, Issuing Lender or Swingline Lender shall be deemed to have assigned its Loans (but not its Commitments) with respect to which such Erroneous Payment was made in an amount equal to the Erroneous Payment Return Deficiency (or such lesser amount as the Administrative Agent may specify) (such assignment of the Loans (but not Commitments), the “Erroneous Payment Deficiency Assignment”)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Issuing Lender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240"/>
          </w:cols>
          <w:pgMar w:left="320" w:top="771" w:right="339" w:bottom="1440" w:gutter="0" w:footer="0" w:header="0"/>
        </w:sectPr>
      </w:pPr>
    </w:p>
    <w:bookmarkStart w:id="231" w:name="page232"/>
    <w:bookmarkEnd w:id="231"/>
    <w:p>
      <w:pPr>
        <w:jc w:val="both"/>
        <w:spacing w:after="0" w:line="268" w:lineRule="auto"/>
        <w:rPr>
          <w:sz w:val="20"/>
          <w:szCs w:val="20"/>
          <w:color w:val="auto"/>
        </w:rPr>
      </w:pPr>
      <w:r>
        <w:rPr>
          <w:rFonts w:ascii="Arial" w:cs="Arial" w:eastAsia="Arial" w:hAnsi="Arial"/>
          <w:sz w:val="18"/>
          <w:szCs w:val="18"/>
          <w:color w:val="auto"/>
        </w:rPr>
        <w:t>Swingline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Issuing Lender or Swingline Lender, as applicable, hereunder with respect to such Erroneous Payment Deficiency Assignment and the assigning Lender, assigning Issuing Lender or assigning Swingline Lender shall cease to be a Lender, Issuing Lender or Swingline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assigning Issuing Lender or assigning Swingline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Issuing Lender or Swingline Lender shall be reduced by the net proceeds of the sale of such Loan (or portion thereof), and the Administrative Agent shall retain all other rights, remedies and claims against such Lender, Issuing Lender or Swingline Lender (and/or against any recipient that receives funds on its respective behalf). For the avoidance of doubt, no Erroneous Payment Deficiency Assignment will reduce the Commitments of any Lender, Issuing Lender or Swingline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Swingline Lender or Secured Party under the Loan Documents with respect to each Erroneous Payment Return Deficiency (the “Erroneous Payment Subrogation Rights”).</w:t>
      </w:r>
    </w:p>
    <w:p>
      <w:pPr>
        <w:spacing w:after="0" w:line="212" w:lineRule="exact"/>
        <w:rPr>
          <w:sz w:val="20"/>
          <w:szCs w:val="20"/>
          <w:color w:val="auto"/>
        </w:rPr>
      </w:pPr>
    </w:p>
    <w:p>
      <w:pPr>
        <w:jc w:val="both"/>
        <w:ind w:firstLine="656"/>
        <w:spacing w:after="0" w:line="246" w:lineRule="auto"/>
        <w:tabs>
          <w:tab w:leader="none" w:pos="1082"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218" w:lineRule="exact"/>
        <w:rPr>
          <w:rFonts w:ascii="Arial" w:cs="Arial" w:eastAsia="Arial" w:hAnsi="Arial"/>
          <w:sz w:val="20"/>
          <w:szCs w:val="20"/>
          <w:color w:val="auto"/>
        </w:rPr>
      </w:pPr>
    </w:p>
    <w:p>
      <w:pPr>
        <w:jc w:val="both"/>
        <w:ind w:firstLine="656"/>
        <w:spacing w:after="0" w:line="246" w:lineRule="auto"/>
        <w:tabs>
          <w:tab w:leader="none" w:pos="108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Each party’s obligations, agreements and waivers under this Section 9.14 shall survive the resignation or replacement of the Administrative Agent, any transfer of rights or obligations by, or the replacement of, a Lender, a Swingline Lender or Issuing Lender, the termination of the Commitments and/or the repayment, satisfaction or discharge of all Obligations (or any portion thereof) under any Loan Document.</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9.16</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8"/>
          <w:szCs w:val="18"/>
          <w:color w:val="auto"/>
        </w:rPr>
        <w:t>.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Discharge of Obligations.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4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color w:val="auto"/>
        </w:rPr>
        <w:t>Amendments and Waivers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63" w:lineRule="auto"/>
        <w:tabs>
          <w:tab w:leader="none" w:pos="1744"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Neither this Agreement, any other Loan Document (other than any L/C Related Document and the Existing Fee Letter or the Fee Letter), nor any terms hereof or thereof may be amended, supplemented or modified except in accordance with the provisions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The Required Lenders and each Loan Party party to the relevant Loan Document may, or, with the written consent of the Required Lenders, the Administrative Agent and each Loan Party party to the relevant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240"/>
          </w:cols>
          <w:pgMar w:left="320" w:top="771" w:right="339" w:bottom="1440" w:gutter="0" w:footer="0" w:header="0"/>
        </w:sectPr>
      </w:pPr>
    </w:p>
    <w:bookmarkStart w:id="232" w:name="page233"/>
    <w:bookmarkEnd w:id="232"/>
    <w:p>
      <w:pPr>
        <w:jc w:val="both"/>
        <w:spacing w:after="0" w:line="267" w:lineRule="auto"/>
        <w:rPr>
          <w:sz w:val="20"/>
          <w:szCs w:val="20"/>
          <w:color w:val="auto"/>
        </w:rPr>
      </w:pPr>
      <w:r>
        <w:rPr>
          <w:rFonts w:ascii="Arial" w:cs="Arial" w:eastAsia="Arial" w:hAnsi="Arial"/>
          <w:sz w:val="18"/>
          <w:szCs w:val="18"/>
          <w:color w:val="auto"/>
        </w:rPr>
        <w:t xml:space="preserve">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such waiver and no such amendment, supplement or modification shall (A) forgive the principal amount or extend the final scheduled date of maturity of any Loan, reduce the stated rate of any interest or fee payable hereunder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Revolving Commitment, in each case, without the written consent of each Lender directly affected thereby; (B) eliminate or reduce the voting rights of any Lender under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without the written consent of such Lender;</w:t>
      </w:r>
    </w:p>
    <w:p>
      <w:pPr>
        <w:spacing w:after="0" w:line="8" w:lineRule="exact"/>
        <w:rPr>
          <w:sz w:val="20"/>
          <w:szCs w:val="20"/>
          <w:color w:val="auto"/>
        </w:rPr>
      </w:pPr>
    </w:p>
    <w:p>
      <w:pPr>
        <w:jc w:val="both"/>
        <w:ind w:firstLine="8"/>
        <w:spacing w:after="0" w:line="267" w:lineRule="auto"/>
        <w:tabs>
          <w:tab w:leader="none" w:pos="31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reduce any percentage specified in the definition of Required Lenders, consent to the assignment or transfer by the Borrower of any of its rights and obligations under this Agreement and the other Loan Documents, release all or substantially all of the Collateral or release all or substantially all of the value of the guarantees (taken as a whole) of the Guarantors from their obligations under the Guarantee and Collateral Agreement, in each case without the written consent of all Lenders; (D) (i) amend, modify or waive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requirements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any other provision of the Loan Documents requiring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treatment of the Lenders in a manner that adversely affects Revolving Lenders without the written consent of each Revolving Lender or (ii) amend, modify or waive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requirements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any other provision of the Loan Documents requiring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treatment of the Lenders in a manner that adversely affects the L/C Lenders without the written consent of each L/C Lender; (E) subordinate the Obligations or all or substantially all of the Liens securing the Obligations without the written consent of each Lender; (F) amend, modify or waive any provision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without the written consent of the Administrative Agent; (G) amend, modify or waive any provision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without the written consent of the Swingline Lender; (H) amend, modify or waive any provision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the definition of Alternative Currency or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without the written consent of the Administrative Agent, the Issuing Lender and each Lender; or (I) amend or modify the application of payments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without the written consent of each Lender.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the Issuing Lender may amend any of the L/C Related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25" w:lineRule="exact"/>
        <w:rPr>
          <w:rFonts w:ascii="Arial" w:cs="Arial" w:eastAsia="Arial" w:hAnsi="Arial"/>
          <w:sz w:val="18"/>
          <w:szCs w:val="18"/>
          <w:color w:val="auto"/>
        </w:rPr>
      </w:pPr>
    </w:p>
    <w:p>
      <w:pPr>
        <w:jc w:val="both"/>
        <w:ind w:firstLine="1304"/>
        <w:spacing w:after="0" w:line="291" w:lineRule="auto"/>
        <w:tabs>
          <w:tab w:leader="none" w:pos="177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240"/>
          </w:cols>
          <w:pgMar w:left="320" w:top="771" w:right="339" w:bottom="1440" w:gutter="0" w:footer="0" w:header="0"/>
        </w:sectPr>
      </w:pPr>
    </w:p>
    <w:bookmarkStart w:id="233" w:name="page234"/>
    <w:bookmarkEnd w:id="233"/>
    <w:p>
      <w:pPr>
        <w:jc w:val="both"/>
        <w:spacing w:after="0" w:line="250" w:lineRule="auto"/>
        <w:rPr>
          <w:sz w:val="20"/>
          <w:szCs w:val="20"/>
          <w:color w:val="auto"/>
        </w:rPr>
      </w:pPr>
      <w:r>
        <w:rPr>
          <w:rFonts w:ascii="Arial" w:cs="Arial" w:eastAsia="Arial" w:hAnsi="Arial"/>
          <w:sz w:val="20"/>
          <w:szCs w:val="20"/>
          <w:color w:val="auto"/>
        </w:rPr>
        <w:t>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Arial" w:cs="Arial" w:eastAsia="Arial" w:hAnsi="Arial"/>
          <w:sz w:val="20"/>
          <w:szCs w:val="20"/>
          <w:b w:val="1"/>
          <w:bCs w:val="1"/>
          <w:i w:val="1"/>
          <w:iCs w:val="1"/>
          <w:color w:val="auto"/>
        </w:rPr>
        <w:t>Minority Lender</w:t>
      </w:r>
      <w:r>
        <w:rPr>
          <w:rFonts w:ascii="Arial" w:cs="Arial" w:eastAsia="Arial" w:hAnsi="Arial"/>
          <w:sz w:val="20"/>
          <w:szCs w:val="20"/>
          <w:color w:val="auto"/>
        </w:rPr>
        <w:t>”), to provide for:</w:t>
      </w:r>
    </w:p>
    <w:p>
      <w:pPr>
        <w:spacing w:after="0" w:line="132" w:lineRule="exact"/>
        <w:rPr>
          <w:sz w:val="20"/>
          <w:szCs w:val="20"/>
          <w:color w:val="auto"/>
        </w:rPr>
      </w:pPr>
    </w:p>
    <w:p>
      <w:pPr>
        <w:ind w:left="2340" w:hanging="388"/>
        <w:spacing w:after="0"/>
        <w:tabs>
          <w:tab w:leader="none" w:pos="2340" w:val="left"/>
        </w:tabs>
        <w:numPr>
          <w:ilvl w:val="1"/>
          <w:numId w:val="213"/>
        </w:numPr>
        <w:rPr>
          <w:rFonts w:ascii="Arial" w:cs="Arial" w:eastAsia="Arial" w:hAnsi="Arial"/>
          <w:sz w:val="20"/>
          <w:szCs w:val="20"/>
          <w:color w:val="auto"/>
        </w:rPr>
      </w:pPr>
      <w:r>
        <w:rPr>
          <w:rFonts w:ascii="Arial" w:cs="Arial" w:eastAsia="Arial" w:hAnsi="Arial"/>
          <w:sz w:val="20"/>
          <w:szCs w:val="20"/>
          <w:color w:val="auto"/>
        </w:rPr>
        <w:t>the termination of the Commitment of each such Minority Lender;</w:t>
      </w:r>
    </w:p>
    <w:p>
      <w:pPr>
        <w:spacing w:after="0" w:line="161" w:lineRule="exact"/>
        <w:rPr>
          <w:rFonts w:ascii="Arial" w:cs="Arial" w:eastAsia="Arial" w:hAnsi="Arial"/>
          <w:sz w:val="20"/>
          <w:szCs w:val="20"/>
          <w:color w:val="auto"/>
        </w:rPr>
      </w:pPr>
    </w:p>
    <w:p>
      <w:pPr>
        <w:ind w:firstLine="1952"/>
        <w:spacing w:after="0" w:line="260" w:lineRule="auto"/>
        <w:tabs>
          <w:tab w:leader="none" w:pos="2473" w:val="left"/>
        </w:tabs>
        <w:numPr>
          <w:ilvl w:val="1"/>
          <w:numId w:val="213"/>
        </w:numPr>
        <w:rPr>
          <w:rFonts w:ascii="Arial" w:cs="Arial" w:eastAsia="Arial" w:hAnsi="Arial"/>
          <w:sz w:val="20"/>
          <w:szCs w:val="20"/>
          <w:color w:val="auto"/>
        </w:rPr>
      </w:pPr>
      <w:r>
        <w:rPr>
          <w:rFonts w:ascii="Arial" w:cs="Arial" w:eastAsia="Arial" w:hAnsi="Arial"/>
          <w:sz w:val="20"/>
          <w:szCs w:val="20"/>
          <w:color w:val="auto"/>
        </w:rPr>
        <w:t xml:space="preserve">the assumption of the Loans and Commitment of each such Minority Lender by one or more Replacement Lenders pursuant to the provisions of </w:t>
      </w:r>
      <w:r>
        <w:rPr>
          <w:rFonts w:ascii="Arial" w:cs="Arial" w:eastAsia="Arial" w:hAnsi="Arial"/>
          <w:sz w:val="20"/>
          <w:szCs w:val="20"/>
          <w:u w:val="single" w:color="auto"/>
          <w:color w:val="auto"/>
        </w:rPr>
        <w:t>Section 2.23</w:t>
      </w:r>
      <w:r>
        <w:rPr>
          <w:rFonts w:ascii="Arial" w:cs="Arial" w:eastAsia="Arial" w:hAnsi="Arial"/>
          <w:sz w:val="20"/>
          <w:szCs w:val="20"/>
          <w:color w:val="auto"/>
        </w:rPr>
        <w:t>; and</w:t>
      </w:r>
    </w:p>
    <w:p>
      <w:pPr>
        <w:spacing w:after="0" w:line="122" w:lineRule="exact"/>
        <w:rPr>
          <w:rFonts w:ascii="Arial" w:cs="Arial" w:eastAsia="Arial" w:hAnsi="Arial"/>
          <w:sz w:val="20"/>
          <w:szCs w:val="20"/>
          <w:color w:val="auto"/>
        </w:rPr>
      </w:pPr>
    </w:p>
    <w:p>
      <w:pPr>
        <w:jc w:val="both"/>
        <w:ind w:firstLine="1952"/>
        <w:spacing w:after="0" w:line="250" w:lineRule="auto"/>
        <w:tabs>
          <w:tab w:leader="none" w:pos="2446" w:val="left"/>
        </w:tabs>
        <w:numPr>
          <w:ilvl w:val="1"/>
          <w:numId w:val="213"/>
        </w:numPr>
        <w:rPr>
          <w:rFonts w:ascii="Arial" w:cs="Arial" w:eastAsia="Arial" w:hAnsi="Arial"/>
          <w:sz w:val="20"/>
          <w:szCs w:val="20"/>
          <w:color w:val="auto"/>
        </w:rPr>
      </w:pPr>
      <w:r>
        <w:rPr>
          <w:rFonts w:ascii="Arial" w:cs="Arial" w:eastAsia="Arial" w:hAnsi="Arial"/>
          <w:sz w:val="20"/>
          <w:szCs w:val="20"/>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131" w:lineRule="exact"/>
        <w:rPr>
          <w:rFonts w:ascii="Arial" w:cs="Arial" w:eastAsia="Arial" w:hAnsi="Arial"/>
          <w:sz w:val="20"/>
          <w:szCs w:val="20"/>
          <w:color w:val="auto"/>
        </w:rPr>
      </w:pPr>
    </w:p>
    <w:p>
      <w:pPr>
        <w:jc w:val="both"/>
        <w:ind w:firstLine="1304"/>
        <w:spacing w:after="0" w:line="257" w:lineRule="auto"/>
        <w:tabs>
          <w:tab w:leader="none" w:pos="1735" w:val="left"/>
        </w:tabs>
        <w:numPr>
          <w:ilvl w:val="0"/>
          <w:numId w:val="214"/>
        </w:numPr>
        <w:rPr>
          <w:rFonts w:ascii="Arial" w:cs="Arial" w:eastAsia="Arial" w:hAnsi="Arial"/>
          <w:sz w:val="19"/>
          <w:szCs w:val="19"/>
          <w:color w:val="auto"/>
        </w:rPr>
      </w:pPr>
      <w:r>
        <w:rPr>
          <w:rFonts w:ascii="Arial" w:cs="Arial" w:eastAsia="Arial" w:hAnsi="Arial"/>
          <w:sz w:val="19"/>
          <w:szCs w:val="19"/>
          <w:color w:val="auto"/>
        </w:rPr>
        <w:t>Notwithstanding any provision herein to the contrary, this Agreement may be amended (or amended and restated) with the written consent of the Required Lenders, the Administrative Agent, and the Borrower, (i) to add one or more additional credit or term loan facilities to this Agreement and to permit all such additional extensions of credit and all related obligations and liabilities arising in connection therewith and from time to time outstanding thereunder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w:t>
      </w:r>
    </w:p>
    <w:p>
      <w:pPr>
        <w:spacing w:after="0" w:line="126" w:lineRule="exact"/>
        <w:rPr>
          <w:rFonts w:ascii="Arial" w:cs="Arial" w:eastAsia="Arial" w:hAnsi="Arial"/>
          <w:sz w:val="19"/>
          <w:szCs w:val="19"/>
          <w:color w:val="auto"/>
        </w:rPr>
      </w:pPr>
    </w:p>
    <w:p>
      <w:pPr>
        <w:ind w:firstLine="1304"/>
        <w:spacing w:after="0" w:line="316" w:lineRule="auto"/>
        <w:tabs>
          <w:tab w:leader="none" w:pos="17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any Cash Management Agreement may be amended or otherwise modified by the parties thereto in accordance with the terms thereof without the consent of the Administrative Agent or any Lender.</w:t>
      </w:r>
    </w:p>
    <w:p>
      <w:pPr>
        <w:spacing w:after="0" w:line="75" w:lineRule="exact"/>
        <w:rPr>
          <w:rFonts w:ascii="Arial" w:cs="Arial" w:eastAsia="Arial" w:hAnsi="Arial"/>
          <w:sz w:val="18"/>
          <w:szCs w:val="18"/>
          <w:color w:val="auto"/>
        </w:rPr>
      </w:pPr>
    </w:p>
    <w:p>
      <w:pPr>
        <w:jc w:val="both"/>
        <w:ind w:firstLine="1304"/>
        <w:spacing w:after="0" w:line="244" w:lineRule="auto"/>
        <w:tabs>
          <w:tab w:leader="none" w:pos="1744" w:val="left"/>
        </w:tabs>
        <w:numPr>
          <w:ilvl w:val="0"/>
          <w:numId w:val="214"/>
        </w:numPr>
        <w:rPr>
          <w:rFonts w:ascii="Arial" w:cs="Arial" w:eastAsia="Arial" w:hAnsi="Arial"/>
          <w:sz w:val="20"/>
          <w:szCs w:val="20"/>
          <w:color w:val="auto"/>
        </w:rPr>
      </w:pPr>
      <w:r>
        <w:rPr>
          <w:rFonts w:ascii="Arial" w:cs="Arial" w:eastAsia="Arial" w:hAnsi="Arial"/>
          <w:sz w:val="20"/>
          <w:szCs w:val="20"/>
          <w:color w:val="auto"/>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140" w:lineRule="exact"/>
        <w:rPr>
          <w:rFonts w:ascii="Arial" w:cs="Arial" w:eastAsia="Arial" w:hAnsi="Arial"/>
          <w:sz w:val="20"/>
          <w:szCs w:val="20"/>
          <w:color w:val="auto"/>
        </w:rPr>
      </w:pPr>
    </w:p>
    <w:p>
      <w:pPr>
        <w:ind w:right="20" w:firstLine="1304"/>
        <w:spacing w:after="0" w:line="316" w:lineRule="auto"/>
        <w:tabs>
          <w:tab w:leader="none" w:pos="169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herein to the contrary, no consent of any Lender (or other Secured Party other than the Administrative Agent) shall be required to effectuate any amendment to implement any Increase permitted by </w:t>
      </w:r>
      <w:r>
        <w:rPr>
          <w:rFonts w:ascii="Arial" w:cs="Arial" w:eastAsia="Arial" w:hAnsi="Arial"/>
          <w:sz w:val="18"/>
          <w:szCs w:val="18"/>
          <w:u w:val="single" w:color="auto"/>
          <w:color w:val="auto"/>
        </w:rPr>
        <w:t>Section 2.27</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firstLine="1304"/>
        <w:spacing w:after="0" w:line="269" w:lineRule="auto"/>
        <w:tabs>
          <w:tab w:leader="none" w:pos="1765"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herein to the contrary, this Agreement may be amended with the written consent of the Administrative Agent, the Issuing Lender, the Borrower and the Lenders affected thereby to amend the definition of “Alternative Currency” solely to add additional currency options, in each case solely to the extent permitted pursuant to </w:t>
      </w:r>
      <w:r>
        <w:rPr>
          <w:rFonts w:ascii="Arial" w:cs="Arial" w:eastAsia="Arial" w:hAnsi="Arial"/>
          <w:sz w:val="19"/>
          <w:szCs w:val="19"/>
          <w:u w:val="single" w:color="auto"/>
          <w:color w:val="auto"/>
        </w:rPr>
        <w:t>Section 1.5</w:t>
      </w:r>
      <w:r>
        <w:rPr>
          <w:rFonts w:ascii="Arial" w:cs="Arial" w:eastAsia="Arial" w:hAnsi="Arial"/>
          <w:sz w:val="19"/>
          <w:szCs w:val="19"/>
          <w:color w:val="auto"/>
        </w:rPr>
        <w:t>.</w:t>
      </w:r>
    </w:p>
    <w:p>
      <w:pPr>
        <w:spacing w:after="0" w:line="115" w:lineRule="exact"/>
        <w:rPr>
          <w:rFonts w:ascii="Arial" w:cs="Arial" w:eastAsia="Arial" w:hAnsi="Arial"/>
          <w:sz w:val="19"/>
          <w:szCs w:val="19"/>
          <w:color w:val="auto"/>
        </w:rPr>
      </w:pPr>
    </w:p>
    <w:p>
      <w:pPr>
        <w:ind w:firstLine="1304"/>
        <w:spacing w:after="0" w:line="260" w:lineRule="auto"/>
        <w:tabs>
          <w:tab w:leader="none" w:pos="1721" w:val="left"/>
        </w:tabs>
        <w:numPr>
          <w:ilvl w:val="0"/>
          <w:numId w:val="214"/>
        </w:numPr>
        <w:rPr>
          <w:rFonts w:ascii="Arial" w:cs="Arial" w:eastAsia="Arial" w:hAnsi="Arial"/>
          <w:sz w:val="20"/>
          <w:szCs w:val="20"/>
          <w:color w:val="auto"/>
        </w:rPr>
      </w:pPr>
      <w:r>
        <w:rPr>
          <w:rFonts w:ascii="Arial" w:cs="Arial" w:eastAsia="Arial" w:hAnsi="Arial"/>
          <w:sz w:val="20"/>
          <w:szCs w:val="20"/>
          <w:color w:val="auto"/>
        </w:rPr>
        <w:t>The Administrative Agent may, with the consent of the Borrower only, amend, modify or supplement this Agreement or any of the Loan Documents to cure any omission, mistake or defect.</w:t>
      </w:r>
    </w:p>
    <w:p>
      <w:pPr>
        <w:spacing w:after="0" w:line="1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Notices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63" w:lineRule="auto"/>
        <w:tabs>
          <w:tab w:leader="none" w:pos="1733" w:val="left"/>
        </w:tabs>
        <w:numPr>
          <w:ilvl w:val="0"/>
          <w:numId w:val="215"/>
        </w:numPr>
        <w:rPr>
          <w:rFonts w:ascii="Arial" w:cs="Arial" w:eastAsia="Arial" w:hAnsi="Arial"/>
          <w:sz w:val="19"/>
          <w:szCs w:val="19"/>
          <w:color w:val="auto"/>
        </w:rPr>
      </w:pPr>
      <w:r>
        <w:rPr>
          <w:rFonts w:ascii="Arial" w:cs="Arial" w:eastAsia="Arial" w:hAnsi="Arial"/>
          <w:sz w:val="19"/>
          <w:szCs w:val="19"/>
          <w:color w:val="auto"/>
        </w:rPr>
        <w:t>All notices, requests and demands to or upon the respective parties hereto to be effective shall be in writing (including by facsimile or electronic mail), and, unless otherwise expressly provided herein, shall be deemed to have been duly given or made when delivered, or 3 Business Days after being deposited in the mail, postage prepaid, or, in the case of facsimile or electronic mail notice, when received, addressed as follows in the case of the Borrower and the Administrative Agent, and as set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240"/>
          </w:cols>
          <w:pgMar w:left="320" w:top="771" w:right="339" w:bottom="1440" w:gutter="0" w:footer="0" w:header="0"/>
        </w:sectPr>
      </w:pPr>
    </w:p>
    <w:bookmarkStart w:id="234" w:name="page235"/>
    <w:bookmarkEnd w:id="234"/>
    <w:p>
      <w:pPr>
        <w:spacing w:after="0" w:line="260" w:lineRule="auto"/>
        <w:rPr>
          <w:sz w:val="20"/>
          <w:szCs w:val="20"/>
          <w:color w:val="auto"/>
        </w:rPr>
      </w:pPr>
      <w:r>
        <w:rPr>
          <w:rFonts w:ascii="Arial" w:cs="Arial" w:eastAsia="Arial" w:hAnsi="Arial"/>
          <w:sz w:val="20"/>
          <w:szCs w:val="20"/>
          <w:color w:val="auto"/>
        </w:rPr>
        <w:t>forth in an administrative questionnaire delivered to the Administrative Agent in the case of the Lenders, or to such other address as may be hereafter notified by the respective parties hereto:</w:t>
      </w:r>
    </w:p>
    <w:p>
      <w:pPr>
        <w:sectPr>
          <w:pgSz w:w="11900" w:h="16838" w:orient="portrait"/>
          <w:cols w:equalWidth="0" w:num="1">
            <w:col w:w="11240"/>
          </w:cols>
          <w:pgMar w:left="320" w:top="771" w:right="339" w:bottom="1440" w:gutter="0" w:footer="0" w:header="0"/>
        </w:sectPr>
      </w:pPr>
    </w:p>
    <w:p>
      <w:pPr>
        <w:spacing w:after="0" w:line="17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Borrower: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NerdWallet, Inc.</w:t>
      </w:r>
    </w:p>
    <w:p>
      <w:pPr>
        <w:spacing w:after="0" w:line="77" w:lineRule="exact"/>
        <w:rPr>
          <w:sz w:val="20"/>
          <w:szCs w:val="20"/>
          <w:color w:val="auto"/>
        </w:rPr>
      </w:pPr>
    </w:p>
    <w:p>
      <w:pPr>
        <w:sectPr>
          <w:pgSz w:w="11900" w:h="16838" w:orient="portrait"/>
          <w:cols w:equalWidth="0" w:num="2">
            <w:col w:w="3260" w:space="720"/>
            <w:col w:w="7260"/>
          </w:cols>
          <w:pgMar w:left="320" w:top="771" w:right="339" w:bottom="1440" w:gutter="0" w:footer="0" w:header="0"/>
          <w:type w:val="continuous"/>
        </w:sectPr>
      </w:pPr>
    </w:p>
    <w:p>
      <w:pPr>
        <w:ind w:left="3980"/>
        <w:spacing w:after="0"/>
        <w:rPr>
          <w:sz w:val="20"/>
          <w:szCs w:val="20"/>
          <w:color w:val="auto"/>
        </w:rPr>
      </w:pPr>
      <w:r>
        <w:rPr>
          <w:rFonts w:ascii="Arial" w:cs="Arial" w:eastAsia="Arial" w:hAnsi="Arial"/>
          <w:sz w:val="20"/>
          <w:szCs w:val="20"/>
          <w:color w:val="auto"/>
        </w:rPr>
        <w:t>875 Stevenson St., 5</w:t>
      </w:r>
      <w:r>
        <w:rPr>
          <w:rFonts w:ascii="Arial" w:cs="Arial" w:eastAsia="Arial" w:hAnsi="Arial"/>
          <w:sz w:val="12"/>
          <w:szCs w:val="12"/>
          <w:color w:val="auto"/>
        </w:rPr>
        <w:t>th</w:t>
      </w:r>
      <w:r>
        <w:rPr>
          <w:rFonts w:ascii="Arial" w:cs="Arial" w:eastAsia="Arial" w:hAnsi="Arial"/>
          <w:sz w:val="20"/>
          <w:szCs w:val="20"/>
          <w:color w:val="auto"/>
        </w:rPr>
        <w:t xml:space="preserve"> Floor</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San Francisco, California 94103</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Attn: Aby Castro, Corporate Counsel</w:t>
      </w:r>
    </w:p>
    <w:p>
      <w:pPr>
        <w:spacing w:after="0" w:line="7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Email: acastro@nerdwallet.com</w:t>
      </w:r>
    </w:p>
    <w:p>
      <w:pPr>
        <w:sectPr>
          <w:pgSz w:w="11900" w:h="16838" w:orient="portrait"/>
          <w:cols w:equalWidth="0" w:num="1">
            <w:col w:w="11240"/>
          </w:cols>
          <w:pgMar w:left="320" w:top="771" w:right="339" w:bottom="1440" w:gutter="0" w:footer="0" w:header="0"/>
          <w:type w:val="continuous"/>
        </w:sectPr>
      </w:pPr>
    </w:p>
    <w:p>
      <w:pPr>
        <w:spacing w:after="0" w:line="310" w:lineRule="exact"/>
        <w:rPr>
          <w:sz w:val="20"/>
          <w:szCs w:val="20"/>
          <w:color w:val="auto"/>
        </w:rPr>
      </w:pPr>
    </w:p>
    <w:p>
      <w:pPr>
        <w:ind w:left="1320"/>
        <w:spacing w:after="0" w:line="260" w:lineRule="auto"/>
        <w:rPr>
          <w:sz w:val="20"/>
          <w:szCs w:val="20"/>
          <w:color w:val="auto"/>
        </w:rPr>
      </w:pPr>
      <w:r>
        <w:rPr>
          <w:rFonts w:ascii="Arial" w:cs="Arial" w:eastAsia="Arial" w:hAnsi="Arial"/>
          <w:sz w:val="20"/>
          <w:szCs w:val="20"/>
          <w:color w:val="auto"/>
        </w:rPr>
        <w:t>with a copy (which shall not constitute notice) to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76" w:lineRule="exact"/>
        <w:rPr>
          <w:sz w:val="20"/>
          <w:szCs w:val="20"/>
          <w:color w:val="auto"/>
        </w:rPr>
      </w:pPr>
    </w:p>
    <w:p>
      <w:pPr>
        <w:sectPr>
          <w:pgSz w:w="11900" w:h="16838" w:orient="portrait"/>
          <w:cols w:equalWidth="0" w:num="2">
            <w:col w:w="3940" w:space="40"/>
            <w:col w:w="7260"/>
          </w:cols>
          <w:pgMar w:left="320" w:top="771" w:right="339" w:bottom="1440" w:gutter="0" w:footer="0" w:header="0"/>
          <w:type w:val="continuous"/>
        </w:sectPr>
      </w:pPr>
    </w:p>
    <w:p>
      <w:pPr>
        <w:ind w:left="3980"/>
        <w:spacing w:after="0"/>
        <w:rPr>
          <w:sz w:val="20"/>
          <w:szCs w:val="20"/>
          <w:color w:val="auto"/>
        </w:rPr>
      </w:pPr>
      <w:r>
        <w:rPr>
          <w:rFonts w:ascii="Arial" w:cs="Arial" w:eastAsia="Arial" w:hAnsi="Arial"/>
          <w:sz w:val="20"/>
          <w:szCs w:val="20"/>
          <w:color w:val="auto"/>
        </w:rPr>
        <w:t>101 California Street</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San Francisco, CA 94111-5800</w:t>
      </w:r>
    </w:p>
    <w:p>
      <w:pPr>
        <w:spacing w:after="0" w:line="6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Attention: Maricel Mojares-Moore</w:t>
      </w:r>
    </w:p>
    <w:p>
      <w:pPr>
        <w:spacing w:after="0" w:line="7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Email: mmoore@cooley.com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240"/>
          </w:cols>
          <w:pgMar w:left="320" w:top="771" w:right="339" w:bottom="1440" w:gutter="0" w:footer="0" w:header="0"/>
          <w:type w:val="continuous"/>
        </w:sectPr>
      </w:pPr>
    </w:p>
    <w:bookmarkStart w:id="235" w:name="page236"/>
    <w:bookmarkEnd w:id="235"/>
    <w:p>
      <w:pPr>
        <w:ind w:left="1320"/>
        <w:spacing w:after="0"/>
        <w:rPr>
          <w:sz w:val="20"/>
          <w:szCs w:val="20"/>
          <w:color w:val="auto"/>
        </w:rPr>
      </w:pPr>
      <w:r>
        <w:rPr>
          <w:rFonts w:ascii="Arial" w:cs="Arial" w:eastAsia="Arial" w:hAnsi="Arial"/>
          <w:sz w:val="18"/>
          <w:szCs w:val="18"/>
          <w:color w:val="auto"/>
        </w:rPr>
        <w:t>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Silicon Valley Bank</w:t>
      </w:r>
    </w:p>
    <w:p>
      <w:pPr>
        <w:spacing w:after="0" w:line="77" w:lineRule="exact"/>
        <w:rPr>
          <w:sz w:val="20"/>
          <w:szCs w:val="20"/>
          <w:color w:val="auto"/>
        </w:rPr>
      </w:pPr>
    </w:p>
    <w:p>
      <w:pPr>
        <w:sectPr>
          <w:pgSz w:w="11900" w:h="16838" w:orient="portrait"/>
          <w:cols w:equalWidth="0" w:num="2">
            <w:col w:w="3260" w:space="720"/>
            <w:col w:w="7260"/>
          </w:cols>
          <w:pgMar w:left="320" w:top="825" w:right="339" w:bottom="1440" w:gutter="0" w:footer="0" w:header="0"/>
        </w:sectPr>
      </w:pPr>
    </w:p>
    <w:p>
      <w:pPr>
        <w:ind w:left="3980"/>
        <w:spacing w:after="0"/>
        <w:rPr>
          <w:sz w:val="20"/>
          <w:szCs w:val="20"/>
          <w:color w:val="auto"/>
        </w:rPr>
      </w:pPr>
      <w:r>
        <w:rPr>
          <w:rFonts w:ascii="Arial" w:cs="Arial" w:eastAsia="Arial" w:hAnsi="Arial"/>
          <w:sz w:val="20"/>
          <w:szCs w:val="20"/>
          <w:color w:val="auto"/>
        </w:rPr>
        <w:t>2400 Hanover Street</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Palo Alto, CA 94304</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Attn: Alex Grotevant</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E-Mail: agrotevant@svb.com</w:t>
      </w:r>
    </w:p>
    <w:p>
      <w:pPr>
        <w:sectPr>
          <w:pgSz w:w="11900" w:h="16838" w:orient="portrait"/>
          <w:cols w:equalWidth="0" w:num="1">
            <w:col w:w="11240"/>
          </w:cols>
          <w:pgMar w:left="320" w:top="825" w:right="339" w:bottom="1440" w:gutter="0" w:footer="0" w:header="0"/>
          <w:type w:val="continuous"/>
        </w:sectPr>
      </w:pPr>
    </w:p>
    <w:p>
      <w:pPr>
        <w:spacing w:after="0" w:line="333" w:lineRule="exact"/>
        <w:rPr>
          <w:sz w:val="20"/>
          <w:szCs w:val="20"/>
          <w:color w:val="auto"/>
        </w:rPr>
      </w:pPr>
    </w:p>
    <w:p>
      <w:pPr>
        <w:ind w:left="1320"/>
        <w:spacing w:after="0" w:line="260" w:lineRule="auto"/>
        <w:rPr>
          <w:sz w:val="20"/>
          <w:szCs w:val="20"/>
          <w:color w:val="auto"/>
        </w:rPr>
      </w:pPr>
      <w:r>
        <w:rPr>
          <w:rFonts w:ascii="Arial" w:cs="Arial" w:eastAsia="Arial" w:hAnsi="Arial"/>
          <w:sz w:val="20"/>
          <w:szCs w:val="20"/>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76" w:lineRule="exact"/>
        <w:rPr>
          <w:sz w:val="20"/>
          <w:szCs w:val="20"/>
          <w:color w:val="auto"/>
        </w:rPr>
      </w:pPr>
    </w:p>
    <w:p>
      <w:pPr>
        <w:sectPr>
          <w:pgSz w:w="11900" w:h="16838" w:orient="portrait"/>
          <w:cols w:equalWidth="0" w:num="2">
            <w:col w:w="3940" w:space="40"/>
            <w:col w:w="7260"/>
          </w:cols>
          <w:pgMar w:left="320" w:top="825" w:right="339" w:bottom="1440" w:gutter="0" w:footer="0" w:header="0"/>
          <w:type w:val="continuous"/>
        </w:sectPr>
      </w:pPr>
    </w:p>
    <w:p>
      <w:pPr>
        <w:ind w:left="3980"/>
        <w:spacing w:after="0"/>
        <w:rPr>
          <w:sz w:val="20"/>
          <w:szCs w:val="20"/>
          <w:color w:val="auto"/>
        </w:rPr>
      </w:pPr>
      <w:r>
        <w:rPr>
          <w:rFonts w:ascii="Arial" w:cs="Arial" w:eastAsia="Arial" w:hAnsi="Arial"/>
          <w:sz w:val="20"/>
          <w:szCs w:val="20"/>
          <w:color w:val="auto"/>
        </w:rPr>
        <w:t>200 Clarendon Street</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Boston, Massachusetts 02116</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Attention: Charles W. Stavros, Esq.</w:t>
      </w:r>
    </w:p>
    <w:p>
      <w:pPr>
        <w:spacing w:after="0" w:line="10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E-Mail: Cstavros@mofo.com</w:t>
      </w:r>
    </w:p>
    <w:p>
      <w:pPr>
        <w:sectPr>
          <w:pgSz w:w="11900" w:h="16838" w:orient="portrait"/>
          <w:cols w:equalWidth="0" w:num="1">
            <w:col w:w="11240"/>
          </w:cols>
          <w:pgMar w:left="320" w:top="825" w:right="339" w:bottom="1440" w:gutter="0" w:footer="0" w:header="0"/>
          <w:type w:val="continuous"/>
        </w:sect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notice, request or demand to or upon the Administrative Agent or the Lenders shall not be effective until received.</w:t>
      </w:r>
    </w:p>
    <w:p>
      <w:pPr>
        <w:spacing w:after="0" w:line="185" w:lineRule="exact"/>
        <w:rPr>
          <w:sz w:val="20"/>
          <w:szCs w:val="20"/>
          <w:color w:val="auto"/>
        </w:rPr>
      </w:pPr>
    </w:p>
    <w:p>
      <w:pPr>
        <w:jc w:val="both"/>
        <w:ind w:firstLine="1304"/>
        <w:spacing w:after="0" w:line="270" w:lineRule="auto"/>
        <w:tabs>
          <w:tab w:leader="none" w:pos="199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foregoing shall not apply to notices to any Lender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for both clauses (i) and (ii), if such notice or other communication is not sent during the normal business hours of the recipient, such notice or communication shall be deemed to have been sent at the opening of business on the next Business Day for the recipient.</w:t>
      </w:r>
    </w:p>
    <w:p>
      <w:pPr>
        <w:spacing w:after="0" w:line="121" w:lineRule="exact"/>
        <w:rPr>
          <w:rFonts w:ascii="Arial" w:cs="Arial" w:eastAsia="Arial" w:hAnsi="Arial"/>
          <w:sz w:val="18"/>
          <w:szCs w:val="18"/>
          <w:color w:val="auto"/>
        </w:rPr>
      </w:pPr>
    </w:p>
    <w:p>
      <w:pPr>
        <w:ind w:firstLine="1304"/>
        <w:spacing w:after="0" w:line="260" w:lineRule="auto"/>
        <w:tabs>
          <w:tab w:leader="none" w:pos="1703" w:val="left"/>
        </w:tabs>
        <w:numPr>
          <w:ilvl w:val="0"/>
          <w:numId w:val="216"/>
        </w:numPr>
        <w:rPr>
          <w:rFonts w:ascii="Arial" w:cs="Arial" w:eastAsia="Arial" w:hAnsi="Arial"/>
          <w:sz w:val="20"/>
          <w:szCs w:val="20"/>
          <w:color w:val="auto"/>
        </w:rPr>
      </w:pPr>
      <w:r>
        <w:rPr>
          <w:rFonts w:ascii="Arial" w:cs="Arial" w:eastAsia="Arial" w:hAnsi="Arial"/>
          <w:sz w:val="20"/>
          <w:szCs w:val="20"/>
          <w:color w:val="auto"/>
        </w:rPr>
        <w:t>Any party hereto may change its address or facsimile number for notices and other communications hereunder by notice to the other parties hereto.</w:t>
      </w:r>
    </w:p>
    <w:p>
      <w:pPr>
        <w:spacing w:after="0" w:line="122" w:lineRule="exact"/>
        <w:rPr>
          <w:rFonts w:ascii="Arial" w:cs="Arial" w:eastAsia="Arial" w:hAnsi="Arial"/>
          <w:sz w:val="20"/>
          <w:szCs w:val="20"/>
          <w:color w:val="auto"/>
        </w:rPr>
      </w:pPr>
    </w:p>
    <w:p>
      <w:pPr>
        <w:ind w:firstLine="1304"/>
        <w:spacing w:after="0" w:line="316" w:lineRule="auto"/>
        <w:tabs>
          <w:tab w:leader="none" w:pos="194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Each Loan Party agrees that the Administrative Agent may, but shall not be obligated to, make the Communications (as defined below) available to the Issuing Lender and the other Lenders by posting the Communications on the Platform.</w:t>
      </w:r>
    </w:p>
    <w:p>
      <w:pPr>
        <w:spacing w:after="0" w:line="75" w:lineRule="exact"/>
        <w:rPr>
          <w:rFonts w:ascii="Arial" w:cs="Arial" w:eastAsia="Arial" w:hAnsi="Arial"/>
          <w:sz w:val="18"/>
          <w:szCs w:val="18"/>
          <w:color w:val="auto"/>
        </w:rPr>
      </w:pPr>
    </w:p>
    <w:p>
      <w:pPr>
        <w:jc w:val="both"/>
        <w:ind w:firstLine="1952"/>
        <w:spacing w:after="0" w:line="255" w:lineRule="auto"/>
        <w:tabs>
          <w:tab w:leader="none" w:pos="2426" w:val="left"/>
        </w:tabs>
        <w:numPr>
          <w:ilvl w:val="1"/>
          <w:numId w:val="216"/>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9"/>
          <w:szCs w:val="19"/>
          <w:b w:val="1"/>
          <w:bCs w:val="1"/>
          <w:i w:val="1"/>
          <w:iCs w:val="1"/>
          <w:color w:val="auto"/>
        </w:rPr>
        <w:t>Agent Parties</w:t>
      </w:r>
      <w:r>
        <w:rPr>
          <w:rFonts w:ascii="Arial" w:cs="Arial" w:eastAsia="Arial" w:hAnsi="Arial"/>
          <w:sz w:val="19"/>
          <w:szCs w:val="19"/>
          <w:color w:val="auto"/>
        </w:rPr>
        <w:t>”) have any liability to the Borrower or the other Loan Parties, any Lender or any other Person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Arial" w:cs="Arial" w:eastAsia="Arial" w:hAnsi="Arial"/>
          <w:sz w:val="19"/>
          <w:szCs w:val="19"/>
          <w:b w:val="1"/>
          <w:bCs w:val="1"/>
          <w:i w:val="1"/>
          <w:iCs w:val="1"/>
          <w:color w:val="auto"/>
        </w:rPr>
        <w:t>Communications</w:t>
      </w:r>
      <w:r>
        <w:rPr>
          <w:rFonts w:ascii="Arial" w:cs="Arial" w:eastAsia="Arial" w:hAnsi="Arial"/>
          <w:sz w:val="19"/>
          <w:szCs w:val="19"/>
          <w:color w:val="auto"/>
        </w:rPr>
        <w:t>” means, collectively, any notice, demand, communication, information, document or other material provided by or on behalf of any Loan Party pursuant to any Loan Document or the transactions contemplated therein which is distributed to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240"/>
          </w:cols>
          <w:pgMar w:left="320" w:top="825" w:right="339" w:bottom="1440" w:gutter="0" w:footer="0" w:header="0"/>
          <w:type w:val="continuous"/>
        </w:sectPr>
      </w:pPr>
    </w:p>
    <w:bookmarkStart w:id="236" w:name="page237"/>
    <w:bookmarkEnd w:id="236"/>
    <w:p>
      <w:pPr>
        <w:jc w:val="both"/>
        <w:spacing w:after="0" w:line="260" w:lineRule="auto"/>
        <w:rPr>
          <w:sz w:val="20"/>
          <w:szCs w:val="20"/>
          <w:color w:val="auto"/>
        </w:rPr>
      </w:pPr>
      <w:r>
        <w:rPr>
          <w:rFonts w:ascii="Arial" w:cs="Arial" w:eastAsia="Arial" w:hAnsi="Arial"/>
          <w:sz w:val="20"/>
          <w:szCs w:val="20"/>
          <w:color w:val="auto"/>
        </w:rPr>
        <w:t>Administrative Agent, any Lender or the Issuing Lender by means of electronic communications pursuant to this Section, including through the Platform.</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10.3 No Waiver; Cumulative Remedies</w:t>
      </w:r>
      <w:r>
        <w:rPr>
          <w:rFonts w:ascii="Arial" w:cs="Arial" w:eastAsia="Arial" w:hAnsi="Arial"/>
          <w:sz w:val="19"/>
          <w:szCs w:val="19"/>
          <w:color w:val="auto"/>
        </w:rPr>
        <w:t>. No failure to exercise and no delay in exercising, on the part of the Administrative Agent</w:t>
      </w:r>
      <w:r>
        <w:rPr>
          <w:rFonts w:ascii="Arial" w:cs="Arial" w:eastAsia="Arial" w:hAnsi="Arial"/>
          <w:sz w:val="19"/>
          <w:szCs w:val="19"/>
          <w:b w:val="1"/>
          <w:bCs w:val="1"/>
          <w:color w:val="auto"/>
        </w:rPr>
        <w:t xml:space="preserve"> </w:t>
      </w:r>
      <w:r>
        <w:rPr>
          <w:rFonts w:ascii="Arial" w:cs="Arial" w:eastAsia="Arial" w:hAnsi="Arial"/>
          <w:sz w:val="19"/>
          <w:szCs w:val="19"/>
          <w:color w:val="auto"/>
        </w:rPr>
        <w:t>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1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0"/>
          <w:szCs w:val="20"/>
          <w:b w:val="1"/>
          <w:bCs w:val="1"/>
          <w:color w:val="auto"/>
        </w:rPr>
        <w:t>10.4 Survival of Representations and Warranties</w:t>
      </w:r>
      <w:r>
        <w:rPr>
          <w:rFonts w:ascii="Arial" w:cs="Arial" w:eastAsia="Arial" w:hAnsi="Arial"/>
          <w:sz w:val="20"/>
          <w:szCs w:val="20"/>
          <w:color w:val="auto"/>
        </w:rPr>
        <w:t>. All representations and warranties made hereunder, in the other Loan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and in any document, certificate or statement delivered pursuant hereto or in connection herewith shall survive the execution and delivery of this Agreement and the making of the Loans and other extensions of credit hereunder.</w:t>
      </w:r>
    </w:p>
    <w:p>
      <w:pPr>
        <w:spacing w:after="0" w:line="1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1" w:lineRule="auto"/>
        <w:tabs>
          <w:tab w:leader="none" w:pos="1727"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and documented out-of-pocket expenses incurred by the Administrative Agent and its Affiliates (including the reasonable fees, charges and disbursements of counsel for the Administrative Agent),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and (iii) all reasonable and documented out-of-pocket expenses incurred by the Administrative Agent or any Lender (including the fees, charges and disbursements of counsel for the Administrative Agent or any Lender),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documented out-of-pocket expenses incurred during any workout, restructuring or negotiations in respect of such Loans or Letters of Credit.</w:t>
      </w:r>
    </w:p>
    <w:p>
      <w:pPr>
        <w:spacing w:after="0" w:line="115" w:lineRule="exact"/>
        <w:rPr>
          <w:rFonts w:ascii="Arial" w:cs="Arial" w:eastAsia="Arial" w:hAnsi="Arial"/>
          <w:sz w:val="18"/>
          <w:szCs w:val="18"/>
          <w:color w:val="auto"/>
        </w:rPr>
      </w:pPr>
    </w:p>
    <w:p>
      <w:pPr>
        <w:jc w:val="both"/>
        <w:ind w:firstLine="1304"/>
        <w:spacing w:after="0" w:line="269" w:lineRule="auto"/>
        <w:tabs>
          <w:tab w:leader="none" w:pos="1724"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the Administrative Agent (and any sub-agent thereof), each Lender (including the Issuing Lender), and each Related Party of any of the foregoing Persons (each such Person being called an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Group Members, or any Environmental Liability related in any way to the Group Members,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240"/>
          </w:cols>
          <w:pgMar w:left="320" w:top="771" w:right="339" w:bottom="1440" w:gutter="0" w:footer="0" w:header="0"/>
        </w:sectPr>
      </w:pPr>
    </w:p>
    <w:bookmarkStart w:id="237" w:name="page238"/>
    <w:bookmarkEnd w:id="237"/>
    <w:p>
      <w:pPr>
        <w:jc w:val="both"/>
        <w:spacing w:after="0" w:line="246" w:lineRule="auto"/>
        <w:rPr>
          <w:sz w:val="20"/>
          <w:szCs w:val="20"/>
          <w:color w:val="auto"/>
        </w:rPr>
      </w:pPr>
      <w:r>
        <w:rPr>
          <w:rFonts w:ascii="Arial" w:cs="Arial" w:eastAsia="Arial" w:hAnsi="Arial"/>
          <w:sz w:val="20"/>
          <w:szCs w:val="20"/>
          <w:color w:val="auto"/>
        </w:rPr>
        <w:t xml:space="preserve">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w:t>
      </w:r>
      <w:r>
        <w:rPr>
          <w:rFonts w:ascii="Arial" w:cs="Arial" w:eastAsia="Arial" w:hAnsi="Arial"/>
          <w:sz w:val="20"/>
          <w:szCs w:val="20"/>
          <w:u w:val="single" w:color="auto"/>
          <w:color w:val="auto"/>
        </w:rPr>
        <w:t>Section 10.5(b)</w:t>
      </w:r>
      <w:r>
        <w:rPr>
          <w:rFonts w:ascii="Arial" w:cs="Arial" w:eastAsia="Arial" w:hAnsi="Arial"/>
          <w:sz w:val="20"/>
          <w:szCs w:val="20"/>
          <w:color w:val="auto"/>
        </w:rPr>
        <w:t xml:space="preserve"> shall not apply with respect to Taxes other than any Taxes that represent losses, claims, damages, etc. arising from any non-Tax claim.</w:t>
      </w:r>
    </w:p>
    <w:p>
      <w:pPr>
        <w:spacing w:after="0" w:line="137" w:lineRule="exact"/>
        <w:rPr>
          <w:sz w:val="20"/>
          <w:szCs w:val="20"/>
          <w:color w:val="auto"/>
        </w:rPr>
      </w:pPr>
    </w:p>
    <w:p>
      <w:pPr>
        <w:jc w:val="both"/>
        <w:ind w:firstLine="1304"/>
        <w:spacing w:after="0" w:line="254" w:lineRule="auto"/>
        <w:tabs>
          <w:tab w:leader="none" w:pos="1835"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(determined as of the time that the applicable unreimbursed expense or indemnity payment is sought based on each Lender’s Revolving Percentage at such time) of such unpaid amount (including any such unpaid amount in respect of a claim asserted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paragraph (c) are subject to the provisions of </w:t>
      </w:r>
      <w:r>
        <w:rPr>
          <w:rFonts w:ascii="Arial" w:cs="Arial" w:eastAsia="Arial" w:hAnsi="Arial"/>
          <w:sz w:val="19"/>
          <w:szCs w:val="19"/>
          <w:u w:val="single" w:color="auto"/>
          <w:color w:val="auto"/>
        </w:rPr>
        <w:t>Sections 2.1</w:t>
      </w:r>
      <w:r>
        <w:rPr>
          <w:rFonts w:ascii="Arial" w:cs="Arial" w:eastAsia="Arial" w:hAnsi="Arial"/>
          <w:sz w:val="19"/>
          <w:szCs w:val="19"/>
          <w:color w:val="auto"/>
        </w:rPr>
        <w:t xml:space="preserve">, </w:t>
      </w:r>
      <w:r>
        <w:rPr>
          <w:rFonts w:ascii="Arial" w:cs="Arial" w:eastAsia="Arial" w:hAnsi="Arial"/>
          <w:sz w:val="19"/>
          <w:szCs w:val="19"/>
          <w:u w:val="single" w:color="auto"/>
          <w:color w:val="auto"/>
        </w:rPr>
        <w:t>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2.20(e)</w:t>
      </w:r>
      <w:r>
        <w:rPr>
          <w:rFonts w:ascii="Arial" w:cs="Arial" w:eastAsia="Arial" w:hAnsi="Arial"/>
          <w:sz w:val="19"/>
          <w:szCs w:val="19"/>
          <w:color w:val="auto"/>
        </w:rPr>
        <w:t>.</w:t>
      </w:r>
    </w:p>
    <w:p>
      <w:pPr>
        <w:spacing w:after="0" w:line="137" w:lineRule="exact"/>
        <w:rPr>
          <w:rFonts w:ascii="Arial" w:cs="Arial" w:eastAsia="Arial" w:hAnsi="Arial"/>
          <w:sz w:val="19"/>
          <w:szCs w:val="19"/>
          <w:color w:val="auto"/>
        </w:rPr>
      </w:pPr>
    </w:p>
    <w:p>
      <w:pPr>
        <w:jc w:val="both"/>
        <w:ind w:firstLine="1304"/>
        <w:spacing w:after="0" w:line="256" w:lineRule="auto"/>
        <w:tabs>
          <w:tab w:leader="none" w:pos="1738"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the Borrower and each other Loan Party shall not assert, and hereby waives, any claim against the Administrative Agent (and any sub-agent thereof), each Lender (including the Issuing Lender), and each Related Party of any of the foregoing Persons (each such Person being called an “</w:t>
      </w:r>
      <w:r>
        <w:rPr>
          <w:rFonts w:ascii="Arial" w:cs="Arial" w:eastAsia="Arial" w:hAnsi="Arial"/>
          <w:sz w:val="19"/>
          <w:szCs w:val="19"/>
          <w:b w:val="1"/>
          <w:bCs w:val="1"/>
          <w:i w:val="1"/>
          <w:iCs w:val="1"/>
          <w:color w:val="auto"/>
        </w:rPr>
        <w:t>Applicable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on any theory of liability, for special, indirect, consequential or punitive damages (as opposed to direct or actual damages) arising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out of, in connection with, or as a result of, this Agreement, any other Loan Document or any agreement or instrument contemplated hereby, the transactions contemplated hereby or thereby, any Loan or Letter of Credit, or the use of the proceeds thereof. No Applicable Party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30" w:lineRule="exact"/>
        <w:rPr>
          <w:rFonts w:ascii="Arial" w:cs="Arial" w:eastAsia="Arial" w:hAnsi="Arial"/>
          <w:sz w:val="19"/>
          <w:szCs w:val="19"/>
          <w:color w:val="auto"/>
        </w:rPr>
      </w:pPr>
    </w:p>
    <w:p>
      <w:pPr>
        <w:ind w:left="1720" w:hanging="416"/>
        <w:spacing w:after="0"/>
        <w:tabs>
          <w:tab w:leader="none" w:pos="1720"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promptly after demand therefor.</w:t>
      </w:r>
    </w:p>
    <w:p>
      <w:pPr>
        <w:spacing w:after="0" w:line="161" w:lineRule="exact"/>
        <w:rPr>
          <w:rFonts w:ascii="Arial" w:cs="Arial" w:eastAsia="Arial" w:hAnsi="Arial"/>
          <w:sz w:val="20"/>
          <w:szCs w:val="20"/>
          <w:color w:val="auto"/>
        </w:rPr>
      </w:pPr>
    </w:p>
    <w:p>
      <w:pPr>
        <w:ind w:left="1700" w:hanging="396"/>
        <w:spacing w:after="0"/>
        <w:tabs>
          <w:tab w:leader="none" w:pos="1700"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Discharge of Obligations.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240"/>
          </w:cols>
          <w:pgMar w:left="320" w:top="771" w:right="339" w:bottom="1440" w:gutter="0" w:footer="0" w:header="0"/>
        </w:sectPr>
      </w:pPr>
    </w:p>
    <w:bookmarkStart w:id="238" w:name="page239"/>
    <w:bookmarkEnd w:id="238"/>
    <w:p>
      <w:pPr>
        <w:ind w:left="660"/>
        <w:spacing w:after="0"/>
        <w:tabs>
          <w:tab w:leader="none" w:pos="118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6"/>
          <w:szCs w:val="16"/>
          <w:b w:val="1"/>
          <w:bCs w:val="1"/>
          <w:color w:val="auto"/>
        </w:rPr>
        <w:t>Successors and Assigns; Participations and Assignments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1" w:lineRule="auto"/>
        <w:tabs>
          <w:tab w:leader="none" w:pos="174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(which, for purposes of this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Arial" w:cs="Arial" w:eastAsia="Arial" w:hAnsi="Arial"/>
          <w:sz w:val="18"/>
          <w:szCs w:val="18"/>
          <w:u w:val="single" w:color="auto"/>
          <w:color w:val="auto"/>
        </w:rPr>
        <w:t>Section 10.6(d)</w:t>
      </w:r>
      <w:r>
        <w:rPr>
          <w:rFonts w:ascii="Arial" w:cs="Arial" w:eastAsia="Arial" w:hAnsi="Arial"/>
          <w:sz w:val="18"/>
          <w:szCs w:val="18"/>
          <w:color w:val="auto"/>
        </w:rPr>
        <w:t xml:space="preserve">, or (iii) by way of pledge or assignment of a security interest subject to the restrictions of </w:t>
      </w:r>
      <w:r>
        <w:rPr>
          <w:rFonts w:ascii="Arial" w:cs="Arial" w:eastAsia="Arial" w:hAnsi="Arial"/>
          <w:sz w:val="18"/>
          <w:szCs w:val="18"/>
          <w:u w:val="single" w:color="auto"/>
          <w:color w:val="auto"/>
        </w:rPr>
        <w:t>Section 10.6(e)</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15" w:lineRule="exact"/>
        <w:rPr>
          <w:rFonts w:ascii="Arial" w:cs="Arial" w:eastAsia="Arial" w:hAnsi="Arial"/>
          <w:sz w:val="18"/>
          <w:szCs w:val="18"/>
          <w:color w:val="auto"/>
        </w:rPr>
      </w:pPr>
    </w:p>
    <w:p>
      <w:pPr>
        <w:jc w:val="both"/>
        <w:ind w:firstLine="1304"/>
        <w:spacing w:after="0" w:line="250" w:lineRule="auto"/>
        <w:tabs>
          <w:tab w:leader="none" w:pos="1738" w:val="left"/>
        </w:tabs>
        <w:numPr>
          <w:ilvl w:val="0"/>
          <w:numId w:val="219"/>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(in each case with respect to any Facility) any such assignment shall be subject to the following conditions:</w:t>
      </w:r>
    </w:p>
    <w:p>
      <w:pPr>
        <w:spacing w:after="0" w:line="131" w:lineRule="exact"/>
        <w:rPr>
          <w:rFonts w:ascii="Arial" w:cs="Arial" w:eastAsia="Arial" w:hAnsi="Arial"/>
          <w:sz w:val="20"/>
          <w:szCs w:val="20"/>
          <w:color w:val="auto"/>
        </w:rPr>
      </w:pPr>
    </w:p>
    <w:p>
      <w:pPr>
        <w:ind w:left="2340" w:hanging="388"/>
        <w:spacing w:after="0"/>
        <w:tabs>
          <w:tab w:leader="none" w:pos="2340" w:val="left"/>
        </w:tabs>
        <w:numPr>
          <w:ilvl w:val="1"/>
          <w:numId w:val="219"/>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2600"/>
        <w:spacing w:after="0" w:line="244" w:lineRule="auto"/>
        <w:tabs>
          <w:tab w:leader="none" w:pos="3127" w:val="left"/>
        </w:tabs>
        <w:numPr>
          <w:ilvl w:val="2"/>
          <w:numId w:val="219"/>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40" w:lineRule="exact"/>
        <w:rPr>
          <w:rFonts w:ascii="Arial" w:cs="Arial" w:eastAsia="Arial" w:hAnsi="Arial"/>
          <w:sz w:val="20"/>
          <w:szCs w:val="20"/>
          <w:color w:val="auto"/>
        </w:rPr>
      </w:pPr>
    </w:p>
    <w:p>
      <w:pPr>
        <w:jc w:val="both"/>
        <w:ind w:firstLine="2600"/>
        <w:spacing w:after="0" w:line="243" w:lineRule="auto"/>
        <w:tabs>
          <w:tab w:leader="none" w:pos="3241" w:val="left"/>
        </w:tabs>
        <w:numPr>
          <w:ilvl w:val="2"/>
          <w:numId w:val="219"/>
        </w:numPr>
        <w:rPr>
          <w:rFonts w:ascii="Arial" w:cs="Arial" w:eastAsia="Arial" w:hAnsi="Arial"/>
          <w:sz w:val="20"/>
          <w:szCs w:val="20"/>
          <w:color w:val="auto"/>
        </w:rPr>
      </w:pPr>
      <w:r>
        <w:rPr>
          <w:rFonts w:ascii="Arial" w:cs="Arial" w:eastAsia="Arial" w:hAnsi="Arial"/>
          <w:sz w:val="20"/>
          <w:szCs w:val="20"/>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Arial" w:cs="Arial" w:eastAsia="Arial" w:hAnsi="Arial"/>
          <w:sz w:val="20"/>
          <w:szCs w:val="20"/>
          <w:b w:val="1"/>
          <w:bCs w:val="1"/>
          <w:i w:val="1"/>
          <w:iCs w:val="1"/>
          <w:color w:val="auto"/>
        </w:rPr>
        <w:t>Trade Date</w:t>
      </w:r>
      <w:r>
        <w:rPr>
          <w:rFonts w:ascii="Arial" w:cs="Arial" w:eastAsia="Arial" w:hAnsi="Arial"/>
          <w:sz w:val="20"/>
          <w:szCs w:val="20"/>
          <w:color w:val="auto"/>
        </w:rPr>
        <w:t>” is specified in the Assignment and Assumption, as of the Trade Date) shall not be less than $5,000,000, unless each of the Administrative Agent and, so long as no Default or Event of Default has occurred and is continuing, the Borrower otherwise consents (each such consent not to be unreasonably withheld or delayed).</w:t>
      </w:r>
    </w:p>
    <w:p>
      <w:pPr>
        <w:spacing w:after="0" w:line="138" w:lineRule="exact"/>
        <w:rPr>
          <w:rFonts w:ascii="Arial" w:cs="Arial" w:eastAsia="Arial" w:hAnsi="Arial"/>
          <w:sz w:val="20"/>
          <w:szCs w:val="20"/>
          <w:color w:val="auto"/>
        </w:rPr>
      </w:pPr>
    </w:p>
    <w:p>
      <w:pPr>
        <w:jc w:val="both"/>
        <w:ind w:firstLine="1952"/>
        <w:spacing w:after="0" w:line="246" w:lineRule="auto"/>
        <w:tabs>
          <w:tab w:leader="none" w:pos="2410" w:val="left"/>
        </w:tabs>
        <w:numPr>
          <w:ilvl w:val="1"/>
          <w:numId w:val="219"/>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w:t>
      </w:r>
    </w:p>
    <w:p>
      <w:pPr>
        <w:spacing w:after="0" w:line="137" w:lineRule="exact"/>
        <w:rPr>
          <w:rFonts w:ascii="Arial" w:cs="Arial" w:eastAsia="Arial" w:hAnsi="Arial"/>
          <w:sz w:val="20"/>
          <w:szCs w:val="20"/>
          <w:color w:val="auto"/>
        </w:rPr>
      </w:pPr>
    </w:p>
    <w:p>
      <w:pPr>
        <w:ind w:firstLine="1952"/>
        <w:spacing w:after="0" w:line="260" w:lineRule="auto"/>
        <w:tabs>
          <w:tab w:leader="none" w:pos="2600" w:val="left"/>
        </w:tabs>
        <w:numPr>
          <w:ilvl w:val="1"/>
          <w:numId w:val="219"/>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paragraph (b)(i)(B) of this Section and, in addition: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240"/>
          </w:cols>
          <w:pgMar w:left="320" w:top="765" w:right="339" w:bottom="1440" w:gutter="0" w:footer="0" w:header="0"/>
        </w:sectPr>
      </w:pPr>
    </w:p>
    <w:bookmarkStart w:id="239" w:name="page240"/>
    <w:bookmarkEnd w:id="239"/>
    <w:p>
      <w:pPr>
        <w:jc w:val="both"/>
        <w:ind w:firstLine="2600"/>
        <w:spacing w:after="0" w:line="282" w:lineRule="auto"/>
        <w:tabs>
          <w:tab w:leader="none" w:pos="319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Borrower shall be deemed to have consented to any such assignment unless it shall object thereto by written notice to the Administrative Agent within 5 Business Days after having received notice thereof;</w:t>
      </w:r>
    </w:p>
    <w:p>
      <w:pPr>
        <w:spacing w:after="0" w:line="107" w:lineRule="exact"/>
        <w:rPr>
          <w:rFonts w:ascii="Arial" w:cs="Arial" w:eastAsia="Arial" w:hAnsi="Arial"/>
          <w:sz w:val="18"/>
          <w:szCs w:val="18"/>
          <w:color w:val="auto"/>
        </w:rPr>
      </w:pPr>
    </w:p>
    <w:p>
      <w:pPr>
        <w:jc w:val="both"/>
        <w:ind w:firstLine="2600"/>
        <w:spacing w:after="0" w:line="250" w:lineRule="auto"/>
        <w:tabs>
          <w:tab w:leader="none" w:pos="3129" w:val="left"/>
        </w:tabs>
        <w:numPr>
          <w:ilvl w:val="1"/>
          <w:numId w:val="220"/>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the Revolving Facility if such assignment is to a Person that is not a Lender with a Revolving Commitment; and</w:t>
      </w:r>
    </w:p>
    <w:p>
      <w:pPr>
        <w:spacing w:after="0" w:line="131" w:lineRule="exact"/>
        <w:rPr>
          <w:rFonts w:ascii="Arial" w:cs="Arial" w:eastAsia="Arial" w:hAnsi="Arial"/>
          <w:sz w:val="20"/>
          <w:szCs w:val="20"/>
          <w:color w:val="auto"/>
        </w:rPr>
      </w:pPr>
    </w:p>
    <w:p>
      <w:pPr>
        <w:ind w:firstLine="2600"/>
        <w:spacing w:after="0" w:line="260" w:lineRule="auto"/>
        <w:tabs>
          <w:tab w:leader="none" w:pos="3153" w:val="left"/>
        </w:tabs>
        <w:numPr>
          <w:ilvl w:val="1"/>
          <w:numId w:val="220"/>
        </w:numPr>
        <w:rPr>
          <w:rFonts w:ascii="Arial" w:cs="Arial" w:eastAsia="Arial" w:hAnsi="Arial"/>
          <w:sz w:val="20"/>
          <w:szCs w:val="20"/>
          <w:color w:val="auto"/>
        </w:rPr>
      </w:pPr>
      <w:r>
        <w:rPr>
          <w:rFonts w:ascii="Arial" w:cs="Arial" w:eastAsia="Arial" w:hAnsi="Arial"/>
          <w:sz w:val="20"/>
          <w:szCs w:val="20"/>
          <w:color w:val="auto"/>
        </w:rPr>
        <w:t>the consent of the Issuing Lender and the Swingline Lender (such consent not to be unreasonably withheld or delayed) shall be required for any assignment in respect of the Revolving Facility.</w:t>
      </w:r>
    </w:p>
    <w:p>
      <w:pPr>
        <w:spacing w:after="0" w:line="122" w:lineRule="exact"/>
        <w:rPr>
          <w:rFonts w:ascii="Arial" w:cs="Arial" w:eastAsia="Arial" w:hAnsi="Arial"/>
          <w:sz w:val="20"/>
          <w:szCs w:val="20"/>
          <w:color w:val="auto"/>
        </w:rPr>
      </w:pPr>
    </w:p>
    <w:p>
      <w:pPr>
        <w:jc w:val="both"/>
        <w:ind w:firstLine="1952"/>
        <w:spacing w:after="0" w:line="282" w:lineRule="auto"/>
        <w:tabs>
          <w:tab w:leader="none" w:pos="2468"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Administrative Agent may, in its sole discretion, elect to waive such processing and recordation fee in the case of any 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assignee, if it is not a Lender, shall deliver to the Administrative Agent any such administrative questionnaire as the Administrative Agent may request.</w:t>
      </w:r>
    </w:p>
    <w:p>
      <w:pPr>
        <w:spacing w:after="0" w:line="107" w:lineRule="exact"/>
        <w:rPr>
          <w:rFonts w:ascii="Arial" w:cs="Arial" w:eastAsia="Arial" w:hAnsi="Arial"/>
          <w:sz w:val="18"/>
          <w:szCs w:val="18"/>
          <w:color w:val="auto"/>
        </w:rPr>
      </w:pPr>
    </w:p>
    <w:p>
      <w:pPr>
        <w:jc w:val="both"/>
        <w:ind w:firstLine="1952"/>
        <w:spacing w:after="0" w:line="250" w:lineRule="auto"/>
        <w:tabs>
          <w:tab w:leader="none" w:pos="2480" w:val="left"/>
        </w:tabs>
        <w:numPr>
          <w:ilvl w:val="0"/>
          <w:numId w:val="221"/>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pacing w:after="0" w:line="131" w:lineRule="exact"/>
        <w:rPr>
          <w:rFonts w:ascii="Arial" w:cs="Arial" w:eastAsia="Arial" w:hAnsi="Arial"/>
          <w:sz w:val="20"/>
          <w:szCs w:val="20"/>
          <w:color w:val="auto"/>
        </w:rPr>
      </w:pPr>
    </w:p>
    <w:p>
      <w:pPr>
        <w:ind w:firstLine="1952"/>
        <w:spacing w:after="0" w:line="287" w:lineRule="auto"/>
        <w:tabs>
          <w:tab w:leader="none" w:pos="2535"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No Assignment to Natural Persons</w:t>
      </w:r>
      <w:r>
        <w:rPr>
          <w:rFonts w:ascii="Arial" w:cs="Arial" w:eastAsia="Arial" w:hAnsi="Arial"/>
          <w:sz w:val="19"/>
          <w:szCs w:val="19"/>
          <w:color w:val="auto"/>
        </w:rPr>
        <w:t>. No such assignment shall be made to a natural Person (or a holding company, investment vehicle or trust established for, or owned and operated for the primary benefit of, a natural Person).</w:t>
      </w:r>
    </w:p>
    <w:p>
      <w:pPr>
        <w:spacing w:after="0" w:line="98" w:lineRule="exact"/>
        <w:rPr>
          <w:rFonts w:ascii="Arial" w:cs="Arial" w:eastAsia="Arial" w:hAnsi="Arial"/>
          <w:sz w:val="19"/>
          <w:szCs w:val="19"/>
          <w:color w:val="auto"/>
        </w:rPr>
      </w:pPr>
    </w:p>
    <w:p>
      <w:pPr>
        <w:jc w:val="both"/>
        <w:ind w:firstLine="1952"/>
        <w:spacing w:after="0" w:line="270" w:lineRule="auto"/>
        <w:tabs>
          <w:tab w:leader="none" w:pos="2509"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pro rata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with respect to facts and circumstances occurring prior to the effective date of such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1240"/>
          </w:cols>
          <w:pgMar w:left="320" w:top="771" w:right="339" w:bottom="1440" w:gutter="0" w:footer="0" w:header="0"/>
        </w:sectPr>
      </w:pPr>
    </w:p>
    <w:bookmarkStart w:id="240" w:name="page241"/>
    <w:bookmarkEnd w:id="240"/>
    <w:p>
      <w:pPr>
        <w:jc w:val="both"/>
        <w:spacing w:after="0" w:line="244" w:lineRule="auto"/>
        <w:rPr>
          <w:sz w:val="20"/>
          <w:szCs w:val="20"/>
          <w:color w:val="auto"/>
        </w:rPr>
      </w:pPr>
      <w:r>
        <w:rPr>
          <w:rFonts w:ascii="Arial" w:cs="Arial" w:eastAsia="Arial" w:hAnsi="Arial"/>
          <w:sz w:val="20"/>
          <w:szCs w:val="20"/>
          <w:color w:val="auto"/>
        </w:rPr>
        <w:t xml:space="preserve">assignment; </w:t>
      </w:r>
      <w:r>
        <w:rPr>
          <w:rFonts w:ascii="Arial" w:cs="Arial" w:eastAsia="Arial" w:hAnsi="Arial"/>
          <w:sz w:val="20"/>
          <w:szCs w:val="20"/>
          <w:u w:val="single" w:color="auto"/>
          <w:color w:val="auto"/>
        </w:rPr>
        <w:t>provided</w:t>
      </w:r>
      <w:r>
        <w:rPr>
          <w:rFonts w:ascii="Arial" w:cs="Arial" w:eastAsia="Arial" w:hAnsi="Arial"/>
          <w:sz w:val="20"/>
          <w:szCs w:val="20"/>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40" w:lineRule="exact"/>
        <w:rPr>
          <w:sz w:val="20"/>
          <w:szCs w:val="20"/>
          <w:color w:val="auto"/>
        </w:rPr>
      </w:pPr>
    </w:p>
    <w:p>
      <w:pPr>
        <w:jc w:val="both"/>
        <w:ind w:firstLine="1304"/>
        <w:spacing w:after="0" w:line="257" w:lineRule="auto"/>
        <w:tabs>
          <w:tab w:leader="none" w:pos="1821" w:val="left"/>
        </w:tabs>
        <w:numPr>
          <w:ilvl w:val="1"/>
          <w:numId w:val="222"/>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non-fiduciary agent of the Borrower, shall maintain at one of its offices in California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30" w:lineRule="exact"/>
        <w:rPr>
          <w:rFonts w:ascii="Arial" w:cs="Arial" w:eastAsia="Arial" w:hAnsi="Arial"/>
          <w:sz w:val="19"/>
          <w:szCs w:val="19"/>
          <w:color w:val="auto"/>
        </w:rPr>
      </w:pPr>
    </w:p>
    <w:p>
      <w:pPr>
        <w:jc w:val="both"/>
        <w:ind w:firstLine="1304"/>
        <w:spacing w:after="0" w:line="269" w:lineRule="auto"/>
        <w:tabs>
          <w:tab w:leader="none" w:pos="1778"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Administrative Agent, sell participations to any Person (other than a natural Person, a holding company, investment vehicle or trust established for, or owned and operated for the primary benefit of, a natural Person, or the Borrower or any of the Borrower’s Affiliates or Subsidiaries) (each,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such Lender’s obligations under this Agreement shall remain unchanged,</w:t>
      </w:r>
    </w:p>
    <w:p>
      <w:pPr>
        <w:spacing w:after="0" w:line="3" w:lineRule="exact"/>
        <w:rPr>
          <w:rFonts w:ascii="Arial" w:cs="Arial" w:eastAsia="Arial" w:hAnsi="Arial"/>
          <w:sz w:val="18"/>
          <w:szCs w:val="18"/>
          <w:color w:val="auto"/>
        </w:rPr>
      </w:pPr>
    </w:p>
    <w:p>
      <w:pPr>
        <w:jc w:val="both"/>
        <w:ind w:firstLine="8"/>
        <w:spacing w:after="0" w:line="276" w:lineRule="auto"/>
        <w:tabs>
          <w:tab w:leader="none" w:pos="2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Arial" w:cs="Arial" w:eastAsia="Arial" w:hAnsi="Arial"/>
          <w:sz w:val="18"/>
          <w:szCs w:val="18"/>
          <w:u w:val="single" w:color="auto"/>
          <w:color w:val="auto"/>
        </w:rPr>
        <w:t>Sections 2.20(e)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9.7</w:t>
      </w:r>
      <w:r>
        <w:rPr>
          <w:rFonts w:ascii="Arial" w:cs="Arial" w:eastAsia="Arial" w:hAnsi="Arial"/>
          <w:sz w:val="18"/>
          <w:szCs w:val="18"/>
          <w:color w:val="auto"/>
        </w:rPr>
        <w:t xml:space="preserve"> with respect to any payments made by such Lender to its Participant(s).</w:t>
      </w:r>
    </w:p>
    <w:p>
      <w:pPr>
        <w:spacing w:after="0" w:line="1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The Borrower agrees that each Participant shall be entitled to the benefits of </w:t>
      </w:r>
      <w:r>
        <w:rPr>
          <w:rFonts w:ascii="Arial" w:cs="Arial" w:eastAsia="Arial" w:hAnsi="Arial"/>
          <w:sz w:val="18"/>
          <w:szCs w:val="18"/>
          <w:u w:val="single" w:color="auto"/>
          <w:color w:val="auto"/>
        </w:rPr>
        <w:t>Sections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2.21</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2.20(f)</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2.20(f)</w:t>
      </w:r>
      <w:r>
        <w:rPr>
          <w:rFonts w:ascii="Arial" w:cs="Arial" w:eastAsia="Arial" w:hAnsi="Arial"/>
          <w:sz w:val="18"/>
          <w:szCs w:val="18"/>
          <w:color w:val="auto"/>
        </w:rPr>
        <w:t xml:space="preserve"> shall be delivered by such Participant to the Lender granting such participation)) to the same extent as if it were a Lender and had acquired its interest by assignment pursuant to </w:t>
      </w: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Participant (A) agrees to be subject to the provisions of </w:t>
      </w:r>
      <w:r>
        <w:rPr>
          <w:rFonts w:ascii="Arial" w:cs="Arial" w:eastAsia="Arial" w:hAnsi="Arial"/>
          <w:sz w:val="18"/>
          <w:szCs w:val="18"/>
          <w:u w:val="single" w:color="auto"/>
          <w:color w:val="auto"/>
        </w:rPr>
        <w:t>Sections 2.23</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Section 10.6(b)</w:t>
      </w:r>
      <w:r>
        <w:rPr>
          <w:rFonts w:ascii="Arial" w:cs="Arial" w:eastAsia="Arial" w:hAnsi="Arial"/>
          <w:sz w:val="18"/>
          <w:szCs w:val="18"/>
          <w:color w:val="auto"/>
        </w:rPr>
        <w:t xml:space="preserve">; and (B) shall not be entitled to receive any greater payment under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Lender shall have any obligation to disclose all or any portion of the Participant Register (including the identity of any Participant or any information relating to a Participant’s interest in any Commitments,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1240"/>
          </w:cols>
          <w:pgMar w:left="320" w:top="771" w:right="339" w:bottom="1440" w:gutter="0" w:footer="0" w:header="0"/>
        </w:sectPr>
      </w:pPr>
    </w:p>
    <w:bookmarkStart w:id="241" w:name="page242"/>
    <w:bookmarkEnd w:id="241"/>
    <w:p>
      <w:pPr>
        <w:jc w:val="both"/>
        <w:spacing w:after="0" w:line="259" w:lineRule="auto"/>
        <w:rPr>
          <w:sz w:val="20"/>
          <w:szCs w:val="20"/>
          <w:color w:val="auto"/>
        </w:rPr>
      </w:pPr>
      <w:r>
        <w:rPr>
          <w:rFonts w:ascii="Arial" w:cs="Arial" w:eastAsia="Arial" w:hAnsi="Arial"/>
          <w:sz w:val="19"/>
          <w:szCs w:val="19"/>
          <w:color w:val="auto"/>
        </w:rPr>
        <w:t>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4" w:lineRule="exact"/>
        <w:rPr>
          <w:sz w:val="20"/>
          <w:szCs w:val="20"/>
          <w:color w:val="auto"/>
        </w:rPr>
      </w:pPr>
    </w:p>
    <w:p>
      <w:pPr>
        <w:jc w:val="both"/>
        <w:ind w:firstLine="1304"/>
        <w:spacing w:after="0" w:line="246" w:lineRule="auto"/>
        <w:tabs>
          <w:tab w:leader="none" w:pos="1713" w:val="left"/>
        </w:tabs>
        <w:numPr>
          <w:ilvl w:val="0"/>
          <w:numId w:val="224"/>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no such pledge or assignment shall release such Lender from any of its obligations hereunder or substitute any such pledgee or assignee for such Lender as a party hereto.</w:t>
      </w:r>
    </w:p>
    <w:p>
      <w:pPr>
        <w:spacing w:after="0" w:line="137" w:lineRule="exact"/>
        <w:rPr>
          <w:rFonts w:ascii="Arial" w:cs="Arial" w:eastAsia="Arial" w:hAnsi="Arial"/>
          <w:sz w:val="20"/>
          <w:szCs w:val="20"/>
          <w:color w:val="auto"/>
        </w:rPr>
      </w:pPr>
    </w:p>
    <w:p>
      <w:pPr>
        <w:ind w:right="20" w:firstLine="1304"/>
        <w:spacing w:after="0" w:line="260" w:lineRule="auto"/>
        <w:tabs>
          <w:tab w:leader="none" w:pos="1705" w:val="left"/>
        </w:tabs>
        <w:numPr>
          <w:ilvl w:val="0"/>
          <w:numId w:val="224"/>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xml:space="preserve">. The Borrower, upon receipt by the Borrower of written notice from the relevant Lender, agrees to issue Notes to any Lender requiring Notes to facilitate transactions of the type described in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304"/>
        <w:spacing w:after="0" w:line="274" w:lineRule="auto"/>
        <w:tabs>
          <w:tab w:leader="none" w:pos="1738"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Lenders</w:t>
      </w:r>
      <w:r>
        <w:rPr>
          <w:rFonts w:ascii="Arial" w:cs="Arial" w:eastAsia="Arial" w:hAnsi="Arial"/>
          <w:sz w:val="18"/>
          <w:szCs w:val="18"/>
          <w:color w:val="auto"/>
        </w:rPr>
        <w:t xml:space="preserve">.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Arial" w:cs="Arial" w:eastAsia="Arial" w:hAnsi="Arial"/>
          <w:sz w:val="18"/>
          <w:szCs w:val="18"/>
          <w:u w:val="single" w:color="auto"/>
          <w:color w:val="auto"/>
        </w:rPr>
        <w:t>Section 10.6</w:t>
      </w:r>
      <w:r>
        <w:rPr>
          <w:rFonts w:ascii="Arial" w:cs="Arial" w:eastAsia="Arial" w:hAnsi="Arial"/>
          <w:sz w:val="18"/>
          <w:szCs w:val="18"/>
          <w:color w:val="auto"/>
        </w:rPr>
        <w:t>, the disposition of such Commitments and Loans or any interests therein shall at all times remain within its exclusive control).</w:t>
      </w:r>
    </w:p>
    <w:p>
      <w:pPr>
        <w:spacing w:after="0" w:line="10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6"/>
          <w:szCs w:val="16"/>
          <w:b w:val="1"/>
          <w:bCs w:val="1"/>
          <w:color w:val="auto"/>
        </w:rPr>
        <w:t>Adjustments; Set-off</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55" w:lineRule="auto"/>
        <w:tabs>
          <w:tab w:leader="none" w:pos="172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Except to the extent that this Agreement expressly provides for payments to be allocated to a particular Lender or to the Lenders under a particular Facility, if any Lender (a “</w:t>
      </w:r>
      <w:r>
        <w:rPr>
          <w:rFonts w:ascii="Arial" w:cs="Arial" w:eastAsia="Arial" w:hAnsi="Arial"/>
          <w:sz w:val="19"/>
          <w:szCs w:val="19"/>
          <w:b w:val="1"/>
          <w:bCs w:val="1"/>
          <w:i w:val="1"/>
          <w:iCs w:val="1"/>
          <w:color w:val="auto"/>
        </w:rPr>
        <w:t>Benefitted Lender</w:t>
      </w:r>
      <w:r>
        <w:rPr>
          <w:rFonts w:ascii="Arial" w:cs="Arial" w:eastAsia="Arial" w:hAnsi="Arial"/>
          <w:sz w:val="19"/>
          <w:szCs w:val="19"/>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Arial" w:cs="Arial" w:eastAsia="Arial" w:hAnsi="Arial"/>
          <w:sz w:val="19"/>
          <w:szCs w:val="19"/>
          <w:u w:val="single" w:color="auto"/>
          <w:color w:val="auto"/>
        </w:rPr>
        <w:t>Section 8.1(f)</w:t>
      </w:r>
      <w:r>
        <w:rPr>
          <w:rFonts w:ascii="Arial" w:cs="Arial" w:eastAsia="Arial" w:hAnsi="Arial"/>
          <w:sz w:val="19"/>
          <w:szCs w:val="19"/>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all or any portion of such excess payment or benefits is thereafter recovered from such Benefitted Lender, such purchase shall be rescinded, and the purchase price and benefits returned, to the extent of such recovery, but without interest.</w:t>
      </w:r>
    </w:p>
    <w:p>
      <w:pPr>
        <w:spacing w:after="0" w:line="135" w:lineRule="exact"/>
        <w:rPr>
          <w:rFonts w:ascii="Arial" w:cs="Arial" w:eastAsia="Arial" w:hAnsi="Arial"/>
          <w:sz w:val="19"/>
          <w:szCs w:val="19"/>
          <w:color w:val="auto"/>
        </w:rPr>
      </w:pPr>
    </w:p>
    <w:p>
      <w:pPr>
        <w:jc w:val="both"/>
        <w:ind w:firstLine="1304"/>
        <w:spacing w:after="0" w:line="257" w:lineRule="auto"/>
        <w:tabs>
          <w:tab w:leader="none" w:pos="1741" w:val="left"/>
        </w:tabs>
        <w:numPr>
          <w:ilvl w:val="0"/>
          <w:numId w:val="225"/>
        </w:numPr>
        <w:rPr>
          <w:rFonts w:ascii="Arial" w:cs="Arial" w:eastAsia="Arial" w:hAnsi="Arial"/>
          <w:sz w:val="19"/>
          <w:szCs w:val="19"/>
          <w:color w:val="auto"/>
        </w:rPr>
      </w:pPr>
      <w:r>
        <w:rPr>
          <w:rFonts w:ascii="Arial" w:cs="Arial" w:eastAsia="Arial" w:hAnsi="Arial"/>
          <w:sz w:val="19"/>
          <w:szCs w:val="19"/>
          <w:color w:val="auto"/>
        </w:rPr>
        <w:t>Upon (i) the occurrence and during the continuance of any Event of Default and (ii) obtaining the prior written consent of the Administrative Agent, each Lender and each of its Affiliates is hereby authorized at any time and from time to time, without prior notice to the Borrower or any other Loan Party, any such notice being expressly waived by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the Borrower or any other Loan Party, as the case may be, against any and all of the obligations of the Borrower or such other Loan Party now or hereafter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1240"/>
          </w:cols>
          <w:pgMar w:left="320" w:top="771" w:right="339" w:bottom="1440" w:gutter="0" w:footer="0" w:header="0"/>
        </w:sectPr>
      </w:pPr>
    </w:p>
    <w:bookmarkStart w:id="242" w:name="page243"/>
    <w:bookmarkEnd w:id="242"/>
    <w:p>
      <w:pPr>
        <w:jc w:val="both"/>
        <w:spacing w:after="0" w:line="270" w:lineRule="auto"/>
        <w:rPr>
          <w:sz w:val="20"/>
          <w:szCs w:val="20"/>
          <w:color w:val="auto"/>
        </w:rPr>
      </w:pPr>
      <w:r>
        <w:rPr>
          <w:rFonts w:ascii="Arial" w:cs="Arial" w:eastAsia="Arial" w:hAnsi="Arial"/>
          <w:sz w:val="18"/>
          <w:szCs w:val="18"/>
          <w:color w:val="auto"/>
        </w:rPr>
        <w:t xml:space="preserve">existing under this Agreement or any other Loan Document to such Lender or its Affiliates, irrespective of whether or not such Lender or Affiliate shall have made any demand under this Agreement or any other Loan Document and although such obligations of the Borrower or such other Loan Party may be contingent or unmatured or are owed to a branch, office or Affiliate of such Lender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failure to give such notice shall not affect the validity of such setoff and application. The rights of each Lender and its Affiliates under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are in addition to other rights and remedies (including other rights of set-off) which such Lender or its Affiliates may have.</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10.8 Payments Set Aside</w:t>
      </w:r>
      <w:r>
        <w:rPr>
          <w:rFonts w:ascii="Arial" w:cs="Arial" w:eastAsia="Arial" w:hAnsi="Arial"/>
          <w:sz w:val="18"/>
          <w:szCs w:val="18"/>
          <w:color w:val="auto"/>
        </w:rPr>
        <w:t>. To the extent that any payment by or on behalf of the Borrower is made to the Administrative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2" w:lineRule="exact"/>
        <w:rPr>
          <w:sz w:val="20"/>
          <w:szCs w:val="20"/>
          <w:color w:val="auto"/>
        </w:rPr>
      </w:pPr>
    </w:p>
    <w:p>
      <w:pPr>
        <w:jc w:val="both"/>
        <w:ind w:firstLine="8"/>
        <w:spacing w:after="0" w:line="241" w:lineRule="auto"/>
        <w:tabs>
          <w:tab w:leader="none" w:pos="281"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each Lender severally agrees to pay to the Administrative Agent upon demand its applicable share (without duplication) of any amount so recovered from or repaid by the Administrative Agent,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w:t>
      </w:r>
    </w:p>
    <w:p>
      <w:pPr>
        <w:spacing w:after="0" w:line="1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10.9 Interest Rate Limitation</w:t>
      </w:r>
      <w:r>
        <w:rPr>
          <w:rFonts w:ascii="Arial" w:cs="Arial" w:eastAsia="Arial" w:hAnsi="Arial"/>
          <w:sz w:val="19"/>
          <w:szCs w:val="19"/>
          <w:color w:val="auto"/>
        </w:rPr>
        <w:t>. Notwithstanding anything to the contrary contained in any Loan Document, the interest paid or</w:t>
      </w:r>
      <w:r>
        <w:rPr>
          <w:rFonts w:ascii="Arial" w:cs="Arial" w:eastAsia="Arial" w:hAnsi="Arial"/>
          <w:sz w:val="19"/>
          <w:szCs w:val="19"/>
          <w:b w:val="1"/>
          <w:bCs w:val="1"/>
          <w:color w:val="auto"/>
        </w:rPr>
        <w:t xml:space="preserve"> </w:t>
      </w:r>
      <w:r>
        <w:rPr>
          <w:rFonts w:ascii="Arial" w:cs="Arial" w:eastAsia="Arial" w:hAnsi="Arial"/>
          <w:sz w:val="19"/>
          <w:szCs w:val="19"/>
          <w:color w:val="auto"/>
        </w:rPr>
        <w:t>agreed to be paid under the Loan Documents shall not exceed the maximum rate of non-usurious interest permitted by applicable law (the “</w:t>
      </w:r>
      <w:r>
        <w:rPr>
          <w:rFonts w:ascii="Arial" w:cs="Arial" w:eastAsia="Arial" w:hAnsi="Arial"/>
          <w:sz w:val="19"/>
          <w:szCs w:val="19"/>
          <w:b w:val="1"/>
          <w:bCs w:val="1"/>
          <w:i w:val="1"/>
          <w:iCs w:val="1"/>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1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10.10</w:t>
      </w:r>
      <w:r>
        <w:rPr>
          <w:sz w:val="20"/>
          <w:szCs w:val="20"/>
          <w:color w:val="auto"/>
        </w:rPr>
        <w:tab/>
      </w:r>
      <w:r>
        <w:rPr>
          <w:rFonts w:ascii="Arial" w:cs="Arial" w:eastAsia="Arial" w:hAnsi="Arial"/>
          <w:sz w:val="16"/>
          <w:szCs w:val="16"/>
          <w:b w:val="1"/>
          <w:bCs w:val="1"/>
          <w:color w:val="auto"/>
        </w:rPr>
        <w:t>Counterparts; Electronic Execution of Assignments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44" w:lineRule="auto"/>
        <w:tabs>
          <w:tab w:leader="none" w:pos="1867"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Borrower and the Administrative Agent.</w:t>
      </w:r>
    </w:p>
    <w:p>
      <w:pPr>
        <w:spacing w:after="0" w:line="140" w:lineRule="exact"/>
        <w:rPr>
          <w:rFonts w:ascii="Arial" w:cs="Arial" w:eastAsia="Arial" w:hAnsi="Arial"/>
          <w:sz w:val="20"/>
          <w:szCs w:val="20"/>
          <w:color w:val="auto"/>
        </w:rPr>
      </w:pPr>
    </w:p>
    <w:p>
      <w:pPr>
        <w:jc w:val="both"/>
        <w:ind w:firstLine="1304"/>
        <w:spacing w:after="0" w:line="250" w:lineRule="auto"/>
        <w:tabs>
          <w:tab w:leader="none" w:pos="1778"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ectPr>
          <w:pgSz w:w="11900" w:h="16838" w:orient="portrait"/>
          <w:cols w:equalWidth="0" w:num="1">
            <w:col w:w="11240"/>
          </w:cols>
          <w:pgMar w:left="320" w:top="771" w:right="339" w:bottom="1440" w:gutter="0" w:footer="0" w:header="0"/>
        </w:sectPr>
      </w:pPr>
    </w:p>
    <w:bookmarkStart w:id="243" w:name="page244"/>
    <w:bookmarkEnd w:id="243"/>
    <w:p>
      <w:pPr>
        <w:jc w:val="both"/>
        <w:spacing w:after="0" w:line="250" w:lineRule="auto"/>
        <w:rPr>
          <w:sz w:val="20"/>
          <w:szCs w:val="20"/>
          <w:color w:val="auto"/>
        </w:rPr>
      </w:pPr>
      <w:r>
        <w:rPr>
          <w:rFonts w:ascii="Arial" w:cs="Arial" w:eastAsia="Arial" w:hAnsi="Arial"/>
          <w:sz w:val="20"/>
          <w:szCs w:val="20"/>
          <w:color w:val="auto"/>
        </w:rPr>
        <w:t>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10.11 Severability</w:t>
      </w:r>
      <w:r>
        <w:rPr>
          <w:rFonts w:ascii="Arial" w:cs="Arial" w:eastAsia="Arial" w:hAnsi="Arial"/>
          <w:sz w:val="20"/>
          <w:szCs w:val="20"/>
          <w:color w:val="auto"/>
        </w:rPr>
        <w:t>. Any provision of this Agreement that is prohibited or unenforceable in any jurisdiction shall, as to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w:t>
      </w:r>
      <w:r>
        <w:rPr>
          <w:rFonts w:ascii="Arial" w:cs="Arial" w:eastAsia="Arial" w:hAnsi="Arial"/>
          <w:sz w:val="20"/>
          <w:szCs w:val="20"/>
          <w:u w:val="single" w:color="auto"/>
          <w:color w:val="auto"/>
        </w:rPr>
        <w:t>Section 10.11</w:t>
      </w:r>
      <w:r>
        <w:rPr>
          <w:rFonts w:ascii="Arial" w:cs="Arial" w:eastAsia="Arial" w:hAnsi="Arial"/>
          <w:sz w:val="20"/>
          <w:szCs w:val="20"/>
          <w:color w:val="auto"/>
        </w:rPr>
        <w:t>, if and to the extent that the enforceability of any provisions in this Agreement relating to Defaulting Lenders shall be limited under or in connection with any Insolvency Proceeding, as determined in good faith by the Administrative Agent or the Issuing Lender, as applicable, then such provisions shall be deemed to be in effect only to the extent not so limited.</w:t>
      </w:r>
    </w:p>
    <w:p>
      <w:pPr>
        <w:spacing w:after="0" w:line="13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10.12 Integration</w:t>
      </w:r>
      <w:r>
        <w:rPr>
          <w:rFonts w:ascii="Arial" w:cs="Arial" w:eastAsia="Arial" w:hAnsi="Arial"/>
          <w:sz w:val="20"/>
          <w:szCs w:val="20"/>
          <w:color w:val="auto"/>
        </w:rPr>
        <w:t>. This Agreement and the other Loan Documents represent the entire agreement of the Borrower, the other Loan</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29"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b w:val="1"/>
          <w:bCs w:val="1"/>
          <w:color w:val="auto"/>
        </w:rPr>
        <w:t>10.13</w:t>
      </w:r>
      <w:r>
        <w:rPr>
          <w:sz w:val="20"/>
          <w:szCs w:val="20"/>
          <w:color w:val="auto"/>
        </w:rPr>
        <w:tab/>
      </w:r>
      <w:r>
        <w:rPr>
          <w:rFonts w:ascii="Arial" w:cs="Arial" w:eastAsia="Arial" w:hAnsi="Arial"/>
          <w:sz w:val="20"/>
          <w:szCs w:val="20"/>
          <w:b w:val="1"/>
          <w:bCs w:val="1"/>
          <w:color w:val="auto"/>
        </w:rPr>
        <w:t>GOVERNING  LAW</w:t>
      </w:r>
      <w:r>
        <w:rPr>
          <w:rFonts w:ascii="Arial" w:cs="Arial" w:eastAsia="Arial" w:hAnsi="Arial"/>
          <w:sz w:val="20"/>
          <w:szCs w:val="20"/>
          <w:color w:val="auto"/>
        </w:rPr>
        <w:t>.</w:t>
      </w:r>
      <w:r>
        <w:rPr>
          <w:rFonts w:ascii="Arial" w:cs="Arial" w:eastAsia="Arial" w:hAnsi="Arial"/>
          <w:sz w:val="20"/>
          <w:szCs w:val="20"/>
          <w:b w:val="1"/>
          <w:bCs w:val="1"/>
          <w:color w:val="auto"/>
        </w:rPr>
        <w:t xml:space="preserve">  THIS  AGREEMENT,  THE  OTHER  LOAN  DOCUMENTS,  AND  ANY  CLAIM,</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 xml:space="preserve">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 ACCORDANCE WITH, THE LAWS OF THE STATE OF NEW YORK. </w:t>
      </w:r>
      <w:r>
        <w:rPr>
          <w:rFonts w:ascii="Arial" w:cs="Arial" w:eastAsia="Arial" w:hAnsi="Arial"/>
          <w:sz w:val="19"/>
          <w:szCs w:val="19"/>
          <w:color w:val="auto"/>
        </w:rPr>
        <w:t>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10.13</w:t>
      </w:r>
      <w:r>
        <w:rPr>
          <w:rFonts w:ascii="Arial" w:cs="Arial" w:eastAsia="Arial" w:hAnsi="Arial"/>
          <w:sz w:val="19"/>
          <w:szCs w:val="19"/>
          <w:b w:val="1"/>
          <w:bCs w:val="1"/>
          <w:color w:val="auto"/>
        </w:rPr>
        <w:t xml:space="preserve"> </w:t>
      </w:r>
      <w:r>
        <w:rPr>
          <w:rFonts w:ascii="Arial" w:cs="Arial" w:eastAsia="Arial" w:hAnsi="Arial"/>
          <w:sz w:val="19"/>
          <w:szCs w:val="19"/>
          <w:color w:val="auto"/>
        </w:rPr>
        <w:t>shall survive the Discharge of Obligations.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1240"/>
          </w:cols>
          <w:pgMar w:left="320" w:top="771" w:right="339" w:bottom="1440" w:gutter="0" w:footer="0" w:header="0"/>
        </w:sectPr>
      </w:pPr>
    </w:p>
    <w:bookmarkStart w:id="244" w:name="page245"/>
    <w:bookmarkEnd w:id="244"/>
    <w:p>
      <w:pPr>
        <w:ind w:left="660"/>
        <w:spacing w:after="0"/>
        <w:tabs>
          <w:tab w:leader="none" w:pos="128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6"/>
          <w:szCs w:val="16"/>
          <w:b w:val="1"/>
          <w:bCs w:val="1"/>
          <w:color w:val="auto"/>
        </w:rPr>
        <w:t>Submission to Jurisdiction; Waivers</w:t>
      </w:r>
      <w:r>
        <w:rPr>
          <w:rFonts w:ascii="Arial" w:cs="Arial" w:eastAsia="Arial" w:hAnsi="Arial"/>
          <w:sz w:val="16"/>
          <w:szCs w:val="16"/>
          <w:color w:val="auto"/>
        </w:rPr>
        <w:t>. Each party hereto hereby irrevocably and unconditionally:</w:t>
      </w:r>
    </w:p>
    <w:p>
      <w:pPr>
        <w:spacing w:after="0" w:line="168" w:lineRule="exact"/>
        <w:rPr>
          <w:sz w:val="20"/>
          <w:szCs w:val="20"/>
          <w:color w:val="auto"/>
        </w:rPr>
      </w:pPr>
    </w:p>
    <w:p>
      <w:pPr>
        <w:jc w:val="both"/>
        <w:ind w:firstLine="1304"/>
        <w:spacing w:after="0" w:line="269" w:lineRule="auto"/>
        <w:tabs>
          <w:tab w:leader="none" w:pos="171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the Borrower or any other Group Member against the Administrative Agent or any Lender or any other Secured Party of any kind, shall be brought only in a state court located in the Borough of Manhattan, or, to the extent permitted by law, in a federal court sitting in the Borough of Manhattan;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to the extent permitted by law. The Borrower, on behalf of itself and each other Loan Party (i) expressly submits and consents in advance to such jurisdiction in any action or suit commenced in any such court and to the selection of any referee referred to below, (ii) hereby waives any objection that it may have based upon lack of personal jurisdiction, improper venue, or forum non conveniens and hereby consents to the granting of such legal or equitable relief as is deemed appropriate by such court, and (iii) agrees that it shall not file any motion or other application seeking to change the venue of any such suit or other action.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 to the Borrower at the address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this Agreement and that service so made shall be deemed completed upon the earlier to occur of the Borrower’s actual receipt thereof or 3 days after deposit in the U.S. mails, proper postage prepaid;</w:t>
      </w:r>
    </w:p>
    <w:p>
      <w:pPr>
        <w:spacing w:after="0" w:line="113" w:lineRule="exact"/>
        <w:rPr>
          <w:rFonts w:ascii="Arial" w:cs="Arial" w:eastAsia="Arial" w:hAnsi="Arial"/>
          <w:sz w:val="18"/>
          <w:szCs w:val="18"/>
          <w:color w:val="auto"/>
        </w:rPr>
      </w:pPr>
    </w:p>
    <w:p>
      <w:pPr>
        <w:jc w:val="both"/>
        <w:ind w:firstLine="1304"/>
        <w:spacing w:after="0" w:line="244" w:lineRule="auto"/>
        <w:tabs>
          <w:tab w:leader="none" w:pos="1805" w:val="left"/>
        </w:tabs>
        <w:numPr>
          <w:ilvl w:val="0"/>
          <w:numId w:val="228"/>
        </w:numPr>
        <w:rPr>
          <w:rFonts w:ascii="Arial" w:cs="Arial" w:eastAsia="Arial" w:hAnsi="Arial"/>
          <w:sz w:val="20"/>
          <w:szCs w:val="20"/>
          <w:color w:val="auto"/>
        </w:rPr>
      </w:pPr>
      <w:r>
        <w:rPr>
          <w:rFonts w:ascii="Arial" w:cs="Arial" w:eastAsia="Arial" w:hAnsi="Arial"/>
          <w:sz w:val="20"/>
          <w:szCs w:val="20"/>
          <w:b w:val="1"/>
          <w:bCs w:val="1"/>
          <w:color w:val="auto"/>
        </w:rPr>
        <w:t>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THE BORROWER HAS REVIEWED THIS WAIVER WITH ITS COUNSEL; and</w:t>
      </w:r>
    </w:p>
    <w:p>
      <w:pPr>
        <w:spacing w:after="0" w:line="137" w:lineRule="exact"/>
        <w:rPr>
          <w:rFonts w:ascii="Arial" w:cs="Arial" w:eastAsia="Arial" w:hAnsi="Arial"/>
          <w:sz w:val="20"/>
          <w:szCs w:val="20"/>
          <w:color w:val="auto"/>
        </w:rPr>
      </w:pPr>
    </w:p>
    <w:p>
      <w:pPr>
        <w:jc w:val="both"/>
        <w:ind w:firstLine="1304"/>
        <w:spacing w:after="0" w:line="269" w:lineRule="auto"/>
        <w:tabs>
          <w:tab w:leader="none" w:pos="1753" w:val="left"/>
        </w:tabs>
        <w:numPr>
          <w:ilvl w:val="0"/>
          <w:numId w:val="228"/>
        </w:numPr>
        <w:rPr>
          <w:rFonts w:ascii="Arial" w:cs="Arial" w:eastAsia="Arial" w:hAnsi="Arial"/>
          <w:sz w:val="19"/>
          <w:szCs w:val="19"/>
          <w:color w:val="auto"/>
        </w:rPr>
      </w:pPr>
      <w:r>
        <w:rPr>
          <w:rFonts w:ascii="Arial" w:cs="Arial" w:eastAsia="Arial" w:hAnsi="Arial"/>
          <w:sz w:val="19"/>
          <w:szCs w:val="19"/>
          <w:color w:val="auto"/>
        </w:rPr>
        <w:t>waives, to the maximum extent not prohibited by law, any right it may have to claim or recover in any legal action or proceeding referred to in this Section any special, exemplary, punitive or consequential damages; provided that nothing herein shall limit the right of any Indemnitee to be indemnified as provided in this Agreement and the other Loan Documents.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10.14</w:t>
      </w:r>
      <w:r>
        <w:rPr>
          <w:rFonts w:ascii="Arial" w:cs="Arial" w:eastAsia="Arial" w:hAnsi="Arial"/>
          <w:sz w:val="20"/>
          <w:szCs w:val="20"/>
          <w:color w:val="auto"/>
        </w:rPr>
        <w:t xml:space="preserve"> shall survive the Discharge of Obligations.</w:t>
      </w:r>
    </w:p>
    <w:p>
      <w:pPr>
        <w:spacing w:after="0" w:line="15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10.15</w:t>
      </w:r>
      <w:r>
        <w:rPr>
          <w:sz w:val="20"/>
          <w:szCs w:val="20"/>
          <w:color w:val="auto"/>
        </w:rPr>
        <w:tab/>
      </w:r>
      <w:r>
        <w:rPr>
          <w:rFonts w:ascii="Arial" w:cs="Arial" w:eastAsia="Arial" w:hAnsi="Arial"/>
          <w:sz w:val="16"/>
          <w:szCs w:val="16"/>
          <w:b w:val="1"/>
          <w:bCs w:val="1"/>
          <w:color w:val="auto"/>
        </w:rPr>
        <w:t>Acknowledgements</w:t>
      </w:r>
      <w:r>
        <w:rPr>
          <w:rFonts w:ascii="Arial" w:cs="Arial" w:eastAsia="Arial" w:hAnsi="Arial"/>
          <w:sz w:val="16"/>
          <w:szCs w:val="16"/>
          <w:color w:val="auto"/>
        </w:rPr>
        <w:t>. The Borrower hereby acknowledges that:</w:t>
      </w:r>
    </w:p>
    <w:p>
      <w:pPr>
        <w:spacing w:after="0" w:line="168" w:lineRule="exact"/>
        <w:rPr>
          <w:sz w:val="20"/>
          <w:szCs w:val="20"/>
          <w:color w:val="auto"/>
        </w:rPr>
      </w:pPr>
    </w:p>
    <w:p>
      <w:pPr>
        <w:ind w:left="1860" w:hanging="556"/>
        <w:spacing w:after="0"/>
        <w:tabs>
          <w:tab w:leader="none" w:pos="1860" w:val="left"/>
        </w:tabs>
        <w:numPr>
          <w:ilvl w:val="0"/>
          <w:numId w:val="229"/>
        </w:numPr>
        <w:rPr>
          <w:rFonts w:ascii="Arial" w:cs="Arial" w:eastAsia="Arial" w:hAnsi="Arial"/>
          <w:sz w:val="19"/>
          <w:szCs w:val="19"/>
          <w:color w:val="auto"/>
        </w:rPr>
      </w:pPr>
      <w:r>
        <w:rPr>
          <w:rFonts w:ascii="Arial" w:cs="Arial" w:eastAsia="Arial" w:hAnsi="Arial"/>
          <w:sz w:val="19"/>
          <w:szCs w:val="19"/>
          <w:color w:val="auto"/>
        </w:rPr>
        <w:t>it has been advised by counsel in the negotiation, execution and delivery of this Agreement and the other Loan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Documents;</w:t>
      </w:r>
    </w:p>
    <w:p>
      <w:pPr>
        <w:spacing w:after="0" w:line="146" w:lineRule="exact"/>
        <w:rPr>
          <w:sz w:val="20"/>
          <w:szCs w:val="20"/>
          <w:color w:val="auto"/>
        </w:rPr>
      </w:pPr>
    </w:p>
    <w:p>
      <w:pPr>
        <w:jc w:val="both"/>
        <w:ind w:firstLine="1304"/>
        <w:spacing w:after="0" w:line="243" w:lineRule="auto"/>
        <w:tabs>
          <w:tab w:leader="none" w:pos="1762" w:val="left"/>
        </w:tabs>
        <w:numPr>
          <w:ilvl w:val="0"/>
          <w:numId w:val="230"/>
        </w:numPr>
        <w:rPr>
          <w:rFonts w:ascii="Arial" w:cs="Arial" w:eastAsia="Arial" w:hAnsi="Arial"/>
          <w:sz w:val="20"/>
          <w:szCs w:val="20"/>
          <w:color w:val="auto"/>
        </w:rPr>
      </w:pPr>
      <w:r>
        <w:rPr>
          <w:rFonts w:ascii="Arial" w:cs="Arial" w:eastAsia="Arial" w:hAnsi="Arial"/>
          <w:sz w:val="20"/>
          <w:szCs w:val="20"/>
          <w:color w:val="auto"/>
        </w:rPr>
        <w:t>in connection with all aspects of each transaction contemplated hereby (including in connection with any amendment, waiver or other modification hereof or of any other Loan Document), the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1240"/>
          </w:cols>
          <w:pgMar w:left="320" w:top="765" w:right="339" w:bottom="1440" w:gutter="0" w:footer="0" w:header="0"/>
        </w:sectPr>
      </w:pPr>
    </w:p>
    <w:bookmarkStart w:id="245" w:name="page246"/>
    <w:bookmarkEnd w:id="245"/>
    <w:p>
      <w:pPr>
        <w:jc w:val="both"/>
        <w:spacing w:after="0" w:line="269" w:lineRule="auto"/>
        <w:rPr>
          <w:sz w:val="20"/>
          <w:szCs w:val="20"/>
          <w:color w:val="auto"/>
        </w:rPr>
      </w:pPr>
      <w:r>
        <w:rPr>
          <w:rFonts w:ascii="Arial" w:cs="Arial" w:eastAsia="Arial" w:hAnsi="Arial"/>
          <w:sz w:val="18"/>
          <w:szCs w:val="18"/>
          <w:u w:val="single" w:color="auto"/>
          <w:color w:val="auto"/>
        </w:rPr>
        <w:t>Section 10.15</w:t>
      </w:r>
      <w:r>
        <w:rPr>
          <w:rFonts w:ascii="Arial" w:cs="Arial" w:eastAsia="Arial" w:hAnsi="Arial"/>
          <w:sz w:val="18"/>
          <w:szCs w:val="18"/>
          <w:color w:val="auto"/>
        </w:rPr>
        <w:t>, the “</w:t>
      </w:r>
      <w:r>
        <w:rPr>
          <w:rFonts w:ascii="Arial" w:cs="Arial" w:eastAsia="Arial" w:hAnsi="Arial"/>
          <w:sz w:val="18"/>
          <w:szCs w:val="18"/>
          <w:u w:val="single" w:color="auto"/>
          <w:color w:val="auto"/>
        </w:rPr>
        <w:t>Lenders</w:t>
      </w:r>
      <w:r>
        <w:rPr>
          <w:rFonts w:ascii="Arial" w:cs="Arial" w:eastAsia="Arial" w:hAnsi="Arial"/>
          <w:sz w:val="18"/>
          <w:szCs w:val="18"/>
          <w:color w:val="auto"/>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its Affiliates, each Lender and any of their Affiliates with respect to any breach or alleged breach of agency or fiduciary duty in connection with any aspect of any transactions contemplated hereby; and</w:t>
      </w:r>
    </w:p>
    <w:p>
      <w:pPr>
        <w:spacing w:after="0" w:line="127" w:lineRule="exact"/>
        <w:rPr>
          <w:sz w:val="20"/>
          <w:szCs w:val="20"/>
          <w:color w:val="auto"/>
        </w:rPr>
      </w:pPr>
    </w:p>
    <w:p>
      <w:pPr>
        <w:ind w:right="20" w:firstLine="1304"/>
        <w:spacing w:after="0" w:line="260" w:lineRule="auto"/>
        <w:tabs>
          <w:tab w:leader="none" w:pos="1793" w:val="left"/>
        </w:tabs>
        <w:numPr>
          <w:ilvl w:val="0"/>
          <w:numId w:val="231"/>
        </w:numPr>
        <w:rPr>
          <w:rFonts w:ascii="Arial" w:cs="Arial" w:eastAsia="Arial" w:hAnsi="Arial"/>
          <w:sz w:val="20"/>
          <w:szCs w:val="20"/>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the Lenders or among the Group Members and the Lenders.</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10.16</w:t>
      </w:r>
      <w:r>
        <w:rPr>
          <w:sz w:val="20"/>
          <w:szCs w:val="20"/>
          <w:color w:val="auto"/>
        </w:rPr>
        <w:tab/>
      </w:r>
      <w:r>
        <w:rPr>
          <w:rFonts w:ascii="Arial" w:cs="Arial" w:eastAsia="Arial" w:hAnsi="Arial"/>
          <w:sz w:val="16"/>
          <w:szCs w:val="16"/>
          <w:b w:val="1"/>
          <w:bCs w:val="1"/>
          <w:color w:val="auto"/>
        </w:rPr>
        <w:t>Releases of Guarantees and Liens</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60" w:lineRule="auto"/>
        <w:tabs>
          <w:tab w:leader="none" w:pos="1724"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or (2) under the circumstances described in </w:t>
      </w:r>
      <w:r>
        <w:rPr>
          <w:rFonts w:ascii="Arial" w:cs="Arial" w:eastAsia="Arial" w:hAnsi="Arial"/>
          <w:sz w:val="19"/>
          <w:szCs w:val="19"/>
          <w:u w:val="single" w:color="auto"/>
          <w:color w:val="auto"/>
        </w:rPr>
        <w:t>Section 10.16(b)</w:t>
      </w:r>
      <w:r>
        <w:rPr>
          <w:rFonts w:ascii="Arial" w:cs="Arial" w:eastAsia="Arial" w:hAnsi="Arial"/>
          <w:sz w:val="19"/>
          <w:szCs w:val="19"/>
          <w:color w:val="auto"/>
        </w:rPr>
        <w:t xml:space="preserve"> below.</w:t>
      </w:r>
    </w:p>
    <w:p>
      <w:pPr>
        <w:spacing w:after="0" w:line="126" w:lineRule="exact"/>
        <w:rPr>
          <w:rFonts w:ascii="Arial" w:cs="Arial" w:eastAsia="Arial" w:hAnsi="Arial"/>
          <w:sz w:val="19"/>
          <w:szCs w:val="19"/>
          <w:color w:val="auto"/>
        </w:rPr>
      </w:pPr>
    </w:p>
    <w:p>
      <w:pPr>
        <w:jc w:val="both"/>
        <w:ind w:firstLine="1304"/>
        <w:spacing w:after="0" w:line="257" w:lineRule="auto"/>
        <w:tabs>
          <w:tab w:leader="none" w:pos="1892" w:val="left"/>
        </w:tabs>
        <w:numPr>
          <w:ilvl w:val="0"/>
          <w:numId w:val="232"/>
        </w:numPr>
        <w:rPr>
          <w:rFonts w:ascii="Arial" w:cs="Arial" w:eastAsia="Arial" w:hAnsi="Arial"/>
          <w:sz w:val="19"/>
          <w:szCs w:val="19"/>
          <w:color w:val="auto"/>
        </w:rPr>
      </w:pPr>
      <w:r>
        <w:rPr>
          <w:rFonts w:ascii="Arial" w:cs="Arial" w:eastAsia="Arial" w:hAnsi="Arial"/>
          <w:sz w:val="19"/>
          <w:szCs w:val="19"/>
          <w:color w:val="auto"/>
        </w:rPr>
        <w:t>Upon the Discharge of Obligations, the Collateral (other than any cash collateral securing any Specified Swap Agreements, any Cash Management Services or outstanding Letters of Credit) shall be released from the Liens created by the Security Documents and Cash Management Agreements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and Cash Management Agreements (other than any Cash Management Agreements used to Cash Collateralize any Obligations arising in connection with Cash Management Agreements) shall terminate, all without delivery of any instrument or performance of any act by any Person.</w:t>
      </w:r>
    </w:p>
    <w:p>
      <w:pPr>
        <w:spacing w:after="0" w:line="1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10.17 Treatment of Certain Information; Confidentiality</w:t>
      </w:r>
      <w:r>
        <w:rPr>
          <w:rFonts w:ascii="Arial" w:cs="Arial" w:eastAsia="Arial" w:hAnsi="Arial"/>
          <w:sz w:val="18"/>
          <w:szCs w:val="18"/>
          <w:color w:val="auto"/>
        </w:rPr>
        <w:t>. Each of the Administrative Agent and each Lender agrees to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1240"/>
          </w:cols>
          <w:pgMar w:left="320" w:top="771" w:right="339" w:bottom="1440" w:gutter="0" w:footer="0" w:header="0"/>
        </w:sectPr>
      </w:pPr>
    </w:p>
    <w:bookmarkStart w:id="246" w:name="page247"/>
    <w:bookmarkEnd w:id="246"/>
    <w:p>
      <w:pPr>
        <w:jc w:val="both"/>
        <w:spacing w:after="0" w:line="270" w:lineRule="auto"/>
        <w:rPr>
          <w:sz w:val="20"/>
          <w:szCs w:val="20"/>
          <w:color w:val="auto"/>
        </w:rPr>
      </w:pPr>
      <w:r>
        <w:rPr>
          <w:rFonts w:ascii="Arial" w:cs="Arial" w:eastAsia="Arial" w:hAnsi="Arial"/>
          <w:sz w:val="18"/>
          <w:szCs w:val="18"/>
          <w:color w:val="auto"/>
        </w:rPr>
        <w:t>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Group Members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w:t>
      </w:r>
    </w:p>
    <w:p>
      <w:pPr>
        <w:spacing w:after="0" w:line="11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1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For purposes of this Section, “</w:t>
      </w:r>
      <w:r>
        <w:rPr>
          <w:rFonts w:ascii="Arial" w:cs="Arial" w:eastAsia="Arial" w:hAnsi="Arial"/>
          <w:sz w:val="20"/>
          <w:szCs w:val="20"/>
          <w:b w:val="1"/>
          <w:bCs w:val="1"/>
          <w:i w:val="1"/>
          <w:iCs w:val="1"/>
          <w:color w:val="auto"/>
        </w:rPr>
        <w:t>Information</w:t>
      </w:r>
      <w:r>
        <w:rPr>
          <w:rFonts w:ascii="Arial" w:cs="Arial" w:eastAsia="Arial" w:hAnsi="Arial"/>
          <w:sz w:val="20"/>
          <w:szCs w:val="20"/>
          <w:color w:val="auto"/>
        </w:rPr>
        <w:t xml:space="preserve">” means all information received from the Group Members relating to the Group Members or any of their respective businesses, other than any such information that is available to the Administrative Agent or any Lender on a non-confidential basis prior to disclosure by the Group Members;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information received from the Group Members after the Original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10.18 Automatic Debits</w:t>
      </w:r>
      <w:r>
        <w:rPr>
          <w:rFonts w:ascii="Arial" w:cs="Arial" w:eastAsia="Arial" w:hAnsi="Arial"/>
          <w:sz w:val="19"/>
          <w:szCs w:val="19"/>
          <w:color w:val="auto"/>
        </w:rPr>
        <w:t>. With respect to any principal, interest, fee, or any other cost or expense (including attorney costs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Administrative Agent or any Lender payable by 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Arial" w:cs="Arial" w:eastAsia="Arial" w:hAnsi="Arial"/>
          <w:sz w:val="19"/>
          <w:szCs w:val="19"/>
          <w:u w:val="single" w:color="auto"/>
          <w:color w:val="auto"/>
        </w:rPr>
        <w:t>Section 10.18</w:t>
      </w:r>
      <w:r>
        <w:rPr>
          <w:rFonts w:ascii="Arial" w:cs="Arial" w:eastAsia="Arial" w:hAnsi="Arial"/>
          <w:sz w:val="19"/>
          <w:szCs w:val="19"/>
          <w:color w:val="auto"/>
        </w:rPr>
        <w:t xml:space="preserve"> shall be deemed a set-off.</w:t>
      </w:r>
    </w:p>
    <w:p>
      <w:pPr>
        <w:spacing w:after="0" w:line="1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10.19 Judgment Currency</w:t>
      </w:r>
      <w:r>
        <w:rPr>
          <w:rFonts w:ascii="Arial" w:cs="Arial" w:eastAsia="Arial" w:hAnsi="Arial"/>
          <w:sz w:val="18"/>
          <w:szCs w:val="18"/>
          <w:color w:val="auto"/>
        </w:rPr>
        <w:t>. If, for the purposes of obtaining judgment in any court, it is necessary to convert a sum due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w:t>
      </w:r>
      <w:r>
        <w:rPr>
          <w:rFonts w:ascii="Arial" w:cs="Arial" w:eastAsia="Arial" w:hAnsi="Arial"/>
          <w:sz w:val="18"/>
          <w:szCs w:val="18"/>
          <w:b w:val="1"/>
          <w:bCs w:val="1"/>
          <w:i w:val="1"/>
          <w:iCs w:val="1"/>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b w:val="1"/>
          <w:bCs w:val="1"/>
          <w:i w:val="1"/>
          <w:iCs w:val="1"/>
          <w:color w:val="auto"/>
        </w:rPr>
        <w:t>Agreement Currency</w:t>
      </w:r>
      <w:r>
        <w:rPr>
          <w:rFonts w:ascii="Arial" w:cs="Arial" w:eastAsia="Arial" w:hAnsi="Arial"/>
          <w:sz w:val="18"/>
          <w:szCs w:val="18"/>
          <w:color w:val="auto"/>
        </w:rPr>
        <w:t>”), be discharged only to the extent that on the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1240"/>
          </w:cols>
          <w:pgMar w:left="320" w:top="771" w:right="339" w:bottom="1440" w:gutter="0" w:footer="0" w:header="0"/>
        </w:sectPr>
      </w:pPr>
    </w:p>
    <w:bookmarkStart w:id="247" w:name="page248"/>
    <w:bookmarkEnd w:id="247"/>
    <w:p>
      <w:pPr>
        <w:jc w:val="both"/>
        <w:spacing w:after="0" w:line="256" w:lineRule="auto"/>
        <w:rPr>
          <w:sz w:val="20"/>
          <w:szCs w:val="20"/>
          <w:color w:val="auto"/>
        </w:rPr>
      </w:pPr>
      <w:r>
        <w:rPr>
          <w:rFonts w:ascii="Arial" w:cs="Arial" w:eastAsia="Arial" w:hAnsi="Arial"/>
          <w:sz w:val="19"/>
          <w:szCs w:val="19"/>
          <w:color w:val="auto"/>
        </w:rPr>
        <w:t>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10.20 Patriot Act; Other Regulations</w:t>
      </w:r>
      <w:r>
        <w:rPr>
          <w:rFonts w:ascii="Arial" w:cs="Arial" w:eastAsia="Arial" w:hAnsi="Arial"/>
          <w:sz w:val="18"/>
          <w:szCs w:val="18"/>
          <w:color w:val="auto"/>
        </w:rPr>
        <w:t>. Each Lender and the Administrative Agent (for itself and not on behalf of any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notifies the Borrower and each other Loan Party that, pursuant to the requirements of “know your customer” and anti-money laundering rules and regulations, including the Patriot Act and the Beneficial Ownership Regulation, it is required to obtain, verify and record information that identifies each Loan Party and certain related parties thereto, which information includes the names and addresses and other information that will allow such Lender or the Administrative Agent, as applicable, to identify each Loan Party and certain of their beneficial owners and other officers in accordance with the Patriot Act and the Beneficial Ownership Regulation. The Borrower and each other Loan Party will, and will cause each of their respective Subsidiaries to, to the extent commercially reasonable or required by any Requirement of Law, provide, furnish or deliver such information and documents and take such actions as are reasonably requested by the Administrative Agent or any Lender to assist the Administrative Agent and the Lenders in maintaining compliance with “know your customer” requirements under the PATRIOT Act, the Beneficial Ownership Regulation or other applicable anti-money laundering laws.</w:t>
      </w:r>
    </w:p>
    <w:p>
      <w:pPr>
        <w:spacing w:after="0" w:line="1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10.21</w:t>
      </w:r>
      <w:r>
        <w:rPr>
          <w:sz w:val="20"/>
          <w:szCs w:val="20"/>
          <w:color w:val="auto"/>
        </w:rPr>
        <w:tab/>
      </w:r>
      <w:r>
        <w:rPr>
          <w:rFonts w:ascii="Arial" w:cs="Arial" w:eastAsia="Arial" w:hAnsi="Arial"/>
          <w:sz w:val="18"/>
          <w:szCs w:val="18"/>
          <w:b w:val="1"/>
          <w:bCs w:val="1"/>
          <w:color w:val="auto"/>
        </w:rPr>
        <w:t>Acknowledgement and Consent to Bail-In of EEA Financial Institutions</w:t>
      </w:r>
      <w:r>
        <w:rPr>
          <w:rFonts w:ascii="Arial" w:cs="Arial" w:eastAsia="Arial" w:hAnsi="Arial"/>
          <w:sz w:val="18"/>
          <w:szCs w:val="18"/>
          <w:color w:val="auto"/>
        </w:rPr>
        <w:t>.</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Notwithstanding anything to the contrary in this Agreement or in any other Loan Document or in any other agreement, arrangement or understanding among any such parties, each party hereto acknowledges that any liability of any Affected Financial Institutions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1240"/>
          </w:cols>
          <w:pgMar w:left="320" w:top="771" w:right="339" w:bottom="1440" w:gutter="0" w:footer="0" w:header="0"/>
        </w:sectPr>
      </w:pPr>
    </w:p>
    <w:bookmarkStart w:id="248" w:name="page249"/>
    <w:bookmarkEnd w:id="248"/>
    <w:p>
      <w:pPr>
        <w:ind w:right="20" w:firstLine="656"/>
        <w:spacing w:after="0" w:line="260" w:lineRule="auto"/>
        <w:tabs>
          <w:tab w:leader="none" w:pos="1068"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or</w:t>
      </w:r>
    </w:p>
    <w:p>
      <w:pPr>
        <w:spacing w:after="0" w:line="122" w:lineRule="exact"/>
        <w:rPr>
          <w:rFonts w:ascii="Arial" w:cs="Arial" w:eastAsia="Arial" w:hAnsi="Arial"/>
          <w:sz w:val="20"/>
          <w:szCs w:val="20"/>
          <w:color w:val="auto"/>
        </w:rPr>
      </w:pPr>
    </w:p>
    <w:p>
      <w:pPr>
        <w:ind w:left="1080" w:hanging="424"/>
        <w:spacing w:after="0"/>
        <w:tabs>
          <w:tab w:leader="none" w:pos="108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61" w:lineRule="exact"/>
        <w:rPr>
          <w:rFonts w:ascii="Arial" w:cs="Arial" w:eastAsia="Arial" w:hAnsi="Arial"/>
          <w:sz w:val="20"/>
          <w:szCs w:val="20"/>
          <w:color w:val="auto"/>
        </w:rPr>
      </w:pPr>
    </w:p>
    <w:p>
      <w:pPr>
        <w:ind w:left="1960" w:hanging="656"/>
        <w:spacing w:after="0" w:line="263" w:lineRule="auto"/>
        <w:tabs>
          <w:tab w:leader="none" w:pos="1869" w:val="left"/>
        </w:tabs>
        <w:numPr>
          <w:ilvl w:val="1"/>
          <w:numId w:val="233"/>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22" w:lineRule="exact"/>
        <w:rPr>
          <w:rFonts w:ascii="Arial" w:cs="Arial" w:eastAsia="Arial" w:hAnsi="Arial"/>
          <w:sz w:val="19"/>
          <w:szCs w:val="19"/>
          <w:color w:val="auto"/>
        </w:rPr>
      </w:pPr>
    </w:p>
    <w:p>
      <w:pPr>
        <w:ind w:left="1960" w:right="20" w:hanging="656"/>
        <w:spacing w:after="0" w:line="260" w:lineRule="auto"/>
        <w:tabs>
          <w:tab w:leader="none" w:pos="1836" w:val="left"/>
        </w:tabs>
        <w:numPr>
          <w:ilvl w:val="1"/>
          <w:numId w:val="233"/>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1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10.22</w:t>
      </w:r>
      <w:r>
        <w:rPr>
          <w:sz w:val="20"/>
          <w:szCs w:val="20"/>
          <w:color w:val="auto"/>
        </w:rPr>
        <w:tab/>
      </w:r>
      <w:r>
        <w:rPr>
          <w:rFonts w:ascii="Arial" w:cs="Arial" w:eastAsia="Arial" w:hAnsi="Arial"/>
          <w:sz w:val="16"/>
          <w:szCs w:val="16"/>
          <w:b w:val="1"/>
          <w:bCs w:val="1"/>
          <w:color w:val="auto"/>
        </w:rPr>
        <w:t>Amendment and Restatement of Existing Credit Agreement; Acknowledgment of Prior Obligations; No Novation</w:t>
      </w:r>
      <w:r>
        <w:rPr>
          <w:rFonts w:ascii="Arial" w:cs="Arial" w:eastAsia="Arial" w:hAnsi="Arial"/>
          <w:sz w:val="16"/>
          <w:szCs w:val="16"/>
          <w:color w:val="auto"/>
        </w:rPr>
        <w:t>.</w:t>
      </w:r>
    </w:p>
    <w:p>
      <w:pPr>
        <w:spacing w:after="0" w:line="168" w:lineRule="exact"/>
        <w:rPr>
          <w:sz w:val="20"/>
          <w:szCs w:val="20"/>
          <w:color w:val="auto"/>
        </w:rPr>
      </w:pPr>
    </w:p>
    <w:p>
      <w:pPr>
        <w:jc w:val="both"/>
        <w:ind w:firstLine="1304"/>
        <w:spacing w:after="0" w:line="272" w:lineRule="auto"/>
        <w:tabs>
          <w:tab w:leader="none" w:pos="1816"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The parties to this Agreement agree that, upon (i) the execution and delivery by each of the parties hereto of this Agreement and (ii) satisfaction of the conditions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terms and provisions of the Existing Credit Agreement shall be and hereby are amended, superseded and restated in their entirety by the terms and provisions of this Agreement. Upon the effectiveness of this Agreement, (A) the Administrative Agent shall make such reallocations, sales, assignments or other relevant actions in respect of each Lender’s credit exposure under the Existing Credit Agreement as are necessary in order to ensure that each such Lender’s Aggregate Exposure and outstanding Loans hereunder reflects such Lender’s Aggregate Exposure Percentage of the outstanding Aggregate Exposure on the Closing Date, and (B) the Borrower hereby agrees to compensate each Lender for any and all losses, costs and expenses incurred by such Lender in connection with the sale and assignment of any Eurodollar Loans (including the “Eurodollar Loans” under the Existing Credit Agreement) and such reallocation described above, in each case on the terms and in the manner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hereof.</w:t>
      </w:r>
    </w:p>
    <w:p>
      <w:pPr>
        <w:spacing w:after="0" w:line="116" w:lineRule="exact"/>
        <w:rPr>
          <w:rFonts w:ascii="Arial" w:cs="Arial" w:eastAsia="Arial" w:hAnsi="Arial"/>
          <w:sz w:val="18"/>
          <w:szCs w:val="18"/>
          <w:color w:val="auto"/>
        </w:rPr>
      </w:pPr>
    </w:p>
    <w:p>
      <w:pPr>
        <w:jc w:val="both"/>
        <w:ind w:firstLine="1304"/>
        <w:spacing w:after="0" w:line="304" w:lineRule="auto"/>
        <w:tabs>
          <w:tab w:leader="none" w:pos="174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Each of the Borrower, on behalf of itself and each other Loan Party, (i) acknowledges and agrees that the prior grant or grants of security interests in favor of any of the Administrative Agent or any other Secured Party (as defined in the Existing Credit Agreement) in its properties and assets, under each “Loan Document” as defined in the Existing Credit Agreement (the “</w:t>
      </w:r>
      <w:r>
        <w:rPr>
          <w:rFonts w:ascii="Arial" w:cs="Arial" w:eastAsia="Arial" w:hAnsi="Arial"/>
          <w:sz w:val="16"/>
          <w:szCs w:val="16"/>
          <w:b w:val="1"/>
          <w:bCs w:val="1"/>
          <w:i w:val="1"/>
          <w:iCs w:val="1"/>
          <w:color w:val="auto"/>
        </w:rPr>
        <w:t>Original Loan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to which it is a party shall be in respect of the Obligations of such Person under this Agreement and the other Loan Documents;</w:t>
      </w:r>
    </w:p>
    <w:p>
      <w:pPr>
        <w:spacing w:after="0" w:line="1" w:lineRule="exact"/>
        <w:rPr>
          <w:rFonts w:ascii="Arial" w:cs="Arial" w:eastAsia="Arial" w:hAnsi="Arial"/>
          <w:sz w:val="16"/>
          <w:szCs w:val="16"/>
          <w:color w:val="auto"/>
        </w:rPr>
      </w:pPr>
    </w:p>
    <w:p>
      <w:pPr>
        <w:jc w:val="both"/>
        <w:ind w:firstLine="8"/>
        <w:spacing w:after="0" w:line="254" w:lineRule="auto"/>
        <w:tabs>
          <w:tab w:leader="none" w:pos="32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reaffirms (A) all of the Obligations (as defined in the Existing Credit Agreement) owing to the Administrative Agent and the other Secured Parties (as defined in the Existing Credit Agreement), and (B) all prior or concurrent grants of security interests in favor of any of the Administrative Agent or any other Secured Party (as defined in the Existing Credit Agreement) under each Original Loan Document and each Loan Document; and (iii) agrees that, except as expressly amended hereby or unless being amended and restated concurrently herewith, each of the Original Loan Documents to which it is a party (including, without limitation, the Guarantee and Collateral Agreement) is and shall remain in full force and effect. The Borrower hereby confirms and agrees that all outstanding principal, interest and fees and other “Obligations” (as defined in the Existing Credit Agreement) under the Existing Credit Agreement immediately prior to the Closing Date shall, to the extent not paid on the Closing Date, from and after the Closing Date, be, without duplication, Obligations pursuant to this Agreement and the other Loan Documents as in effect from time to time, shall accrue interest thereon as specified in this Agreement, and shall be secured by the Loan Documents.</w:t>
      </w:r>
    </w:p>
    <w:p>
      <w:pPr>
        <w:spacing w:after="0" w:line="128" w:lineRule="exact"/>
        <w:rPr>
          <w:rFonts w:ascii="Arial" w:cs="Arial" w:eastAsia="Arial" w:hAnsi="Arial"/>
          <w:sz w:val="19"/>
          <w:szCs w:val="19"/>
          <w:color w:val="auto"/>
        </w:rPr>
      </w:pPr>
    </w:p>
    <w:p>
      <w:pPr>
        <w:jc w:val="both"/>
        <w:ind w:firstLine="1304"/>
        <w:spacing w:after="0" w:line="291" w:lineRule="auto"/>
        <w:tabs>
          <w:tab w:leader="none" w:pos="177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This Agreement does not extinguish the obligations for the payment of money outstanding under the Existing Credit Agreement or discharge or release the obligations or the Liens or priority of any Liens or any other security therefor. Nothing herein contained shall be construed as a substitution or novation of the obligations outstanding under the Existing Credit Agreement, the other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1240"/>
          </w:cols>
          <w:pgMar w:left="320" w:top="771" w:right="339" w:bottom="1440" w:gutter="0" w:footer="0" w:header="0"/>
        </w:sectPr>
      </w:pPr>
    </w:p>
    <w:bookmarkStart w:id="249" w:name="page250"/>
    <w:bookmarkEnd w:id="249"/>
    <w:p>
      <w:pPr>
        <w:jc w:val="both"/>
        <w:spacing w:after="0" w:line="270" w:lineRule="auto"/>
        <w:rPr>
          <w:sz w:val="20"/>
          <w:szCs w:val="20"/>
          <w:color w:val="auto"/>
        </w:rPr>
      </w:pPr>
      <w:r>
        <w:rPr>
          <w:rFonts w:ascii="Arial" w:cs="Arial" w:eastAsia="Arial" w:hAnsi="Arial"/>
          <w:sz w:val="18"/>
          <w:szCs w:val="18"/>
          <w:color w:val="auto"/>
        </w:rPr>
        <w:t>Original Loan Documents or instruments securing the same, which shall remain in full force and effect, except as modified hereby or by instruments executed concurrently herewith. Nothing expressed or implied in this Agreement shall be construed as a release or other discharge of the Borrower or any Guarantor from any of its obligations or liabilities under the Existing Credit Agreement or any of the security agreements, pledge agreements, mortgages, guaranties or other loan documents executed in connection therewith. The Borrower, on behalf of itself and each other Loan Party, hereby (i) confirms and agrees that each Original Loan Document to which it is a party that is not being amended and restated concurrently herewith is, and shall continue to be, in full force and effect and is hereby ratified and confirmed in all respects except that on and after the Closing Date, all references in any such Original Loan Document to “the Credit Agreement,” “thereto,” “thereof,” “thereunder” or words of like import referring to the Existing Credit Agreement shall mean the Existing Credit Agreement as amended and restated by this Agreement; and (ii) confirms and agrees that to the extent that any such Original Loan Document purports to assign or pledge to any Secured Party a security interest in or Lien on, any collateral as security for all or any portion of any of the Obligations of the Borrower or any other Loan Party, as the case may be, from time to time existing in respect of the Existing Credit Agreement or the Original Loan Document, such pledge or assignment or grant of the security interest or Lien is hereby ratified and confirmed in all respects with respect to this Agreement and the Loan Documents.</w:t>
      </w:r>
    </w:p>
    <w:p>
      <w:pPr>
        <w:spacing w:after="0" w:line="11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10.23 Acknowledgement Regarding Any Supported QFCs</w:t>
      </w:r>
      <w:r>
        <w:rPr>
          <w:rFonts w:ascii="Arial" w:cs="Arial" w:eastAsia="Arial" w:hAnsi="Arial"/>
          <w:sz w:val="20"/>
          <w:szCs w:val="20"/>
          <w:color w:val="auto"/>
        </w:rPr>
        <w:t>. To the extent that the Loan Documents provide support, through a</w:t>
      </w:r>
      <w:r>
        <w:rPr>
          <w:rFonts w:ascii="Arial" w:cs="Arial" w:eastAsia="Arial" w:hAnsi="Arial"/>
          <w:sz w:val="20"/>
          <w:szCs w:val="20"/>
          <w:b w:val="1"/>
          <w:bCs w:val="1"/>
          <w:color w:val="auto"/>
        </w:rPr>
        <w:t xml:space="preserve"> </w:t>
      </w:r>
      <w:r>
        <w:rPr>
          <w:rFonts w:ascii="Arial" w:cs="Arial" w:eastAsia="Arial" w:hAnsi="Arial"/>
          <w:sz w:val="20"/>
          <w:szCs w:val="20"/>
          <w:color w:val="auto"/>
        </w:rPr>
        <w:t>guarantee or otherwise, for Swap Agreements or any other agreement or instrument that is a QFC (such support, “</w:t>
      </w:r>
      <w:r>
        <w:rPr>
          <w:rFonts w:ascii="Arial" w:cs="Arial" w:eastAsia="Arial" w:hAnsi="Arial"/>
          <w:sz w:val="20"/>
          <w:szCs w:val="20"/>
          <w:b w:val="1"/>
          <w:bCs w:val="1"/>
          <w:i w:val="1"/>
          <w:iCs w:val="1"/>
          <w:color w:val="auto"/>
        </w:rPr>
        <w:t>QFC Credit Support</w:t>
      </w:r>
      <w:r>
        <w:rPr>
          <w:rFonts w:ascii="Arial" w:cs="Arial" w:eastAsia="Arial" w:hAnsi="Arial"/>
          <w:sz w:val="20"/>
          <w:szCs w:val="20"/>
          <w:color w:val="auto"/>
        </w:rPr>
        <w:t>” and each such QFC a “</w:t>
      </w:r>
      <w:r>
        <w:rPr>
          <w:rFonts w:ascii="Arial" w:cs="Arial" w:eastAsia="Arial" w:hAnsi="Arial"/>
          <w:sz w:val="20"/>
          <w:szCs w:val="20"/>
          <w:b w:val="1"/>
          <w:bCs w:val="1"/>
          <w:i w:val="1"/>
          <w:iCs w:val="1"/>
          <w:color w:val="auto"/>
        </w:rPr>
        <w:t>Supported QFC</w:t>
      </w:r>
      <w:r>
        <w:rPr>
          <w:rFonts w:ascii="Arial" w:cs="Arial" w:eastAsia="Arial" w:hAnsi="Arial"/>
          <w:sz w:val="20"/>
          <w:szCs w:val="20"/>
          <w:color w:val="auto"/>
        </w:rPr>
        <w:t>”), the parties hereto hereby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b w:val="1"/>
          <w:bCs w:val="1"/>
          <w:i w:val="1"/>
          <w:iCs w:val="1"/>
          <w:color w:val="auto"/>
        </w:rPr>
        <w:t>U.S. Special Resolution Regimes</w:t>
      </w:r>
      <w:r>
        <w:rPr>
          <w:rFonts w:ascii="Arial" w:cs="Arial" w:eastAsia="Arial" w:hAnsi="Arial"/>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1" w:lineRule="exact"/>
        <w:rPr>
          <w:sz w:val="20"/>
          <w:szCs w:val="20"/>
          <w:color w:val="auto"/>
        </w:rPr>
      </w:pPr>
    </w:p>
    <w:p>
      <w:pPr>
        <w:jc w:val="both"/>
        <w:ind w:firstLine="1304"/>
        <w:spacing w:after="0" w:line="270" w:lineRule="auto"/>
        <w:tabs>
          <w:tab w:leader="none" w:pos="183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i w:val="1"/>
          <w:i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1" w:lineRule="exact"/>
        <w:rPr>
          <w:rFonts w:ascii="Arial" w:cs="Arial" w:eastAsia="Arial" w:hAnsi="Arial"/>
          <w:sz w:val="18"/>
          <w:szCs w:val="18"/>
          <w:color w:val="auto"/>
        </w:rPr>
      </w:pPr>
    </w:p>
    <w:p>
      <w:pPr>
        <w:ind w:left="1720" w:hanging="416"/>
        <w:spacing w:after="0"/>
        <w:tabs>
          <w:tab w:leader="none" w:pos="172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10.23</w:t>
      </w:r>
      <w:r>
        <w:rPr>
          <w:rFonts w:ascii="Arial" w:cs="Arial" w:eastAsia="Arial" w:hAnsi="Arial"/>
          <w:sz w:val="20"/>
          <w:szCs w:val="20"/>
          <w:color w:val="auto"/>
        </w:rPr>
        <w:t>, the following terms have the following meanings: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ectPr>
          <w:pgSz w:w="11900" w:h="16838" w:orient="portrait"/>
          <w:cols w:equalWidth="0" w:num="1">
            <w:col w:w="11240"/>
          </w:cols>
          <w:pgMar w:left="320" w:top="771" w:right="339" w:bottom="1440" w:gutter="0" w:footer="0" w:header="0"/>
        </w:sectPr>
      </w:pPr>
    </w:p>
    <w:bookmarkStart w:id="250" w:name="page251"/>
    <w:bookmarkEnd w:id="250"/>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Entity</w:t>
      </w:r>
      <w:r>
        <w:rPr>
          <w:rFonts w:ascii="Arial" w:cs="Arial" w:eastAsia="Arial" w:hAnsi="Arial"/>
          <w:sz w:val="20"/>
          <w:szCs w:val="20"/>
          <w:color w:val="auto"/>
        </w:rPr>
        <w:t>” means any of the following:</w:t>
      </w:r>
    </w:p>
    <w:p>
      <w:pPr>
        <w:spacing w:after="0" w:line="162" w:lineRule="exact"/>
        <w:rPr>
          <w:sz w:val="20"/>
          <w:szCs w:val="20"/>
          <w:color w:val="auto"/>
        </w:rPr>
      </w:pPr>
    </w:p>
    <w:p>
      <w:pPr>
        <w:ind w:left="2340" w:hanging="388"/>
        <w:spacing w:after="0"/>
        <w:tabs>
          <w:tab w:leader="none" w:pos="234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173" w:lineRule="exact"/>
        <w:rPr>
          <w:rFonts w:ascii="Arial" w:cs="Arial" w:eastAsia="Arial" w:hAnsi="Arial"/>
          <w:sz w:val="19"/>
          <w:szCs w:val="19"/>
          <w:color w:val="auto"/>
        </w:rPr>
      </w:pPr>
    </w:p>
    <w:p>
      <w:pPr>
        <w:ind w:left="2400" w:hanging="448"/>
        <w:spacing w:after="0"/>
        <w:tabs>
          <w:tab w:leader="none" w:pos="240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173" w:lineRule="exact"/>
        <w:rPr>
          <w:rFonts w:ascii="Arial" w:cs="Arial" w:eastAsia="Arial" w:hAnsi="Arial"/>
          <w:sz w:val="19"/>
          <w:szCs w:val="19"/>
          <w:color w:val="auto"/>
        </w:rPr>
      </w:pPr>
    </w:p>
    <w:p>
      <w:pPr>
        <w:ind w:left="2440" w:hanging="488"/>
        <w:spacing w:after="0"/>
        <w:tabs>
          <w:tab w:leader="none" w:pos="244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62" w:lineRule="exact"/>
        <w:rPr>
          <w:sz w:val="20"/>
          <w:szCs w:val="20"/>
          <w:color w:val="auto"/>
        </w:rPr>
      </w:pPr>
    </w:p>
    <w:p>
      <w:pPr>
        <w:ind w:right="18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23" w:lineRule="exact"/>
        <w:rPr>
          <w:sz w:val="20"/>
          <w:szCs w:val="20"/>
          <w:color w:val="auto"/>
        </w:rPr>
      </w:pPr>
    </w:p>
    <w:p>
      <w:pPr>
        <w:ind w:right="40"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left blank intentionally</w:t>
      </w:r>
      <w:r>
        <w:rPr>
          <w:rFonts w:ascii="Arial" w:cs="Arial" w:eastAsia="Arial" w:hAnsi="Arial"/>
          <w:sz w:val="20"/>
          <w:szCs w:val="20"/>
          <w:color w:val="auto"/>
        </w:rPr>
        <w: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136</w:t>
      </w:r>
    </w:p>
    <w:p>
      <w:pPr>
        <w:sectPr>
          <w:pgSz w:w="11900" w:h="16838" w:orient="portrait"/>
          <w:cols w:equalWidth="0" w:num="1">
            <w:col w:w="11240"/>
          </w:cols>
          <w:pgMar w:left="320" w:top="771" w:right="339" w:bottom="1440" w:gutter="0" w:footer="0" w:header="0"/>
        </w:sectPr>
      </w:pPr>
    </w:p>
    <w:bookmarkStart w:id="251" w:name="page252"/>
    <w:bookmarkEnd w:id="251"/>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duly executed and delivered by their proper and</w:t>
      </w:r>
      <w:r>
        <w:rPr>
          <w:rFonts w:ascii="Arial" w:cs="Arial" w:eastAsia="Arial" w:hAnsi="Arial"/>
          <w:sz w:val="20"/>
          <w:szCs w:val="20"/>
          <w:b w:val="1"/>
          <w:bCs w:val="1"/>
          <w:color w:val="auto"/>
        </w:rPr>
        <w:t xml:space="preserve"> </w:t>
      </w:r>
      <w:r>
        <w:rPr>
          <w:rFonts w:ascii="Arial" w:cs="Arial" w:eastAsia="Arial" w:hAnsi="Arial"/>
          <w:sz w:val="20"/>
          <w:szCs w:val="20"/>
          <w:color w:val="auto"/>
        </w:rPr>
        <w:t>duly authorized officers as of the day and year first above written.</w:t>
      </w:r>
    </w:p>
    <w:p>
      <w:pPr>
        <w:spacing w:after="0" w:line="163" w:lineRule="exact"/>
        <w:rPr>
          <w:sz w:val="20"/>
          <w:szCs w:val="20"/>
          <w:color w:val="auto"/>
        </w:rPr>
      </w:pPr>
    </w:p>
    <w:p>
      <w:pPr>
        <w:jc w:val="center"/>
        <w:ind w:right="-299"/>
        <w:spacing w:after="0"/>
        <w:rPr>
          <w:sz w:val="20"/>
          <w:szCs w:val="20"/>
          <w:color w:val="auto"/>
        </w:rPr>
      </w:pPr>
      <w:r>
        <w:rPr>
          <w:rFonts w:ascii="Arial" w:cs="Arial" w:eastAsia="Arial" w:hAnsi="Arial"/>
          <w:sz w:val="20"/>
          <w:szCs w:val="20"/>
          <w:b w:val="1"/>
          <w:bCs w:val="1"/>
          <w:color w:val="auto"/>
        </w:rPr>
        <w:t>BORROWER:</w:t>
      </w:r>
    </w:p>
    <w:p>
      <w:pPr>
        <w:spacing w:after="0" w:line="310"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NERDWALLET, INC.</w:t>
      </w:r>
    </w:p>
    <w:p>
      <w:pPr>
        <w:spacing w:after="0" w:line="316" w:lineRule="exact"/>
        <w:rPr>
          <w:sz w:val="20"/>
          <w:szCs w:val="20"/>
          <w:color w:val="auto"/>
        </w:rPr>
      </w:pPr>
    </w:p>
    <w:tbl>
      <w:tblPr>
        <w:tblLayout w:type="fixed"/>
        <w:tblInd w:w="51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/s/Tim Chen</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Tim Chen</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NERDWALLET COMPARE, INC.</w:t>
      </w:r>
    </w:p>
    <w:p>
      <w:pPr>
        <w:spacing w:after="0" w:line="316" w:lineRule="exact"/>
        <w:rPr>
          <w:sz w:val="20"/>
          <w:szCs w:val="20"/>
          <w:color w:val="auto"/>
        </w:rPr>
      </w:pPr>
    </w:p>
    <w:tbl>
      <w:tblPr>
        <w:tblLayout w:type="fixed"/>
        <w:tblInd w:w="512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320" w:type="dxa"/>
            <w:vAlign w:val="bottom"/>
          </w:tcPr>
          <w:p>
            <w:pPr>
              <w:ind w:left="20"/>
              <w:spacing w:after="0"/>
              <w:rPr>
                <w:sz w:val="20"/>
                <w:szCs w:val="20"/>
                <w:color w:val="auto"/>
              </w:rPr>
            </w:pPr>
            <w:r>
              <w:rPr>
                <w:rFonts w:ascii="Arial" w:cs="Arial" w:eastAsia="Arial" w:hAnsi="Arial"/>
                <w:sz w:val="20"/>
                <w:szCs w:val="20"/>
                <w:color w:val="auto"/>
              </w:rPr>
              <w:t>/s/Tim Chen</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320" w:type="dxa"/>
            <w:vAlign w:val="bottom"/>
          </w:tcPr>
          <w:p>
            <w:pPr>
              <w:ind w:left="20"/>
              <w:spacing w:after="0"/>
              <w:rPr>
                <w:sz w:val="20"/>
                <w:szCs w:val="20"/>
                <w:color w:val="auto"/>
              </w:rPr>
            </w:pPr>
            <w:r>
              <w:rPr>
                <w:rFonts w:ascii="Arial" w:cs="Arial" w:eastAsia="Arial" w:hAnsi="Arial"/>
                <w:sz w:val="20"/>
                <w:szCs w:val="20"/>
                <w:color w:val="auto"/>
              </w:rPr>
              <w:t>Tim Chen</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32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3"/>
        </w:trPr>
        <w:tc>
          <w:tcPr>
            <w:tcW w:w="8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13" w:right="339" w:bottom="1440" w:gutter="0" w:footer="0" w:header="0"/>
        </w:sectPr>
      </w:pPr>
    </w:p>
    <w:bookmarkStart w:id="252" w:name="page253"/>
    <w:bookmarkEnd w:id="252"/>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ADMINISTRATIVE AGENT:</w:t>
      </w:r>
    </w:p>
    <w:p>
      <w:pPr>
        <w:spacing w:after="0" w:line="310"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SILICON VALLEY BANK</w:t>
      </w:r>
    </w:p>
    <w:p>
      <w:pPr>
        <w:spacing w:after="0" w:line="316" w:lineRule="exact"/>
        <w:rPr>
          <w:sz w:val="20"/>
          <w:szCs w:val="20"/>
          <w:color w:val="auto"/>
        </w:rPr>
      </w:pPr>
    </w:p>
    <w:tbl>
      <w:tblPr>
        <w:tblLayout w:type="fixed"/>
        <w:tblInd w:w="348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/s/Alex Brotevant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Alex Grotevant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440" w:right="1440" w:bottom="1440" w:gutter="0" w:footer="0" w:header="0"/>
        </w:sectPr>
      </w:pPr>
    </w:p>
    <w:bookmarkStart w:id="253" w:name="page254"/>
    <w:bookmarkEnd w:id="253"/>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LENDERS:</w:t>
      </w:r>
    </w:p>
    <w:p>
      <w:pPr>
        <w:spacing w:after="0" w:line="310"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SILICON VALLEY BANK,</w:t>
      </w:r>
    </w:p>
    <w:p>
      <w:pPr>
        <w:spacing w:after="0" w:line="60"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as Issuing Lender, Swingline Lender and as a Lender</w:t>
      </w:r>
    </w:p>
    <w:p>
      <w:pPr>
        <w:spacing w:after="0" w:line="310" w:lineRule="exact"/>
        <w:rPr>
          <w:sz w:val="20"/>
          <w:szCs w:val="20"/>
          <w:color w:val="auto"/>
        </w:rPr>
      </w:pPr>
    </w:p>
    <w:tbl>
      <w:tblPr>
        <w:tblLayout w:type="fixed"/>
        <w:tblInd w:w="348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/s/Alex Grotevant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Alex Grotevant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440" w:right="1440" w:bottom="1440" w:gutter="0" w:footer="0" w:header="0"/>
        </w:sectPr>
      </w:pPr>
    </w:p>
    <w:bookmarkStart w:id="254" w:name="page255"/>
    <w:bookmarkEnd w:id="254"/>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HSBC Bank USA, National Association,</w:t>
      </w:r>
    </w:p>
    <w:p>
      <w:pPr>
        <w:spacing w:after="0" w:line="60"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a Lender</w:t>
      </w:r>
    </w:p>
    <w:p>
      <w:pPr>
        <w:spacing w:after="0" w:line="310" w:lineRule="exact"/>
        <w:rPr>
          <w:sz w:val="20"/>
          <w:szCs w:val="20"/>
          <w:color w:val="auto"/>
        </w:rPr>
      </w:pPr>
    </w:p>
    <w:tbl>
      <w:tblPr>
        <w:tblLayout w:type="fixed"/>
        <w:tblInd w:w="350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/s/Stephanie Mercer</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Stephanie Mercer</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440" w:right="1440" w:bottom="1440" w:gutter="0" w:footer="0" w:header="0"/>
        </w:sectPr>
      </w:pPr>
    </w:p>
    <w:bookmarkStart w:id="255" w:name="page256"/>
    <w:bookmarkEnd w:id="255"/>
    <w:p>
      <w:pPr>
        <w:spacing w:after="0" w:line="27"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JPMorgan Chase Bank, N.A.,</w:t>
      </w:r>
    </w:p>
    <w:p>
      <w:pPr>
        <w:spacing w:after="0" w:line="60"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as a Lender</w:t>
      </w:r>
    </w:p>
    <w:p>
      <w:pPr>
        <w:spacing w:after="0" w:line="310" w:lineRule="exact"/>
        <w:rPr>
          <w:sz w:val="20"/>
          <w:szCs w:val="20"/>
          <w:color w:val="auto"/>
        </w:rPr>
      </w:pPr>
    </w:p>
    <w:tbl>
      <w:tblPr>
        <w:tblLayout w:type="fixed"/>
        <w:tblInd w:w="350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/s/Daniel J. Maniaci</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Daniel J. Maniaci</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497"/>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Vice President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440" w:right="1440" w:bottom="1440" w:gutter="0" w:footer="0" w:header="0"/>
        </w:sectPr>
      </w:pPr>
    </w:p>
    <w:bookmarkStart w:id="256" w:name="page257"/>
    <w:bookmarkEnd w:id="256"/>
    <w:p>
      <w:pPr>
        <w:jc w:val="center"/>
        <w:ind w:right="-19"/>
        <w:spacing w:after="0"/>
        <w:rPr>
          <w:sz w:val="20"/>
          <w:szCs w:val="20"/>
          <w:color w:val="auto"/>
        </w:rPr>
      </w:pPr>
      <w:r>
        <w:rPr>
          <w:rFonts w:ascii="Arial" w:cs="Arial" w:eastAsia="Arial" w:hAnsi="Arial"/>
          <w:sz w:val="22"/>
          <w:szCs w:val="22"/>
          <w:b w:val="1"/>
          <w:bCs w:val="1"/>
          <w:color w:val="auto"/>
        </w:rPr>
        <w:t>CONSENT AND REAFFIRMATION</w:t>
      </w:r>
    </w:p>
    <w:p>
      <w:pPr>
        <w:spacing w:after="0" w:line="17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The Guarantor hereby (i) acknowledges receipt of a copy of the foregoing Amended and Restated Credit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used but not otherwise defined herein shall have the meanings ascribed to such terms in the Agreement); (ii) consents to Borrower's execution and delivery of the Agreement; (iii) affirms that nothing contained in the Agreement shall modify in any respect whatsoever any Loan Document to which it is a party except as expressly set forth therein; and (iv) ratifies, affirms, acknowledges and agrees that each of the Loan Documents to which the Guarantor is a party represents the valid, enforceable and collectible obligations of the Guarantor. The Guarantor hereby agrees that the Agreement in no way acts as a release or relinquishment of the Liens and rights securing payments of the Obligations. The guarantee, Liens and rights securing payment of the Obligations (including as amended by the Agreement) are hereby ratified and confirmed by the Guarantor in all respects. Although the Guarantor has been informed of the matters set forth herein and has acknowledged and agreed to same, the Guarantor understands that neither the Administrative Agent nor any Lender has any obligation to inform the Guarantor of such matters in the future or to seek the Guarantor's acknowledgment or agreement to future amendments, waivers or consents, and nothing herein shall create such a duty.</w:t>
      </w:r>
    </w:p>
    <w:p>
      <w:pPr>
        <w:sectPr>
          <w:pgSz w:w="11900" w:h="16838" w:orient="portrait"/>
          <w:cols w:equalWidth="0" w:num="1">
            <w:col w:w="11240"/>
          </w:cols>
          <w:pgMar w:left="320" w:top="1422" w:right="339" w:bottom="1440" w:gutter="0" w:footer="0" w:header="0"/>
        </w:sectPr>
      </w:pPr>
    </w:p>
    <w:bookmarkStart w:id="257" w:name="page258"/>
    <w:bookmarkEnd w:id="257"/>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FUNDERA, INC.</w:t>
      </w:r>
    </w:p>
    <w:p>
      <w:pPr>
        <w:spacing w:after="0" w:line="330" w:lineRule="exact"/>
        <w:rPr>
          <w:sz w:val="20"/>
          <w:szCs w:val="20"/>
          <w:color w:val="auto"/>
        </w:rPr>
      </w:pPr>
    </w:p>
    <w:tbl>
      <w:tblPr>
        <w:tblLayout w:type="fixed"/>
        <w:tblInd w:w="3480" w:type="dxa"/>
        <w:tblCellMar>
          <w:top w:w="0" w:type="dxa"/>
          <w:left w:w="0" w:type="dxa"/>
          <w:bottom w:w="0" w:type="dxa"/>
          <w:right w:w="0" w:type="dxa"/>
        </w:tblCellMar>
      </w:tblP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ind w:left="20"/>
              <w:spacing w:after="0"/>
              <w:rPr>
                <w:sz w:val="20"/>
                <w:szCs w:val="20"/>
                <w:color w:val="auto"/>
              </w:rPr>
            </w:pPr>
            <w:r>
              <w:rPr>
                <w:rFonts w:ascii="Arial" w:cs="Arial" w:eastAsia="Arial" w:hAnsi="Arial"/>
                <w:sz w:val="20"/>
                <w:szCs w:val="20"/>
                <w:color w:val="auto"/>
              </w:rPr>
              <w:t>/s/Jared Hecht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511"/>
        </w:trPr>
        <w:tc>
          <w:tcPr>
            <w:tcW w:w="840" w:type="dxa"/>
            <w:vAlign w:val="bottom"/>
          </w:tcPr>
          <w:p>
            <w:pPr>
              <w:spacing w:after="0"/>
              <w:rPr>
                <w:sz w:val="20"/>
                <w:szCs w:val="20"/>
                <w:color w:val="auto"/>
              </w:rPr>
            </w:pPr>
            <w:r>
              <w:rPr>
                <w:rFonts w:ascii="Arial" w:cs="Arial" w:eastAsia="Arial" w:hAnsi="Arial"/>
                <w:sz w:val="20"/>
                <w:szCs w:val="20"/>
                <w:color w:val="auto"/>
              </w:rPr>
              <w:t>Name:</w:t>
            </w:r>
          </w:p>
        </w:tc>
        <w:tc>
          <w:tcPr>
            <w:tcW w:w="4580" w:type="dxa"/>
            <w:vAlign w:val="bottom"/>
          </w:tcPr>
          <w:p>
            <w:pPr>
              <w:ind w:left="20"/>
              <w:spacing w:after="0"/>
              <w:rPr>
                <w:sz w:val="20"/>
                <w:szCs w:val="20"/>
                <w:color w:val="auto"/>
              </w:rPr>
            </w:pPr>
            <w:r>
              <w:rPr>
                <w:rFonts w:ascii="Arial" w:cs="Arial" w:eastAsia="Arial" w:hAnsi="Arial"/>
                <w:sz w:val="20"/>
                <w:szCs w:val="20"/>
                <w:color w:val="auto"/>
              </w:rPr>
              <w:t>Jared Hecht</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511"/>
        </w:trPr>
        <w:tc>
          <w:tcPr>
            <w:tcW w:w="840" w:type="dxa"/>
            <w:vAlign w:val="bottom"/>
          </w:tcPr>
          <w:p>
            <w:pPr>
              <w:spacing w:after="0"/>
              <w:rPr>
                <w:sz w:val="20"/>
                <w:szCs w:val="20"/>
                <w:color w:val="auto"/>
              </w:rPr>
            </w:pPr>
            <w:r>
              <w:rPr>
                <w:rFonts w:ascii="Arial" w:cs="Arial" w:eastAsia="Arial" w:hAnsi="Arial"/>
                <w:sz w:val="20"/>
                <w:szCs w:val="20"/>
                <w:color w:val="auto"/>
              </w:rPr>
              <w:t>Title:</w:t>
            </w:r>
          </w:p>
        </w:tc>
        <w:tc>
          <w:tcPr>
            <w:tcW w:w="4580" w:type="dxa"/>
            <w:vAlign w:val="bottom"/>
          </w:tcPr>
          <w:p>
            <w:pPr>
              <w:ind w:left="20"/>
              <w:spacing w:after="0"/>
              <w:rPr>
                <w:sz w:val="20"/>
                <w:szCs w:val="20"/>
                <w:color w:val="auto"/>
              </w:rPr>
            </w:pPr>
            <w:r>
              <w:rPr>
                <w:rFonts w:ascii="Arial" w:cs="Arial" w:eastAsia="Arial" w:hAnsi="Arial"/>
                <w:sz w:val="20"/>
                <w:szCs w:val="20"/>
                <w:color w:val="auto"/>
              </w:rPr>
              <w:t>Chief Executive Officer, Chief Financial</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54"/>
        </w:trPr>
        <w:tc>
          <w:tcPr>
            <w:tcW w:w="84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20"/>
                <w:szCs w:val="20"/>
                <w:color w:val="auto"/>
              </w:rPr>
              <w:t>Officer and Secretary</w:t>
            </w:r>
          </w:p>
        </w:tc>
      </w:tr>
      <w:tr>
        <w:trPr>
          <w:trHeight w:val="23"/>
        </w:trPr>
        <w:tc>
          <w:tcPr>
            <w:tcW w:w="84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1440" w:right="1440" w:bottom="1440" w:gutter="0" w:footer="0" w:header="0"/>
        </w:sectPr>
      </w:pPr>
    </w:p>
    <w:bookmarkStart w:id="258" w:name="page259"/>
    <w:bookmarkEnd w:id="258"/>
    <w:p>
      <w:pPr>
        <w:ind w:left="4580"/>
        <w:spacing w:after="0"/>
        <w:rPr>
          <w:sz w:val="20"/>
          <w:szCs w:val="20"/>
          <w:color w:val="auto"/>
        </w:rPr>
      </w:pPr>
      <w:r>
        <w:rPr>
          <w:rFonts w:ascii="Arial" w:cs="Arial" w:eastAsia="Arial" w:hAnsi="Arial"/>
          <w:sz w:val="20"/>
          <w:szCs w:val="20"/>
          <w:b w:val="1"/>
          <w:bCs w:val="1"/>
          <w:color w:val="auto"/>
        </w:rPr>
        <w:t>SCHEDULE 1.1A</w:t>
      </w:r>
    </w:p>
    <w:p>
      <w:pPr>
        <w:spacing w:after="0" w:line="162"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COMMITMENTS</w:t>
      </w:r>
    </w:p>
    <w:p>
      <w:pPr>
        <w:spacing w:after="0" w:line="22"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AND AGGREGATE EXPOSURE PERCENTAGES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60" w:type="dxa"/>
            <w:vAlign w:val="bottom"/>
          </w:tcPr>
          <w:p>
            <w:pPr>
              <w:spacing w:after="0"/>
              <w:rPr>
                <w:sz w:val="22"/>
                <w:szCs w:val="22"/>
                <w:color w:val="auto"/>
              </w:rPr>
            </w:pPr>
          </w:p>
        </w:tc>
        <w:tc>
          <w:tcPr>
            <w:tcW w:w="3920" w:type="dxa"/>
            <w:vAlign w:val="bottom"/>
          </w:tcPr>
          <w:p>
            <w:pPr>
              <w:jc w:val="center"/>
              <w:ind w:right="261"/>
              <w:spacing w:after="0"/>
              <w:rPr>
                <w:sz w:val="20"/>
                <w:szCs w:val="20"/>
                <w:color w:val="auto"/>
              </w:rPr>
            </w:pPr>
            <w:r>
              <w:rPr>
                <w:rFonts w:ascii="Arial" w:cs="Arial" w:eastAsia="Arial" w:hAnsi="Arial"/>
                <w:sz w:val="20"/>
                <w:szCs w:val="20"/>
                <w:b w:val="1"/>
                <w:bCs w:val="1"/>
                <w:color w:val="auto"/>
              </w:rPr>
              <w:t>REVOLVING COMMITMENTS</w:t>
            </w:r>
          </w:p>
        </w:tc>
        <w:tc>
          <w:tcPr>
            <w:tcW w:w="2480" w:type="dxa"/>
            <w:vAlign w:val="bottom"/>
          </w:tcPr>
          <w:p>
            <w:pPr>
              <w:spacing w:after="0"/>
              <w:rPr>
                <w:sz w:val="22"/>
                <w:szCs w:val="22"/>
                <w:color w:val="auto"/>
              </w:rPr>
            </w:pPr>
          </w:p>
        </w:tc>
      </w:tr>
      <w:tr>
        <w:trPr>
          <w:trHeight w:val="446"/>
        </w:trPr>
        <w:tc>
          <w:tcPr>
            <w:tcW w:w="3560" w:type="dxa"/>
            <w:vAlign w:val="bottom"/>
          </w:tcPr>
          <w:p>
            <w:pPr>
              <w:jc w:val="center"/>
              <w:ind w:right="261"/>
              <w:spacing w:after="0"/>
              <w:rPr>
                <w:sz w:val="20"/>
                <w:szCs w:val="20"/>
                <w:color w:val="auto"/>
              </w:rPr>
            </w:pPr>
            <w:r>
              <w:rPr>
                <w:rFonts w:ascii="Arial" w:cs="Arial" w:eastAsia="Arial" w:hAnsi="Arial"/>
                <w:sz w:val="20"/>
                <w:szCs w:val="20"/>
                <w:color w:val="auto"/>
                <w:w w:val="89"/>
              </w:rPr>
              <w:t>Lender</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91"/>
              </w:rPr>
              <w:t>Revolving Commitment</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8"/>
              </w:rPr>
              <w:t>Revolving Percentage</w:t>
            </w:r>
          </w:p>
        </w:tc>
      </w:tr>
      <w:tr>
        <w:trPr>
          <w:trHeight w:val="55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2"/>
              </w:rPr>
              <w:t>Silicon Valley Bank</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8"/>
              </w:rPr>
              <w:t>$50,000,000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50.000000000%</w:t>
            </w:r>
          </w:p>
        </w:tc>
      </w:tr>
      <w:tr>
        <w:trPr>
          <w:trHeight w:val="28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89"/>
              </w:rPr>
              <w:t>JP Morgan Chase Bank, N.A.</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8"/>
              </w:rPr>
              <w:t>$25,000,000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25.000000000%</w:t>
            </w:r>
          </w:p>
        </w:tc>
      </w:tr>
      <w:tr>
        <w:trPr>
          <w:trHeight w:val="28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1"/>
              </w:rPr>
              <w:t>HSBC Bank USA, National Association</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8"/>
              </w:rPr>
              <w:t>$25,000,000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25.000000000%</w:t>
            </w:r>
          </w:p>
        </w:tc>
      </w:tr>
      <w:tr>
        <w:trPr>
          <w:trHeight w:val="284"/>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4"/>
              </w:rPr>
              <w:t>Total</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9"/>
              </w:rPr>
              <w:t>$100,000,000</w:t>
            </w:r>
          </w:p>
        </w:tc>
        <w:tc>
          <w:tcPr>
            <w:tcW w:w="2480" w:type="dxa"/>
            <w:vAlign w:val="bottom"/>
          </w:tcPr>
          <w:p>
            <w:pPr>
              <w:jc w:val="center"/>
              <w:ind w:left="621"/>
              <w:spacing w:after="0"/>
              <w:rPr>
                <w:sz w:val="20"/>
                <w:szCs w:val="20"/>
                <w:color w:val="auto"/>
              </w:rPr>
            </w:pPr>
            <w:r>
              <w:rPr>
                <w:rFonts w:ascii="Arial" w:cs="Arial" w:eastAsia="Arial" w:hAnsi="Arial"/>
                <w:sz w:val="20"/>
                <w:szCs w:val="20"/>
                <w:color w:val="auto"/>
                <w:w w:val="89"/>
              </w:rPr>
              <w:t>100.000000000%</w:t>
            </w:r>
          </w:p>
        </w:tc>
      </w:tr>
      <w:tr>
        <w:trPr>
          <w:trHeight w:val="513"/>
        </w:trPr>
        <w:tc>
          <w:tcPr>
            <w:tcW w:w="3560" w:type="dxa"/>
            <w:vAlign w:val="bottom"/>
          </w:tcPr>
          <w:p>
            <w:pPr>
              <w:spacing w:after="0"/>
              <w:rPr>
                <w:sz w:val="24"/>
                <w:szCs w:val="24"/>
                <w:color w:val="auto"/>
              </w:rPr>
            </w:pPr>
          </w:p>
        </w:tc>
        <w:tc>
          <w:tcPr>
            <w:tcW w:w="3920" w:type="dxa"/>
            <w:vAlign w:val="bottom"/>
          </w:tcPr>
          <w:p>
            <w:pPr>
              <w:jc w:val="center"/>
              <w:ind w:right="241"/>
              <w:spacing w:after="0"/>
              <w:rPr>
                <w:sz w:val="20"/>
                <w:szCs w:val="20"/>
                <w:color w:val="auto"/>
              </w:rPr>
            </w:pPr>
            <w:r>
              <w:rPr>
                <w:rFonts w:ascii="Arial" w:cs="Arial" w:eastAsia="Arial" w:hAnsi="Arial"/>
                <w:sz w:val="20"/>
                <w:szCs w:val="20"/>
                <w:b w:val="1"/>
                <w:bCs w:val="1"/>
                <w:color w:val="auto"/>
              </w:rPr>
              <w:t>L/C COMMITMENT</w:t>
            </w:r>
          </w:p>
        </w:tc>
        <w:tc>
          <w:tcPr>
            <w:tcW w:w="2480" w:type="dxa"/>
            <w:vAlign w:val="bottom"/>
          </w:tcPr>
          <w:p>
            <w:pPr>
              <w:spacing w:after="0"/>
              <w:rPr>
                <w:sz w:val="24"/>
                <w:szCs w:val="24"/>
                <w:color w:val="auto"/>
              </w:rPr>
            </w:pPr>
          </w:p>
        </w:tc>
      </w:tr>
      <w:tr>
        <w:trPr>
          <w:trHeight w:val="446"/>
        </w:trPr>
        <w:tc>
          <w:tcPr>
            <w:tcW w:w="3560" w:type="dxa"/>
            <w:vAlign w:val="bottom"/>
          </w:tcPr>
          <w:p>
            <w:pPr>
              <w:jc w:val="center"/>
              <w:ind w:right="261"/>
              <w:spacing w:after="0"/>
              <w:rPr>
                <w:sz w:val="20"/>
                <w:szCs w:val="20"/>
                <w:color w:val="auto"/>
              </w:rPr>
            </w:pPr>
            <w:r>
              <w:rPr>
                <w:rFonts w:ascii="Arial" w:cs="Arial" w:eastAsia="Arial" w:hAnsi="Arial"/>
                <w:sz w:val="20"/>
                <w:szCs w:val="20"/>
                <w:color w:val="auto"/>
                <w:w w:val="89"/>
              </w:rPr>
              <w:t>Lender</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94"/>
              </w:rPr>
              <w:t>L/C Commitment</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7"/>
              </w:rPr>
              <w:t>L/C Percentage</w:t>
            </w:r>
          </w:p>
        </w:tc>
      </w:tr>
      <w:tr>
        <w:trPr>
          <w:trHeight w:val="55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2"/>
              </w:rPr>
              <w:t>Silicon Valley Bank</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9"/>
              </w:rPr>
              <w:t>$5,000,000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50.000000000%</w:t>
            </w:r>
          </w:p>
        </w:tc>
      </w:tr>
      <w:tr>
        <w:trPr>
          <w:trHeight w:val="28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89"/>
              </w:rPr>
              <w:t>JP Morgan Chase Bank, N.A.</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9"/>
              </w:rPr>
              <w:t>$2,500,000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25.000000000%</w:t>
            </w:r>
          </w:p>
        </w:tc>
      </w:tr>
      <w:tr>
        <w:trPr>
          <w:trHeight w:val="28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1"/>
              </w:rPr>
              <w:t>HSBC Bank USA, National Association</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9"/>
              </w:rPr>
              <w:t>$2,500,000</w:t>
            </w:r>
          </w:p>
        </w:tc>
        <w:tc>
          <w:tcPr>
            <w:tcW w:w="2480" w:type="dxa"/>
            <w:vAlign w:val="bottom"/>
          </w:tcPr>
          <w:p>
            <w:pPr>
              <w:jc w:val="center"/>
              <w:ind w:left="641"/>
              <w:spacing w:after="0"/>
              <w:rPr>
                <w:sz w:val="20"/>
                <w:szCs w:val="20"/>
                <w:color w:val="auto"/>
              </w:rPr>
            </w:pPr>
            <w:r>
              <w:rPr>
                <w:rFonts w:ascii="Arial" w:cs="Arial" w:eastAsia="Arial" w:hAnsi="Arial"/>
                <w:sz w:val="20"/>
                <w:szCs w:val="20"/>
                <w:color w:val="auto"/>
                <w:w w:val="89"/>
              </w:rPr>
              <w:t>25.000000000%</w:t>
            </w:r>
          </w:p>
        </w:tc>
      </w:tr>
      <w:tr>
        <w:trPr>
          <w:trHeight w:val="284"/>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4"/>
              </w:rPr>
              <w:t>Total</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8"/>
              </w:rPr>
              <w:t>$10,000,000</w:t>
            </w:r>
          </w:p>
        </w:tc>
        <w:tc>
          <w:tcPr>
            <w:tcW w:w="2480" w:type="dxa"/>
            <w:vAlign w:val="bottom"/>
          </w:tcPr>
          <w:p>
            <w:pPr>
              <w:jc w:val="center"/>
              <w:ind w:left="621"/>
              <w:spacing w:after="0"/>
              <w:rPr>
                <w:sz w:val="20"/>
                <w:szCs w:val="20"/>
                <w:color w:val="auto"/>
              </w:rPr>
            </w:pPr>
            <w:r>
              <w:rPr>
                <w:rFonts w:ascii="Arial" w:cs="Arial" w:eastAsia="Arial" w:hAnsi="Arial"/>
                <w:sz w:val="20"/>
                <w:szCs w:val="20"/>
                <w:color w:val="auto"/>
                <w:w w:val="89"/>
              </w:rPr>
              <w:t>100.000000000%</w:t>
            </w:r>
          </w:p>
        </w:tc>
      </w:tr>
      <w:tr>
        <w:trPr>
          <w:trHeight w:val="499"/>
        </w:trPr>
        <w:tc>
          <w:tcPr>
            <w:tcW w:w="3560" w:type="dxa"/>
            <w:vAlign w:val="bottom"/>
          </w:tcPr>
          <w:p>
            <w:pPr>
              <w:spacing w:after="0"/>
              <w:rPr>
                <w:sz w:val="24"/>
                <w:szCs w:val="24"/>
                <w:color w:val="auto"/>
              </w:rPr>
            </w:pPr>
          </w:p>
        </w:tc>
        <w:tc>
          <w:tcPr>
            <w:tcW w:w="3920" w:type="dxa"/>
            <w:vAlign w:val="bottom"/>
          </w:tcPr>
          <w:p>
            <w:pPr>
              <w:jc w:val="center"/>
              <w:ind w:right="261"/>
              <w:spacing w:after="0"/>
              <w:rPr>
                <w:sz w:val="20"/>
                <w:szCs w:val="20"/>
                <w:color w:val="auto"/>
              </w:rPr>
            </w:pPr>
            <w:r>
              <w:rPr>
                <w:rFonts w:ascii="Arial" w:cs="Arial" w:eastAsia="Arial" w:hAnsi="Arial"/>
                <w:sz w:val="20"/>
                <w:szCs w:val="20"/>
                <w:b w:val="1"/>
                <w:bCs w:val="1"/>
                <w:color w:val="auto"/>
              </w:rPr>
              <w:t>SWINGLINE COMMITMENT</w:t>
            </w:r>
          </w:p>
        </w:tc>
        <w:tc>
          <w:tcPr>
            <w:tcW w:w="2480" w:type="dxa"/>
            <w:vAlign w:val="bottom"/>
          </w:tcPr>
          <w:p>
            <w:pPr>
              <w:spacing w:after="0"/>
              <w:rPr>
                <w:sz w:val="24"/>
                <w:szCs w:val="24"/>
                <w:color w:val="auto"/>
              </w:rPr>
            </w:pPr>
          </w:p>
        </w:tc>
      </w:tr>
      <w:tr>
        <w:trPr>
          <w:trHeight w:val="445"/>
        </w:trPr>
        <w:tc>
          <w:tcPr>
            <w:tcW w:w="3560" w:type="dxa"/>
            <w:vAlign w:val="bottom"/>
          </w:tcPr>
          <w:p>
            <w:pPr>
              <w:jc w:val="center"/>
              <w:ind w:right="301"/>
              <w:spacing w:after="0"/>
              <w:rPr>
                <w:sz w:val="20"/>
                <w:szCs w:val="20"/>
                <w:color w:val="auto"/>
              </w:rPr>
            </w:pPr>
            <w:r>
              <w:rPr>
                <w:rFonts w:ascii="Arial" w:cs="Arial" w:eastAsia="Arial" w:hAnsi="Arial"/>
                <w:sz w:val="20"/>
                <w:szCs w:val="20"/>
                <w:color w:val="auto"/>
                <w:w w:val="89"/>
              </w:rPr>
              <w:t>Lender</w:t>
            </w:r>
          </w:p>
        </w:tc>
        <w:tc>
          <w:tcPr>
            <w:tcW w:w="3920" w:type="dxa"/>
            <w:vAlign w:val="bottom"/>
          </w:tcPr>
          <w:p>
            <w:pPr>
              <w:jc w:val="center"/>
              <w:ind w:right="321"/>
              <w:spacing w:after="0"/>
              <w:rPr>
                <w:sz w:val="20"/>
                <w:szCs w:val="20"/>
                <w:color w:val="auto"/>
              </w:rPr>
            </w:pPr>
            <w:r>
              <w:rPr>
                <w:rFonts w:ascii="Arial" w:cs="Arial" w:eastAsia="Arial" w:hAnsi="Arial"/>
                <w:sz w:val="20"/>
                <w:szCs w:val="20"/>
                <w:color w:val="auto"/>
                <w:w w:val="92"/>
              </w:rPr>
              <w:t>Swingline Commitment</w:t>
            </w:r>
          </w:p>
        </w:tc>
        <w:tc>
          <w:tcPr>
            <w:tcW w:w="2480" w:type="dxa"/>
            <w:vAlign w:val="bottom"/>
          </w:tcPr>
          <w:p>
            <w:pPr>
              <w:jc w:val="center"/>
              <w:ind w:left="601"/>
              <w:spacing w:after="0"/>
              <w:rPr>
                <w:sz w:val="20"/>
                <w:szCs w:val="20"/>
                <w:color w:val="auto"/>
              </w:rPr>
            </w:pPr>
            <w:r>
              <w:rPr>
                <w:rFonts w:ascii="Arial" w:cs="Arial" w:eastAsia="Arial" w:hAnsi="Arial"/>
                <w:sz w:val="20"/>
                <w:szCs w:val="20"/>
                <w:color w:val="auto"/>
                <w:w w:val="86"/>
              </w:rPr>
              <w:t>Exposure Percentage</w:t>
            </w:r>
          </w:p>
        </w:tc>
      </w:tr>
      <w:tr>
        <w:trPr>
          <w:trHeight w:val="554"/>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2"/>
              </w:rPr>
              <w:t>Silicon Valley Bank</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$10,000,000</w:t>
            </w:r>
          </w:p>
        </w:tc>
        <w:tc>
          <w:tcPr>
            <w:tcW w:w="2480" w:type="dxa"/>
            <w:vAlign w:val="bottom"/>
          </w:tcPr>
          <w:p>
            <w:pPr>
              <w:jc w:val="center"/>
              <w:ind w:left="621"/>
              <w:spacing w:after="0"/>
              <w:rPr>
                <w:sz w:val="20"/>
                <w:szCs w:val="20"/>
                <w:color w:val="auto"/>
              </w:rPr>
            </w:pPr>
            <w:r>
              <w:rPr>
                <w:rFonts w:ascii="Arial" w:cs="Arial" w:eastAsia="Arial" w:hAnsi="Arial"/>
                <w:sz w:val="20"/>
                <w:szCs w:val="20"/>
                <w:color w:val="auto"/>
                <w:w w:val="89"/>
              </w:rPr>
              <w:t>100.000000000%</w:t>
            </w:r>
          </w:p>
        </w:tc>
      </w:tr>
      <w:tr>
        <w:trPr>
          <w:trHeight w:val="283"/>
        </w:trPr>
        <w:tc>
          <w:tcPr>
            <w:tcW w:w="3560" w:type="dxa"/>
            <w:vAlign w:val="bottom"/>
          </w:tcPr>
          <w:p>
            <w:pPr>
              <w:jc w:val="center"/>
              <w:ind w:right="301"/>
              <w:spacing w:after="0"/>
              <w:rPr>
                <w:sz w:val="20"/>
                <w:szCs w:val="20"/>
                <w:color w:val="auto"/>
              </w:rPr>
            </w:pPr>
            <w:r>
              <w:rPr>
                <w:rFonts w:ascii="Arial" w:cs="Arial" w:eastAsia="Arial" w:hAnsi="Arial"/>
                <w:sz w:val="20"/>
                <w:szCs w:val="20"/>
                <w:color w:val="auto"/>
                <w:w w:val="89"/>
              </w:rPr>
              <w:t>Total</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$10,000,000</w:t>
            </w:r>
          </w:p>
        </w:tc>
        <w:tc>
          <w:tcPr>
            <w:tcW w:w="2480" w:type="dxa"/>
            <w:vAlign w:val="bottom"/>
          </w:tcPr>
          <w:p>
            <w:pPr>
              <w:jc w:val="center"/>
              <w:ind w:left="621"/>
              <w:spacing w:after="0"/>
              <w:rPr>
                <w:sz w:val="20"/>
                <w:szCs w:val="20"/>
                <w:color w:val="auto"/>
              </w:rPr>
            </w:pPr>
            <w:r>
              <w:rPr>
                <w:rFonts w:ascii="Arial" w:cs="Arial" w:eastAsia="Arial" w:hAnsi="Arial"/>
                <w:sz w:val="20"/>
                <w:szCs w:val="20"/>
                <w:color w:val="auto"/>
                <w:w w:val="89"/>
              </w:rPr>
              <w:t>100.000000000%</w:t>
            </w:r>
          </w:p>
        </w:tc>
      </w:tr>
    </w:tbl>
    <w:p>
      <w:pPr>
        <w:sectPr>
          <w:pgSz w:w="11900" w:h="16838" w:orient="portrait"/>
          <w:cols w:equalWidth="0" w:num="1">
            <w:col w:w="9960"/>
          </w:cols>
          <w:pgMar w:left="600" w:top="1413" w:right="1339" w:bottom="1440" w:gutter="0" w:footer="0" w:header="0"/>
        </w:sectPr>
      </w:pPr>
    </w:p>
    <w:bookmarkStart w:id="259" w:name="page260"/>
    <w:bookmarkEnd w:id="259"/>
    <w:p>
      <w:pPr>
        <w:ind w:left="9780"/>
        <w:spacing w:after="0"/>
        <w:rPr>
          <w:sz w:val="20"/>
          <w:szCs w:val="20"/>
          <w:color w:val="auto"/>
        </w:rPr>
      </w:pPr>
      <w:r>
        <w:rPr>
          <w:rFonts w:ascii="Arial" w:cs="Arial" w:eastAsia="Arial" w:hAnsi="Arial"/>
          <w:sz w:val="21"/>
          <w:szCs w:val="21"/>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40"/>
        <w:spacing w:after="0"/>
        <w:rPr>
          <w:sz w:val="20"/>
          <w:szCs w:val="20"/>
          <w:color w:val="auto"/>
        </w:rPr>
      </w:pPr>
      <w:r>
        <w:rPr>
          <w:rFonts w:ascii="Arial" w:cs="Arial" w:eastAsia="Arial" w:hAnsi="Arial"/>
          <w:sz w:val="22"/>
          <w:szCs w:val="22"/>
          <w:b w:val="1"/>
          <w:bCs w:val="1"/>
          <w:u w:val="single" w:color="auto"/>
          <w:color w:val="auto"/>
        </w:rPr>
        <w:t>SECOND AMENDMENT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22"/>
          <w:szCs w:val="22"/>
          <w:b w:val="1"/>
          <w:bCs w:val="1"/>
          <w:u w:val="single" w:color="auto"/>
          <w:color w:val="auto"/>
        </w:rPr>
        <w:t>AMENDED AND RESTATED CREDIT AGREEMENT</w:t>
      </w:r>
    </w:p>
    <w:p>
      <w:pPr>
        <w:spacing w:after="0" w:line="22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This Second Amendment to Amended and Restated Credit Agreement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dated and effective as of March 15, 2022 (the “</w:t>
      </w:r>
      <w:r>
        <w:rPr>
          <w:rFonts w:ascii="Arial" w:cs="Arial" w:eastAsia="Arial" w:hAnsi="Arial"/>
          <w:sz w:val="19"/>
          <w:szCs w:val="19"/>
          <w:b w:val="1"/>
          <w:bCs w:val="1"/>
          <w:i w:val="1"/>
          <w:iCs w:val="1"/>
          <w:color w:val="auto"/>
        </w:rPr>
        <w:t>Second Amendment Effective Date</w:t>
      </w:r>
      <w:r>
        <w:rPr>
          <w:rFonts w:ascii="Arial" w:cs="Arial" w:eastAsia="Arial" w:hAnsi="Arial"/>
          <w:sz w:val="19"/>
          <w:szCs w:val="19"/>
          <w:color w:val="auto"/>
        </w:rPr>
        <w:t xml:space="preserve">”) by and among </w:t>
      </w:r>
      <w:r>
        <w:rPr>
          <w:rFonts w:ascii="Arial" w:cs="Arial" w:eastAsia="Arial" w:hAnsi="Arial"/>
          <w:sz w:val="19"/>
          <w:szCs w:val="19"/>
          <w:b w:val="1"/>
          <w:bCs w:val="1"/>
          <w:color w:val="auto"/>
        </w:rPr>
        <w:t>NERDWALLET, INC.</w:t>
      </w:r>
      <w:r>
        <w:rPr>
          <w:rFonts w:ascii="Arial" w:cs="Arial" w:eastAsia="Arial" w:hAnsi="Arial"/>
          <w:sz w:val="19"/>
          <w:szCs w:val="19"/>
          <w:color w:val="auto"/>
        </w:rPr>
        <w:t>, a Delaware corporation (“</w:t>
      </w:r>
      <w:r>
        <w:rPr>
          <w:rFonts w:ascii="Arial" w:cs="Arial" w:eastAsia="Arial" w:hAnsi="Arial"/>
          <w:sz w:val="19"/>
          <w:szCs w:val="19"/>
          <w:b w:val="1"/>
          <w:bCs w:val="1"/>
          <w:i w:val="1"/>
          <w:iCs w:val="1"/>
          <w:color w:val="auto"/>
        </w:rPr>
        <w:t>NerdWallet</w:t>
      </w:r>
      <w:r>
        <w:rPr>
          <w:rFonts w:ascii="Arial" w:cs="Arial" w:eastAsia="Arial" w:hAnsi="Arial"/>
          <w:sz w:val="19"/>
          <w:szCs w:val="19"/>
          <w:color w:val="auto"/>
        </w:rPr>
        <w:t xml:space="preserve">”), </w:t>
      </w:r>
      <w:r>
        <w:rPr>
          <w:rFonts w:ascii="Arial" w:cs="Arial" w:eastAsia="Arial" w:hAnsi="Arial"/>
          <w:sz w:val="19"/>
          <w:szCs w:val="19"/>
          <w:b w:val="1"/>
          <w:bCs w:val="1"/>
          <w:color w:val="auto"/>
        </w:rPr>
        <w:t>NERDWALLET COMPARE, INC.</w:t>
      </w:r>
      <w:r>
        <w:rPr>
          <w:rFonts w:ascii="Arial" w:cs="Arial" w:eastAsia="Arial" w:hAnsi="Arial"/>
          <w:sz w:val="19"/>
          <w:szCs w:val="19"/>
          <w:color w:val="auto"/>
        </w:rPr>
        <w:t>, a Delaware corporation (“</w:t>
      </w:r>
      <w:r>
        <w:rPr>
          <w:rFonts w:ascii="Arial" w:cs="Arial" w:eastAsia="Arial" w:hAnsi="Arial"/>
          <w:sz w:val="19"/>
          <w:szCs w:val="19"/>
          <w:b w:val="1"/>
          <w:bCs w:val="1"/>
          <w:i w:val="1"/>
          <w:iCs w:val="1"/>
          <w:color w:val="auto"/>
        </w:rPr>
        <w:t>NW Compare</w:t>
      </w:r>
      <w:r>
        <w:rPr>
          <w:rFonts w:ascii="Arial" w:cs="Arial" w:eastAsia="Arial" w:hAnsi="Arial"/>
          <w:sz w:val="19"/>
          <w:szCs w:val="19"/>
          <w:color w:val="auto"/>
        </w:rPr>
        <w:t>” and together with NerdWallet, individually and collectively as the context requires, jointly and severally, the “</w:t>
      </w:r>
      <w:r>
        <w:rPr>
          <w:rFonts w:ascii="Arial" w:cs="Arial" w:eastAsia="Arial" w:hAnsi="Arial"/>
          <w:sz w:val="19"/>
          <w:szCs w:val="19"/>
          <w:b w:val="1"/>
          <w:bCs w:val="1"/>
          <w:i w:val="1"/>
          <w:iCs w:val="1"/>
          <w:color w:val="auto"/>
        </w:rPr>
        <w:t>Borrower</w:t>
      </w:r>
      <w:r>
        <w:rPr>
          <w:rFonts w:ascii="Arial" w:cs="Arial" w:eastAsia="Arial" w:hAnsi="Arial"/>
          <w:sz w:val="19"/>
          <w:szCs w:val="19"/>
          <w:color w:val="auto"/>
        </w:rPr>
        <w:t>”), the several banks and other financial institutions or entities party hereto (the “</w:t>
      </w:r>
      <w:r>
        <w:rPr>
          <w:rFonts w:ascii="Arial" w:cs="Arial" w:eastAsia="Arial" w:hAnsi="Arial"/>
          <w:sz w:val="19"/>
          <w:szCs w:val="19"/>
          <w:b w:val="1"/>
          <w:bCs w:val="1"/>
          <w:i w:val="1"/>
          <w:iCs w:val="1"/>
          <w:color w:val="auto"/>
        </w:rPr>
        <w:t>Lenders</w:t>
      </w:r>
      <w:r>
        <w:rPr>
          <w:rFonts w:ascii="Arial" w:cs="Arial" w:eastAsia="Arial" w:hAnsi="Arial"/>
          <w:sz w:val="19"/>
          <w:szCs w:val="19"/>
          <w:color w:val="auto"/>
        </w:rPr>
        <w:t xml:space="preserve">”) and </w:t>
      </w:r>
      <w:r>
        <w:rPr>
          <w:rFonts w:ascii="Arial" w:cs="Arial" w:eastAsia="Arial" w:hAnsi="Arial"/>
          <w:sz w:val="19"/>
          <w:szCs w:val="19"/>
          <w:b w:val="1"/>
          <w:bCs w:val="1"/>
          <w:color w:val="auto"/>
        </w:rPr>
        <w:t>SILICON VALLEY BANK</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SVB</w:t>
      </w:r>
      <w:r>
        <w:rPr>
          <w:rFonts w:ascii="Arial" w:cs="Arial" w:eastAsia="Arial" w:hAnsi="Arial"/>
          <w:sz w:val="19"/>
          <w:szCs w:val="19"/>
          <w:color w:val="auto"/>
        </w:rPr>
        <w:t>”), as the Administrative Agent (SVB, in such capacity, the “</w:t>
      </w:r>
      <w:r>
        <w:rPr>
          <w:rFonts w:ascii="Arial" w:cs="Arial" w:eastAsia="Arial" w:hAnsi="Arial"/>
          <w:sz w:val="19"/>
          <w:szCs w:val="19"/>
          <w:b w:val="1"/>
          <w:bCs w:val="1"/>
          <w:i w:val="1"/>
          <w:iCs w:val="1"/>
          <w:color w:val="auto"/>
        </w:rPr>
        <w:t>Administrative Agent</w:t>
      </w:r>
      <w:r>
        <w:rPr>
          <w:rFonts w:ascii="Arial" w:cs="Arial" w:eastAsia="Arial" w:hAnsi="Arial"/>
          <w:sz w:val="19"/>
          <w:szCs w:val="19"/>
          <w:color w:val="auto"/>
        </w:rPr>
        <w:t>”), and as the Issuing Lender and the Swingline Lender.</w:t>
      </w:r>
    </w:p>
    <w:p>
      <w:pPr>
        <w:spacing w:after="0" w:line="176"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W I T N E S S E T H:</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Borrower, the Administrative Agent, the Issuing Lender and the Swingline Lender are parties to that certain Amended and Restated Credit Agreement dated as of February 19, 2021 as amended by First Amendment to Amended and Restated Credit Agreement dated as of May 19, 2021 (as further amended, modified, supplemented or restated and in effect from time to time, the “</w:t>
      </w:r>
      <w:r>
        <w:rPr>
          <w:rFonts w:ascii="Arial" w:cs="Arial" w:eastAsia="Arial" w:hAnsi="Arial"/>
          <w:sz w:val="22"/>
          <w:szCs w:val="22"/>
          <w:b w:val="1"/>
          <w:bCs w:val="1"/>
          <w:i w:val="1"/>
          <w:iCs w:val="1"/>
          <w:color w:val="auto"/>
        </w:rPr>
        <w:t>Credit Agreement</w:t>
      </w:r>
      <w:r>
        <w:rPr>
          <w:rFonts w:ascii="Arial" w:cs="Arial" w:eastAsia="Arial" w:hAnsi="Arial"/>
          <w:sz w:val="22"/>
          <w:szCs w:val="22"/>
          <w:color w:val="auto"/>
        </w:rPr>
        <w:t>”); and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Borrower has requested that the Lenders and the Administrative Agent agree to modify and amend certain terms and conditions of the Credit Agreement, subject to the terms and conditions contained herein.</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is hereby acknowledged, the parties hereto agree as follows:</w:t>
      </w:r>
    </w:p>
    <w:p>
      <w:pPr>
        <w:spacing w:after="0" w:line="202" w:lineRule="exact"/>
        <w:rPr>
          <w:sz w:val="20"/>
          <w:szCs w:val="20"/>
          <w:color w:val="auto"/>
        </w:rPr>
      </w:pPr>
    </w:p>
    <w:p>
      <w:pPr>
        <w:ind w:left="1300" w:hanging="644"/>
        <w:spacing w:after="0" w:line="263" w:lineRule="auto"/>
        <w:tabs>
          <w:tab w:leader="none" w:pos="1300"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Capitalized Terms</w:t>
      </w:r>
      <w:r>
        <w:rPr>
          <w:rFonts w:ascii="Arial" w:cs="Arial" w:eastAsia="Arial" w:hAnsi="Arial"/>
          <w:sz w:val="22"/>
          <w:szCs w:val="22"/>
          <w:color w:val="auto"/>
        </w:rPr>
        <w:t>. All capitalized terms used herein and not otherwise defined shall have the same meaning herein as in the Credit Agreement or in the other Loan Documents, as applicable.</w:t>
      </w:r>
    </w:p>
    <w:p>
      <w:pPr>
        <w:spacing w:after="0" w:line="201" w:lineRule="exact"/>
        <w:rPr>
          <w:rFonts w:ascii="Arial" w:cs="Arial" w:eastAsia="Arial" w:hAnsi="Arial"/>
          <w:sz w:val="22"/>
          <w:szCs w:val="22"/>
          <w:color w:val="auto"/>
        </w:rPr>
      </w:pPr>
    </w:p>
    <w:p>
      <w:pPr>
        <w:ind w:left="1300" w:hanging="644"/>
        <w:spacing w:after="0"/>
        <w:tabs>
          <w:tab w:leader="none" w:pos="1300"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Amendments to the Credit Agreement</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960" w:hanging="656"/>
        <w:spacing w:after="0" w:line="343" w:lineRule="auto"/>
        <w:tabs>
          <w:tab w:leader="none" w:pos="1957" w:val="left"/>
        </w:tabs>
        <w:numPr>
          <w:ilvl w:val="1"/>
          <w:numId w:val="238"/>
        </w:numPr>
        <w:rPr>
          <w:rFonts w:ascii="Arial" w:cs="Arial" w:eastAsia="Arial" w:hAnsi="Arial"/>
          <w:sz w:val="19"/>
          <w:szCs w:val="19"/>
          <w:color w:val="auto"/>
        </w:rPr>
      </w:pPr>
      <w:r>
        <w:rPr>
          <w:rFonts w:ascii="Arial" w:cs="Arial" w:eastAsia="Arial" w:hAnsi="Arial"/>
          <w:sz w:val="19"/>
          <w:szCs w:val="19"/>
          <w:color w:val="auto"/>
        </w:rPr>
        <w:t>The definition of “Immaterial Subsidiary” in Section 1.1 of the Credit Agreement is hereby amended by deleting “</w:t>
      </w:r>
      <w:r>
        <w:rPr>
          <w:rFonts w:ascii="Arial" w:cs="Arial" w:eastAsia="Arial" w:hAnsi="Arial"/>
          <w:sz w:val="19"/>
          <w:szCs w:val="19"/>
          <w:u w:val="single" w:color="auto"/>
          <w:color w:val="auto"/>
        </w:rPr>
        <w:t>Section 6.1(b)</w:t>
      </w:r>
      <w:r>
        <w:rPr>
          <w:rFonts w:ascii="Arial" w:cs="Arial" w:eastAsia="Arial" w:hAnsi="Arial"/>
          <w:sz w:val="19"/>
          <w:szCs w:val="19"/>
          <w:color w:val="auto"/>
        </w:rPr>
        <w:t>” each time that it appears therein and inserting “</w:t>
      </w:r>
      <w:r>
        <w:rPr>
          <w:rFonts w:ascii="Arial" w:cs="Arial" w:eastAsia="Arial" w:hAnsi="Arial"/>
          <w:sz w:val="19"/>
          <w:szCs w:val="19"/>
          <w:u w:val="single" w:color="auto"/>
          <w:color w:val="auto"/>
        </w:rPr>
        <w:t>Section 6.1(c)</w:t>
      </w:r>
      <w:r>
        <w:rPr>
          <w:rFonts w:ascii="Arial" w:cs="Arial" w:eastAsia="Arial" w:hAnsi="Arial"/>
          <w:sz w:val="19"/>
          <w:szCs w:val="19"/>
          <w:color w:val="auto"/>
        </w:rPr>
        <w:t>” in lieu thereof.</w:t>
      </w:r>
    </w:p>
    <w:p>
      <w:pPr>
        <w:sectPr>
          <w:pgSz w:w="11900" w:h="16838" w:orient="portrait"/>
          <w:cols w:equalWidth="0" w:num="1">
            <w:col w:w="11240"/>
          </w:cols>
          <w:pgMar w:left="320" w:top="126"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4" w:hanging="656"/>
        <w:spacing w:after="0" w:line="263" w:lineRule="auto"/>
        <w:tabs>
          <w:tab w:leader="none" w:pos="1299" w:val="left"/>
        </w:tabs>
        <w:numPr>
          <w:ilvl w:val="1"/>
          <w:numId w:val="239"/>
        </w:numPr>
        <w:rPr>
          <w:rFonts w:ascii="Arial" w:cs="Arial" w:eastAsia="Arial" w:hAnsi="Arial"/>
          <w:sz w:val="22"/>
          <w:szCs w:val="22"/>
          <w:color w:val="auto"/>
        </w:rPr>
      </w:pPr>
      <w:r>
        <w:rPr>
          <w:rFonts w:ascii="Arial" w:cs="Arial" w:eastAsia="Arial" w:hAnsi="Arial"/>
          <w:sz w:val="22"/>
          <w:szCs w:val="22"/>
          <w:color w:val="auto"/>
        </w:rPr>
        <w:t>Section 6.1(c) of the Credit Agreement is hereby amended by deleting the first sentence thereof and substituting the following sentence in lieu thereof:</w:t>
      </w:r>
    </w:p>
    <w:p>
      <w:pPr>
        <w:spacing w:after="0" w:line="201" w:lineRule="exact"/>
        <w:rPr>
          <w:rFonts w:ascii="Arial" w:cs="Arial" w:eastAsia="Arial" w:hAnsi="Arial"/>
          <w:sz w:val="22"/>
          <w:szCs w:val="22"/>
          <w:color w:val="auto"/>
        </w:rPr>
      </w:pPr>
    </w:p>
    <w:p>
      <w:pPr>
        <w:jc w:val="both"/>
        <w:ind w:left="1304"/>
        <w:spacing w:after="0" w:line="292" w:lineRule="auto"/>
        <w:rPr>
          <w:rFonts w:ascii="Arial" w:cs="Arial" w:eastAsia="Arial" w:hAnsi="Arial"/>
          <w:sz w:val="22"/>
          <w:szCs w:val="22"/>
          <w:color w:val="auto"/>
        </w:rPr>
      </w:pPr>
      <w:r>
        <w:rPr>
          <w:rFonts w:ascii="Arial" w:cs="Arial" w:eastAsia="Arial" w:hAnsi="Arial"/>
          <w:sz w:val="19"/>
          <w:szCs w:val="19"/>
          <w:color w:val="auto"/>
        </w:rPr>
        <w:t>“(c) from and after a Qualified IPO of NerdWallet’s common stock, as soon as available, but in any event within 45 days after the end of each of the first three fiscal quarters of each fiscal year of NerdWallet, the unaudited consolidated and consolidating balance sheet of NerdWallet and its consolidated Subsidiaries as at the end of such fiscal quarter and the related unaudited consolidated and consolidating statements of income and of cash flows for such fiscal quarter and the portion of the fiscal year through the end of such quarter, setting forth in each case in comparative form the figures for the previous year, certified by a Responsible Officer as being fairly stated in all material respects.”</w:t>
      </w:r>
    </w:p>
    <w:p>
      <w:pPr>
        <w:spacing w:after="0" w:line="177" w:lineRule="exact"/>
        <w:rPr>
          <w:rFonts w:ascii="Arial" w:cs="Arial" w:eastAsia="Arial" w:hAnsi="Arial"/>
          <w:sz w:val="22"/>
          <w:szCs w:val="22"/>
          <w:color w:val="auto"/>
        </w:rPr>
      </w:pPr>
    </w:p>
    <w:p>
      <w:pPr>
        <w:ind w:left="1304" w:right="320" w:hanging="656"/>
        <w:spacing w:after="0" w:line="461" w:lineRule="auto"/>
        <w:tabs>
          <w:tab w:leader="none" w:pos="1301" w:val="left"/>
        </w:tabs>
        <w:numPr>
          <w:ilvl w:val="1"/>
          <w:numId w:val="239"/>
        </w:numPr>
        <w:rPr>
          <w:rFonts w:ascii="Arial" w:cs="Arial" w:eastAsia="Arial" w:hAnsi="Arial"/>
          <w:sz w:val="22"/>
          <w:szCs w:val="22"/>
          <w:color w:val="auto"/>
        </w:rPr>
      </w:pPr>
      <w:r>
        <w:rPr>
          <w:rFonts w:ascii="Arial" w:cs="Arial" w:eastAsia="Arial" w:hAnsi="Arial"/>
          <w:sz w:val="22"/>
          <w:szCs w:val="22"/>
          <w:color w:val="auto"/>
        </w:rPr>
        <w:t>Section 6.2(a) of the Credit Agreement is hereby amended and restated in its entirety to read as follows: “(a) [reserved].”</w:t>
      </w:r>
    </w:p>
    <w:p>
      <w:pPr>
        <w:ind w:left="644" w:hanging="644"/>
        <w:spacing w:after="0" w:line="263" w:lineRule="auto"/>
        <w:tabs>
          <w:tab w:leader="none" w:pos="644"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Conditions Precedent to Effectiveness</w:t>
      </w:r>
      <w:r>
        <w:rPr>
          <w:rFonts w:ascii="Arial" w:cs="Arial" w:eastAsia="Arial" w:hAnsi="Arial"/>
          <w:sz w:val="22"/>
          <w:szCs w:val="22"/>
          <w:color w:val="auto"/>
        </w:rPr>
        <w:t>. This Amendment shall not be effective until each of the following conditions precedent have been fulfilled to the satisfaction of the Administrative Agent:</w:t>
      </w:r>
    </w:p>
    <w:p>
      <w:pPr>
        <w:spacing w:after="0" w:line="201" w:lineRule="exact"/>
        <w:rPr>
          <w:rFonts w:ascii="Arial" w:cs="Arial" w:eastAsia="Arial" w:hAnsi="Arial"/>
          <w:sz w:val="22"/>
          <w:szCs w:val="22"/>
          <w:color w:val="auto"/>
        </w:rPr>
      </w:pPr>
    </w:p>
    <w:p>
      <w:pPr>
        <w:ind w:left="1304" w:hanging="656"/>
        <w:spacing w:after="0" w:line="263" w:lineRule="auto"/>
        <w:tabs>
          <w:tab w:leader="none" w:pos="1301" w:val="left"/>
        </w:tabs>
        <w:numPr>
          <w:ilvl w:val="1"/>
          <w:numId w:val="240"/>
        </w:numPr>
        <w:rPr>
          <w:rFonts w:ascii="Arial" w:cs="Arial" w:eastAsia="Arial" w:hAnsi="Arial"/>
          <w:sz w:val="22"/>
          <w:szCs w:val="22"/>
          <w:color w:val="auto"/>
        </w:rPr>
      </w:pPr>
      <w:r>
        <w:rPr>
          <w:rFonts w:ascii="Arial" w:cs="Arial" w:eastAsia="Arial" w:hAnsi="Arial"/>
          <w:sz w:val="22"/>
          <w:szCs w:val="22"/>
          <w:color w:val="auto"/>
        </w:rPr>
        <w:t>This Amendment shall have been duly executed and delivered by the respective parties hereto. The Administrative Agent shall have received a fully executed copy of this Amendment.</w:t>
      </w:r>
    </w:p>
    <w:p>
      <w:pPr>
        <w:spacing w:after="0" w:line="201" w:lineRule="exact"/>
        <w:rPr>
          <w:rFonts w:ascii="Arial" w:cs="Arial" w:eastAsia="Arial" w:hAnsi="Arial"/>
          <w:sz w:val="22"/>
          <w:szCs w:val="22"/>
          <w:color w:val="auto"/>
        </w:rPr>
      </w:pPr>
    </w:p>
    <w:p>
      <w:pPr>
        <w:ind w:left="1284" w:hanging="636"/>
        <w:spacing w:after="0"/>
        <w:tabs>
          <w:tab w:leader="none" w:pos="1284" w:val="left"/>
        </w:tabs>
        <w:numPr>
          <w:ilvl w:val="1"/>
          <w:numId w:val="240"/>
        </w:numPr>
        <w:rPr>
          <w:rFonts w:ascii="Arial" w:cs="Arial" w:eastAsia="Arial" w:hAnsi="Arial"/>
          <w:sz w:val="22"/>
          <w:szCs w:val="22"/>
          <w:color w:val="auto"/>
        </w:rPr>
      </w:pPr>
      <w:r>
        <w:rPr>
          <w:rFonts w:ascii="Arial" w:cs="Arial" w:eastAsia="Arial" w:hAnsi="Arial"/>
          <w:sz w:val="22"/>
          <w:szCs w:val="22"/>
          <w:color w:val="auto"/>
        </w:rPr>
        <w:t>All necessary consents and approvals to this Amendment shall have been obtained.</w:t>
      </w:r>
    </w:p>
    <w:p>
      <w:pPr>
        <w:spacing w:after="0" w:line="246" w:lineRule="exact"/>
        <w:rPr>
          <w:rFonts w:ascii="Arial" w:cs="Arial" w:eastAsia="Arial" w:hAnsi="Arial"/>
          <w:sz w:val="22"/>
          <w:szCs w:val="22"/>
          <w:color w:val="auto"/>
        </w:rPr>
      </w:pPr>
    </w:p>
    <w:p>
      <w:pPr>
        <w:ind w:left="1304" w:hanging="656"/>
        <w:spacing w:after="0" w:line="263" w:lineRule="auto"/>
        <w:tabs>
          <w:tab w:leader="none" w:pos="1301" w:val="left"/>
        </w:tabs>
        <w:numPr>
          <w:ilvl w:val="1"/>
          <w:numId w:val="240"/>
        </w:numPr>
        <w:rPr>
          <w:rFonts w:ascii="Arial" w:cs="Arial" w:eastAsia="Arial" w:hAnsi="Arial"/>
          <w:sz w:val="22"/>
          <w:szCs w:val="22"/>
          <w:color w:val="auto"/>
        </w:rPr>
      </w:pPr>
      <w:r>
        <w:rPr>
          <w:rFonts w:ascii="Arial" w:cs="Arial" w:eastAsia="Arial" w:hAnsi="Arial"/>
          <w:sz w:val="22"/>
          <w:szCs w:val="22"/>
          <w:color w:val="auto"/>
        </w:rPr>
        <w:t>Immediately, after giving effect to this Amendment, no Default or Event of Default shall have occurred and be continuing.</w:t>
      </w:r>
    </w:p>
    <w:p>
      <w:pPr>
        <w:spacing w:after="0" w:line="201" w:lineRule="exact"/>
        <w:rPr>
          <w:rFonts w:ascii="Arial" w:cs="Arial" w:eastAsia="Arial" w:hAnsi="Arial"/>
          <w:sz w:val="22"/>
          <w:szCs w:val="22"/>
          <w:color w:val="auto"/>
        </w:rPr>
      </w:pPr>
    </w:p>
    <w:p>
      <w:pPr>
        <w:jc w:val="both"/>
        <w:ind w:left="1304" w:hanging="656"/>
        <w:spacing w:after="0" w:line="292" w:lineRule="auto"/>
        <w:tabs>
          <w:tab w:leader="none" w:pos="1299" w:val="left"/>
        </w:tabs>
        <w:numPr>
          <w:ilvl w:val="1"/>
          <w:numId w:val="240"/>
        </w:numPr>
        <w:rPr>
          <w:rFonts w:ascii="Arial" w:cs="Arial" w:eastAsia="Arial" w:hAnsi="Arial"/>
          <w:sz w:val="19"/>
          <w:szCs w:val="19"/>
          <w:color w:val="auto"/>
        </w:rPr>
      </w:pPr>
      <w:r>
        <w:rPr>
          <w:rFonts w:ascii="Arial" w:cs="Arial" w:eastAsia="Arial" w:hAnsi="Arial"/>
          <w:sz w:val="19"/>
          <w:szCs w:val="19"/>
          <w:color w:val="auto"/>
        </w:rPr>
        <w:t>Immediately after giving effect to this Amendment, the representations and warranties set forth in this Amendment, the Credit Agreement, as amended by this Amendment, and after giving effect hereto, and the other Loan Documents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ectPr>
          <w:pgSz w:w="11900" w:h="16838" w:orient="portrait"/>
          <w:cols w:equalWidth="0" w:num="1">
            <w:col w:w="10584"/>
          </w:cols>
          <w:pgMar w:left="976" w:top="126" w:right="339" w:bottom="1440" w:gutter="0" w:footer="0" w:header="0"/>
        </w:sectPr>
      </w:pPr>
    </w:p>
    <w:bookmarkStart w:id="261" w:name="page262"/>
    <w:bookmarkEnd w:id="261"/>
    <w:p>
      <w:pPr>
        <w:ind w:left="9124"/>
        <w:spacing w:after="0"/>
        <w:rPr>
          <w:sz w:val="20"/>
          <w:szCs w:val="20"/>
          <w:color w:val="auto"/>
        </w:rPr>
      </w:pPr>
      <w:r>
        <w:rPr>
          <w:rFonts w:ascii="Arial" w:cs="Arial" w:eastAsia="Arial" w:hAnsi="Arial"/>
          <w:sz w:val="21"/>
          <w:szCs w:val="21"/>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304" w:hanging="656"/>
        <w:spacing w:after="0" w:line="250" w:lineRule="auto"/>
        <w:tabs>
          <w:tab w:leader="none" w:pos="1301" w:val="left"/>
        </w:tabs>
        <w:numPr>
          <w:ilvl w:val="1"/>
          <w:numId w:val="241"/>
        </w:numPr>
        <w:rPr>
          <w:rFonts w:ascii="Arial" w:cs="Arial" w:eastAsia="Arial" w:hAnsi="Arial"/>
          <w:sz w:val="22"/>
          <w:szCs w:val="22"/>
          <w:color w:val="auto"/>
        </w:rPr>
      </w:pPr>
      <w:r>
        <w:rPr>
          <w:rFonts w:ascii="Arial" w:cs="Arial" w:eastAsia="Arial" w:hAnsi="Arial"/>
          <w:sz w:val="22"/>
          <w:szCs w:val="22"/>
          <w:color w:val="auto"/>
        </w:rPr>
        <w:t>The Lenders and the Administrative Agent shall have received all fees required to be paid, and all expenses for which invoices have been presented (including the reasonable fees and expenses of legal counsel required to be paid hereunder or under any other Loan Document), on or before the Second Amendment Effective Date.</w:t>
      </w:r>
    </w:p>
    <w:p>
      <w:pPr>
        <w:spacing w:after="0" w:line="214" w:lineRule="exact"/>
        <w:rPr>
          <w:rFonts w:ascii="Arial" w:cs="Arial" w:eastAsia="Arial" w:hAnsi="Arial"/>
          <w:sz w:val="22"/>
          <w:szCs w:val="22"/>
          <w:color w:val="auto"/>
        </w:rPr>
      </w:pPr>
    </w:p>
    <w:p>
      <w:pPr>
        <w:ind w:left="644" w:right="80" w:hanging="644"/>
        <w:spacing w:after="0" w:line="263" w:lineRule="auto"/>
        <w:tabs>
          <w:tab w:leader="none" w:pos="644"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Loan Party hereby represents and warrants to the Administrative Agent and the Lenders as follows:</w:t>
      </w:r>
    </w:p>
    <w:p>
      <w:pPr>
        <w:spacing w:after="0" w:line="201" w:lineRule="exact"/>
        <w:rPr>
          <w:rFonts w:ascii="Arial" w:cs="Arial" w:eastAsia="Arial" w:hAnsi="Arial"/>
          <w:sz w:val="22"/>
          <w:szCs w:val="22"/>
          <w:color w:val="auto"/>
        </w:rPr>
      </w:pPr>
    </w:p>
    <w:p>
      <w:pPr>
        <w:jc w:val="both"/>
        <w:ind w:left="1304" w:hanging="656"/>
        <w:spacing w:after="0" w:line="297" w:lineRule="auto"/>
        <w:tabs>
          <w:tab w:leader="none" w:pos="1301" w:val="left"/>
        </w:tabs>
        <w:numPr>
          <w:ilvl w:val="1"/>
          <w:numId w:val="242"/>
        </w:numPr>
        <w:rPr>
          <w:rFonts w:ascii="Arial" w:cs="Arial" w:eastAsia="Arial" w:hAnsi="Arial"/>
          <w:sz w:val="19"/>
          <w:szCs w:val="19"/>
          <w:color w:val="auto"/>
        </w:rPr>
      </w:pPr>
      <w:r>
        <w:rPr>
          <w:rFonts w:ascii="Arial" w:cs="Arial" w:eastAsia="Arial" w:hAnsi="Arial"/>
          <w:sz w:val="19"/>
          <w:szCs w:val="19"/>
          <w:color w:val="auto"/>
        </w:rPr>
        <w:t>This Amendment is, and each other Loan Document to which it is or will be a party, when executed and delivered by each Loan Party that is a party thereto, will be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73" w:lineRule="exact"/>
        <w:rPr>
          <w:rFonts w:ascii="Arial" w:cs="Arial" w:eastAsia="Arial" w:hAnsi="Arial"/>
          <w:sz w:val="19"/>
          <w:szCs w:val="19"/>
          <w:color w:val="auto"/>
        </w:rPr>
      </w:pPr>
    </w:p>
    <w:p>
      <w:pPr>
        <w:jc w:val="both"/>
        <w:ind w:left="1304" w:hanging="656"/>
        <w:spacing w:after="0" w:line="292" w:lineRule="auto"/>
        <w:tabs>
          <w:tab w:leader="none" w:pos="1299" w:val="left"/>
        </w:tabs>
        <w:numPr>
          <w:ilvl w:val="1"/>
          <w:numId w:val="242"/>
        </w:numPr>
        <w:rPr>
          <w:rFonts w:ascii="Arial" w:cs="Arial" w:eastAsia="Arial" w:hAnsi="Arial"/>
          <w:sz w:val="19"/>
          <w:szCs w:val="19"/>
          <w:color w:val="auto"/>
        </w:rPr>
      </w:pPr>
      <w:r>
        <w:rPr>
          <w:rFonts w:ascii="Arial" w:cs="Arial" w:eastAsia="Arial" w:hAnsi="Arial"/>
          <w:sz w:val="19"/>
          <w:szCs w:val="19"/>
          <w:color w:val="auto"/>
        </w:rPr>
        <w:t>Immediately after giving effect to this Amendment, the representations and warranties set forth in this Amendment, the Credit Agreement, as amended by this Amendment and after giving effect hereto, and the other Loan Documents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77" w:lineRule="exact"/>
        <w:rPr>
          <w:rFonts w:ascii="Arial" w:cs="Arial" w:eastAsia="Arial" w:hAnsi="Arial"/>
          <w:sz w:val="19"/>
          <w:szCs w:val="19"/>
          <w:color w:val="auto"/>
        </w:rPr>
      </w:pPr>
    </w:p>
    <w:p>
      <w:pPr>
        <w:jc w:val="both"/>
        <w:ind w:left="644" w:hanging="644"/>
        <w:spacing w:after="0" w:line="294" w:lineRule="auto"/>
        <w:tabs>
          <w:tab w:leader="none" w:pos="644"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Payment of Costs and Fees</w:t>
      </w:r>
      <w:r>
        <w:rPr>
          <w:rFonts w:ascii="Arial" w:cs="Arial" w:eastAsia="Arial" w:hAnsi="Arial"/>
          <w:sz w:val="19"/>
          <w:szCs w:val="19"/>
          <w:color w:val="auto"/>
        </w:rPr>
        <w:t>. The Borrower shall pay to the Administrative Agent all reasonable costs, out-of-pocket expenses, and fees and charges of every kind in connection with the preparation, negotiation, execution and delivery of this Amendment and any documents and instruments relating hereto (which costs include, without limitation, the reasonable fees and expenses of any attorneys retained by the Administrative Agent) to the extent provided in Section 10.5 of the Credit Agreement. All such fees and expenses payable hereunder will be paid in immediately available funds and shall not be subject to reduction by way of setoff or counterclaim.</w:t>
      </w:r>
    </w:p>
    <w:p>
      <w:pPr>
        <w:spacing w:after="0" w:line="176"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242"/>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Amendment and the rights of the parties hereunder, shall be determined under, governed by, and construed in accordance with the laws of the New York. Section 10.14 of the Credit Agreement is hereby incorporated by reference.</w:t>
      </w:r>
    </w:p>
    <w:p>
      <w:pPr>
        <w:sectPr>
          <w:pgSz w:w="11900" w:h="16838" w:orient="portrait"/>
          <w:cols w:equalWidth="0" w:num="1">
            <w:col w:w="10584"/>
          </w:cols>
          <w:pgMar w:left="976" w:top="126" w:right="339" w:bottom="1440" w:gutter="0" w:footer="0" w:header="0"/>
        </w:sectPr>
      </w:pPr>
    </w:p>
    <w:bookmarkStart w:id="262" w:name="page263"/>
    <w:bookmarkEnd w:id="262"/>
    <w:p>
      <w:pPr>
        <w:ind w:left="9124"/>
        <w:spacing w:after="0"/>
        <w:rPr>
          <w:sz w:val="20"/>
          <w:szCs w:val="20"/>
          <w:color w:val="auto"/>
        </w:rPr>
      </w:pPr>
      <w:r>
        <w:rPr>
          <w:rFonts w:ascii="Arial" w:cs="Arial" w:eastAsia="Arial" w:hAnsi="Arial"/>
          <w:sz w:val="21"/>
          <w:szCs w:val="21"/>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44" w:hanging="644"/>
        <w:spacing w:after="0" w:line="248" w:lineRule="auto"/>
        <w:tabs>
          <w:tab w:leader="none" w:pos="644"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Counterpart Execution</w:t>
      </w:r>
      <w:r>
        <w:rPr>
          <w:rFonts w:ascii="Arial" w:cs="Arial" w:eastAsia="Arial" w:hAnsi="Arial"/>
          <w:sz w:val="22"/>
          <w:szCs w:val="22"/>
          <w:color w:val="auto"/>
        </w:rPr>
        <w:t>. This Amendment may be executed in any number of counterparts, all of which when taken together shall constitute one and the same instrument, and any of the parties hereto may execute this Amendment by signing any such counterpart. Delivery of an executed counterpart of this Amendment by telefacsimile or other electronic method of transmission shall be equally as effective as delivery of an original executed counterpart of this Amendment.</w:t>
      </w:r>
    </w:p>
    <w:p>
      <w:pPr>
        <w:spacing w:after="0" w:line="218" w:lineRule="exact"/>
        <w:rPr>
          <w:rFonts w:ascii="Arial" w:cs="Arial" w:eastAsia="Arial" w:hAnsi="Arial"/>
          <w:sz w:val="22"/>
          <w:szCs w:val="22"/>
          <w:color w:val="auto"/>
        </w:rPr>
      </w:pPr>
    </w:p>
    <w:p>
      <w:pPr>
        <w:ind w:left="644" w:hanging="644"/>
        <w:spacing w:after="0"/>
        <w:tabs>
          <w:tab w:leader="none" w:pos="644" w:val="left"/>
        </w:tabs>
        <w:numPr>
          <w:ilvl w:val="0"/>
          <w:numId w:val="243"/>
        </w:numPr>
        <w:rPr>
          <w:rFonts w:ascii="Arial" w:cs="Arial" w:eastAsia="Arial" w:hAnsi="Arial"/>
          <w:sz w:val="22"/>
          <w:szCs w:val="22"/>
          <w:color w:val="auto"/>
        </w:rPr>
      </w:pPr>
      <w:r>
        <w:rPr>
          <w:rFonts w:ascii="Arial" w:cs="Arial" w:eastAsia="Arial" w:hAnsi="Arial"/>
          <w:sz w:val="22"/>
          <w:szCs w:val="22"/>
          <w:u w:val="single" w:color="auto"/>
          <w:color w:val="auto"/>
        </w:rPr>
        <w:t>Effect on Loan Documents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304" w:hanging="656"/>
        <w:spacing w:after="0" w:line="287" w:lineRule="auto"/>
        <w:tabs>
          <w:tab w:leader="none" w:pos="1301" w:val="left"/>
        </w:tabs>
        <w:numPr>
          <w:ilvl w:val="1"/>
          <w:numId w:val="243"/>
        </w:numPr>
        <w:rPr>
          <w:rFonts w:ascii="Arial" w:cs="Arial" w:eastAsia="Arial" w:hAnsi="Arial"/>
          <w:sz w:val="19"/>
          <w:szCs w:val="19"/>
          <w:color w:val="auto"/>
        </w:rPr>
      </w:pPr>
      <w:r>
        <w:rPr>
          <w:rFonts w:ascii="Arial" w:cs="Arial" w:eastAsia="Arial" w:hAnsi="Arial"/>
          <w:sz w:val="19"/>
          <w:szCs w:val="19"/>
          <w:color w:val="auto"/>
        </w:rPr>
        <w:t>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as a modification or waiver of any right, power, or remedy of the Administrative Agent or any Lender under the Credit Agreement or any other Loan Document except as expressly set forth herein. The modifications and other agreements herein are limited to the specifics hereof (including facts or occurrences on which the same are based), shall not apply with respect to any facts or occurrences other than those on which the same are based, shall not excuse any non-compliance with the Loan Documents, and shall not operate as a consent or waiver to any matter under the Loan Documents. Except for the amendments to the Credit Agreement expressly set forth herein, the Credit Agreement and other Loan Documents shall remain unchanged and in full force and effect. To the extent any terms or provisions of this Amendment conflict with those of the Credit Agreement or other Loan Documents, the terms and provisions of this Amendment shall control.</w:t>
      </w:r>
    </w:p>
    <w:p>
      <w:pPr>
        <w:spacing w:after="0" w:line="185" w:lineRule="exact"/>
        <w:rPr>
          <w:rFonts w:ascii="Arial" w:cs="Arial" w:eastAsia="Arial" w:hAnsi="Arial"/>
          <w:sz w:val="19"/>
          <w:szCs w:val="19"/>
          <w:color w:val="auto"/>
        </w:rPr>
      </w:pPr>
    </w:p>
    <w:p>
      <w:pPr>
        <w:jc w:val="both"/>
        <w:ind w:left="1304" w:hanging="656"/>
        <w:spacing w:after="0" w:line="250" w:lineRule="auto"/>
        <w:tabs>
          <w:tab w:leader="none" w:pos="1299" w:val="left"/>
        </w:tabs>
        <w:numPr>
          <w:ilvl w:val="1"/>
          <w:numId w:val="243"/>
        </w:numPr>
        <w:rPr>
          <w:rFonts w:ascii="Arial" w:cs="Arial" w:eastAsia="Arial" w:hAnsi="Arial"/>
          <w:sz w:val="22"/>
          <w:szCs w:val="22"/>
          <w:color w:val="auto"/>
        </w:rPr>
      </w:pPr>
      <w:r>
        <w:rPr>
          <w:rFonts w:ascii="Arial" w:cs="Arial" w:eastAsia="Arial" w:hAnsi="Arial"/>
          <w:sz w:val="22"/>
          <w:szCs w:val="22"/>
          <w:color w:val="auto"/>
        </w:rPr>
        <w:t>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214" w:lineRule="exact"/>
        <w:rPr>
          <w:rFonts w:ascii="Arial" w:cs="Arial" w:eastAsia="Arial" w:hAnsi="Arial"/>
          <w:sz w:val="22"/>
          <w:szCs w:val="22"/>
          <w:color w:val="auto"/>
        </w:rPr>
      </w:pPr>
    </w:p>
    <w:p>
      <w:pPr>
        <w:ind w:left="1284" w:hanging="636"/>
        <w:spacing w:after="0"/>
        <w:tabs>
          <w:tab w:leader="none" w:pos="1284" w:val="left"/>
        </w:tabs>
        <w:numPr>
          <w:ilvl w:val="1"/>
          <w:numId w:val="243"/>
        </w:numPr>
        <w:rPr>
          <w:rFonts w:ascii="Arial" w:cs="Arial" w:eastAsia="Arial" w:hAnsi="Arial"/>
          <w:sz w:val="22"/>
          <w:szCs w:val="22"/>
          <w:color w:val="auto"/>
        </w:rPr>
      </w:pPr>
      <w:r>
        <w:rPr>
          <w:rFonts w:ascii="Arial" w:cs="Arial" w:eastAsia="Arial" w:hAnsi="Arial"/>
          <w:sz w:val="22"/>
          <w:szCs w:val="22"/>
          <w:color w:val="auto"/>
        </w:rPr>
        <w:t>This Amendment is a Loan Document.</w:t>
      </w:r>
    </w:p>
    <w:p>
      <w:pPr>
        <w:spacing w:after="0" w:line="246" w:lineRule="exact"/>
        <w:rPr>
          <w:rFonts w:ascii="Arial" w:cs="Arial" w:eastAsia="Arial" w:hAnsi="Arial"/>
          <w:sz w:val="22"/>
          <w:szCs w:val="22"/>
          <w:color w:val="auto"/>
        </w:rPr>
      </w:pPr>
    </w:p>
    <w:p>
      <w:pPr>
        <w:jc w:val="both"/>
        <w:ind w:left="644" w:hanging="644"/>
        <w:spacing w:after="0" w:line="265" w:lineRule="auto"/>
        <w:tabs>
          <w:tab w:leader="none" w:pos="644" w:val="left"/>
        </w:tabs>
        <w:numPr>
          <w:ilvl w:val="0"/>
          <w:numId w:val="243"/>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Amendment,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w:t>
      </w:r>
    </w:p>
    <w:p>
      <w:pPr>
        <w:sectPr>
          <w:pgSz w:w="11900" w:h="16838" w:orient="portrait"/>
          <w:cols w:equalWidth="0" w:num="1">
            <w:col w:w="10584"/>
          </w:cols>
          <w:pgMar w:left="976" w:top="126"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644" w:hanging="644"/>
        <w:spacing w:after="0" w:line="253" w:lineRule="auto"/>
        <w:tabs>
          <w:tab w:leader="none" w:pos="644" w:val="left"/>
        </w:tabs>
        <w:numPr>
          <w:ilvl w:val="0"/>
          <w:numId w:val="24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ectPr>
          <w:pgSz w:w="11900" w:h="16838" w:orient="portrait"/>
          <w:cols w:equalWidth="0" w:num="1">
            <w:col w:w="10584"/>
          </w:cols>
          <w:pgMar w:left="976" w:top="126"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383838"/>
        </w:rPr>
        <w:t xml:space="preserve">IN </w:t>
      </w:r>
      <w:r>
        <w:rPr>
          <w:rFonts w:ascii="Arial" w:cs="Arial" w:eastAsia="Arial" w:hAnsi="Arial"/>
          <w:sz w:val="22"/>
          <w:szCs w:val="22"/>
          <w:b w:val="1"/>
          <w:bCs w:val="1"/>
          <w:color w:val="383838"/>
        </w:rPr>
        <w:t>WITNESS WHEREOF,</w:t>
      </w:r>
      <w:r>
        <w:rPr>
          <w:rFonts w:ascii="Arial" w:cs="Arial" w:eastAsia="Arial" w:hAnsi="Arial"/>
          <w:sz w:val="22"/>
          <w:szCs w:val="22"/>
          <w:color w:val="383838"/>
        </w:rPr>
        <w:t xml:space="preserve"> the parties hereto have caused this Amendment to be duly executed and delivered by their proper and duly authorized officers as of the day and year first above written.</w:t>
      </w:r>
    </w:p>
    <w:p>
      <w:pPr>
        <w:spacing w:after="0" w:line="18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383838"/>
        </w:rPr>
        <w:t>BORROWER:</w:t>
      </w:r>
    </w:p>
    <w:p>
      <w:pPr>
        <w:spacing w:after="0" w:line="24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383838"/>
        </w:rPr>
        <w:t>NERDWALLET, INC.</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2"/>
          <w:szCs w:val="22"/>
          <w:color w:val="383838"/>
        </w:rPr>
        <w:t xml:space="preserve">By: </w:t>
      </w:r>
      <w:r>
        <w:rPr>
          <w:rFonts w:ascii="Arial" w:cs="Arial" w:eastAsia="Arial" w:hAnsi="Arial"/>
          <w:sz w:val="22"/>
          <w:szCs w:val="22"/>
          <w:u w:val="single" w:color="auto"/>
          <w:color w:val="383838"/>
        </w:rPr>
        <w:t>/s/ Tim Chen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383838"/>
        </w:rPr>
        <w:t>Name: Tim Chen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383838"/>
        </w:rPr>
        <w:t>Title: Chief Executive Officer</w:t>
      </w:r>
    </w:p>
    <w:p>
      <w:pPr>
        <w:spacing w:after="0" w:line="22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383838"/>
        </w:rPr>
        <w:t>NERDWALLET COMPARE, INC.</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2"/>
          <w:szCs w:val="22"/>
          <w:color w:val="383838"/>
        </w:rPr>
        <w:t xml:space="preserve">By: </w:t>
      </w:r>
      <w:r>
        <w:rPr>
          <w:rFonts w:ascii="Arial" w:cs="Arial" w:eastAsia="Arial" w:hAnsi="Arial"/>
          <w:sz w:val="22"/>
          <w:szCs w:val="22"/>
          <w:u w:val="single" w:color="auto"/>
          <w:color w:val="383838"/>
        </w:rPr>
        <w:t>/s/ Tim Chen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383838"/>
        </w:rPr>
        <w:t>Name: Tim Chen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383838"/>
        </w:rPr>
        <w:t>Title: Chief Executive Officer</w:t>
      </w: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ADMINISTRATIVE AGENT AND</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LENDER:</w:t>
      </w:r>
    </w:p>
    <w:p>
      <w:pPr>
        <w:spacing w:after="0" w:line="22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SILICON VALLEY BANK</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383838"/>
        </w:rPr>
        <w:t>/s/ Natalie Perez</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Natalie Perez</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w:t>
      </w:r>
    </w:p>
    <w:p>
      <w:pPr>
        <w:spacing w:after="0" w:line="22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LENDER:</w:t>
      </w:r>
    </w:p>
    <w:p>
      <w:pPr>
        <w:spacing w:after="0" w:line="24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JPMORGAN CHASE 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383838"/>
        </w:rPr>
        <w:t>/s/ Daniel J. Maniaci</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Daniel J. Maniaci</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LENDER:</w:t>
      </w:r>
    </w:p>
    <w:p>
      <w:pPr>
        <w:spacing w:after="0" w:line="24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HSBC BANK USA, NATIONAL</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ASSOCIATION</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383838"/>
        </w:rPr>
        <w:t>/s/ Aislin</w:t>
      </w:r>
      <w:r>
        <w:rPr>
          <w:rFonts w:ascii="Arial" w:cs="Arial" w:eastAsia="Arial" w:hAnsi="Arial"/>
          <w:sz w:val="22"/>
          <w:szCs w:val="22"/>
          <w:color w:val="auto"/>
        </w:rPr>
        <w:t xml:space="preserve"> </w:t>
      </w:r>
      <w:r>
        <w:rPr>
          <w:rFonts w:ascii="Arial" w:cs="Arial" w:eastAsia="Arial" w:hAnsi="Arial"/>
          <w:sz w:val="22"/>
          <w:szCs w:val="22"/>
          <w:u w:val="single" w:color="auto"/>
          <w:color w:val="auto"/>
        </w:rPr>
        <w:t>O’</w:t>
      </w:r>
      <w:r>
        <w:rPr>
          <w:rFonts w:ascii="Arial" w:cs="Arial" w:eastAsia="Arial" w:hAnsi="Arial"/>
          <w:sz w:val="22"/>
          <w:szCs w:val="22"/>
          <w:u w:val="single" w:color="auto"/>
          <w:color w:val="383838"/>
        </w:rPr>
        <w:t>Connor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Aislin O’Connor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1240"/>
          </w:cols>
          <w:pgMar w:left="320" w:top="126"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AND REAFFIRMATION</w:t>
      </w:r>
    </w:p>
    <w:p>
      <w:pPr>
        <w:spacing w:after="0" w:line="253"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The Guarantor hereby (i) acknowledges receipt of a copy of the foregoing Second Amendment to Amended and Restated Credit Agreement (the “</w:t>
      </w:r>
      <w:r>
        <w:rPr>
          <w:rFonts w:ascii="Arial" w:cs="Arial" w:eastAsia="Arial" w:hAnsi="Arial"/>
          <w:sz w:val="19"/>
          <w:szCs w:val="19"/>
          <w:u w:val="single" w:color="auto"/>
          <w:color w:val="auto"/>
        </w:rPr>
        <w:t>Second Amendment</w:t>
      </w:r>
      <w:r>
        <w:rPr>
          <w:rFonts w:ascii="Arial" w:cs="Arial" w:eastAsia="Arial" w:hAnsi="Arial"/>
          <w:sz w:val="19"/>
          <w:szCs w:val="19"/>
          <w:color w:val="auto"/>
        </w:rPr>
        <w:t>”; capitalized terms used but not otherwise defined herein shall have the meanings ascribed to such terms in the Credit Agreement as amended by the Second Amendment); (ii) consents to Borrower’s execution and delivery of the Second Amendment; (iii) affirms that nothing contained in the Second Amendment shall modify in any respect whatsoever any Loan Document to which it is a party except as expressly set forth therein; and (iv) ratifies, affirms, acknowledges and agrees that each of the Loan Documents to which the Guarantor is a party represents the valid, enforceable and collectible obligations of the Guarantor. The Guarantor hereby agrees that the Second Amendment in no way acts as a release or relinquishment of the Liens and rights securing payments of the Obligations. The guarantee, Liens and rights securing payment of the Obligations (including as amended by the Second Amendment) are hereby ratified and confirmed by the Guarantor in all respects. Although the Guarantor has been informed of the matters set forth herein and has acknowledged and agreed to same, the Guarantor understands that neither the Administrative Agent nor any Lender has any obligation to inform the Guarantor of such matters in the future or to seek the Guarantor's acknowledgment or agreement to future amendments, waivers or consents, and nothing herein shall create such a duty.</w:t>
      </w:r>
    </w:p>
    <w:p>
      <w:pPr>
        <w:sectPr>
          <w:pgSz w:w="11900" w:h="16838" w:orient="portrait"/>
          <w:cols w:equalWidth="0" w:num="1">
            <w:col w:w="11240"/>
          </w:cols>
          <w:pgMar w:left="320" w:top="126"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362F31"/>
        </w:rPr>
        <w:t>FUNDERA, INC.</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22"/>
          <w:szCs w:val="22"/>
          <w:color w:val="362F31"/>
        </w:rPr>
        <w:t xml:space="preserve">By: </w:t>
      </w:r>
      <w:r>
        <w:rPr>
          <w:rFonts w:ascii="Arial" w:cs="Arial" w:eastAsia="Arial" w:hAnsi="Arial"/>
          <w:sz w:val="22"/>
          <w:szCs w:val="22"/>
          <w:u w:val="single" w:color="auto"/>
          <w:color w:val="362F31"/>
        </w:rPr>
        <w:t>/s/ Jared Hecht</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362F31"/>
        </w:rPr>
        <w:t>Name: Jared Hecht</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362F31"/>
        </w:rPr>
        <w:t>Title: CEO</w:t>
      </w:r>
    </w:p>
    <w:p>
      <w:pPr>
        <w:sectPr>
          <w:pgSz w:w="11900" w:h="16838" w:orient="portrait"/>
          <w:cols w:equalWidth="0" w:num="1">
            <w:col w:w="10120"/>
          </w:cols>
          <w:pgMar w:left="1440" w:top="126"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0"/>
          <w:szCs w:val="20"/>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692150</wp:posOffset>
            </wp:positionV>
            <wp:extent cx="2280285" cy="411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22802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85858"/>
        </w:rPr>
        <w:t>875 Stevenson Street, 5th Floor, San Francisco, CA 94103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July 5, 2018</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Kelly Gillease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color w:val="auto"/>
        </w:rPr>
        <w:t>Re: Offer of Employment with NerdWallet,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Dear Kelly Gillease:</w:t>
      </w:r>
    </w:p>
    <w:p>
      <w:pPr>
        <w:spacing w:after="0" w:line="2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On behalf of NerdWallet, Inc. (“the Company”), we are pleased to offer you full-time employment in the position of Vice President, Marketing. The terms of your offer are as follows:</w:t>
      </w:r>
    </w:p>
    <w:p>
      <w:pPr>
        <w:spacing w:after="0" w:line="204"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20"/>
          <w:szCs w:val="20"/>
          <w:color w:val="auto"/>
        </w:rPr>
      </w:pPr>
      <w:r>
        <w:rPr>
          <w:rFonts w:ascii="Arial" w:cs="Arial" w:eastAsia="Arial" w:hAnsi="Arial"/>
          <w:sz w:val="20"/>
          <w:szCs w:val="20"/>
          <w:u w:val="single" w:color="auto"/>
          <w:color w:val="auto"/>
        </w:rPr>
        <w:t>Compensation.</w:t>
      </w:r>
    </w:p>
    <w:p>
      <w:pPr>
        <w:spacing w:after="0" w:line="242" w:lineRule="exact"/>
        <w:rPr>
          <w:rFonts w:ascii="Arial" w:cs="Arial" w:eastAsia="Arial" w:hAnsi="Arial"/>
          <w:sz w:val="20"/>
          <w:szCs w:val="20"/>
          <w:color w:val="auto"/>
        </w:rPr>
      </w:pPr>
    </w:p>
    <w:p>
      <w:pPr>
        <w:ind w:firstLine="1304"/>
        <w:spacing w:after="0" w:line="260" w:lineRule="auto"/>
        <w:tabs>
          <w:tab w:leader="none" w:pos="1933" w:val="left"/>
        </w:tabs>
        <w:numPr>
          <w:ilvl w:val="2"/>
          <w:numId w:val="245"/>
        </w:numPr>
        <w:rPr>
          <w:rFonts w:ascii="Arial" w:cs="Arial" w:eastAsia="Arial" w:hAnsi="Arial"/>
          <w:sz w:val="20"/>
          <w:szCs w:val="20"/>
          <w:color w:val="auto"/>
        </w:rPr>
      </w:pPr>
      <w:r>
        <w:rPr>
          <w:rFonts w:ascii="Arial" w:cs="Arial" w:eastAsia="Arial" w:hAnsi="Arial"/>
          <w:sz w:val="20"/>
          <w:szCs w:val="20"/>
          <w:u w:val="single" w:color="auto"/>
          <w:color w:val="auto"/>
        </w:rPr>
        <w:t>Salary</w:t>
      </w:r>
      <w:r>
        <w:rPr>
          <w:rFonts w:ascii="Arial" w:cs="Arial" w:eastAsia="Arial" w:hAnsi="Arial"/>
          <w:sz w:val="20"/>
          <w:szCs w:val="20"/>
          <w:color w:val="auto"/>
        </w:rPr>
        <w:t>. You will receive an annual salary of $410,000.00 less applicable withholdings and deductions required by law, which will be paid semi-monthly in accordance with the Company’s normal payroll procedures.</w:t>
      </w:r>
    </w:p>
    <w:p>
      <w:pPr>
        <w:spacing w:after="0" w:line="203" w:lineRule="exact"/>
        <w:rPr>
          <w:rFonts w:ascii="Arial" w:cs="Arial" w:eastAsia="Arial" w:hAnsi="Arial"/>
          <w:sz w:val="20"/>
          <w:szCs w:val="20"/>
          <w:color w:val="auto"/>
        </w:rPr>
      </w:pPr>
    </w:p>
    <w:p>
      <w:pPr>
        <w:jc w:val="both"/>
        <w:ind w:firstLine="656"/>
        <w:spacing w:after="0" w:line="273" w:lineRule="auto"/>
        <w:tabs>
          <w:tab w:leader="none" w:pos="1296"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xml:space="preserve"> At the first meeting of the Company’s Board of Directors following your start date, the Company will recommend that you be granted an option to purchase 560,000 shares of the Company’s Common Stock at a price per share equal to the fair market value per share of the Common Stock on the date of grant, as determined by the Company’s Board of Directors. Twenty-five percent of the shares subject to the option shall vest twelve months after the date your employment begins, subject to your continuing employment with the Company, and no shares shall vest before such date. The remaining shares shall vest monthly over the next thirty-six (36) months in equal monthly amounts subject to your continuing employment with the Company. This option grant shall be subject to the terms and conditions of the Company’s Equity Incentive Plan and Stock Option Agreement, including vesting requirements. No right to any stock is earned or accrued until such time that vesting occurs, nor does the grant confer any right to continue vesting or employment.</w:t>
      </w:r>
    </w:p>
    <w:p>
      <w:pPr>
        <w:spacing w:after="0" w:line="195" w:lineRule="exact"/>
        <w:rPr>
          <w:rFonts w:ascii="Arial" w:cs="Arial" w:eastAsia="Arial" w:hAnsi="Arial"/>
          <w:sz w:val="18"/>
          <w:szCs w:val="18"/>
          <w:color w:val="auto"/>
        </w:rPr>
      </w:pPr>
    </w:p>
    <w:p>
      <w:pPr>
        <w:ind w:firstLine="818"/>
        <w:spacing w:after="0" w:line="260" w:lineRule="auto"/>
        <w:tabs>
          <w:tab w:leader="none" w:pos="1296" w:val="left"/>
        </w:tabs>
        <w:numPr>
          <w:ilvl w:val="1"/>
          <w:numId w:val="245"/>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You and your family will also be eligible to participate in NerdWallet’s standard employee benefits plans as they are provided to employees to the extent that you meet the eligibility criteria of the benefit plans.</w:t>
      </w:r>
    </w:p>
    <w:p>
      <w:pPr>
        <w:spacing w:after="0" w:line="203" w:lineRule="exact"/>
        <w:rPr>
          <w:rFonts w:ascii="Arial" w:cs="Arial" w:eastAsia="Arial" w:hAnsi="Arial"/>
          <w:sz w:val="20"/>
          <w:szCs w:val="20"/>
          <w:color w:val="auto"/>
        </w:rPr>
      </w:pPr>
    </w:p>
    <w:p>
      <w:pPr>
        <w:jc w:val="both"/>
        <w:ind w:firstLine="818"/>
        <w:spacing w:after="0" w:line="246" w:lineRule="auto"/>
        <w:tabs>
          <w:tab w:leader="none" w:pos="1296" w:val="left"/>
        </w:tabs>
        <w:numPr>
          <w:ilvl w:val="1"/>
          <w:numId w:val="245"/>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As an employee of NerdWallet, you will have access to certain confidential Company information and you may, during the course of your employment, develop information or inventions that will be NerdWallet property. As a condition of your employment, you are also required to sign and comply with the “Confidential Information, Invention Assignment” which requires, among 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595959"/>
        </w:rPr>
        <w:t>NerdWallet | 875 Stevenson Street, 5th Floor, San Francisco, CA 94103 | nerdwallet.com</w:t>
      </w:r>
    </w:p>
    <w:p>
      <w:pPr>
        <w:sectPr>
          <w:pgSz w:w="11900" w:h="16838" w:orient="portrait"/>
          <w:cols w:equalWidth="0" w:num="1">
            <w:col w:w="11240"/>
          </w:cols>
          <w:pgMar w:left="320" w:top="116" w:right="339" w:bottom="1440" w:gutter="0" w:footer="0" w:header="0"/>
        </w:sectPr>
      </w:pPr>
    </w:p>
    <w:bookmarkStart w:id="268" w:name="page269"/>
    <w:bookmarkEnd w:id="268"/>
    <w:p>
      <w:pPr>
        <w:jc w:val="both"/>
        <w:spacing w:after="0" w:line="276" w:lineRule="auto"/>
        <w:rPr>
          <w:sz w:val="20"/>
          <w:szCs w:val="20"/>
          <w:color w:val="auto"/>
        </w:rPr>
      </w:pPr>
      <w:r>
        <w:rPr>
          <w:rFonts w:ascii="Arial" w:cs="Arial" w:eastAsia="Arial" w:hAnsi="Arial"/>
          <w:sz w:val="18"/>
          <w:szCs w:val="18"/>
          <w:color w:val="auto"/>
        </w:rPr>
        <w:t>the assignment of patent rights to any invention made during your employment at the Company, and non-disclosure of Company proprietary information. We also ask, if you have not already done so, that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Similarly, you agree not to bring any third party confidential information to the Company, including that of your former employer, and that in performing your duties for the Company you will not in any way utilize any such information.</w:t>
      </w:r>
    </w:p>
    <w:p>
      <w:pPr>
        <w:spacing w:after="0" w:line="192" w:lineRule="exact"/>
        <w:rPr>
          <w:sz w:val="20"/>
          <w:szCs w:val="20"/>
          <w:color w:val="auto"/>
        </w:rPr>
      </w:pPr>
    </w:p>
    <w:p>
      <w:pPr>
        <w:jc w:val="both"/>
        <w:ind w:firstLine="818"/>
        <w:spacing w:after="0" w:line="243" w:lineRule="auto"/>
        <w:tabs>
          <w:tab w:leader="none" w:pos="1296" w:val="left"/>
        </w:tabs>
        <w:numPr>
          <w:ilvl w:val="0"/>
          <w:numId w:val="246"/>
        </w:numPr>
        <w:rPr>
          <w:rFonts w:ascii="Arial" w:cs="Arial" w:eastAsia="Arial" w:hAnsi="Arial"/>
          <w:sz w:val="20"/>
          <w:szCs w:val="20"/>
          <w:color w:val="auto"/>
        </w:rPr>
      </w:pPr>
      <w:r>
        <w:rPr>
          <w:rFonts w:ascii="Arial" w:cs="Arial" w:eastAsia="Arial" w:hAnsi="Arial"/>
          <w:sz w:val="20"/>
          <w:szCs w:val="20"/>
          <w:u w:val="single" w:color="auto"/>
          <w:color w:val="auto"/>
        </w:rPr>
        <w:t>Duty Not to Compete</w:t>
      </w:r>
      <w:r>
        <w:rPr>
          <w:rFonts w:ascii="Arial" w:cs="Arial" w:eastAsia="Arial" w:hAnsi="Arial"/>
          <w:sz w:val="20"/>
          <w:szCs w:val="20"/>
          <w:color w:val="auto"/>
        </w:rPr>
        <w:t>. You agree that, during the term of your employment with the Company, you will not engage in any other employment, occupation, consulting, or other business activity directly related to the business in which NerdWallet is now involved or becomes involved during the term of your employment. Nor will you engage in any other activities that conflict with your obligations to the Company. You will disclose to NerdWallet in writing any other employment, business, or activity that you are currently associated with or participate in that competes with NerdWallet. During the period in which you render services to NerdWallet, you will not assist any other person or organization in competing with NerdWallet or in preparing to engage in competition with the business or proposed business of NerdWallet.</w:t>
      </w:r>
    </w:p>
    <w:p>
      <w:pPr>
        <w:spacing w:after="0" w:line="219" w:lineRule="exact"/>
        <w:rPr>
          <w:rFonts w:ascii="Arial" w:cs="Arial" w:eastAsia="Arial" w:hAnsi="Arial"/>
          <w:sz w:val="20"/>
          <w:szCs w:val="20"/>
          <w:color w:val="auto"/>
        </w:rPr>
      </w:pPr>
    </w:p>
    <w:p>
      <w:pPr>
        <w:jc w:val="both"/>
        <w:ind w:firstLine="818"/>
        <w:spacing w:after="0" w:line="259" w:lineRule="auto"/>
        <w:tabs>
          <w:tab w:leader="none" w:pos="1296"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xml:space="preserve"> Should you decide to accept our offer of employment, then you will be an at-will employee of NerdWallet, which means that the employment relationship can be terminated by either you or the Company for any reason, at any time, with or without prior notice or cause. You should regard as ineffective any statements or representations to the contrary, including any statements contradicting any provision in this offer of employment. Furthermore, your participation in any equity or benefit program should not be regarded as assurance of continuing employment for any period of time. Any modification or change in your at-will employment status may only occur by written agreement signed by you and NerdWallet’s Chief Executive Officer.</w:t>
      </w:r>
    </w:p>
    <w:p>
      <w:pPr>
        <w:spacing w:after="0" w:line="205" w:lineRule="exact"/>
        <w:rPr>
          <w:rFonts w:ascii="Arial" w:cs="Arial" w:eastAsia="Arial" w:hAnsi="Arial"/>
          <w:sz w:val="19"/>
          <w:szCs w:val="19"/>
          <w:color w:val="auto"/>
        </w:rPr>
      </w:pPr>
    </w:p>
    <w:p>
      <w:pPr>
        <w:jc w:val="both"/>
        <w:ind w:firstLine="818"/>
        <w:spacing w:after="0" w:line="250" w:lineRule="auto"/>
        <w:tabs>
          <w:tab w:leader="none" w:pos="1296" w:val="left"/>
        </w:tabs>
        <w:numPr>
          <w:ilvl w:val="0"/>
          <w:numId w:val="246"/>
        </w:numPr>
        <w:rPr>
          <w:rFonts w:ascii="Arial" w:cs="Arial" w:eastAsia="Arial" w:hAnsi="Arial"/>
          <w:sz w:val="20"/>
          <w:szCs w:val="20"/>
          <w:color w:val="auto"/>
        </w:rPr>
      </w:pPr>
      <w:r>
        <w:rPr>
          <w:rFonts w:ascii="Arial" w:cs="Arial" w:eastAsia="Arial" w:hAnsi="Arial"/>
          <w:sz w:val="20"/>
          <w:szCs w:val="20"/>
          <w:u w:val="single" w:color="auto"/>
          <w:color w:val="auto"/>
        </w:rPr>
        <w:t>Valid Work Authorization</w:t>
      </w:r>
      <w:r>
        <w:rPr>
          <w:rFonts w:ascii="Arial" w:cs="Arial" w:eastAsia="Arial" w:hAnsi="Arial"/>
          <w:sz w:val="20"/>
          <w:szCs w:val="20"/>
          <w:color w:val="auto"/>
        </w:rPr>
        <w:t>. You will be required to provide to the Company within three (3) business days of starting employment with NerdWallet to present documentation of your identity and authorization to work in the United States or our employment relationship with you may be terminated.</w:t>
      </w:r>
    </w:p>
    <w:p>
      <w:pPr>
        <w:spacing w:after="0" w:line="212" w:lineRule="exact"/>
        <w:rPr>
          <w:rFonts w:ascii="Arial" w:cs="Arial" w:eastAsia="Arial" w:hAnsi="Arial"/>
          <w:sz w:val="20"/>
          <w:szCs w:val="20"/>
          <w:color w:val="auto"/>
        </w:rPr>
      </w:pPr>
    </w:p>
    <w:p>
      <w:pPr>
        <w:jc w:val="both"/>
        <w:ind w:firstLine="818"/>
        <w:spacing w:after="0" w:line="250" w:lineRule="auto"/>
        <w:tabs>
          <w:tab w:leader="none" w:pos="1296" w:val="left"/>
        </w:tabs>
        <w:numPr>
          <w:ilvl w:val="0"/>
          <w:numId w:val="246"/>
        </w:numPr>
        <w:rPr>
          <w:rFonts w:ascii="Arial" w:cs="Arial" w:eastAsia="Arial" w:hAnsi="Arial"/>
          <w:sz w:val="20"/>
          <w:szCs w:val="20"/>
          <w:color w:val="auto"/>
        </w:rPr>
      </w:pPr>
      <w:r>
        <w:rPr>
          <w:rFonts w:ascii="Arial" w:cs="Arial" w:eastAsia="Arial" w:hAnsi="Arial"/>
          <w:sz w:val="20"/>
          <w:szCs w:val="20"/>
          <w:u w:val="single" w:color="auto"/>
          <w:color w:val="auto"/>
        </w:rPr>
        <w:t>Background Check</w:t>
      </w:r>
      <w:r>
        <w:rPr>
          <w:rFonts w:ascii="Arial" w:cs="Arial" w:eastAsia="Arial" w:hAnsi="Arial"/>
          <w:sz w:val="20"/>
          <w:szCs w:val="20"/>
          <w:color w:val="auto"/>
        </w:rPr>
        <w:t>. The Company reserves the right to conduct background investigations and/or reference checks on all of its potential employees. This offer, therefore, is contingent upon a clearance of such a background investigation and/or reference check, if any and can be rescinded based upon information received through this verification.</w:t>
      </w:r>
    </w:p>
    <w:p>
      <w:pPr>
        <w:spacing w:after="0" w:line="212" w:lineRule="exact"/>
        <w:rPr>
          <w:rFonts w:ascii="Arial" w:cs="Arial" w:eastAsia="Arial" w:hAnsi="Arial"/>
          <w:sz w:val="20"/>
          <w:szCs w:val="20"/>
          <w:color w:val="auto"/>
        </w:rPr>
      </w:pPr>
    </w:p>
    <w:p>
      <w:pPr>
        <w:ind w:firstLine="818"/>
        <w:spacing w:after="0" w:line="260" w:lineRule="auto"/>
        <w:tabs>
          <w:tab w:leader="none" w:pos="1296" w:val="left"/>
        </w:tabs>
        <w:numPr>
          <w:ilvl w:val="0"/>
          <w:numId w:val="246"/>
        </w:numPr>
        <w:rPr>
          <w:rFonts w:ascii="Arial" w:cs="Arial" w:eastAsia="Arial" w:hAnsi="Arial"/>
          <w:sz w:val="20"/>
          <w:szCs w:val="20"/>
          <w:color w:val="auto"/>
        </w:rPr>
      </w:pPr>
      <w:r>
        <w:rPr>
          <w:rFonts w:ascii="Arial" w:cs="Arial" w:eastAsia="Arial" w:hAnsi="Arial"/>
          <w:sz w:val="20"/>
          <w:szCs w:val="20"/>
          <w:u w:val="single" w:color="auto"/>
          <w:color w:val="auto"/>
        </w:rPr>
        <w:t>Arbitration</w:t>
      </w:r>
      <w:r>
        <w:rPr>
          <w:rFonts w:ascii="Arial" w:cs="Arial" w:eastAsia="Arial" w:hAnsi="Arial"/>
          <w:sz w:val="20"/>
          <w:szCs w:val="20"/>
          <w:color w:val="auto"/>
        </w:rPr>
        <w:t>. In the event of any dispute or claim relating to or arising out of our employment relationship, you and the Company agree that (i) any and all disputes between</w:t>
      </w:r>
    </w:p>
    <w:p>
      <w:pPr>
        <w:sectPr>
          <w:pgSz w:w="11900" w:h="16838" w:orient="portrait"/>
          <w:cols w:equalWidth="0" w:num="1">
            <w:col w:w="11240"/>
          </w:cols>
          <w:pgMar w:left="320" w:top="1419" w:right="339" w:bottom="1440" w:gutter="0" w:footer="0" w:header="0"/>
        </w:sectPr>
      </w:pPr>
    </w:p>
    <w:bookmarkStart w:id="269" w:name="page270"/>
    <w:bookmarkEnd w:id="269"/>
    <w:p>
      <w:pPr>
        <w:jc w:val="both"/>
        <w:spacing w:after="0" w:line="275" w:lineRule="auto"/>
        <w:rPr>
          <w:sz w:val="20"/>
          <w:szCs w:val="20"/>
          <w:color w:val="auto"/>
        </w:rPr>
      </w:pPr>
      <w:r>
        <w:rPr>
          <w:rFonts w:ascii="Arial" w:cs="Arial" w:eastAsia="Arial" w:hAnsi="Arial"/>
          <w:sz w:val="18"/>
          <w:szCs w:val="18"/>
          <w:color w:val="auto"/>
        </w:rPr>
        <w:t>you and the Company shall be fully and finally resolved by binding arbitration, (ii) you are waiving any and all rights to a jury trial but all court remedies will be available in arbitration, (iii) all disputes shall be resolved by a neutral arbitrator who shall issue a written opinion,</w:t>
      </w:r>
    </w:p>
    <w:p>
      <w:pPr>
        <w:spacing w:after="0" w:line="1" w:lineRule="exact"/>
        <w:rPr>
          <w:sz w:val="20"/>
          <w:szCs w:val="20"/>
          <w:color w:val="auto"/>
        </w:rPr>
      </w:pPr>
    </w:p>
    <w:p>
      <w:pPr>
        <w:jc w:val="both"/>
        <w:ind w:firstLine="8"/>
        <w:spacing w:after="0" w:line="241" w:lineRule="auto"/>
        <w:tabs>
          <w:tab w:leader="none" w:pos="339" w:val="left"/>
        </w:tabs>
        <w:numPr>
          <w:ilvl w:val="0"/>
          <w:numId w:val="247"/>
        </w:numPr>
        <w:rPr>
          <w:rFonts w:ascii="Arial" w:cs="Arial" w:eastAsia="Arial" w:hAnsi="Arial"/>
          <w:sz w:val="20"/>
          <w:szCs w:val="20"/>
          <w:color w:val="auto"/>
        </w:rPr>
      </w:pPr>
      <w:r>
        <w:rPr>
          <w:rFonts w:ascii="Arial" w:cs="Arial" w:eastAsia="Arial" w:hAnsi="Arial"/>
          <w:sz w:val="20"/>
          <w:szCs w:val="20"/>
          <w:color w:val="auto"/>
        </w:rPr>
        <w:t>the arbitration shall provide for adequate discovery, and (v) the Company shall pay all the arbitration fees, except an amount equal to the filing fees you would have paid had you filed a complaint in a court of law. Please note that we must receive your signed Agreement before your first day of employment.</w:t>
      </w:r>
    </w:p>
    <w:p>
      <w:pPr>
        <w:spacing w:after="0" w:line="2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a Company employee, you will be expected to abide by the Company’s rules and standards. Specifically, you will be required to sign an acknowledgment that you have read and that you understand the Company’s rules of conduct which are included in the Company Handbook, which the Company will soon complete and distribute.</w:t>
      </w:r>
    </w:p>
    <w:p>
      <w:pPr>
        <w:spacing w:after="0" w:line="2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To accept the Company’s offer, please sign and date this letter in the space provided below. If you accept our offer, your first day of employment will be August 20, 2018. This letter, along with any agreements relating to proprietary rights between you and the Company, set forth the terms of your employment with the Company and supersede any prior representations or agreements including, but not limited to, any representations made during your recruitment, interviews or pre employment negotiations, whether written or oral. This letter, including, but not limited to, its at-will employment provision, may not be modified or amended except by a written agreement signed by both you and NerdWallet’s Chief Executive Officer. This offer of employment will terminate if it is not accepted, signed and returned by July 11, 2018</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look forward to your favorable reply and to working with you at NerdWallet.</w:t>
      </w:r>
    </w:p>
    <w:p>
      <w:pPr>
        <w:spacing w:after="0" w:line="283"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Sincerely,</w:t>
      </w:r>
    </w:p>
    <w:p>
      <w:pPr>
        <w:spacing w:after="0" w:line="283"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NerdWallet, Inc.</w:t>
      </w:r>
    </w:p>
    <w:p>
      <w:pPr>
        <w:spacing w:after="0" w:line="283"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10160</wp:posOffset>
            </wp:positionV>
            <wp:extent cx="22885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Tim Chen</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Chief Executive Officer</w:t>
      </w:r>
    </w:p>
    <w:p>
      <w:pPr>
        <w:spacing w:after="0" w:line="33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 have read and understand this offer of employment and hereby acknowledge, accept, and agree to the terms set forth above and further acknowledge that no other commitments were made to me as part of employment offer except as specifically set forth here 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Kelly Gillease</w:t>
            </w:r>
          </w:p>
        </w:tc>
        <w:tc>
          <w:tcPr>
            <w:tcW w:w="820" w:type="dxa"/>
            <w:vAlign w:val="bottom"/>
          </w:tcPr>
          <w:p>
            <w:pPr>
              <w:jc w:val="right"/>
              <w:spacing w:after="0"/>
              <w:rPr>
                <w:sz w:val="20"/>
                <w:szCs w:val="20"/>
                <w:color w:val="auto"/>
              </w:rPr>
            </w:pPr>
            <w:r>
              <w:rPr>
                <w:rFonts w:ascii="Arial" w:cs="Arial" w:eastAsia="Arial" w:hAnsi="Arial"/>
                <w:sz w:val="20"/>
                <w:szCs w:val="20"/>
                <w:color w:val="auto"/>
              </w:rPr>
              <w:t>7/6/2018</w:t>
            </w:r>
          </w:p>
        </w:tc>
      </w:tr>
      <w:tr>
        <w:trPr>
          <w:trHeight w:val="244"/>
        </w:trPr>
        <w:tc>
          <w:tcPr>
            <w:tcW w:w="3600" w:type="dxa"/>
            <w:vAlign w:val="bottom"/>
          </w:tcPr>
          <w:p>
            <w:pPr>
              <w:ind w:left="20"/>
              <w:spacing w:after="0"/>
              <w:rPr>
                <w:sz w:val="20"/>
                <w:szCs w:val="20"/>
                <w:color w:val="auto"/>
              </w:rPr>
            </w:pPr>
            <w:r>
              <w:rPr>
                <w:rFonts w:ascii="Arial" w:cs="Arial" w:eastAsia="Arial" w:hAnsi="Arial"/>
                <w:sz w:val="20"/>
                <w:szCs w:val="20"/>
                <w:color w:val="auto"/>
              </w:rPr>
              <w:t>Kelly Gillease</w:t>
            </w:r>
          </w:p>
        </w:tc>
        <w:tc>
          <w:tcPr>
            <w:tcW w:w="820" w:type="dxa"/>
            <w:vAlign w:val="bottom"/>
          </w:tcPr>
          <w:p>
            <w:pPr>
              <w:spacing w:after="0"/>
              <w:rPr>
                <w:sz w:val="21"/>
                <w:szCs w:val="21"/>
                <w:color w:val="auto"/>
              </w:rPr>
            </w:pPr>
          </w:p>
        </w:tc>
      </w:tr>
    </w:tbl>
    <w:p>
      <w:pPr>
        <w:sectPr>
          <w:pgSz w:w="11900" w:h="16838" w:orient="portrait"/>
          <w:cols w:equalWidth="0" w:num="1">
            <w:col w:w="11240"/>
          </w:cols>
          <w:pgMar w:left="320" w:top="1419"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tcPr>
          <w:p>
            <w:pPr>
              <w:ind w:left="640"/>
              <w:spacing w:after="0"/>
              <w:rPr>
                <w:sz w:val="20"/>
                <w:szCs w:val="20"/>
                <w:color w:val="auto"/>
              </w:rPr>
            </w:pPr>
            <w:r>
              <w:rPr>
                <w:rFonts w:ascii="Arial" w:cs="Arial" w:eastAsia="Arial" w:hAnsi="Arial"/>
                <w:sz w:val="18"/>
                <w:szCs w:val="18"/>
                <w:b w:val="1"/>
                <w:bCs w:val="1"/>
                <w:color w:val="auto"/>
              </w:rPr>
              <w:t>SUBSIDIARIES OF NERDWALLET, INC.*</w:t>
            </w:r>
          </w:p>
        </w:tc>
      </w:tr>
      <w:tr>
        <w:trPr>
          <w:trHeight w:val="379"/>
        </w:trPr>
        <w:tc>
          <w:tcPr>
            <w:tcW w:w="3260" w:type="dxa"/>
            <w:vAlign w:val="bottom"/>
          </w:tcPr>
          <w:p>
            <w:pPr>
              <w:ind w:left="20"/>
              <w:spacing w:after="0"/>
              <w:rPr>
                <w:sz w:val="20"/>
                <w:szCs w:val="20"/>
                <w:color w:val="auto"/>
              </w:rPr>
            </w:pPr>
            <w:r>
              <w:rPr>
                <w:rFonts w:ascii="Arial" w:cs="Arial" w:eastAsia="Arial" w:hAnsi="Arial"/>
                <w:sz w:val="14"/>
                <w:szCs w:val="14"/>
                <w:b w:val="1"/>
                <w:bCs w:val="1"/>
                <w:color w:val="auto"/>
              </w:rPr>
              <w:t>Subsidiary Name</w:t>
            </w:r>
          </w:p>
        </w:tc>
        <w:tc>
          <w:tcPr>
            <w:tcW w:w="7980" w:type="dxa"/>
            <w:vAlign w:val="bottom"/>
          </w:tcPr>
          <w:p>
            <w:pPr>
              <w:ind w:left="1960"/>
              <w:spacing w:after="0"/>
              <w:rPr>
                <w:sz w:val="20"/>
                <w:szCs w:val="20"/>
                <w:color w:val="auto"/>
              </w:rPr>
            </w:pPr>
            <w:r>
              <w:rPr>
                <w:rFonts w:ascii="Arial" w:cs="Arial" w:eastAsia="Arial" w:hAnsi="Arial"/>
                <w:sz w:val="14"/>
                <w:szCs w:val="14"/>
                <w:b w:val="1"/>
                <w:bCs w:val="1"/>
                <w:color w:val="auto"/>
              </w:rPr>
              <w:t>Jurisdiction of Incorporation</w:t>
            </w:r>
          </w:p>
        </w:tc>
      </w:tr>
      <w:tr>
        <w:trPr>
          <w:trHeight w:val="26"/>
        </w:trPr>
        <w:tc>
          <w:tcPr>
            <w:tcW w:w="3260" w:type="dxa"/>
            <w:vAlign w:val="bottom"/>
            <w:tcBorders>
              <w:bottom w:val="single" w:sz="8" w:color="auto"/>
            </w:tcBorders>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95"/>
        </w:trPr>
        <w:tc>
          <w:tcPr>
            <w:tcW w:w="3260" w:type="dxa"/>
            <w:vAlign w:val="bottom"/>
          </w:tcPr>
          <w:p>
            <w:pPr>
              <w:ind w:left="20"/>
              <w:spacing w:after="0"/>
              <w:rPr>
                <w:sz w:val="20"/>
                <w:szCs w:val="20"/>
                <w:color w:val="auto"/>
              </w:rPr>
            </w:pPr>
            <w:r>
              <w:rPr>
                <w:rFonts w:ascii="Arial" w:cs="Arial" w:eastAsia="Arial" w:hAnsi="Arial"/>
                <w:sz w:val="18"/>
                <w:szCs w:val="18"/>
                <w:color w:val="auto"/>
              </w:rPr>
              <w:t>Fundera, In</w:t>
            </w:r>
            <w:r>
              <w:rPr>
                <w:rFonts w:ascii="Arial" w:cs="Arial" w:eastAsia="Arial" w:hAnsi="Arial"/>
                <w:sz w:val="19"/>
                <w:szCs w:val="19"/>
                <w:color w:val="auto"/>
              </w:rPr>
              <w:t>c.</w:t>
            </w:r>
          </w:p>
        </w:tc>
        <w:tc>
          <w:tcPr>
            <w:tcW w:w="7980" w:type="dxa"/>
            <w:vAlign w:val="bottom"/>
          </w:tcPr>
          <w:p>
            <w:pPr>
              <w:ind w:left="1960"/>
              <w:spacing w:after="0"/>
              <w:rPr>
                <w:sz w:val="20"/>
                <w:szCs w:val="20"/>
                <w:color w:val="auto"/>
              </w:rPr>
            </w:pPr>
            <w:r>
              <w:rPr>
                <w:rFonts w:ascii="Arial" w:cs="Arial" w:eastAsia="Arial" w:hAnsi="Arial"/>
                <w:sz w:val="18"/>
                <w:szCs w:val="18"/>
                <w:color w:val="auto"/>
              </w:rPr>
              <w:t>Delaware, United States</w:t>
            </w:r>
          </w:p>
        </w:tc>
      </w:tr>
      <w:tr>
        <w:trPr>
          <w:trHeight w:val="266"/>
        </w:trPr>
        <w:tc>
          <w:tcPr>
            <w:tcW w:w="3260" w:type="dxa"/>
            <w:vAlign w:val="bottom"/>
          </w:tcPr>
          <w:p>
            <w:pPr>
              <w:ind w:left="20"/>
              <w:spacing w:after="0"/>
              <w:rPr>
                <w:sz w:val="20"/>
                <w:szCs w:val="20"/>
                <w:color w:val="auto"/>
              </w:rPr>
            </w:pPr>
            <w:r>
              <w:rPr>
                <w:rFonts w:ascii="Arial" w:cs="Arial" w:eastAsia="Arial" w:hAnsi="Arial"/>
                <w:sz w:val="18"/>
                <w:szCs w:val="18"/>
                <w:color w:val="auto"/>
              </w:rPr>
              <w:t>NerdWallet Compare, Inc</w:t>
            </w:r>
          </w:p>
        </w:tc>
        <w:tc>
          <w:tcPr>
            <w:tcW w:w="7980" w:type="dxa"/>
            <w:vAlign w:val="bottom"/>
          </w:tcPr>
          <w:p>
            <w:pPr>
              <w:ind w:left="1960"/>
              <w:spacing w:after="0"/>
              <w:rPr>
                <w:sz w:val="20"/>
                <w:szCs w:val="20"/>
                <w:color w:val="auto"/>
              </w:rPr>
            </w:pPr>
            <w:r>
              <w:rPr>
                <w:rFonts w:ascii="Arial" w:cs="Arial" w:eastAsia="Arial" w:hAnsi="Arial"/>
                <w:sz w:val="18"/>
                <w:szCs w:val="18"/>
                <w:color w:val="auto"/>
              </w:rPr>
              <w:t>Delaware, United States</w:t>
            </w:r>
          </w:p>
        </w:tc>
      </w:tr>
      <w:tr>
        <w:trPr>
          <w:trHeight w:val="270"/>
        </w:trPr>
        <w:tc>
          <w:tcPr>
            <w:tcW w:w="3260" w:type="dxa"/>
            <w:vAlign w:val="bottom"/>
          </w:tcPr>
          <w:p>
            <w:pPr>
              <w:ind w:left="20"/>
              <w:spacing w:after="0"/>
              <w:rPr>
                <w:sz w:val="20"/>
                <w:szCs w:val="20"/>
                <w:color w:val="auto"/>
              </w:rPr>
            </w:pPr>
            <w:r>
              <w:rPr>
                <w:rFonts w:ascii="Arial" w:cs="Arial" w:eastAsia="Arial" w:hAnsi="Arial"/>
                <w:sz w:val="18"/>
                <w:szCs w:val="18"/>
                <w:color w:val="auto"/>
              </w:rPr>
              <w:t>NerdWallet Insurance Services, Inc.</w:t>
            </w:r>
          </w:p>
        </w:tc>
        <w:tc>
          <w:tcPr>
            <w:tcW w:w="7980" w:type="dxa"/>
            <w:vAlign w:val="bottom"/>
          </w:tcPr>
          <w:p>
            <w:pPr>
              <w:ind w:left="1960"/>
              <w:spacing w:after="0"/>
              <w:rPr>
                <w:sz w:val="20"/>
                <w:szCs w:val="20"/>
                <w:color w:val="auto"/>
              </w:rPr>
            </w:pPr>
            <w:r>
              <w:rPr>
                <w:rFonts w:ascii="Arial" w:cs="Arial" w:eastAsia="Arial" w:hAnsi="Arial"/>
                <w:sz w:val="18"/>
                <w:szCs w:val="18"/>
                <w:color w:val="auto"/>
              </w:rPr>
              <w:t>Delaware, United States</w:t>
            </w:r>
          </w:p>
        </w:tc>
      </w:tr>
    </w:tbl>
    <w:p>
      <w:pPr>
        <w:spacing w:after="0" w:line="107" w:lineRule="exact"/>
        <w:rPr>
          <w:sz w:val="20"/>
          <w:szCs w:val="20"/>
          <w:color w:val="auto"/>
        </w:rPr>
      </w:pPr>
    </w:p>
    <w:p>
      <w:pPr>
        <w:ind w:left="340" w:hanging="332"/>
        <w:spacing w:after="0" w:line="277" w:lineRule="auto"/>
        <w:tabs>
          <w:tab w:leader="none" w:pos="33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Pursuant to Item 601(b)(21)(ii) of Regulation S-K, the names of other subsidiaries of NerdWallet, Inc. are omitted because, considered in the aggregate, they would not constitute a significant subsidiary as of the end of the year covered by this report.</w:t>
      </w:r>
    </w:p>
    <w:p>
      <w:pPr>
        <w:sectPr>
          <w:pgSz w:w="11900" w:h="16838" w:orient="portrait"/>
          <w:cols w:equalWidth="0" w:num="1">
            <w:col w:w="11240"/>
          </w:cols>
          <w:pgMar w:left="320" w:top="121"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consent to the incorporation by reference in Registration Statement No. 333-260853 on Form S-8 of our report dated March 24, 2022, relating to the financial statements of NerdWallet, Inc. (the “Company”) appearing in this Annual Report on Form 10-K of the Company for the year ended December 31, 2021.</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Deloitte &amp; Touche LLP</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San Jose, California</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March 24, 2022</w:t>
      </w:r>
    </w:p>
    <w:p>
      <w:pPr>
        <w:sectPr>
          <w:pgSz w:w="11900" w:h="16838" w:orient="portrait"/>
          <w:cols w:equalWidth="0" w:num="1">
            <w:col w:w="11240"/>
          </w:cols>
          <w:pgMar w:left="320" w:top="116"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Tim Chen, certify that:</w:t>
      </w:r>
    </w:p>
    <w:p>
      <w:pPr>
        <w:spacing w:after="0" w:line="117" w:lineRule="exact"/>
        <w:rPr>
          <w:sz w:val="20"/>
          <w:szCs w:val="20"/>
          <w:color w:val="auto"/>
        </w:rPr>
      </w:pPr>
    </w:p>
    <w:p>
      <w:pPr>
        <w:ind w:left="660" w:hanging="328"/>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NerdWallet,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700" w:val="left"/>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24, 2022</w:t>
      </w:r>
      <w:r>
        <w:rPr>
          <w:sz w:val="20"/>
          <w:szCs w:val="20"/>
          <w:color w:val="auto"/>
        </w:rPr>
        <w:tab/>
      </w:r>
      <w:r>
        <w:rPr>
          <w:rFonts w:ascii="Arial" w:cs="Arial" w:eastAsia="Arial" w:hAnsi="Arial"/>
          <w:sz w:val="16"/>
          <w:szCs w:val="16"/>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23495</wp:posOffset>
            </wp:positionV>
            <wp:extent cx="36518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Tim Chen</w:t>
      </w:r>
    </w:p>
    <w:p>
      <w:pPr>
        <w:spacing w:after="0" w:line="3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 and</w:t>
      </w:r>
    </w:p>
    <w:p>
      <w:pPr>
        <w:ind w:left="708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40"/>
          </w:cols>
          <w:pgMar w:left="320" w:top="1363"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Lauren StClair, certify that:</w:t>
      </w:r>
    </w:p>
    <w:p>
      <w:pPr>
        <w:spacing w:after="0" w:line="117" w:lineRule="exact"/>
        <w:rPr>
          <w:sz w:val="20"/>
          <w:szCs w:val="20"/>
          <w:color w:val="auto"/>
        </w:rPr>
      </w:pPr>
    </w:p>
    <w:p>
      <w:pPr>
        <w:ind w:left="660" w:hanging="328"/>
        <w:spacing w:after="0"/>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NerdWallet,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29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700" w:val="left"/>
          <w:tab w:leader="none" w:pos="7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24, 2022</w:t>
      </w:r>
      <w:r>
        <w:rPr>
          <w:sz w:val="20"/>
          <w:szCs w:val="20"/>
          <w:color w:val="auto"/>
        </w:rPr>
        <w:tab/>
      </w:r>
      <w:r>
        <w:rPr>
          <w:rFonts w:ascii="Arial" w:cs="Arial" w:eastAsia="Arial" w:hAnsi="Arial"/>
          <w:sz w:val="16"/>
          <w:szCs w:val="16"/>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23495</wp:posOffset>
            </wp:positionV>
            <wp:extent cx="36518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30"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Lauren StClair</w:t>
      </w:r>
    </w:p>
    <w:p>
      <w:pPr>
        <w:spacing w:after="0" w:line="36"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363" w:right="339" w:bottom="1440" w:gutter="0" w:footer="0" w:header="0"/>
        </w:sectPr>
      </w:pPr>
    </w:p>
    <w:bookmarkStart w:id="274" w:name="page275"/>
    <w:bookmarkEnd w:id="27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spacing w:after="0" w:line="76" w:lineRule="exact"/>
        <w:rPr>
          <w:sz w:val="20"/>
          <w:szCs w:val="20"/>
          <w:color w:val="auto"/>
        </w:rPr>
      </w:pPr>
    </w:p>
    <w:p>
      <w:pPr>
        <w:ind w:left="660" w:hanging="328"/>
        <w:spacing w:after="0" w:line="277"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2021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700" w:val="left"/>
          <w:tab w:leader="none" w:pos="7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24, 2022</w:t>
      </w:r>
      <w:r>
        <w:rPr>
          <w:sz w:val="20"/>
          <w:szCs w:val="20"/>
          <w:color w:val="auto"/>
        </w:rPr>
        <w:tab/>
      </w:r>
      <w:r>
        <w:rPr>
          <w:rFonts w:ascii="Arial" w:cs="Arial" w:eastAsia="Arial" w:hAnsi="Arial"/>
          <w:sz w:val="16"/>
          <w:szCs w:val="16"/>
          <w:color w:val="auto"/>
        </w:rPr>
        <w:t>/s/ 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23495</wp:posOffset>
            </wp:positionV>
            <wp:extent cx="36518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Tim Chen</w:t>
      </w:r>
    </w:p>
    <w:p>
      <w:pPr>
        <w:spacing w:after="0" w:line="3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 and</w:t>
      </w:r>
    </w:p>
    <w:p>
      <w:pPr>
        <w:ind w:left="708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240"/>
          </w:cols>
          <w:pgMar w:left="320" w:top="1363" w:right="339" w:bottom="1440" w:gutter="0" w:footer="0" w:header="0"/>
        </w:sectPr>
      </w:pPr>
    </w:p>
    <w:bookmarkStart w:id="276" w:name="page277"/>
    <w:bookmarkEnd w:id="2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 Lauren StClair, Chief Financial Officer of NerdWallet, Inc. (the “Company”), certify, as of the date hereof and solely for purposes of and pursuant to 18 U.S.C. Section 1350 as adopted pursuant to Section 906 of the Sarbanes-Oxley Act of 2002,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2021 (the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700" w:val="left"/>
          <w:tab w:leader="none" w:pos="7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24, 2022</w:t>
      </w:r>
      <w:r>
        <w:rPr>
          <w:sz w:val="20"/>
          <w:szCs w:val="20"/>
          <w:color w:val="auto"/>
        </w:rPr>
        <w:tab/>
      </w:r>
      <w:r>
        <w:rPr>
          <w:rFonts w:ascii="Arial" w:cs="Arial" w:eastAsia="Arial" w:hAnsi="Arial"/>
          <w:sz w:val="16"/>
          <w:szCs w:val="16"/>
          <w:color w:val="auto"/>
        </w:rPr>
        <w:t>/s/ 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23495</wp:posOffset>
            </wp:positionV>
            <wp:extent cx="365188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0"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Lauren StClair</w:t>
      </w:r>
    </w:p>
    <w:p>
      <w:pPr>
        <w:spacing w:after="0" w:line="36" w:lineRule="exact"/>
        <w:rPr>
          <w:sz w:val="20"/>
          <w:szCs w:val="20"/>
          <w:color w:val="auto"/>
        </w:rPr>
      </w:pPr>
    </w:p>
    <w:p>
      <w:pPr>
        <w:jc w:val="center"/>
        <w:ind w:left="5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6E4AFD"/>
    <w:multiLevelType w:val="hybridMultilevel"/>
    <w:lvl w:ilvl="0">
      <w:lvlJc w:val="left"/>
      <w:lvlText w:val="☒"/>
      <w:numFmt w:val="bullet"/>
      <w:start w:val="1"/>
    </w:lvl>
  </w:abstractNum>
  <w:abstractNum w:abstractNumId="1">
    <w:nsid w:val="17A1B582"/>
    <w:multiLevelType w:val="hybridMultilevel"/>
    <w:lvl w:ilvl="0">
      <w:lvlJc w:val="left"/>
      <w:lvlText w:val="•"/>
      <w:numFmt w:val="bullet"/>
      <w:start w:val="1"/>
    </w:lvl>
  </w:abstractNum>
  <w:abstractNum w:abstractNumId="2">
    <w:nsid w:val="4DF72E4E"/>
    <w:multiLevelType w:val="hybridMultilevel"/>
    <w:lvl w:ilvl="0">
      <w:lvlJc w:val="left"/>
      <w:lvlText w:val="•"/>
      <w:numFmt w:val="bullet"/>
      <w:start w:val="1"/>
    </w:lvl>
  </w:abstractNum>
  <w:abstractNum w:abstractNumId="3">
    <w:nsid w:val="5046B5A9"/>
    <w:multiLevelType w:val="hybridMultilevel"/>
    <w:lvl w:ilvl="0">
      <w:lvlJc w:val="left"/>
      <w:lvlText w:val="•"/>
      <w:numFmt w:val="bullet"/>
      <w:start w:val="1"/>
    </w:lvl>
  </w:abstractNum>
  <w:abstractNum w:abstractNumId="4">
    <w:nsid w:val="5D888A08"/>
    <w:multiLevelType w:val="hybridMultilevel"/>
    <w:lvl w:ilvl="0">
      <w:lvlJc w:val="left"/>
      <w:lvlText w:val="\emdash "/>
      <w:numFmt w:val="bullet"/>
      <w:start w:val="1"/>
    </w:lvl>
    <w:lvl w:ilvl="1">
      <w:lvlJc w:val="left"/>
      <w:lvlText w:val="•"/>
      <w:numFmt w:val="bullet"/>
      <w:start w:val="1"/>
    </w:lvl>
  </w:abstractNum>
  <w:abstractNum w:abstractNumId="5">
    <w:nsid w:val="2A082C70"/>
    <w:multiLevelType w:val="hybridMultilevel"/>
    <w:lvl w:ilvl="0">
      <w:lvlJc w:val="left"/>
      <w:lvlText w:val="•"/>
      <w:numFmt w:val="bullet"/>
      <w:start w:val="1"/>
    </w:lvl>
  </w:abstractNum>
  <w:abstractNum w:abstractNumId="6">
    <w:nsid w:val="5EC6AFD4"/>
    <w:multiLevelType w:val="hybridMultilevel"/>
    <w:lvl w:ilvl="0">
      <w:lvlJc w:val="left"/>
      <w:lvlText w:val="•"/>
      <w:numFmt w:val="bullet"/>
      <w:start w:val="1"/>
    </w:lvl>
  </w:abstractNum>
  <w:abstractNum w:abstractNumId="7">
    <w:nsid w:val="19E21BB2"/>
    <w:multiLevelType w:val="hybridMultilevel"/>
    <w:lvl w:ilvl="0">
      <w:lvlJc w:val="left"/>
      <w:lvlText w:val="•"/>
      <w:numFmt w:val="bullet"/>
      <w:start w:val="1"/>
    </w:lvl>
  </w:abstractNum>
  <w:abstractNum w:abstractNumId="8">
    <w:nsid w:val="75E0858A"/>
    <w:multiLevelType w:val="hybridMultilevel"/>
    <w:lvl w:ilvl="0">
      <w:lvlJc w:val="left"/>
      <w:lvlText w:val="•"/>
      <w:numFmt w:val="bullet"/>
      <w:start w:val="1"/>
    </w:lvl>
  </w:abstractNum>
  <w:abstractNum w:abstractNumId="9">
    <w:nsid w:val="57A61A29"/>
    <w:multiLevelType w:val="hybridMultilevel"/>
    <w:lvl w:ilvl="0">
      <w:lvlJc w:val="left"/>
      <w:lvlText w:val="•"/>
      <w:numFmt w:val="bullet"/>
      <w:start w:val="1"/>
    </w:lvl>
  </w:abstractNum>
  <w:abstractNum w:abstractNumId="10">
    <w:nsid w:val="5399C654"/>
    <w:multiLevelType w:val="hybridMultilevel"/>
    <w:lvl w:ilvl="0">
      <w:lvlJc w:val="left"/>
      <w:lvlText w:val="•"/>
      <w:numFmt w:val="bullet"/>
      <w:start w:val="1"/>
    </w:lvl>
  </w:abstractNum>
  <w:abstractNum w:abstractNumId="11">
    <w:nsid w:val="20EE1348"/>
    <w:multiLevelType w:val="hybridMultilevel"/>
    <w:lvl w:ilvl="0">
      <w:lvlJc w:val="left"/>
      <w:lvlText w:val="•"/>
      <w:numFmt w:val="bullet"/>
      <w:start w:val="1"/>
    </w:lvl>
  </w:abstractNum>
  <w:abstractNum w:abstractNumId="12">
    <w:nsid w:val="4427069A"/>
    <w:multiLevelType w:val="hybridMultilevel"/>
    <w:lvl w:ilvl="0">
      <w:lvlJc w:val="left"/>
      <w:lvlText w:val="•"/>
      <w:numFmt w:val="bullet"/>
      <w:start w:val="1"/>
    </w:lvl>
    <w:lvl w:ilvl="1">
      <w:lvlJc w:val="left"/>
      <w:lvlText w:val="◦"/>
      <w:numFmt w:val="bullet"/>
      <w:start w:val="1"/>
    </w:lvl>
  </w:abstractNum>
  <w:abstractNum w:abstractNumId="13">
    <w:nsid w:val="B37E80A"/>
    <w:multiLevelType w:val="hybridMultilevel"/>
    <w:lvl w:ilvl="0">
      <w:lvlJc w:val="left"/>
      <w:lvlText w:val="•"/>
      <w:numFmt w:val="bullet"/>
      <w:start w:val="1"/>
    </w:lvl>
  </w:abstractNum>
  <w:abstractNum w:abstractNumId="14">
    <w:nsid w:val="2157F6BC"/>
    <w:multiLevelType w:val="hybridMultilevel"/>
    <w:lvl w:ilvl="0">
      <w:lvlJc w:val="left"/>
      <w:lvlText w:val="•"/>
      <w:numFmt w:val="bullet"/>
      <w:start w:val="1"/>
    </w:lvl>
  </w:abstractNum>
  <w:abstractNum w:abstractNumId="15">
    <w:nsid w:val="704E1DD5"/>
    <w:multiLevelType w:val="hybridMultilevel"/>
    <w:lvl w:ilvl="0">
      <w:lvlJc w:val="left"/>
      <w:lvlText w:val="•"/>
      <w:numFmt w:val="bullet"/>
      <w:start w:val="1"/>
    </w:lvl>
  </w:abstractNum>
  <w:abstractNum w:abstractNumId="16">
    <w:nsid w:val="57D2F10E"/>
    <w:multiLevelType w:val="hybridMultilevel"/>
    <w:lvl w:ilvl="0">
      <w:lvlJc w:val="left"/>
      <w:lvlText w:val="•"/>
      <w:numFmt w:val="bullet"/>
      <w:start w:val="1"/>
    </w:lvl>
  </w:abstractNum>
  <w:abstractNum w:abstractNumId="17">
    <w:nsid w:val="BFFAE18"/>
    <w:multiLevelType w:val="hybridMultilevel"/>
    <w:lvl w:ilvl="0">
      <w:lvlJc w:val="left"/>
      <w:lvlText w:val="•"/>
      <w:numFmt w:val="bullet"/>
      <w:start w:val="1"/>
    </w:lvl>
  </w:abstractNum>
  <w:abstractNum w:abstractNumId="18">
    <w:nsid w:val="E3E47A8"/>
    <w:multiLevelType w:val="hybridMultilevel"/>
    <w:lvl w:ilvl="0">
      <w:lvlJc w:val="left"/>
      <w:lvlText w:val="•"/>
      <w:numFmt w:val="bullet"/>
      <w:start w:val="1"/>
    </w:lvl>
  </w:abstractNum>
  <w:abstractNum w:abstractNumId="19">
    <w:nsid w:val="2E48F044"/>
    <w:multiLevelType w:val="hybridMultilevel"/>
    <w:lvl w:ilvl="0">
      <w:lvlJc w:val="left"/>
      <w:lvlText w:val="•"/>
      <w:numFmt w:val="bullet"/>
      <w:start w:val="1"/>
    </w:lvl>
  </w:abstractNum>
  <w:abstractNum w:abstractNumId="20">
    <w:nsid w:val="49D0FEAC"/>
    <w:multiLevelType w:val="hybridMultilevel"/>
    <w:lvl w:ilvl="0">
      <w:lvlJc w:val="left"/>
      <w:lvlText w:val="•"/>
      <w:numFmt w:val="bullet"/>
      <w:start w:val="1"/>
    </w:lvl>
  </w:abstractNum>
  <w:abstractNum w:abstractNumId="21">
    <w:nsid w:val="4BEE5A5B"/>
    <w:multiLevelType w:val="hybridMultilevel"/>
    <w:lvl w:ilvl="0">
      <w:lvlJc w:val="left"/>
      <w:lvlText w:val="•"/>
      <w:numFmt w:val="bullet"/>
      <w:start w:val="1"/>
    </w:lvl>
  </w:abstractNum>
  <w:abstractNum w:abstractNumId="22">
    <w:nsid w:val="5551B9F3"/>
    <w:multiLevelType w:val="hybridMultilevel"/>
    <w:lvl w:ilvl="0">
      <w:lvlJc w:val="left"/>
      <w:lvlText w:val="•"/>
      <w:numFmt w:val="bullet"/>
      <w:start w:val="1"/>
    </w:lvl>
  </w:abstractNum>
  <w:abstractNum w:abstractNumId="23">
    <w:nsid w:val="24F6AB8E"/>
    <w:multiLevelType w:val="hybridMultilevel"/>
    <w:lvl w:ilvl="0">
      <w:lvlJc w:val="left"/>
      <w:lvlText w:val="•"/>
      <w:numFmt w:val="bullet"/>
      <w:start w:val="1"/>
    </w:lvl>
  </w:abstractNum>
  <w:abstractNum w:abstractNumId="24">
    <w:nsid w:val="634C574C"/>
    <w:multiLevelType w:val="hybridMultilevel"/>
    <w:lvl w:ilvl="0">
      <w:lvlJc w:val="left"/>
      <w:lvlText w:val="•"/>
      <w:numFmt w:val="bullet"/>
      <w:start w:val="1"/>
    </w:lvl>
  </w:abstractNum>
  <w:abstractNum w:abstractNumId="25">
    <w:nsid w:val="24E99DD7"/>
    <w:multiLevelType w:val="hybridMultilevel"/>
    <w:lvl w:ilvl="0">
      <w:lvlJc w:val="left"/>
      <w:lvlText w:val="•"/>
      <w:numFmt w:val="bullet"/>
      <w:start w:val="1"/>
    </w:lvl>
  </w:abstractNum>
  <w:abstractNum w:abstractNumId="26">
    <w:nsid w:val="2A31B62D"/>
    <w:multiLevelType w:val="hybridMultilevel"/>
    <w:lvl w:ilvl="0">
      <w:lvlJc w:val="left"/>
      <w:lvlText w:val="•"/>
      <w:numFmt w:val="bullet"/>
      <w:start w:val="1"/>
    </w:lvl>
  </w:abstractNum>
  <w:abstractNum w:abstractNumId="27">
    <w:nsid w:val="1849C29B"/>
    <w:multiLevelType w:val="hybridMultilevel"/>
    <w:lvl w:ilvl="0">
      <w:lvlJc w:val="left"/>
      <w:lvlText w:val="•"/>
      <w:numFmt w:val="bullet"/>
      <w:start w:val="1"/>
    </w:lvl>
  </w:abstractNum>
  <w:abstractNum w:abstractNumId="28">
    <w:nsid w:val="7DFF9D09"/>
    <w:multiLevelType w:val="hybridMultilevel"/>
    <w:lvl w:ilvl="0">
      <w:lvlJc w:val="left"/>
      <w:lvlText w:val="•"/>
      <w:numFmt w:val="bullet"/>
      <w:start w:val="1"/>
    </w:lvl>
  </w:abstractNum>
  <w:abstractNum w:abstractNumId="29">
    <w:nsid w:val="754342"/>
    <w:multiLevelType w:val="hybridMultilevel"/>
    <w:lvl w:ilvl="0">
      <w:lvlJc w:val="left"/>
      <w:lvlText w:val="•"/>
      <w:numFmt w:val="bullet"/>
      <w:start w:val="1"/>
    </w:lvl>
  </w:abstractNum>
  <w:abstractNum w:abstractNumId="30">
    <w:nsid w:val="69E7F3E5"/>
    <w:multiLevelType w:val="hybridMultilevel"/>
    <w:lvl w:ilvl="0">
      <w:lvlJc w:val="left"/>
      <w:lvlText w:val="•"/>
      <w:numFmt w:val="bullet"/>
      <w:start w:val="1"/>
    </w:lvl>
  </w:abstractNum>
  <w:abstractNum w:abstractNumId="31">
    <w:nsid w:val="2A6DE806"/>
    <w:multiLevelType w:val="hybridMultilevel"/>
    <w:lvl w:ilvl="0">
      <w:lvlJc w:val="left"/>
      <w:lvlText w:val="(%1)"/>
      <w:numFmt w:val="decimal"/>
      <w:start w:val="1"/>
    </w:lvl>
  </w:abstractNum>
  <w:abstractNum w:abstractNumId="32">
    <w:nsid w:val="1816F8C4"/>
    <w:multiLevelType w:val="hybridMultilevel"/>
    <w:lvl w:ilvl="0">
      <w:lvlJc w:val="left"/>
      <w:lvlText w:val="•"/>
      <w:numFmt w:val="bullet"/>
      <w:start w:val="1"/>
    </w:lvl>
  </w:abstractNum>
  <w:abstractNum w:abstractNumId="33">
    <w:nsid w:val="37DF2233"/>
    <w:multiLevelType w:val="hybridMultilevel"/>
    <w:lvl w:ilvl="0">
      <w:lvlJc w:val="left"/>
      <w:lvlText w:val="•"/>
      <w:numFmt w:val="bullet"/>
      <w:start w:val="1"/>
    </w:lvl>
  </w:abstractNum>
  <w:abstractNum w:abstractNumId="34">
    <w:nsid w:val="7AB49DAF"/>
    <w:multiLevelType w:val="hybridMultilevel"/>
    <w:lvl w:ilvl="0">
      <w:lvlJc w:val="left"/>
      <w:lvlText w:val="(%1)"/>
      <w:numFmt w:val="decimal"/>
      <w:start w:val="1"/>
    </w:lvl>
  </w:abstractNum>
  <w:abstractNum w:abstractNumId="35">
    <w:nsid w:val="759F82CD"/>
    <w:multiLevelType w:val="hybridMultilevel"/>
    <w:lvl w:ilvl="0">
      <w:lvlJc w:val="left"/>
      <w:lvlText w:val="•"/>
      <w:numFmt w:val="bullet"/>
      <w:start w:val="1"/>
    </w:lvl>
  </w:abstractNum>
  <w:abstractNum w:abstractNumId="36">
    <w:nsid w:val="61E74EA3"/>
    <w:multiLevelType w:val="hybridMultilevel"/>
    <w:lvl w:ilvl="0">
      <w:lvlJc w:val="left"/>
      <w:lvlText w:val="•"/>
      <w:numFmt w:val="bullet"/>
      <w:start w:val="1"/>
    </w:lvl>
  </w:abstractNum>
  <w:abstractNum w:abstractNumId="37">
    <w:nsid w:val="597B4D84"/>
    <w:multiLevelType w:val="hybridMultilevel"/>
    <w:lvl w:ilvl="0">
      <w:lvlJc w:val="left"/>
      <w:lvlText w:val="(%1)"/>
      <w:numFmt w:val="lowerRoman"/>
      <w:start w:val="1"/>
    </w:lvl>
  </w:abstractNum>
  <w:abstractNum w:abstractNumId="38">
    <w:nsid w:val="F819E7F"/>
    <w:multiLevelType w:val="hybridMultilevel"/>
    <w:lvl w:ilvl="0">
      <w:lvlJc w:val="left"/>
      <w:lvlText w:val="(%1)"/>
      <w:numFmt w:val="decimal"/>
      <w:start w:val="102"/>
    </w:lvl>
  </w:abstractNum>
  <w:abstractNum w:abstractNumId="39">
    <w:nsid w:val="57C7D42D"/>
    <w:multiLevelType w:val="hybridMultilevel"/>
    <w:lvl w:ilvl="0">
      <w:lvlJc w:val="left"/>
      <w:lvlText w:val="%1."/>
      <w:numFmt w:val="decimal"/>
      <w:start w:val="1"/>
    </w:lvl>
  </w:abstractNum>
  <w:abstractNum w:abstractNumId="40">
    <w:nsid w:val="312167AD"/>
    <w:multiLevelType w:val="hybridMultilevel"/>
    <w:lvl w:ilvl="0">
      <w:lvlJc w:val="left"/>
      <w:lvlText w:val="%1."/>
      <w:numFmt w:val="decimal"/>
      <w:start w:val="2"/>
    </w:lvl>
  </w:abstractNum>
  <w:abstractNum w:abstractNumId="41">
    <w:nsid w:val="631B64D4"/>
    <w:multiLevelType w:val="hybridMultilevel"/>
    <w:lvl w:ilvl="0">
      <w:lvlJc w:val="left"/>
      <w:lvlText w:val="%1."/>
      <w:numFmt w:val="decimal"/>
      <w:start w:val="3"/>
    </w:lvl>
  </w:abstractNum>
  <w:abstractNum w:abstractNumId="42">
    <w:nsid w:val="78B5E776"/>
    <w:multiLevelType w:val="hybridMultilevel"/>
    <w:lvl w:ilvl="0">
      <w:lvlJc w:val="left"/>
      <w:lvlText w:val="%1."/>
      <w:numFmt w:val="decimal"/>
      <w:start w:val="4"/>
    </w:lvl>
  </w:abstractNum>
  <w:abstractNum w:abstractNumId="43">
    <w:nsid w:val="75486E47"/>
    <w:multiLevelType w:val="hybridMultilevel"/>
    <w:lvl w:ilvl="0">
      <w:lvlJc w:val="left"/>
      <w:lvlText w:val="%1."/>
      <w:numFmt w:val="decimal"/>
      <w:start w:val="5"/>
    </w:lvl>
  </w:abstractNum>
  <w:abstractNum w:abstractNumId="44">
    <w:nsid w:val="6E534CDE"/>
    <w:multiLevelType w:val="hybridMultilevel"/>
    <w:lvl w:ilvl="0">
      <w:lvlJc w:val="left"/>
      <w:lvlText w:val="$"/>
      <w:numFmt w:val="bullet"/>
      <w:start w:val="1"/>
    </w:lvl>
  </w:abstractNum>
  <w:abstractNum w:abstractNumId="45">
    <w:nsid w:val="1A0DDE32"/>
    <w:multiLevelType w:val="hybridMultilevel"/>
    <w:lvl w:ilvl="0">
      <w:lvlJc w:val="left"/>
      <w:lvlText w:val="$"/>
      <w:numFmt w:val="bullet"/>
      <w:start w:val="1"/>
    </w:lvl>
  </w:abstractNum>
  <w:abstractNum w:abstractNumId="46">
    <w:nsid w:val="65968C1C"/>
    <w:multiLevelType w:val="hybridMultilevel"/>
    <w:lvl w:ilvl="0">
      <w:lvlJc w:val="left"/>
      <w:lvlText w:val="$"/>
      <w:numFmt w:val="bullet"/>
      <w:start w:val="1"/>
    </w:lvl>
  </w:abstractNum>
  <w:abstractNum w:abstractNumId="47">
    <w:nsid w:val="46263DEC"/>
    <w:multiLevelType w:val="hybridMultilevel"/>
    <w:lvl w:ilvl="0">
      <w:lvlJc w:val="left"/>
      <w:lvlText w:val="$"/>
      <w:numFmt w:val="bullet"/>
      <w:start w:val="1"/>
    </w:lvl>
  </w:abstractNum>
  <w:abstractNum w:abstractNumId="48">
    <w:nsid w:val="260D8C4A"/>
    <w:multiLevelType w:val="hybridMultilevel"/>
    <w:lvl w:ilvl="0">
      <w:lvlJc w:val="left"/>
      <w:lvlText w:val="%1."/>
      <w:numFmt w:val="decimal"/>
      <w:start w:val="7"/>
    </w:lvl>
  </w:abstractNum>
  <w:abstractNum w:abstractNumId="49">
    <w:nsid w:val="73D4D3C4"/>
    <w:multiLevelType w:val="hybridMultilevel"/>
    <w:lvl w:ilvl="0">
      <w:lvlJc w:val="left"/>
      <w:lvlText w:val="%1."/>
      <w:numFmt w:val="decimal"/>
      <w:start w:val="8"/>
    </w:lvl>
  </w:abstractNum>
  <w:abstractNum w:abstractNumId="50">
    <w:nsid w:val="746F2E30"/>
    <w:multiLevelType w:val="hybridMultilevel"/>
    <w:lvl w:ilvl="0">
      <w:lvlJc w:val="left"/>
      <w:lvlText w:val="(%1)"/>
      <w:numFmt w:val="lowerRoman"/>
      <w:start w:val="1"/>
    </w:lvl>
  </w:abstractNum>
  <w:abstractNum w:abstractNumId="51">
    <w:nsid w:val="6FDE8AF6"/>
    <w:multiLevelType w:val="hybridMultilevel"/>
    <w:lvl w:ilvl="0">
      <w:lvlJc w:val="left"/>
      <w:lvlText w:val="%1."/>
      <w:numFmt w:val="decimal"/>
      <w:start w:val="12"/>
    </w:lvl>
  </w:abstractNum>
  <w:abstractNum w:abstractNumId="52">
    <w:nsid w:val="3FC32E20"/>
    <w:multiLevelType w:val="hybridMultilevel"/>
    <w:lvl w:ilvl="0">
      <w:lvlJc w:val="left"/>
      <w:lvlText w:val="+"/>
      <w:numFmt w:val="bullet"/>
      <w:start w:val="1"/>
    </w:lvl>
  </w:abstractNum>
  <w:abstractNum w:abstractNumId="53">
    <w:nsid w:val="49C0E823"/>
    <w:multiLevelType w:val="hybridMultilevel"/>
    <w:lvl w:ilvl="0">
      <w:lvlJc w:val="left"/>
      <w:lvlText w:val="*"/>
      <w:numFmt w:val="bullet"/>
      <w:start w:val="1"/>
    </w:lvl>
  </w:abstractNum>
  <w:abstractNum w:abstractNumId="54">
    <w:nsid w:val="14D53685"/>
    <w:multiLevelType w:val="hybridMultilevel"/>
    <w:lvl w:ilvl="0">
      <w:lvlJc w:val="left"/>
      <w:lvlText w:val="**"/>
      <w:numFmt w:val="bullet"/>
      <w:start w:val="1"/>
    </w:lvl>
  </w:abstractNum>
  <w:abstractNum w:abstractNumId="55">
    <w:nsid w:val="230F856C"/>
    <w:multiLevelType w:val="hybridMultilevel"/>
    <w:lvl w:ilvl="0">
      <w:lvlJc w:val="left"/>
      <w:lvlText w:val="•"/>
      <w:numFmt w:val="bullet"/>
      <w:start w:val="1"/>
    </w:lvl>
  </w:abstractNum>
  <w:abstractNum w:abstractNumId="56">
    <w:nsid w:val="6EAA85FB"/>
    <w:multiLevelType w:val="hybridMultilevel"/>
    <w:lvl w:ilvl="0">
      <w:lvlJc w:val="left"/>
      <w:lvlText w:val="(%1)"/>
      <w:numFmt w:val="lowerRoman"/>
      <w:start w:val="2"/>
    </w:lvl>
  </w:abstractNum>
  <w:abstractNum w:abstractNumId="57">
    <w:nsid w:val="3F06ECB2"/>
    <w:multiLevelType w:val="hybridMultilevel"/>
    <w:lvl w:ilvl="0">
      <w:lvlJc w:val="left"/>
      <w:lvlText w:val="•"/>
      <w:numFmt w:val="bullet"/>
      <w:start w:val="1"/>
    </w:lvl>
  </w:abstractNum>
  <w:abstractNum w:abstractNumId="58">
    <w:nsid w:val="3B594807"/>
    <w:multiLevelType w:val="hybridMultilevel"/>
    <w:lvl w:ilvl="0">
      <w:lvlJc w:val="left"/>
      <w:lvlText w:val="(%1)"/>
      <w:numFmt w:val="lowerRoman"/>
      <w:start w:val="1"/>
    </w:lvl>
  </w:abstractNum>
  <w:abstractNum w:abstractNumId="59">
    <w:nsid w:val="6CAA2304"/>
    <w:multiLevelType w:val="hybridMultilevel"/>
    <w:lvl w:ilvl="0">
      <w:lvlJc w:val="left"/>
      <w:lvlText w:val="(%1)"/>
      <w:numFmt w:val="lowerLetter"/>
      <w:start w:val="2"/>
    </w:lvl>
  </w:abstractNum>
  <w:abstractNum w:abstractNumId="60">
    <w:nsid w:val="3F7C2FF4"/>
    <w:multiLevelType w:val="hybridMultilevel"/>
    <w:lvl w:ilvl="0">
      <w:lvlJc w:val="left"/>
      <w:lvlText w:val="(%1)"/>
      <w:numFmt w:val="lowerLetter"/>
      <w:start w:val="1"/>
    </w:lvl>
    <w:lvl w:ilvl="1">
      <w:lvlJc w:val="left"/>
      <w:lvlText w:val="(%2)"/>
      <w:numFmt w:val="lowerRoman"/>
      <w:start w:val="1"/>
    </w:lvl>
  </w:abstractNum>
  <w:abstractNum w:abstractNumId="61">
    <w:nsid w:val="25413BEC"/>
    <w:multiLevelType w:val="hybridMultilevel"/>
    <w:lvl w:ilvl="0">
      <w:lvlJc w:val="left"/>
      <w:lvlText w:val="(%1)"/>
      <w:numFmt w:val="lowerLetter"/>
      <w:start w:val="1"/>
    </w:lvl>
  </w:abstractNum>
  <w:abstractNum w:abstractNumId="62">
    <w:nsid w:val="17180B0B"/>
    <w:multiLevelType w:val="hybridMultilevel"/>
    <w:lvl w:ilvl="0">
      <w:lvlJc w:val="left"/>
      <w:lvlText w:val="(%1)"/>
      <w:numFmt w:val="lowerLetter"/>
      <w:start w:val="2"/>
    </w:lvl>
  </w:abstractNum>
  <w:abstractNum w:abstractNumId="63">
    <w:nsid w:val="579328B9"/>
    <w:multiLevelType w:val="hybridMultilevel"/>
    <w:lvl w:ilvl="0">
      <w:lvlJc w:val="left"/>
      <w:lvlText w:val="(%1)"/>
      <w:numFmt w:val="lowerLetter"/>
      <w:start w:val="1"/>
    </w:lvl>
  </w:abstractNum>
  <w:abstractNum w:abstractNumId="64">
    <w:nsid w:val="5D205E20"/>
    <w:multiLevelType w:val="hybridMultilevel"/>
    <w:lvl w:ilvl="0">
      <w:lvlJc w:val="left"/>
      <w:lvlText w:val="(%1)"/>
      <w:numFmt w:val="lowerLetter"/>
      <w:start w:val="1"/>
    </w:lvl>
    <w:lvl w:ilvl="1">
      <w:lvlJc w:val="left"/>
      <w:lvlText w:val="(%2)"/>
      <w:numFmt w:val="lowerRoman"/>
      <w:start w:val="1"/>
    </w:lvl>
  </w:abstractNum>
  <w:abstractNum w:abstractNumId="65">
    <w:nsid w:val="11CCA8BA"/>
    <w:multiLevelType w:val="hybridMultilevel"/>
    <w:lvl w:ilvl="0">
      <w:lvlJc w:val="left"/>
      <w:lvlText w:val="%1"/>
      <w:numFmt w:val="upperLetter"/>
      <w:start w:val="1"/>
    </w:lvl>
    <w:lvl w:ilvl="1">
      <w:lvlJc w:val="left"/>
      <w:lvlText w:val="(%2)"/>
      <w:numFmt w:val="lowerRoman"/>
      <w:start w:val="8"/>
    </w:lvl>
  </w:abstractNum>
  <w:abstractNum w:abstractNumId="66">
    <w:nsid w:val="4D32AB86"/>
    <w:multiLevelType w:val="hybridMultilevel"/>
    <w:lvl w:ilvl="0">
      <w:lvlJc w:val="left"/>
      <w:lvlText w:val="(%1)"/>
      <w:numFmt w:val="upperLetter"/>
      <w:start w:val="1"/>
    </w:lvl>
    <w:lvl w:ilvl="1">
      <w:lvlJc w:val="left"/>
      <w:lvlText w:val="%2"/>
      <w:numFmt w:val="lowerRoman"/>
      <w:start w:val="1"/>
    </w:lvl>
  </w:abstractNum>
  <w:abstractNum w:abstractNumId="67">
    <w:nsid w:val="3F07ACC3"/>
    <w:multiLevelType w:val="hybridMultilevel"/>
    <w:lvl w:ilvl="0">
      <w:lvlJc w:val="left"/>
      <w:lvlText w:val="%1"/>
      <w:numFmt w:val="lowerLetter"/>
      <w:start w:val="1"/>
    </w:lvl>
    <w:lvl w:ilvl="1">
      <w:lvlJc w:val="left"/>
      <w:lvlText w:val="(%2)"/>
      <w:numFmt w:val="lowerRoman"/>
      <w:start w:val="12"/>
    </w:lvl>
  </w:abstractNum>
  <w:abstractNum w:abstractNumId="68">
    <w:nsid w:val="6B47F63E"/>
    <w:multiLevelType w:val="hybridMultilevel"/>
    <w:lvl w:ilvl="0">
      <w:lvlJc w:val="left"/>
      <w:lvlText w:val="(%1)"/>
      <w:numFmt w:val="lowerLetter"/>
      <w:start w:val="3"/>
    </w:lvl>
    <w:lvl w:ilvl="1">
      <w:lvlJc w:val="left"/>
      <w:lvlText w:val="(%2)"/>
      <w:numFmt w:val="lowerRoman"/>
      <w:start w:val="1"/>
    </w:lvl>
  </w:abstractNum>
  <w:abstractNum w:abstractNumId="69">
    <w:nsid w:val="5CB44A05"/>
    <w:multiLevelType w:val="hybridMultilevel"/>
    <w:lvl w:ilvl="0">
      <w:lvlJc w:val="left"/>
      <w:lvlText w:val="(%1)"/>
      <w:numFmt w:val="lowerLetter"/>
      <w:start w:val="1"/>
    </w:lvl>
  </w:abstractNum>
  <w:abstractNum w:abstractNumId="70">
    <w:nsid w:val="16CF80F1"/>
    <w:multiLevelType w:val="hybridMultilevel"/>
    <w:lvl w:ilvl="0">
      <w:lvlJc w:val="left"/>
      <w:lvlText w:val="(%1)"/>
      <w:numFmt w:val="lowerRoman"/>
      <w:start w:val="2"/>
    </w:lvl>
  </w:abstractNum>
  <w:abstractNum w:abstractNumId="71">
    <w:nsid w:val="1C695DEC"/>
    <w:multiLevelType w:val="hybridMultilevel"/>
    <w:lvl w:ilvl="0">
      <w:lvlJc w:val="left"/>
      <w:lvlText w:val="(%1)"/>
      <w:numFmt w:val="lowerRoman"/>
      <w:start w:val="1"/>
    </w:lvl>
  </w:abstractNum>
  <w:abstractNum w:abstractNumId="72">
    <w:nsid w:val="3FCFAED9"/>
    <w:multiLevelType w:val="hybridMultilevel"/>
    <w:lvl w:ilvl="0">
      <w:lvlJc w:val="left"/>
      <w:lvlText w:val="(%1)"/>
      <w:numFmt w:val="lowerLetter"/>
      <w:start w:val="1"/>
    </w:lvl>
  </w:abstractNum>
  <w:abstractNum w:abstractNumId="73">
    <w:nsid w:val="F856867"/>
    <w:multiLevelType w:val="hybridMultilevel"/>
    <w:lvl w:ilvl="0">
      <w:lvlJc w:val="left"/>
      <w:lvlText w:val="(%1)"/>
      <w:numFmt w:val="lowerRoman"/>
      <w:start w:val="1"/>
    </w:lvl>
  </w:abstractNum>
  <w:abstractNum w:abstractNumId="74">
    <w:nsid w:val="11B1CC33"/>
    <w:multiLevelType w:val="hybridMultilevel"/>
    <w:lvl w:ilvl="0">
      <w:lvlJc w:val="left"/>
      <w:lvlText w:val="%1"/>
      <w:numFmt w:val="lowerRoman"/>
      <w:start w:val="1"/>
    </w:lvl>
    <w:lvl w:ilvl="1">
      <w:lvlJc w:val="left"/>
      <w:lvlText w:val="(%2)"/>
      <w:numFmt w:val="lowerLetter"/>
      <w:start w:val="1"/>
    </w:lvl>
  </w:abstractNum>
  <w:abstractNum w:abstractNumId="75">
    <w:nsid w:val="2E22FBB7"/>
    <w:multiLevelType w:val="hybridMultilevel"/>
    <w:lvl w:ilvl="0">
      <w:lvlJc w:val="left"/>
      <w:lvlText w:val="(%1)"/>
      <w:numFmt w:val="lowerRoman"/>
      <w:start w:val="4"/>
    </w:lvl>
    <w:lvl w:ilvl="1">
      <w:lvlJc w:val="left"/>
      <w:lvlText w:val="(%2)"/>
      <w:numFmt w:val="lowerLetter"/>
      <w:start w:val="3"/>
    </w:lvl>
  </w:abstractNum>
  <w:abstractNum w:abstractNumId="76">
    <w:nsid w:val="29934699"/>
    <w:multiLevelType w:val="hybridMultilevel"/>
    <w:lvl w:ilvl="0">
      <w:lvlJc w:val="left"/>
      <w:lvlText w:val="(%1)"/>
      <w:numFmt w:val="lowerLetter"/>
      <w:start w:val="1"/>
    </w:lvl>
  </w:abstractNum>
  <w:abstractNum w:abstractNumId="77">
    <w:nsid w:val="77485850"/>
    <w:multiLevelType w:val="hybridMultilevel"/>
    <w:lvl w:ilvl="0">
      <w:lvlJc w:val="left"/>
      <w:lvlText w:val="(%1)"/>
      <w:numFmt w:val="lowerLetter"/>
      <w:start w:val="1"/>
    </w:lvl>
  </w:abstractNum>
  <w:abstractNum w:abstractNumId="78">
    <w:nsid w:val="744939A3"/>
    <w:multiLevelType w:val="hybridMultilevel"/>
    <w:lvl w:ilvl="0">
      <w:lvlJc w:val="left"/>
      <w:lvlText w:val="(%1)"/>
      <w:numFmt w:val="lowerLetter"/>
      <w:start w:val="3"/>
    </w:lvl>
  </w:abstractNum>
  <w:abstractNum w:abstractNumId="79">
    <w:nsid w:val="4FA0D2E3"/>
    <w:multiLevelType w:val="hybridMultilevel"/>
    <w:lvl w:ilvl="0">
      <w:lvlJc w:val="left"/>
      <w:lvlText w:val="(%1)"/>
      <w:numFmt w:val="lowerLetter"/>
      <w:start w:val="1"/>
    </w:lvl>
  </w:abstractNum>
  <w:abstractNum w:abstractNumId="80">
    <w:nsid w:val="6B1D2C14"/>
    <w:multiLevelType w:val="hybridMultilevel"/>
    <w:lvl w:ilvl="0">
      <w:lvlJc w:val="left"/>
      <w:lvlText w:val="(%1)"/>
      <w:numFmt w:val="lowerLetter"/>
      <w:start w:val="1"/>
    </w:lvl>
  </w:abstractNum>
  <w:abstractNum w:abstractNumId="81">
    <w:nsid w:val="68B867D3"/>
    <w:multiLevelType w:val="hybridMultilevel"/>
    <w:lvl w:ilvl="0">
      <w:lvlJc w:val="left"/>
      <w:lvlText w:val="(%1)"/>
      <w:numFmt w:val="lowerLetter"/>
      <w:start w:val="4"/>
    </w:lvl>
  </w:abstractNum>
  <w:abstractNum w:abstractNumId="82">
    <w:nsid w:val="3F7F5DD9"/>
    <w:multiLevelType w:val="hybridMultilevel"/>
    <w:lvl w:ilvl="0">
      <w:lvlJc w:val="left"/>
      <w:lvlText w:val="(%1)"/>
      <w:numFmt w:val="lowerLetter"/>
      <w:start w:val="1"/>
    </w:lvl>
  </w:abstractNum>
  <w:abstractNum w:abstractNumId="83">
    <w:nsid w:val="2AE05A34"/>
    <w:multiLevelType w:val="hybridMultilevel"/>
    <w:lvl w:ilvl="0">
      <w:lvlJc w:val="left"/>
      <w:lvlText w:val="(%1)"/>
      <w:numFmt w:val="lowerLetter"/>
      <w:start w:val="3"/>
    </w:lvl>
  </w:abstractNum>
  <w:abstractNum w:abstractNumId="84">
    <w:nsid w:val="32794FF7"/>
    <w:multiLevelType w:val="hybridMultilevel"/>
    <w:lvl w:ilvl="0">
      <w:lvlJc w:val="left"/>
      <w:lvlText w:val="(%1)"/>
      <w:numFmt w:val="lowerLetter"/>
      <w:start w:val="1"/>
    </w:lvl>
  </w:abstractNum>
  <w:abstractNum w:abstractNumId="85">
    <w:nsid w:val="5454945E"/>
    <w:multiLevelType w:val="hybridMultilevel"/>
    <w:lvl w:ilvl="0">
      <w:lvlJc w:val="left"/>
      <w:lvlText w:val="(%1)"/>
      <w:numFmt w:val="lowerLetter"/>
      <w:start w:val="2"/>
    </w:lvl>
  </w:abstractNum>
  <w:abstractNum w:abstractNumId="86">
    <w:nsid w:val="4DEFDFA0"/>
    <w:multiLevelType w:val="hybridMultilevel"/>
    <w:lvl w:ilvl="0">
      <w:lvlJc w:val="left"/>
      <w:lvlText w:val="(%1)"/>
      <w:numFmt w:val="lowerLetter"/>
      <w:start w:val="1"/>
    </w:lvl>
  </w:abstractNum>
  <w:abstractNum w:abstractNumId="87">
    <w:nsid w:val="2123D5F2"/>
    <w:multiLevelType w:val="hybridMultilevel"/>
    <w:lvl w:ilvl="0">
      <w:lvlJc w:val="left"/>
      <w:lvlText w:val="(%1)"/>
      <w:numFmt w:val="lowerLetter"/>
      <w:start w:val="2"/>
    </w:lvl>
  </w:abstractNum>
  <w:abstractNum w:abstractNumId="88">
    <w:nsid w:val="135B8110"/>
    <w:multiLevelType w:val="hybridMultilevel"/>
    <w:lvl w:ilvl="0">
      <w:lvlJc w:val="left"/>
      <w:lvlText w:val="(%1)"/>
      <w:numFmt w:val="lowerLetter"/>
      <w:start w:val="1"/>
    </w:lvl>
  </w:abstractNum>
  <w:abstractNum w:abstractNumId="89">
    <w:nsid w:val="94927A8"/>
    <w:multiLevelType w:val="hybridMultilevel"/>
    <w:lvl w:ilvl="0">
      <w:lvlJc w:val="left"/>
      <w:lvlText w:val="%1"/>
      <w:numFmt w:val="lowerLetter"/>
      <w:start w:val="1"/>
    </w:lvl>
    <w:lvl w:ilvl="1">
      <w:lvlJc w:val="left"/>
      <w:lvlText w:val="(%2)"/>
      <w:numFmt w:val="lowerLetter"/>
      <w:start w:val="1"/>
    </w:lvl>
  </w:abstractNum>
  <w:abstractNum w:abstractNumId="90">
    <w:nsid w:val="DCDF8F6"/>
    <w:multiLevelType w:val="hybridMultilevel"/>
    <w:lvl w:ilvl="0">
      <w:lvlJc w:val="left"/>
      <w:lvlText w:val="(%1)"/>
      <w:numFmt w:val="lowerLetter"/>
      <w:start w:val="35"/>
    </w:lvl>
    <w:lvl w:ilvl="1">
      <w:lvlJc w:val="left"/>
      <w:lvlText w:val="%2"/>
      <w:numFmt w:val="lowerLetter"/>
      <w:start w:val="1"/>
    </w:lvl>
  </w:abstractNum>
  <w:abstractNum w:abstractNumId="91">
    <w:nsid w:val="52D7B10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2">
    <w:nsid w:val="2E8A6394"/>
    <w:multiLevelType w:val="hybridMultilevel"/>
    <w:lvl w:ilvl="0">
      <w:lvlJc w:val="left"/>
      <w:lvlText w:val="(%1)"/>
      <w:numFmt w:val="lowerRoman"/>
      <w:start w:val="2"/>
    </w:lvl>
  </w:abstractNum>
  <w:abstractNum w:abstractNumId="93">
    <w:nsid w:val="24E60401"/>
    <w:multiLevelType w:val="hybridMultilevel"/>
    <w:lvl w:ilvl="0">
      <w:lvlJc w:val="left"/>
      <w:lvlText w:val="(%1)"/>
      <w:numFmt w:val="lowerRoman"/>
      <w:start w:val="4"/>
    </w:lvl>
  </w:abstractNum>
  <w:abstractNum w:abstractNumId="94">
    <w:nsid w:val="2A6AD9BE"/>
    <w:multiLevelType w:val="hybridMultilevel"/>
    <w:lvl w:ilvl="0">
      <w:lvlJc w:val="left"/>
      <w:lvlText w:val="(%1)"/>
      <w:numFmt w:val="lowerLetter"/>
      <w:start w:val="3"/>
    </w:lvl>
  </w:abstractNum>
  <w:abstractNum w:abstractNumId="95">
    <w:nsid w:val="BAAC1B4"/>
    <w:multiLevelType w:val="hybridMultilevel"/>
    <w:lvl w:ilvl="0">
      <w:lvlJc w:val="left"/>
      <w:lvlText w:val="(%1)"/>
      <w:numFmt w:val="lowerLetter"/>
      <w:start w:val="1"/>
    </w:lvl>
  </w:abstractNum>
  <w:abstractNum w:abstractNumId="96">
    <w:nsid w:val="36B2ACBC"/>
    <w:multiLevelType w:val="hybridMultilevel"/>
    <w:lvl w:ilvl="0">
      <w:lvlJc w:val="left"/>
      <w:lvlText w:val="(%1)"/>
      <w:numFmt w:val="lowerLetter"/>
      <w:start w:val="5"/>
    </w:lvl>
  </w:abstractNum>
  <w:abstractNum w:abstractNumId="97">
    <w:nsid w:val="779D8544"/>
    <w:multiLevelType w:val="hybridMultilevel"/>
    <w:lvl w:ilvl="0">
      <w:lvlJc w:val="left"/>
      <w:lvlText w:val="%1"/>
      <w:numFmt w:val="lowerLetter"/>
      <w:start w:val="1"/>
    </w:lvl>
    <w:lvl w:ilvl="1">
      <w:lvlJc w:val="left"/>
      <w:lvlText w:val="(%2)"/>
      <w:numFmt w:val="lowerLetter"/>
      <w:start w:val="9"/>
    </w:lvl>
  </w:abstractNum>
  <w:abstractNum w:abstractNumId="98">
    <w:nsid w:val="4AB26E78"/>
    <w:multiLevelType w:val="hybridMultilevel"/>
    <w:lvl w:ilvl="0">
      <w:lvlJc w:val="left"/>
      <w:lvlText w:val="(%1)"/>
      <w:numFmt w:val="lowerLetter"/>
      <w:start w:val="61"/>
    </w:lvl>
    <w:lvl w:ilvl="1">
      <w:lvlJc w:val="left"/>
      <w:lvlText w:val="%2"/>
      <w:numFmt w:val="lowerLetter"/>
      <w:start w:val="1"/>
    </w:lvl>
  </w:abstractNum>
  <w:abstractNum w:abstractNumId="99">
    <w:nsid w:val="21FAA2FA"/>
    <w:multiLevelType w:val="hybridMultilevel"/>
    <w:lvl w:ilvl="0">
      <w:lvlJc w:val="left"/>
      <w:lvlText w:val="(%1)"/>
      <w:numFmt w:val="lowerLetter"/>
      <w:start w:val="12"/>
    </w:lvl>
  </w:abstractNum>
  <w:abstractNum w:abstractNumId="100">
    <w:nsid w:val="5451CF4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01">
    <w:nsid w:val="6181EF69"/>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102">
    <w:nsid w:val="3E6400E6"/>
    <w:multiLevelType w:val="hybridMultilevel"/>
    <w:lvl w:ilvl="0">
      <w:lvlJc w:val="left"/>
      <w:lvlText w:val="(%1)"/>
      <w:numFmt w:val="lowerRoman"/>
      <w:start w:val="3"/>
    </w:lvl>
  </w:abstractNum>
  <w:abstractNum w:abstractNumId="103">
    <w:nsid w:val="14217E23"/>
    <w:multiLevelType w:val="hybridMultilevel"/>
    <w:lvl w:ilvl="0">
      <w:lvlJc w:val="left"/>
      <w:lvlText w:val="(%1)"/>
      <w:numFmt w:val="lowerLetter"/>
      <w:start w:val="3"/>
    </w:lvl>
  </w:abstractNum>
  <w:abstractNum w:abstractNumId="104">
    <w:nsid w:val="710757D0"/>
    <w:multiLevelType w:val="hybridMultilevel"/>
    <w:lvl w:ilvl="0">
      <w:lvlJc w:val="left"/>
      <w:lvlText w:val="(%1)"/>
      <w:numFmt w:val="lowerLetter"/>
      <w:start w:val="1"/>
    </w:lvl>
  </w:abstractNum>
  <w:abstractNum w:abstractNumId="105">
    <w:nsid w:val="5015CD1A"/>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6">
    <w:nsid w:val="424479D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107">
    <w:nsid w:val="1A9A9E6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108">
    <w:nsid w:val="475E256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109">
    <w:nsid w:val="368DB37E"/>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10">
    <w:nsid w:val="6A3B714C"/>
    <w:multiLevelType w:val="hybridMultilevel"/>
    <w:lvl w:ilvl="0">
      <w:lvlJc w:val="left"/>
      <w:lvlText w:val="(%1)"/>
      <w:numFmt w:val="lowerLetter"/>
      <w:start w:val="8"/>
    </w:lvl>
  </w:abstractNum>
  <w:abstractNum w:abstractNumId="111">
    <w:nsid w:val="327B517E"/>
    <w:multiLevelType w:val="hybridMultilevel"/>
    <w:lvl w:ilvl="0">
      <w:lvlJc w:val="left"/>
      <w:lvlText w:val="(%1)"/>
      <w:numFmt w:val="lowerRoman"/>
      <w:start w:val="1"/>
    </w:lvl>
  </w:abstractNum>
  <w:abstractNum w:abstractNumId="112">
    <w:nsid w:val="1F461B51"/>
    <w:multiLevelType w:val="hybridMultilevel"/>
    <w:lvl w:ilvl="0">
      <w:lvlJc w:val="left"/>
      <w:lvlText w:val="(%1)"/>
      <w:numFmt w:val="lowerLetter"/>
      <w:start w:val="1"/>
    </w:lvl>
  </w:abstractNum>
  <w:abstractNum w:abstractNumId="113">
    <w:nsid w:val="29BACF25"/>
    <w:multiLevelType w:val="hybridMultilevel"/>
    <w:lvl w:ilvl="0">
      <w:lvlJc w:val="left"/>
      <w:lvlText w:val="(%1)"/>
      <w:numFmt w:val="lowerRoman"/>
      <w:start w:val="1"/>
    </w:lvl>
  </w:abstractNum>
  <w:abstractNum w:abstractNumId="114">
    <w:nsid w:val="5D5BABB3"/>
    <w:multiLevelType w:val="hybridMultilevel"/>
    <w:lvl w:ilvl="0">
      <w:lvlJc w:val="left"/>
      <w:lvlText w:val="(%1)"/>
      <w:numFmt w:val="lowerLetter"/>
      <w:start w:val="1"/>
    </w:lvl>
  </w:abstractNum>
  <w:abstractNum w:abstractNumId="115">
    <w:nsid w:val="51BF6B48"/>
    <w:multiLevelType w:val="hybridMultilevel"/>
    <w:lvl w:ilvl="0">
      <w:lvlJc w:val="left"/>
      <w:lvlText w:val="(%1)"/>
      <w:numFmt w:val="lowerRoman"/>
      <w:start w:val="1"/>
    </w:lvl>
    <w:lvl w:ilvl="1">
      <w:lvlJc w:val="left"/>
      <w:lvlText w:val="(%2)"/>
      <w:numFmt w:val="upperLetter"/>
      <w:start w:val="1"/>
    </w:lvl>
  </w:abstractNum>
  <w:abstractNum w:abstractNumId="116">
    <w:nsid w:val="7E0F6384"/>
    <w:multiLevelType w:val="hybridMultilevel"/>
    <w:lvl w:ilvl="0">
      <w:lvlJc w:val="left"/>
      <w:lvlText w:val="%1"/>
      <w:numFmt w:val="lowerLetter"/>
      <w:start w:val="1"/>
    </w:lvl>
    <w:lvl w:ilvl="1">
      <w:lvlJc w:val="left"/>
      <w:lvlText w:val="(%2)"/>
      <w:numFmt w:val="lowerRoman"/>
      <w:start w:val="4"/>
    </w:lvl>
  </w:abstractNum>
  <w:abstractNum w:abstractNumId="117">
    <w:nsid w:val="2B4B8B53"/>
    <w:multiLevelType w:val="hybridMultilevel"/>
    <w:lvl w:ilvl="0">
      <w:lvlJc w:val="left"/>
      <w:lvlText w:val="(%1)"/>
      <w:numFmt w:val="lowerLetter"/>
      <w:start w:val="2"/>
    </w:lvl>
    <w:lvl w:ilvl="1">
      <w:lvlJc w:val="left"/>
      <w:lvlText w:val="%2"/>
      <w:numFmt w:val="lowerRoman"/>
      <w:start w:val="1"/>
    </w:lvl>
  </w:abstractNum>
  <w:abstractNum w:abstractNumId="118">
    <w:nsid w:val="72E3413A"/>
    <w:multiLevelType w:val="hybridMultilevel"/>
    <w:lvl w:ilvl="0">
      <w:lvlJc w:val="left"/>
      <w:lvlText w:val="(%1)"/>
      <w:numFmt w:val="lowerLetter"/>
      <w:start w:val="4"/>
    </w:lvl>
  </w:abstractNum>
  <w:abstractNum w:abstractNumId="119">
    <w:nsid w:val="116AE494"/>
    <w:multiLevelType w:val="hybridMultilevel"/>
    <w:lvl w:ilvl="0">
      <w:lvlJc w:val="left"/>
      <w:lvlText w:val="(%1)"/>
      <w:numFmt w:val="lowerLetter"/>
      <w:start w:val="1"/>
    </w:lvl>
  </w:abstractNum>
  <w:abstractNum w:abstractNumId="120">
    <w:nsid w:val="3494B2FB"/>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21">
    <w:nsid w:val="B13A31"/>
    <w:multiLevelType w:val="hybridMultilevel"/>
    <w:lvl w:ilvl="0">
      <w:lvlJc w:val="left"/>
      <w:lvlText w:val="(%1)"/>
      <w:numFmt w:val="lowerLetter"/>
      <w:start w:val="9"/>
    </w:lvl>
  </w:abstractNum>
  <w:abstractNum w:abstractNumId="122">
    <w:nsid w:val="64429599"/>
    <w:multiLevelType w:val="hybridMultilevel"/>
    <w:lvl w:ilvl="0">
      <w:lvlJc w:val="left"/>
      <w:lvlText w:val="(%1)"/>
      <w:numFmt w:val="lowerLetter"/>
      <w:start w:val="13"/>
    </w:lvl>
  </w:abstractNum>
  <w:abstractNum w:abstractNumId="123">
    <w:nsid w:val="631F1690"/>
    <w:multiLevelType w:val="hybridMultilevel"/>
    <w:lvl w:ilvl="0">
      <w:lvlJc w:val="left"/>
      <w:lvlText w:val="(%1)"/>
      <w:numFmt w:val="lowerLetter"/>
      <w:start w:val="1"/>
    </w:lvl>
  </w:abstractNum>
  <w:abstractNum w:abstractNumId="124">
    <w:nsid w:val="25973E32"/>
    <w:multiLevelType w:val="hybridMultilevel"/>
    <w:lvl w:ilvl="0">
      <w:lvlJc w:val="left"/>
      <w:lvlText w:val="(%1)"/>
      <w:numFmt w:val="lowerLetter"/>
      <w:start w:val="2"/>
    </w:lvl>
  </w:abstractNum>
  <w:abstractNum w:abstractNumId="125">
    <w:nsid w:val="EAD6F57"/>
    <w:multiLevelType w:val="hybridMultilevel"/>
    <w:lvl w:ilvl="0">
      <w:lvlJc w:val="left"/>
      <w:lvlText w:val="(%1)"/>
      <w:numFmt w:val="lowerRoman"/>
      <w:start w:val="1"/>
    </w:lvl>
  </w:abstractNum>
  <w:abstractNum w:abstractNumId="126">
    <w:nsid w:val="6EC9D844"/>
    <w:multiLevelType w:val="hybridMultilevel"/>
    <w:lvl w:ilvl="0">
      <w:lvlJc w:val="left"/>
      <w:lvlText w:val="%1"/>
      <w:numFmt w:val="lowerLetter"/>
      <w:start w:val="1"/>
    </w:lvl>
    <w:lvl w:ilvl="1">
      <w:lvlJc w:val="left"/>
      <w:lvlText w:val="(%2)"/>
      <w:numFmt w:val="lowerRoman"/>
      <w:start w:val="7"/>
    </w:lvl>
  </w:abstractNum>
  <w:abstractNum w:abstractNumId="127">
    <w:nsid w:val="5C49EAEE"/>
    <w:multiLevelType w:val="hybridMultilevel"/>
    <w:lvl w:ilvl="0">
      <w:lvlJc w:val="left"/>
      <w:lvlText w:val="(%1)"/>
      <w:numFmt w:val="lowerLetter"/>
      <w:start w:val="3"/>
    </w:lvl>
    <w:lvl w:ilvl="1">
      <w:lvlJc w:val="left"/>
      <w:lvlText w:val="%2"/>
      <w:numFmt w:val="lowerRoman"/>
      <w:start w:val="1"/>
    </w:lvl>
  </w:abstractNum>
  <w:abstractNum w:abstractNumId="128">
    <w:nsid w:val="64AF49B"/>
    <w:multiLevelType w:val="hybridMultilevel"/>
    <w:lvl w:ilvl="0">
      <w:lvlJc w:val="left"/>
      <w:lvlText w:val="(%1)"/>
      <w:numFmt w:val="lowerLetter"/>
      <w:start w:val="1"/>
    </w:lvl>
    <w:lvl w:ilvl="1">
      <w:lvlJc w:val="left"/>
      <w:lvlText w:val="(%2)"/>
      <w:numFmt w:val="lowerLetter"/>
      <w:start w:val="9"/>
    </w:lvl>
  </w:abstractNum>
  <w:abstractNum w:abstractNumId="129">
    <w:nsid w:val="397C46BC"/>
    <w:multiLevelType w:val="hybridMultilevel"/>
    <w:lvl w:ilvl="0">
      <w:lvlJc w:val="left"/>
      <w:lvlText w:val="(%1)"/>
      <w:numFmt w:val="lowerRoman"/>
      <w:start w:val="2"/>
    </w:lvl>
  </w:abstractNum>
  <w:abstractNum w:abstractNumId="130">
    <w:nsid w:val="7E448DE9"/>
    <w:multiLevelType w:val="hybridMultilevel"/>
    <w:lvl w:ilvl="0">
      <w:lvlJc w:val="left"/>
      <w:lvlText w:val="%1"/>
      <w:numFmt w:val="lowerLetter"/>
      <w:start w:val="1"/>
    </w:lvl>
    <w:lvl w:ilvl="1">
      <w:lvlJc w:val="left"/>
      <w:lvlText w:val="(%2)"/>
      <w:numFmt w:val="lowerLetter"/>
      <w:start w:val="1"/>
    </w:lvl>
  </w:abstractNum>
  <w:abstractNum w:abstractNumId="131">
    <w:nsid w:val="5A9CC3E5"/>
    <w:multiLevelType w:val="hybridMultilevel"/>
    <w:lvl w:ilvl="0">
      <w:lvlJc w:val="left"/>
      <w:lvlText w:val="(%1)"/>
      <w:numFmt w:val="lowerLetter"/>
      <w:start w:val="35"/>
    </w:lvl>
    <w:lvl w:ilvl="1">
      <w:lvlJc w:val="left"/>
      <w:lvlText w:val="(%2)"/>
      <w:numFmt w:val="lowerLetter"/>
      <w:start w:val="2"/>
    </w:lvl>
  </w:abstractNum>
  <w:abstractNum w:abstractNumId="132">
    <w:nsid w:val="1AFE3625"/>
    <w:multiLevelType w:val="hybridMultilevel"/>
    <w:lvl w:ilvl="0">
      <w:lvlJc w:val="left"/>
      <w:lvlText w:val="(%1)"/>
      <w:numFmt w:val="lowerLetter"/>
      <w:start w:val="1"/>
    </w:lvl>
  </w:abstractNum>
  <w:abstractNum w:abstractNumId="133">
    <w:nsid w:val="3CA88ECF"/>
    <w:multiLevelType w:val="hybridMultilevel"/>
    <w:lvl w:ilvl="0">
      <w:lvlJc w:val="left"/>
      <w:lvlText w:val="(%1)"/>
      <w:numFmt w:val="lowerRoman"/>
      <w:start w:val="4"/>
    </w:lvl>
    <w:lvl w:ilvl="1">
      <w:lvlJc w:val="left"/>
      <w:lvlText w:val="(%2)"/>
      <w:numFmt w:val="lowerLetter"/>
      <w:start w:val="2"/>
    </w:lvl>
  </w:abstractNum>
  <w:abstractNum w:abstractNumId="134">
    <w:nsid w:val="6EBE4208"/>
    <w:multiLevelType w:val="hybridMultilevel"/>
    <w:lvl w:ilvl="0">
      <w:lvlJc w:val="left"/>
      <w:lvlText w:val="(%1)"/>
      <w:numFmt w:val="lowerLetter"/>
      <w:start w:val="1"/>
    </w:lvl>
  </w:abstractNum>
  <w:abstractNum w:abstractNumId="135">
    <w:nsid w:val="C058DF5"/>
    <w:multiLevelType w:val="hybridMultilevel"/>
    <w:lvl w:ilvl="0">
      <w:lvlJc w:val="left"/>
      <w:lvlText w:val="%1"/>
      <w:numFmt w:val="lowerLetter"/>
      <w:start w:val="1"/>
    </w:lvl>
    <w:lvl w:ilvl="1">
      <w:lvlJc w:val="left"/>
      <w:lvlText w:val="(%2)"/>
      <w:numFmt w:val="lowerLetter"/>
      <w:start w:val="1"/>
    </w:lvl>
  </w:abstractNum>
  <w:abstractNum w:abstractNumId="136">
    <w:nsid w:val="CBE5BE9"/>
    <w:multiLevelType w:val="hybridMultilevel"/>
    <w:lvl w:ilvl="0">
      <w:lvlJc w:val="left"/>
      <w:lvlText w:val="(%1)"/>
      <w:numFmt w:val="lowerLetter"/>
      <w:start w:val="35"/>
    </w:lvl>
    <w:lvl w:ilvl="1">
      <w:lvlJc w:val="left"/>
      <w:lvlText w:val="%2"/>
      <w:numFmt w:val="lowerLetter"/>
      <w:start w:val="1"/>
    </w:lvl>
  </w:abstractNum>
  <w:abstractNum w:abstractNumId="137">
    <w:nsid w:val="3102BBE2"/>
    <w:multiLevelType w:val="hybridMultilevel"/>
    <w:lvl w:ilvl="0">
      <w:lvlJc w:val="left"/>
      <w:lvlText w:val="(%1)"/>
      <w:numFmt w:val="lowerLetter"/>
      <w:start w:val="2"/>
    </w:lvl>
  </w:abstractNum>
  <w:abstractNum w:abstractNumId="138">
    <w:nsid w:val="26A02C5E"/>
    <w:multiLevelType w:val="hybridMultilevel"/>
    <w:lvl w:ilvl="0">
      <w:lvlJc w:val="left"/>
      <w:lvlText w:val="(%1)"/>
      <w:numFmt w:val="lowerLetter"/>
      <w:start w:val="4"/>
    </w:lvl>
  </w:abstractNum>
  <w:abstractNum w:abstractNumId="139">
    <w:nsid w:val="541C8153"/>
    <w:multiLevelType w:val="hybridMultilevel"/>
    <w:lvl w:ilvl="0">
      <w:lvlJc w:val="left"/>
      <w:lvlText w:val="(%1)"/>
      <w:numFmt w:val="lowerLetter"/>
      <w:start w:val="1"/>
    </w:lvl>
  </w:abstractNum>
  <w:abstractNum w:abstractNumId="140">
    <w:nsid w:val="67906F60"/>
    <w:multiLevelType w:val="hybridMultilevel"/>
    <w:lvl w:ilvl="0">
      <w:lvlJc w:val="left"/>
      <w:lvlText w:val="(%1)"/>
      <w:numFmt w:val="lowerLetter"/>
      <w:start w:val="1"/>
    </w:lvl>
  </w:abstractNum>
  <w:abstractNum w:abstractNumId="141">
    <w:nsid w:val="10DB9DAA"/>
    <w:multiLevelType w:val="hybridMultilevel"/>
    <w:lvl w:ilvl="0">
      <w:lvlJc w:val="left"/>
      <w:lvlText w:val="%1"/>
      <w:numFmt w:val="lowerLetter"/>
      <w:start w:val="1"/>
    </w:lvl>
    <w:lvl w:ilvl="1">
      <w:lvlJc w:val="left"/>
      <w:lvlText w:val="(%2)"/>
      <w:numFmt w:val="lowerLetter"/>
      <w:start w:val="2"/>
    </w:lvl>
  </w:abstractNum>
  <w:abstractNum w:abstractNumId="142">
    <w:nsid w:val="697D2D2"/>
    <w:multiLevelType w:val="hybridMultilevel"/>
    <w:lvl w:ilvl="0">
      <w:lvlJc w:val="left"/>
      <w:lvlText w:val="(%1)"/>
      <w:numFmt w:val="lowerLetter"/>
      <w:start w:val="9"/>
    </w:lvl>
    <w:lvl w:ilvl="1">
      <w:lvlJc w:val="left"/>
      <w:lvlText w:val="(%2)"/>
      <w:numFmt w:val="lowerLetter"/>
      <w:start w:val="9"/>
    </w:lvl>
  </w:abstractNum>
  <w:abstractNum w:abstractNumId="143">
    <w:nsid w:val="6D68AB2"/>
    <w:multiLevelType w:val="hybridMultilevel"/>
    <w:lvl w:ilvl="0">
      <w:lvlJc w:val="left"/>
      <w:lvlText w:val="%1"/>
      <w:numFmt w:val="lowerLetter"/>
      <w:start w:val="1"/>
    </w:lvl>
    <w:lvl w:ilvl="1">
      <w:lvlJc w:val="left"/>
      <w:lvlText w:val="(%2)"/>
      <w:numFmt w:val="lowerLetter"/>
      <w:start w:val="1"/>
    </w:lvl>
  </w:abstractNum>
  <w:abstractNum w:abstractNumId="144">
    <w:nsid w:val="3A966CD0"/>
    <w:multiLevelType w:val="hybridMultilevel"/>
    <w:lvl w:ilvl="0">
      <w:lvlJc w:val="left"/>
      <w:lvlText w:val="(%1)"/>
      <w:numFmt w:val="lowerLetter"/>
      <w:start w:val="1"/>
    </w:lvl>
    <w:lvl w:ilvl="1">
      <w:lvlJc w:val="left"/>
      <w:lvlText w:val="(%2)"/>
      <w:numFmt w:val="lowerLetter"/>
      <w:start w:val="2"/>
    </w:lvl>
  </w:abstractNum>
  <w:abstractNum w:abstractNumId="145">
    <w:nsid w:val="63F37E85"/>
    <w:multiLevelType w:val="hybridMultilevel"/>
    <w:lvl w:ilvl="0">
      <w:lvlJc w:val="left"/>
      <w:lvlText w:val="(%1)"/>
      <w:numFmt w:val="lowerLetter"/>
      <w:start w:val="1"/>
    </w:lvl>
  </w:abstractNum>
  <w:abstractNum w:abstractNumId="146">
    <w:nsid w:val="5895F5FA"/>
    <w:multiLevelType w:val="hybridMultilevel"/>
    <w:lvl w:ilvl="0">
      <w:lvlJc w:val="left"/>
      <w:lvlText w:val="(%1)"/>
      <w:numFmt w:val="lowerLetter"/>
      <w:start w:val="1"/>
    </w:lvl>
  </w:abstractNum>
  <w:abstractNum w:abstractNumId="147">
    <w:nsid w:val="38A5D05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8">
    <w:nsid w:val="F3F09D8"/>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149">
    <w:nsid w:val="4B793735"/>
    <w:multiLevelType w:val="hybridMultilevel"/>
    <w:lvl w:ilvl="0">
      <w:lvlJc w:val="left"/>
      <w:lvlText w:val="(%1)"/>
      <w:numFmt w:val="lowerLetter"/>
      <w:start w:val="6"/>
    </w:lvl>
    <w:lvl w:ilvl="1">
      <w:lvlJc w:val="left"/>
      <w:lvlText w:val="(%2)"/>
      <w:numFmt w:val="lowerRoman"/>
      <w:start w:val="1"/>
    </w:lvl>
  </w:abstractNum>
  <w:abstractNum w:abstractNumId="150">
    <w:nsid w:val="4A10B4E8"/>
    <w:multiLevelType w:val="hybridMultilevel"/>
    <w:lvl w:ilvl="0">
      <w:lvlJc w:val="left"/>
      <w:lvlText w:val="(%1)"/>
      <w:numFmt w:val="lowerLetter"/>
      <w:start w:val="16"/>
    </w:lvl>
  </w:abstractNum>
  <w:abstractNum w:abstractNumId="151">
    <w:nsid w:val="43D3BCD4"/>
    <w:multiLevelType w:val="hybridMultilevel"/>
    <w:lvl w:ilvl="0">
      <w:lvlJc w:val="left"/>
      <w:lvlText w:val="%1"/>
      <w:numFmt w:val="lowerLetter"/>
      <w:start w:val="1"/>
    </w:lvl>
    <w:lvl w:ilvl="1">
      <w:lvlJc w:val="left"/>
      <w:lvlText w:val="(%2)"/>
      <w:numFmt w:val="lowerLetter"/>
      <w:start w:val="1"/>
    </w:lvl>
  </w:abstractNum>
  <w:abstractNum w:abstractNumId="152">
    <w:nsid w:val="4C2A7166"/>
    <w:multiLevelType w:val="hybridMultilevel"/>
    <w:lvl w:ilvl="0">
      <w:lvlJc w:val="left"/>
      <w:lvlText w:val="(%1)"/>
      <w:numFmt w:val="lowerLetter"/>
      <w:start w:val="35"/>
    </w:lvl>
    <w:lvl w:ilvl="1">
      <w:lvlJc w:val="left"/>
      <w:lvlText w:val="%2"/>
      <w:numFmt w:val="lowerLetter"/>
      <w:start w:val="1"/>
    </w:lvl>
  </w:abstractNum>
  <w:abstractNum w:abstractNumId="153">
    <w:nsid w:val="2E534A82"/>
    <w:multiLevelType w:val="hybridMultilevel"/>
    <w:lvl w:ilvl="0">
      <w:lvlJc w:val="left"/>
      <w:lvlText w:val="(%1)"/>
      <w:numFmt w:val="lowerLetter"/>
      <w:start w:val="5"/>
    </w:lvl>
  </w:abstractNum>
  <w:abstractNum w:abstractNumId="154">
    <w:nsid w:val="26F2D364"/>
    <w:multiLevelType w:val="hybridMultilevel"/>
    <w:lvl w:ilvl="0">
      <w:lvlJc w:val="left"/>
      <w:lvlText w:val="(%1)"/>
      <w:numFmt w:val="lowerLetter"/>
      <w:start w:val="1"/>
    </w:lvl>
  </w:abstractNum>
  <w:abstractNum w:abstractNumId="155">
    <w:nsid w:val="71C1AF98"/>
    <w:multiLevelType w:val="hybridMultilevel"/>
    <w:lvl w:ilvl="0">
      <w:lvlJc w:val="left"/>
      <w:lvlText w:val="(%1)"/>
      <w:numFmt w:val="lowerLetter"/>
      <w:start w:val="1"/>
    </w:lvl>
  </w:abstractNum>
  <w:abstractNum w:abstractNumId="156">
    <w:nsid w:val="3D00B9D9"/>
    <w:multiLevelType w:val="hybridMultilevel"/>
    <w:lvl w:ilvl="0">
      <w:lvlJc w:val="left"/>
      <w:lvlText w:val="(%1)"/>
      <w:numFmt w:val="lowerLetter"/>
      <w:start w:val="3"/>
    </w:lvl>
  </w:abstractNum>
  <w:abstractNum w:abstractNumId="157">
    <w:nsid w:val="15BCABA8"/>
    <w:multiLevelType w:val="hybridMultilevel"/>
    <w:lvl w:ilvl="0">
      <w:lvlJc w:val="left"/>
      <w:lvlText w:val="(%1)"/>
      <w:numFmt w:val="lowerLetter"/>
      <w:start w:val="1"/>
    </w:lvl>
  </w:abstractNum>
  <w:abstractNum w:abstractNumId="158">
    <w:nsid w:val="4E0B9A87"/>
    <w:multiLevelType w:val="hybridMultilevel"/>
    <w:lvl w:ilvl="0">
      <w:lvlJc w:val="left"/>
      <w:lvlText w:val="%1"/>
      <w:numFmt w:val="lowerLetter"/>
      <w:start w:val="1"/>
    </w:lvl>
    <w:lvl w:ilvl="1">
      <w:lvlJc w:val="left"/>
      <w:lvlText w:val="(%2)"/>
      <w:numFmt w:val="lowerLetter"/>
      <w:start w:val="35"/>
    </w:lvl>
  </w:abstractNum>
  <w:abstractNum w:abstractNumId="159">
    <w:nsid w:val="434BAE75"/>
    <w:multiLevelType w:val="hybridMultilevel"/>
    <w:lvl w:ilvl="0">
      <w:lvlJc w:val="left"/>
      <w:lvlText w:val="(%1)"/>
      <w:numFmt w:val="lowerLetter"/>
      <w:start w:val="5"/>
    </w:lvl>
    <w:lvl w:ilvl="1">
      <w:lvlJc w:val="left"/>
      <w:lvlText w:val="%2"/>
      <w:numFmt w:val="lowerLetter"/>
      <w:start w:val="1"/>
    </w:lvl>
  </w:abstractNum>
  <w:abstractNum w:abstractNumId="160">
    <w:nsid w:val="4F38F265"/>
    <w:multiLevelType w:val="hybridMultilevel"/>
    <w:lvl w:ilvl="0">
      <w:lvlJc w:val="left"/>
      <w:lvlText w:val="(%1)"/>
      <w:numFmt w:val="lowerLetter"/>
      <w:start w:val="1"/>
    </w:lvl>
  </w:abstractNum>
  <w:abstractNum w:abstractNumId="161">
    <w:nsid w:val="4C502870"/>
    <w:multiLevelType w:val="hybridMultilevel"/>
    <w:lvl w:ilvl="0">
      <w:lvlJc w:val="left"/>
      <w:lvlText w:val="(%1)"/>
      <w:numFmt w:val="lowerRoman"/>
      <w:start w:val="2"/>
    </w:lvl>
  </w:abstractNum>
  <w:abstractNum w:abstractNumId="162">
    <w:nsid w:val="1DE8725A"/>
    <w:multiLevelType w:val="hybridMultilevel"/>
    <w:lvl w:ilvl="0">
      <w:lvlJc w:val="left"/>
      <w:lvlText w:val="(%1)"/>
      <w:numFmt w:val="lowerLetter"/>
      <w:start w:val="1"/>
    </w:lvl>
  </w:abstractNum>
  <w:abstractNum w:abstractNumId="163">
    <w:nsid w:val="6A37288A"/>
    <w:multiLevelType w:val="hybridMultilevel"/>
    <w:lvl w:ilvl="0">
      <w:lvlJc w:val="left"/>
      <w:lvlText w:val="(%1)"/>
      <w:numFmt w:val="lowerLetter"/>
      <w:start w:val="3"/>
    </w:lvl>
  </w:abstractNum>
  <w:abstractNum w:abstractNumId="164">
    <w:nsid w:val="8F8B73F"/>
    <w:multiLevelType w:val="hybridMultilevel"/>
    <w:lvl w:ilvl="0">
      <w:lvlJc w:val="left"/>
      <w:lvlText w:val="(%1)"/>
      <w:numFmt w:val="lowerLetter"/>
      <w:start w:val="4"/>
    </w:lvl>
  </w:abstractNum>
  <w:abstractNum w:abstractNumId="165">
    <w:nsid w:val="CA6B462"/>
    <w:multiLevelType w:val="hybridMultilevel"/>
    <w:lvl w:ilvl="0">
      <w:lvlJc w:val="left"/>
      <w:lvlText w:val="(%1)"/>
      <w:numFmt w:val="lowerLetter"/>
      <w:start w:val="1"/>
    </w:lvl>
  </w:abstractNum>
  <w:abstractNum w:abstractNumId="166">
    <w:nsid w:val="763CB680"/>
    <w:multiLevelType w:val="hybridMultilevel"/>
    <w:lvl w:ilvl="0">
      <w:lvlJc w:val="left"/>
      <w:lvlText w:val="(%1)"/>
      <w:numFmt w:val="lowerLetter"/>
      <w:start w:val="1"/>
    </w:lvl>
  </w:abstractNum>
  <w:abstractNum w:abstractNumId="167">
    <w:nsid w:val="15B71329"/>
    <w:multiLevelType w:val="hybridMultilevel"/>
    <w:lvl w:ilvl="0">
      <w:lvlJc w:val="left"/>
      <w:lvlText w:val="(%1)"/>
      <w:numFmt w:val="lowerLetter"/>
      <w:start w:val="3"/>
    </w:lvl>
  </w:abstractNum>
  <w:abstractNum w:abstractNumId="168">
    <w:nsid w:val="3DA97044"/>
    <w:multiLevelType w:val="hybridMultilevel"/>
    <w:lvl w:ilvl="0">
      <w:lvlJc w:val="left"/>
      <w:lvlText w:val="(%1)"/>
      <w:numFmt w:val="lowerLetter"/>
      <w:start w:val="11"/>
    </w:lvl>
  </w:abstractNum>
  <w:abstractNum w:abstractNumId="169">
    <w:nsid w:val="1CDCE2DE"/>
    <w:multiLevelType w:val="hybridMultilevel"/>
    <w:lvl w:ilvl="0">
      <w:lvlJc w:val="left"/>
      <w:lvlText w:val="(%1)"/>
      <w:numFmt w:val="lowerLetter"/>
      <w:start w:val="1"/>
    </w:lvl>
  </w:abstractNum>
  <w:abstractNum w:abstractNumId="170">
    <w:nsid w:val="69D3947C"/>
    <w:multiLevelType w:val="hybridMultilevel"/>
    <w:lvl w:ilvl="0">
      <w:lvlJc w:val="left"/>
      <w:lvlText w:val="%1"/>
      <w:numFmt w:val="lowerLetter"/>
      <w:start w:val="1"/>
    </w:lvl>
    <w:lvl w:ilvl="1">
      <w:lvlJc w:val="left"/>
      <w:lvlText w:val="(%2)"/>
      <w:numFmt w:val="lowerLetter"/>
      <w:start w:val="10"/>
    </w:lvl>
  </w:abstractNum>
  <w:abstractNum w:abstractNumId="171">
    <w:nsid w:val="2539DFA5"/>
    <w:multiLevelType w:val="hybridMultilevel"/>
    <w:lvl w:ilvl="0">
      <w:lvlJc w:val="left"/>
      <w:lvlText w:val="(%1)"/>
      <w:numFmt w:val="lowerLetter"/>
      <w:start w:val="35"/>
    </w:lvl>
    <w:lvl w:ilvl="1">
      <w:lvlJc w:val="left"/>
      <w:lvlText w:val="(%2)"/>
      <w:numFmt w:val="lowerLetter"/>
      <w:start w:val="13"/>
    </w:lvl>
  </w:abstractNum>
  <w:abstractNum w:abstractNumId="172">
    <w:nsid w:val="2DB88089"/>
    <w:multiLevelType w:val="hybridMultilevel"/>
    <w:lvl w:ilvl="0">
      <w:lvlJc w:val="left"/>
      <w:lvlText w:val="(%1)"/>
      <w:numFmt w:val="lowerLetter"/>
      <w:start w:val="17"/>
    </w:lvl>
  </w:abstractNum>
  <w:abstractNum w:abstractNumId="173">
    <w:nsid w:val="706B674E"/>
    <w:multiLevelType w:val="hybridMultilevel"/>
    <w:lvl w:ilvl="0">
      <w:lvlJc w:val="left"/>
      <w:lvlText w:val="%1"/>
      <w:numFmt w:val="upperLetter"/>
      <w:start w:val="1"/>
    </w:lvl>
    <w:lvl w:ilvl="1">
      <w:lvlJc w:val="left"/>
      <w:lvlText w:val="(%2)"/>
      <w:numFmt w:val="lowerLetter"/>
      <w:start w:val="1"/>
    </w:lvl>
  </w:abstractNum>
  <w:abstractNum w:abstractNumId="174">
    <w:nsid w:val="2C106A57"/>
    <w:multiLevelType w:val="hybridMultilevel"/>
    <w:lvl w:ilvl="0">
      <w:lvlJc w:val="left"/>
      <w:lvlText w:val="(%1)"/>
      <w:numFmt w:val="upperLetter"/>
      <w:start w:val="1"/>
    </w:lvl>
    <w:lvl w:ilvl="1">
      <w:lvlJc w:val="left"/>
      <w:lvlText w:val="(%2)"/>
      <w:numFmt w:val="lowerLetter"/>
      <w:start w:val="3"/>
    </w:lvl>
  </w:abstractNum>
  <w:abstractNum w:abstractNumId="175">
    <w:nsid w:val="684EED59"/>
    <w:multiLevelType w:val="hybridMultilevel"/>
    <w:lvl w:ilvl="0">
      <w:lvlJc w:val="left"/>
      <w:lvlText w:val="(%1)"/>
      <w:numFmt w:val="lowerLetter"/>
      <w:start w:val="1"/>
    </w:lvl>
  </w:abstractNum>
  <w:abstractNum w:abstractNumId="176">
    <w:nsid w:val="545EE5D3"/>
    <w:multiLevelType w:val="hybridMultilevel"/>
    <w:lvl w:ilvl="0">
      <w:lvlJc w:val="left"/>
      <w:lvlText w:val="%1"/>
      <w:numFmt w:val="lowerLetter"/>
      <w:start w:val="1"/>
    </w:lvl>
    <w:lvl w:ilvl="1">
      <w:lvlJc w:val="left"/>
      <w:lvlText w:val="(%2)"/>
      <w:numFmt w:val="lowerLetter"/>
      <w:start w:val="3"/>
    </w:lvl>
  </w:abstractNum>
  <w:abstractNum w:abstractNumId="177">
    <w:nsid w:val="4A66051"/>
    <w:multiLevelType w:val="hybridMultilevel"/>
    <w:lvl w:ilvl="0">
      <w:lvlJc w:val="left"/>
      <w:lvlText w:val="(%1)"/>
      <w:numFmt w:val="lowerLetter"/>
      <w:start w:val="35"/>
    </w:lvl>
    <w:lvl w:ilvl="1">
      <w:lvlJc w:val="left"/>
      <w:lvlText w:val="(%2)"/>
      <w:numFmt w:val="lowerLetter"/>
      <w:start w:val="5"/>
    </w:lvl>
  </w:abstractNum>
  <w:abstractNum w:abstractNumId="178">
    <w:nsid w:val="20F4BDAD"/>
    <w:multiLevelType w:val="hybridMultilevel"/>
    <w:lvl w:ilvl="0">
      <w:lvlJc w:val="left"/>
      <w:lvlText w:val="(%1)"/>
      <w:numFmt w:val="lowerLetter"/>
      <w:start w:val="25"/>
    </w:lvl>
  </w:abstractNum>
  <w:abstractNum w:abstractNumId="179">
    <w:nsid w:val="639DEFAC"/>
    <w:multiLevelType w:val="hybridMultilevel"/>
    <w:lvl w:ilvl="0">
      <w:lvlJc w:val="left"/>
      <w:lvlText w:val="(%1)"/>
      <w:numFmt w:val="lowerLetter"/>
      <w:start w:val="1"/>
    </w:lvl>
  </w:abstractNum>
  <w:abstractNum w:abstractNumId="180">
    <w:nsid w:val="501F9786"/>
    <w:multiLevelType w:val="hybridMultilevel"/>
    <w:lvl w:ilvl="0">
      <w:lvlJc w:val="left"/>
      <w:lvlText w:val="(%1)"/>
      <w:numFmt w:val="lowerLetter"/>
      <w:start w:val="2"/>
    </w:lvl>
  </w:abstractNum>
  <w:abstractNum w:abstractNumId="181">
    <w:nsid w:val="6B057295"/>
    <w:multiLevelType w:val="hybridMultilevel"/>
    <w:lvl w:ilvl="0">
      <w:lvlJc w:val="left"/>
      <w:lvlText w:val="(%1)"/>
      <w:numFmt w:val="lowerLetter"/>
      <w:start w:val="10"/>
    </w:lvl>
  </w:abstractNum>
  <w:abstractNum w:abstractNumId="182">
    <w:nsid w:val="2771AC80"/>
    <w:multiLevelType w:val="hybridMultilevel"/>
    <w:lvl w:ilvl="0">
      <w:lvlJc w:val="left"/>
      <w:lvlText w:val="%1"/>
      <w:numFmt w:val="upperLetter"/>
      <w:start w:val="1"/>
    </w:lvl>
    <w:lvl w:ilvl="1">
      <w:lvlJc w:val="left"/>
      <w:lvlText w:val="(%2)"/>
      <w:numFmt w:val="lowerLetter"/>
      <w:start w:val="1"/>
    </w:lvl>
  </w:abstractNum>
  <w:abstractNum w:abstractNumId="183">
    <w:nsid w:val="1C4A08EC"/>
    <w:multiLevelType w:val="hybridMultilevel"/>
    <w:lvl w:ilvl="0">
      <w:lvlJc w:val="left"/>
      <w:lvlText w:val="(%1)"/>
      <w:numFmt w:val="upperLetter"/>
      <w:start w:val="1"/>
    </w:lvl>
    <w:lvl w:ilvl="1">
      <w:lvlJc w:val="left"/>
      <w:lvlText w:val="%2"/>
      <w:numFmt w:val="lowerLetter"/>
      <w:start w:val="1"/>
    </w:lvl>
  </w:abstractNum>
  <w:abstractNum w:abstractNumId="184">
    <w:nsid w:val="1958BD17"/>
    <w:multiLevelType w:val="hybridMultilevel"/>
    <w:lvl w:ilvl="0">
      <w:lvlJc w:val="left"/>
      <w:lvlText w:val="(%1)"/>
      <w:numFmt w:val="lowerLetter"/>
      <w:start w:val="7"/>
    </w:lvl>
  </w:abstractNum>
  <w:abstractNum w:abstractNumId="185">
    <w:nsid w:val="4E647FE4"/>
    <w:multiLevelType w:val="hybridMultilevel"/>
    <w:lvl w:ilvl="0">
      <w:lvlJc w:val="left"/>
      <w:lvlText w:val="(%1)"/>
      <w:numFmt w:val="lowerLetter"/>
      <w:start w:val="8"/>
    </w:lvl>
    <w:lvl w:ilvl="1">
      <w:lvlJc w:val="left"/>
      <w:lvlText w:val="(%2)"/>
      <w:numFmt w:val="lowerRoman"/>
      <w:start w:val="1"/>
    </w:lvl>
  </w:abstractNum>
  <w:abstractNum w:abstractNumId="186">
    <w:nsid w:val="E0BB885"/>
    <w:multiLevelType w:val="hybridMultilevel"/>
    <w:lvl w:ilvl="0">
      <w:lvlJc w:val="left"/>
      <w:lvlText w:val="(%1)"/>
      <w:numFmt w:val="lowerRoman"/>
      <w:start w:val="3"/>
    </w:lvl>
  </w:abstractNum>
  <w:abstractNum w:abstractNumId="187">
    <w:nsid w:val="565976F1"/>
    <w:multiLevelType w:val="hybridMultilevel"/>
    <w:lvl w:ilvl="0">
      <w:lvlJc w:val="left"/>
      <w:lvlText w:val="(%1)"/>
      <w:numFmt w:val="lowerRoman"/>
      <w:start w:val="14"/>
    </w:lvl>
  </w:abstractNum>
  <w:abstractNum w:abstractNumId="188">
    <w:nsid w:val="64212B8C"/>
    <w:multiLevelType w:val="hybridMultilevel"/>
    <w:lvl w:ilvl="0">
      <w:lvlJc w:val="left"/>
      <w:lvlText w:val="(%1)"/>
      <w:numFmt w:val="lowerRoman"/>
      <w:start w:val="9"/>
    </w:lvl>
  </w:abstractNum>
  <w:abstractNum w:abstractNumId="189">
    <w:nsid w:val="5C17530C"/>
    <w:multiLevelType w:val="hybridMultilevel"/>
    <w:lvl w:ilvl="0">
      <w:lvlJc w:val="left"/>
      <w:lvlText w:val="(%1)"/>
      <w:numFmt w:val="lowerLetter"/>
      <w:start w:val="1"/>
    </w:lvl>
  </w:abstractNum>
  <w:abstractNum w:abstractNumId="190">
    <w:nsid w:val="19A52566"/>
    <w:multiLevelType w:val="hybridMultilevel"/>
    <w:lvl w:ilvl="0">
      <w:lvlJc w:val="left"/>
      <w:lvlText w:val="(%1)"/>
      <w:numFmt w:val="lowerLetter"/>
      <w:start w:val="1"/>
    </w:lvl>
  </w:abstractNum>
  <w:abstractNum w:abstractNumId="191">
    <w:nsid w:val="335A1DF1"/>
    <w:multiLevelType w:val="hybridMultilevel"/>
    <w:lvl w:ilvl="0">
      <w:lvlJc w:val="left"/>
      <w:lvlText w:val="(%1)"/>
      <w:numFmt w:val="lowerLetter"/>
      <w:start w:val="3"/>
    </w:lvl>
  </w:abstractNum>
  <w:abstractNum w:abstractNumId="192">
    <w:nsid w:val="28677B7C"/>
    <w:multiLevelType w:val="hybridMultilevel"/>
    <w:lvl w:ilvl="0">
      <w:lvlJc w:val="left"/>
      <w:lvlText w:val="(%1)"/>
      <w:numFmt w:val="lowerLetter"/>
      <w:start w:val="7"/>
    </w:lvl>
  </w:abstractNum>
  <w:abstractNum w:abstractNumId="193">
    <w:nsid w:val="378D97C0"/>
    <w:multiLevelType w:val="hybridMultilevel"/>
    <w:lvl w:ilvl="0">
      <w:lvlJc w:val="left"/>
      <w:lvlText w:val="%1"/>
      <w:numFmt w:val="lowerLetter"/>
      <w:start w:val="1"/>
    </w:lvl>
    <w:lvl w:ilvl="1">
      <w:lvlJc w:val="left"/>
      <w:lvlText w:val="(%2)"/>
      <w:numFmt w:val="lowerLetter"/>
      <w:start w:val="35"/>
    </w:lvl>
  </w:abstractNum>
  <w:abstractNum w:abstractNumId="194">
    <w:nsid w:val="1D91467C"/>
    <w:multiLevelType w:val="hybridMultilevel"/>
    <w:lvl w:ilvl="0">
      <w:lvlJc w:val="left"/>
      <w:lvlText w:val="(%1)"/>
      <w:numFmt w:val="lowerLetter"/>
      <w:start w:val="10"/>
    </w:lvl>
    <w:lvl w:ilvl="1">
      <w:lvlJc w:val="left"/>
      <w:lvlText w:val="%2"/>
      <w:numFmt w:val="lowerLetter"/>
      <w:start w:val="1"/>
    </w:lvl>
  </w:abstractNum>
  <w:abstractNum w:abstractNumId="195">
    <w:nsid w:val="316032BB"/>
    <w:multiLevelType w:val="hybridMultilevel"/>
    <w:lvl w:ilvl="0">
      <w:lvlJc w:val="left"/>
      <w:lvlText w:val="(%1)"/>
      <w:numFmt w:val="lowerLetter"/>
      <w:start w:val="1"/>
    </w:lvl>
  </w:abstractNum>
  <w:abstractNum w:abstractNumId="196">
    <w:nsid w:val="44344C22"/>
    <w:multiLevelType w:val="hybridMultilevel"/>
    <w:lvl w:ilvl="0">
      <w:lvlJc w:val="left"/>
      <w:lvlText w:val="(%1)"/>
      <w:numFmt w:val="lowerLetter"/>
      <w:start w:val="25"/>
    </w:lvl>
    <w:lvl w:ilvl="1">
      <w:lvlJc w:val="left"/>
      <w:lvlText w:val="(%2)"/>
      <w:numFmt w:val="lowerLetter"/>
      <w:start w:val="3"/>
    </w:lvl>
  </w:abstractNum>
  <w:abstractNum w:abstractNumId="197">
    <w:nsid w:val="13CDFCFC"/>
    <w:multiLevelType w:val="hybridMultilevel"/>
    <w:lvl w:ilvl="0">
      <w:lvlJc w:val="left"/>
      <w:lvlText w:val="(%1)"/>
      <w:numFmt w:val="lowerLetter"/>
      <w:start w:val="1"/>
    </w:lvl>
  </w:abstractNum>
  <w:abstractNum w:abstractNumId="198">
    <w:nsid w:val="471745E4"/>
    <w:multiLevelType w:val="hybridMultilevel"/>
    <w:lvl w:ilvl="0">
      <w:lvlJc w:val="left"/>
      <w:lvlText w:val="(%1)"/>
      <w:numFmt w:val="lowerLetter"/>
      <w:start w:val="1"/>
    </w:lvl>
  </w:abstractNum>
  <w:abstractNum w:abstractNumId="199">
    <w:nsid w:val="1DDBC66"/>
    <w:multiLevelType w:val="hybridMultilevel"/>
    <w:lvl w:ilvl="0">
      <w:lvlJc w:val="left"/>
      <w:lvlText w:val="(%1)"/>
      <w:numFmt w:val="lowerLetter"/>
      <w:start w:val="1"/>
    </w:lvl>
  </w:abstractNum>
  <w:abstractNum w:abstractNumId="200">
    <w:nsid w:val="30AADFDA"/>
    <w:multiLevelType w:val="hybridMultilevel"/>
    <w:lvl w:ilvl="0">
      <w:lvlJc w:val="left"/>
      <w:lvlText w:val="(%1)"/>
      <w:numFmt w:val="lowerLetter"/>
      <w:start w:val="1"/>
    </w:lvl>
    <w:lvl w:ilvl="1">
      <w:lvlJc w:val="left"/>
      <w:lvlText w:val="(%2)"/>
      <w:numFmt w:val="lowerLetter"/>
      <w:start w:val="9"/>
    </w:lvl>
  </w:abstractNum>
  <w:abstractNum w:abstractNumId="201">
    <w:nsid w:val="30EADA61"/>
    <w:multiLevelType w:val="hybridMultilevel"/>
    <w:lvl w:ilvl="0">
      <w:lvlJc w:val="left"/>
      <w:lvlText w:val="(%1)"/>
      <w:numFmt w:val="lowerRoman"/>
      <w:start w:val="2"/>
    </w:lvl>
  </w:abstractNum>
  <w:abstractNum w:abstractNumId="202">
    <w:nsid w:val="27179C0B"/>
    <w:multiLevelType w:val="hybridMultilevel"/>
    <w:lvl w:ilvl="0">
      <w:lvlJc w:val="left"/>
      <w:lvlText w:val="(%1)"/>
      <w:numFmt w:val="lowerLetter"/>
      <w:start w:val="2"/>
    </w:lvl>
  </w:abstractNum>
  <w:abstractNum w:abstractNumId="203">
    <w:nsid w:val="5E636063"/>
    <w:multiLevelType w:val="hybridMultilevel"/>
    <w:lvl w:ilvl="0">
      <w:lvlJc w:val="left"/>
      <w:lvlText w:val="(%1)"/>
      <w:numFmt w:val="lowerLetter"/>
      <w:start w:val="1"/>
    </w:lvl>
  </w:abstractNum>
  <w:abstractNum w:abstractNumId="204">
    <w:nsid w:val="215641AF"/>
    <w:multiLevelType w:val="hybridMultilevel"/>
    <w:lvl w:ilvl="0">
      <w:lvlJc w:val="left"/>
      <w:lvlText w:val="(%1)"/>
      <w:numFmt w:val="lowerLetter"/>
      <w:start w:val="1"/>
    </w:lvl>
    <w:lvl w:ilvl="1">
      <w:lvlJc w:val="left"/>
      <w:lvlText w:val="(%2)"/>
      <w:numFmt w:val="lowerLetter"/>
      <w:start w:val="9"/>
    </w:lvl>
  </w:abstractNum>
  <w:abstractNum w:abstractNumId="205">
    <w:nsid w:val="53280662"/>
    <w:multiLevelType w:val="hybridMultilevel"/>
    <w:lvl w:ilvl="0">
      <w:lvlJc w:val="left"/>
      <w:lvlText w:val="(%1)"/>
      <w:numFmt w:val="lowerRoman"/>
      <w:start w:val="2"/>
    </w:lvl>
  </w:abstractNum>
  <w:abstractNum w:abstractNumId="206">
    <w:nsid w:val="46B24DBC"/>
    <w:multiLevelType w:val="hybridMultilevel"/>
    <w:lvl w:ilvl="0">
      <w:lvlJc w:val="left"/>
      <w:lvlText w:val="(%1)"/>
      <w:numFmt w:val="lowerLetter"/>
      <w:start w:val="2"/>
    </w:lvl>
  </w:abstractNum>
  <w:abstractNum w:abstractNumId="207">
    <w:nsid w:val="75B52783"/>
    <w:multiLevelType w:val="hybridMultilevel"/>
    <w:lvl w:ilvl="0">
      <w:lvlJc w:val="left"/>
      <w:lvlText w:val="(%1)"/>
      <w:numFmt w:val="lowerLetter"/>
      <w:start w:val="1"/>
    </w:lvl>
  </w:abstractNum>
  <w:abstractNum w:abstractNumId="208">
    <w:nsid w:val="57CE66B4"/>
    <w:multiLevelType w:val="hybridMultilevel"/>
    <w:lvl w:ilvl="0">
      <w:lvlJc w:val="left"/>
      <w:lvlText w:val="(%1)"/>
      <w:numFmt w:val="lowerLetter"/>
      <w:start w:val="2"/>
    </w:lvl>
  </w:abstractNum>
  <w:abstractNum w:abstractNumId="209">
    <w:nsid w:val="67A70B69"/>
    <w:multiLevelType w:val="hybridMultilevel"/>
    <w:lvl w:ilvl="0">
      <w:lvlJc w:val="left"/>
      <w:lvlText w:val="(%1)"/>
      <w:numFmt w:val="lowerLetter"/>
      <w:start w:val="5"/>
    </w:lvl>
  </w:abstractNum>
  <w:abstractNum w:abstractNumId="210">
    <w:nsid w:val="5953172F"/>
    <w:multiLevelType w:val="hybridMultilevel"/>
    <w:lvl w:ilvl="0">
      <w:lvlJc w:val="left"/>
      <w:lvlText w:val="(%1)"/>
      <w:numFmt w:val="lowerLetter"/>
      <w:start w:val="1"/>
    </w:lvl>
  </w:abstractNum>
  <w:abstractNum w:abstractNumId="211">
    <w:nsid w:val="27EDFE3A"/>
    <w:multiLevelType w:val="hybridMultilevel"/>
    <w:lvl w:ilvl="0">
      <w:lvlJc w:val="left"/>
      <w:lvlText w:val="(%1)"/>
      <w:numFmt w:val="upperLetter"/>
      <w:start w:val="3"/>
    </w:lvl>
    <w:lvl w:ilvl="1">
      <w:lvlJc w:val="left"/>
      <w:lvlText w:val="(%2)"/>
      <w:numFmt w:val="lowerLetter"/>
      <w:start w:val="2"/>
    </w:lvl>
  </w:abstractNum>
  <w:abstractNum w:abstractNumId="212">
    <w:nsid w:val="52AC7DFF"/>
    <w:multiLevelType w:val="hybridMultilevel"/>
    <w:lvl w:ilvl="0">
      <w:lvlJc w:val="left"/>
      <w:lvlText w:val="%1"/>
      <w:numFmt w:val="lowerLetter"/>
      <w:start w:val="1"/>
    </w:lvl>
    <w:lvl w:ilvl="1">
      <w:lvlJc w:val="left"/>
      <w:lvlText w:val="(%2)"/>
      <w:numFmt w:val="lowerRoman"/>
      <w:start w:val="1"/>
    </w:lvl>
  </w:abstractNum>
  <w:abstractNum w:abstractNumId="213">
    <w:nsid w:val="C4C3AF"/>
    <w:multiLevelType w:val="hybridMultilevel"/>
    <w:lvl w:ilvl="0">
      <w:lvlJc w:val="left"/>
      <w:lvlText w:val="(%1)"/>
      <w:numFmt w:val="lowerLetter"/>
      <w:start w:val="3"/>
    </w:lvl>
    <w:lvl w:ilvl="1">
      <w:lvlJc w:val="left"/>
      <w:lvlText w:val="%2"/>
      <w:numFmt w:val="lowerRoman"/>
      <w:start w:val="1"/>
    </w:lvl>
  </w:abstractNum>
  <w:abstractNum w:abstractNumId="214">
    <w:nsid w:val="44380727"/>
    <w:multiLevelType w:val="hybridMultilevel"/>
    <w:lvl w:ilvl="0">
      <w:lvlJc w:val="left"/>
      <w:lvlText w:val="(%1)"/>
      <w:numFmt w:val="lowerLetter"/>
      <w:start w:val="1"/>
    </w:lvl>
  </w:abstractNum>
  <w:abstractNum w:abstractNumId="215">
    <w:nsid w:val="6C053B16"/>
    <w:multiLevelType w:val="hybridMultilevel"/>
    <w:lvl w:ilvl="0">
      <w:lvlJc w:val="left"/>
      <w:lvlText w:val="(%1)"/>
      <w:numFmt w:val="lowerLetter"/>
      <w:start w:val="2"/>
    </w:lvl>
    <w:lvl w:ilvl="1">
      <w:lvlJc w:val="left"/>
      <w:lvlText w:val="(%2)"/>
      <w:numFmt w:val="lowerLetter"/>
      <w:start w:val="35"/>
    </w:lvl>
  </w:abstractNum>
  <w:abstractNum w:abstractNumId="216">
    <w:nsid w:val="4F294393"/>
    <w:multiLevelType w:val="hybridMultilevel"/>
    <w:lvl w:ilvl="0">
      <w:lvlJc w:val="left"/>
      <w:lvlText w:val="(%1)"/>
      <w:numFmt w:val="lowerLetter"/>
      <w:start w:val="1"/>
    </w:lvl>
  </w:abstractNum>
  <w:abstractNum w:abstractNumId="217">
    <w:nsid w:val="5243BFAC"/>
    <w:multiLevelType w:val="hybridMultilevel"/>
    <w:lvl w:ilvl="0">
      <w:lvlJc w:val="left"/>
      <w:lvlText w:val="(%1)"/>
      <w:numFmt w:val="lowerLetter"/>
      <w:start w:val="3"/>
    </w:lvl>
  </w:abstractNum>
  <w:abstractNum w:abstractNumId="218">
    <w:nsid w:val="425EB20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9">
    <w:nsid w:val="334A6F1F"/>
    <w:multiLevelType w:val="hybridMultilevel"/>
    <w:lvl w:ilvl="0">
      <w:lvlJc w:val="left"/>
      <w:lvlText w:val="%1"/>
      <w:numFmt w:val="lowerRoman"/>
      <w:start w:val="1"/>
    </w:lvl>
    <w:lvl w:ilvl="1">
      <w:lvlJc w:val="left"/>
      <w:lvlText w:val="(%2)"/>
      <w:numFmt w:val="upperLetter"/>
      <w:start w:val="1"/>
    </w:lvl>
  </w:abstractNum>
  <w:abstractNum w:abstractNumId="220">
    <w:nsid w:val="2E5B12B8"/>
    <w:multiLevelType w:val="hybridMultilevel"/>
    <w:lvl w:ilvl="0">
      <w:lvlJc w:val="left"/>
      <w:lvlText w:val="(%1)"/>
      <w:numFmt w:val="lowerRoman"/>
      <w:start w:val="4"/>
    </w:lvl>
    <w:lvl w:ilvl="1">
      <w:lvlJc w:val="left"/>
      <w:lvlText w:val="%2"/>
      <w:numFmt w:val="upperLetter"/>
      <w:start w:val="1"/>
    </w:lvl>
  </w:abstractNum>
  <w:abstractNum w:abstractNumId="221">
    <w:nsid w:val="5C03D76D"/>
    <w:multiLevelType w:val="hybridMultilevel"/>
    <w:lvl w:ilvl="0">
      <w:lvlJc w:val="left"/>
      <w:lvlText w:val="%1"/>
      <w:numFmt w:val="lowerLetter"/>
      <w:start w:val="1"/>
    </w:lvl>
    <w:lvl w:ilvl="1">
      <w:lvlJc w:val="left"/>
      <w:lvlText w:val="(%2)"/>
      <w:numFmt w:val="lowerLetter"/>
      <w:start w:val="3"/>
    </w:lvl>
  </w:abstractNum>
  <w:abstractNum w:abstractNumId="222">
    <w:nsid w:val="66A48D11"/>
    <w:multiLevelType w:val="hybridMultilevel"/>
    <w:lvl w:ilvl="0">
      <w:lvlJc w:val="left"/>
      <w:lvlText w:val="(%1)"/>
      <w:numFmt w:val="lowerLetter"/>
      <w:start w:val="35"/>
    </w:lvl>
    <w:lvl w:ilvl="1">
      <w:lvlJc w:val="left"/>
      <w:lvlText w:val="%2"/>
      <w:numFmt w:val="lowerLetter"/>
      <w:start w:val="1"/>
    </w:lvl>
  </w:abstractNum>
  <w:abstractNum w:abstractNumId="223">
    <w:nsid w:val="56C28E34"/>
    <w:multiLevelType w:val="hybridMultilevel"/>
    <w:lvl w:ilvl="0">
      <w:lvlJc w:val="left"/>
      <w:lvlText w:val="(%1)"/>
      <w:numFmt w:val="lowerLetter"/>
      <w:start w:val="5"/>
    </w:lvl>
  </w:abstractNum>
  <w:abstractNum w:abstractNumId="224">
    <w:nsid w:val="13916F2D"/>
    <w:multiLevelType w:val="hybridMultilevel"/>
    <w:lvl w:ilvl="0">
      <w:lvlJc w:val="left"/>
      <w:lvlText w:val="(%1)"/>
      <w:numFmt w:val="lowerLetter"/>
      <w:start w:val="1"/>
    </w:lvl>
  </w:abstractNum>
  <w:abstractNum w:abstractNumId="225">
    <w:nsid w:val="435D38D"/>
    <w:multiLevelType w:val="hybridMultilevel"/>
    <w:lvl w:ilvl="0">
      <w:lvlJc w:val="left"/>
      <w:lvlText w:val="(%1)"/>
      <w:numFmt w:val="lowerLetter"/>
      <w:start w:val="2"/>
    </w:lvl>
  </w:abstractNum>
  <w:abstractNum w:abstractNumId="226">
    <w:nsid w:val="822C0EF"/>
    <w:multiLevelType w:val="hybridMultilevel"/>
    <w:lvl w:ilvl="0">
      <w:lvlJc w:val="left"/>
      <w:lvlText w:val="(%1)"/>
      <w:numFmt w:val="lowerLetter"/>
      <w:start w:val="1"/>
    </w:lvl>
  </w:abstractNum>
  <w:abstractNum w:abstractNumId="227">
    <w:nsid w:val="57C5BB4F"/>
    <w:multiLevelType w:val="hybridMultilevel"/>
    <w:lvl w:ilvl="0">
      <w:lvlJc w:val="left"/>
      <w:lvlText w:val="(%1)"/>
      <w:numFmt w:val="lowerLetter"/>
      <w:start w:val="1"/>
    </w:lvl>
  </w:abstractNum>
  <w:abstractNum w:abstractNumId="228">
    <w:nsid w:val="1803D089"/>
    <w:multiLevelType w:val="hybridMultilevel"/>
    <w:lvl w:ilvl="0">
      <w:lvlJc w:val="left"/>
      <w:lvlText w:val="(%1)"/>
      <w:numFmt w:val="lowerLetter"/>
      <w:start w:val="1"/>
    </w:lvl>
  </w:abstractNum>
  <w:abstractNum w:abstractNumId="229">
    <w:nsid w:val="4F3A06D4"/>
    <w:multiLevelType w:val="hybridMultilevel"/>
    <w:lvl w:ilvl="0">
      <w:lvlJc w:val="left"/>
      <w:lvlText w:val="(%1)"/>
      <w:numFmt w:val="lowerLetter"/>
      <w:start w:val="2"/>
    </w:lvl>
  </w:abstractNum>
  <w:abstractNum w:abstractNumId="230">
    <w:nsid w:val="59A377B6"/>
    <w:multiLevelType w:val="hybridMultilevel"/>
    <w:lvl w:ilvl="0">
      <w:lvlJc w:val="left"/>
      <w:lvlText w:val="(%1)"/>
      <w:numFmt w:val="lowerLetter"/>
      <w:start w:val="3"/>
    </w:lvl>
  </w:abstractNum>
  <w:abstractNum w:abstractNumId="231">
    <w:nsid w:val="48AEB063"/>
    <w:multiLevelType w:val="hybridMultilevel"/>
    <w:lvl w:ilvl="0">
      <w:lvlJc w:val="left"/>
      <w:lvlText w:val="(%1)"/>
      <w:numFmt w:val="lowerLetter"/>
      <w:start w:val="1"/>
    </w:lvl>
  </w:abstractNum>
  <w:abstractNum w:abstractNumId="232">
    <w:nsid w:val="24E135"/>
    <w:multiLevelType w:val="hybridMultilevel"/>
    <w:lvl w:ilvl="0">
      <w:lvlJc w:val="left"/>
      <w:lvlText w:val="(%1)"/>
      <w:numFmt w:val="lowerLetter"/>
      <w:start w:val="1"/>
    </w:lvl>
    <w:lvl w:ilvl="1">
      <w:lvlJc w:val="left"/>
      <w:lvlText w:val="(%2)"/>
      <w:numFmt w:val="lowerRoman"/>
      <w:start w:val="1"/>
    </w:lvl>
  </w:abstractNum>
  <w:abstractNum w:abstractNumId="233">
    <w:nsid w:val="BB13C1"/>
    <w:multiLevelType w:val="hybridMultilevel"/>
    <w:lvl w:ilvl="0">
      <w:lvlJc w:val="left"/>
      <w:lvlText w:val="%1"/>
      <w:numFmt w:val="lowerLetter"/>
      <w:start w:val="1"/>
    </w:lvl>
    <w:lvl w:ilvl="1">
      <w:lvlJc w:val="left"/>
      <w:lvlText w:val="(%2)"/>
      <w:numFmt w:val="lowerLetter"/>
      <w:start w:val="1"/>
    </w:lvl>
  </w:abstractNum>
  <w:abstractNum w:abstractNumId="234">
    <w:nsid w:val="271210C7"/>
    <w:multiLevelType w:val="hybridMultilevel"/>
    <w:lvl w:ilvl="0">
      <w:lvlJc w:val="left"/>
      <w:lvlText w:val="(%1)"/>
      <w:numFmt w:val="lowerLetter"/>
      <w:start w:val="35"/>
    </w:lvl>
    <w:lvl w:ilvl="1">
      <w:lvlJc w:val="left"/>
      <w:lvlText w:val="(%2)"/>
      <w:numFmt w:val="lowerLetter"/>
      <w:start w:val="3"/>
    </w:lvl>
  </w:abstractNum>
  <w:abstractNum w:abstractNumId="235">
    <w:nsid w:val="217B22E4"/>
    <w:multiLevelType w:val="hybridMultilevel"/>
    <w:lvl w:ilvl="0">
      <w:lvlJc w:val="left"/>
      <w:lvlText w:val="(%1)"/>
      <w:numFmt w:val="lowerLetter"/>
      <w:start w:val="1"/>
    </w:lvl>
  </w:abstractNum>
  <w:abstractNum w:abstractNumId="236">
    <w:nsid w:val="53E31A24"/>
    <w:multiLevelType w:val="hybridMultilevel"/>
    <w:lvl w:ilvl="0">
      <w:lvlJc w:val="left"/>
      <w:lvlText w:val="(%1)"/>
      <w:numFmt w:val="lowerRoman"/>
      <w:start w:val="1"/>
    </w:lvl>
  </w:abstractNum>
  <w:abstractNum w:abstractNumId="237">
    <w:nsid w:val="6DC45E83"/>
    <w:multiLevelType w:val="hybridMultilevel"/>
    <w:lvl w:ilvl="0">
      <w:lvlJc w:val="left"/>
      <w:lvlText w:val="%1."/>
      <w:numFmt w:val="decimal"/>
      <w:start w:val="1"/>
    </w:lvl>
    <w:lvl w:ilvl="1">
      <w:lvlJc w:val="left"/>
      <w:lvlText w:val="(%2)"/>
      <w:numFmt w:val="lowerLetter"/>
      <w:start w:val="1"/>
    </w:lvl>
  </w:abstractNum>
  <w:abstractNum w:abstractNumId="238">
    <w:nsid w:val="17304A67"/>
    <w:multiLevelType w:val="hybridMultilevel"/>
    <w:lvl w:ilvl="0">
      <w:lvlJc w:val="left"/>
      <w:lvlText w:val="%1"/>
      <w:numFmt w:val="decimal"/>
      <w:start w:val="1"/>
    </w:lvl>
    <w:lvl w:ilvl="1">
      <w:lvlJc w:val="left"/>
      <w:lvlText w:val="(%2)"/>
      <w:numFmt w:val="lowerLetter"/>
      <w:start w:val="2"/>
    </w:lvl>
  </w:abstractNum>
  <w:abstractNum w:abstractNumId="239">
    <w:nsid w:val="2BB180D8"/>
    <w:multiLevelType w:val="hybridMultilevel"/>
    <w:lvl w:ilvl="0">
      <w:lvlJc w:val="left"/>
      <w:lvlText w:val="%1."/>
      <w:numFmt w:val="decimal"/>
      <w:start w:val="3"/>
    </w:lvl>
    <w:lvl w:ilvl="1">
      <w:lvlJc w:val="left"/>
      <w:lvlText w:val="(%2)"/>
      <w:numFmt w:val="lowerLetter"/>
      <w:start w:val="1"/>
    </w:lvl>
  </w:abstractNum>
  <w:abstractNum w:abstractNumId="240">
    <w:nsid w:val="556B69ED"/>
    <w:multiLevelType w:val="hybridMultilevel"/>
    <w:lvl w:ilvl="0">
      <w:lvlJc w:val="left"/>
      <w:lvlText w:val="%1"/>
      <w:numFmt w:val="decimal"/>
      <w:start w:val="1"/>
    </w:lvl>
    <w:lvl w:ilvl="1">
      <w:lvlJc w:val="left"/>
      <w:lvlText w:val="(%2)"/>
      <w:numFmt w:val="lowerLetter"/>
      <w:start w:val="5"/>
    </w:lvl>
  </w:abstractNum>
  <w:abstractNum w:abstractNumId="241">
    <w:nsid w:val="70836196"/>
    <w:multiLevelType w:val="hybridMultilevel"/>
    <w:lvl w:ilvl="0">
      <w:lvlJc w:val="left"/>
      <w:lvlText w:val="%1."/>
      <w:numFmt w:val="decimal"/>
      <w:start w:val="4"/>
    </w:lvl>
    <w:lvl w:ilvl="1">
      <w:lvlJc w:val="left"/>
      <w:lvlText w:val="(%2)"/>
      <w:numFmt w:val="lowerLetter"/>
      <w:start w:val="1"/>
    </w:lvl>
  </w:abstractNum>
  <w:abstractNum w:abstractNumId="242">
    <w:nsid w:val="539F7F12"/>
    <w:multiLevelType w:val="hybridMultilevel"/>
    <w:lvl w:ilvl="0">
      <w:lvlJc w:val="left"/>
      <w:lvlText w:val="%1."/>
      <w:numFmt w:val="decimal"/>
      <w:start w:val="7"/>
    </w:lvl>
    <w:lvl w:ilvl="1">
      <w:lvlJc w:val="left"/>
      <w:lvlText w:val="(%2)"/>
      <w:numFmt w:val="lowerLetter"/>
      <w:start w:val="1"/>
    </w:lvl>
  </w:abstractNum>
  <w:abstractNum w:abstractNumId="243">
    <w:nsid w:val="2817E7EC"/>
    <w:multiLevelType w:val="hybridMultilevel"/>
    <w:lvl w:ilvl="0">
      <w:lvlJc w:val="left"/>
      <w:lvlText w:val="%1."/>
      <w:numFmt w:val="decimal"/>
      <w:start w:val="10"/>
    </w:lvl>
  </w:abstractNum>
  <w:abstractNum w:abstractNumId="244">
    <w:nsid w:val="7148254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45">
    <w:nsid w:val="17D78639"/>
    <w:multiLevelType w:val="hybridMultilevel"/>
    <w:lvl w:ilvl="0">
      <w:lvlJc w:val="left"/>
      <w:lvlText w:val="%1."/>
      <w:numFmt w:val="decimal"/>
      <w:start w:val="5"/>
    </w:lvl>
  </w:abstractNum>
  <w:abstractNum w:abstractNumId="246">
    <w:nsid w:val="141D2302"/>
    <w:multiLevelType w:val="hybridMultilevel"/>
    <w:lvl w:ilvl="0">
      <w:lvlJc w:val="left"/>
      <w:lvlText w:val="(%1)"/>
      <w:numFmt w:val="lowerRoman"/>
      <w:start w:val="4"/>
    </w:lvl>
  </w:abstractNum>
  <w:abstractNum w:abstractNumId="247">
    <w:nsid w:val="407168D8"/>
    <w:multiLevelType w:val="hybridMultilevel"/>
    <w:lvl w:ilvl="0">
      <w:lvlJc w:val="left"/>
      <w:lvlText w:val="*"/>
      <w:numFmt w:val="bullet"/>
      <w:start w:val="1"/>
    </w:lvl>
  </w:abstractNum>
  <w:abstractNum w:abstractNumId="248">
    <w:nsid w:val="6A1B45E5"/>
    <w:multiLevelType w:val="hybridMultilevel"/>
    <w:lvl w:ilvl="0">
      <w:lvlJc w:val="left"/>
      <w:lvlText w:val="%1."/>
      <w:numFmt w:val="decimal"/>
      <w:start w:val="1"/>
    </w:lvl>
    <w:lvl w:ilvl="1">
      <w:lvlJc w:val="left"/>
      <w:lvlText w:val="%2."/>
      <w:numFmt w:val="lowerLetter"/>
      <w:start w:val="1"/>
    </w:lvl>
  </w:abstractNum>
  <w:abstractNum w:abstractNumId="249">
    <w:nsid w:val="567BD50A"/>
    <w:multiLevelType w:val="hybridMultilevel"/>
    <w:lvl w:ilvl="0">
      <w:lvlJc w:val="left"/>
      <w:lvlText w:val="%1."/>
      <w:numFmt w:val="decimal"/>
      <w:start w:val="1"/>
    </w:lvl>
    <w:lvl w:ilvl="1">
      <w:lvlJc w:val="left"/>
      <w:lvlText w:val="%2."/>
      <w:numFmt w:val="lowerLetter"/>
      <w:start w:val="1"/>
    </w:lvl>
  </w:abstractNum>
  <w:abstractNum w:abstractNumId="250">
    <w:nsid w:val="73BBD7F8"/>
    <w:multiLevelType w:val="hybridMultilevel"/>
    <w:lvl w:ilvl="0">
      <w:lvlJc w:val="left"/>
      <w:lvlText w:val="%1."/>
      <w:numFmt w:val="decimal"/>
      <w:start w:val="1"/>
    </w:lvl>
  </w:abstractNum>
  <w:abstractNum w:abstractNumId="251">
    <w:nsid w:val="1876589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jpe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186" Type="http://schemas.openxmlformats.org/officeDocument/2006/relationships/hyperlink" Target="https://www.sec.gov/Archives/edgar/data/0001625278/000162828021022618/exhibit31-closing8xk.htm" TargetMode="External"/><Relationship Id="rId187" Type="http://schemas.openxmlformats.org/officeDocument/2006/relationships/hyperlink" Target="https://www.sec.gov/Archives/edgar/data/0001625278/000162828021022618/exhibit32-closing8xk.htm" TargetMode="External"/><Relationship Id="rId188" Type="http://schemas.openxmlformats.org/officeDocument/2006/relationships/hyperlink" Target="https://www.sec.gov/Archives/edgar/data/1625278/000162828021019876/exhibit101-sx1.htm" TargetMode="External"/><Relationship Id="rId189" Type="http://schemas.openxmlformats.org/officeDocument/2006/relationships/hyperlink" Target="https://www.sec.gov/Archives/edgar/data/1625278/000162828021019876/exhibit102-sx1.htm" TargetMode="External"/><Relationship Id="rId190" Type="http://schemas.openxmlformats.org/officeDocument/2006/relationships/hyperlink" Target="https://www.sec.gov/Archives/edgar/data/1625278/000162828021019876/exhibit103-sx1.htm" TargetMode="External"/><Relationship Id="rId191" Type="http://schemas.openxmlformats.org/officeDocument/2006/relationships/hyperlink" Target="https://www.sec.gov/Archives/edgar/data/1625278/000162828021019876/exhibit104-sx1.htm" TargetMode="External"/><Relationship Id="rId192" Type="http://schemas.openxmlformats.org/officeDocument/2006/relationships/hyperlink" Target="https://www.sec.gov/Archives/edgar/data/1625278/000162828021019876/exhibit105-sx1.htm" TargetMode="External"/><Relationship Id="rId193" Type="http://schemas.openxmlformats.org/officeDocument/2006/relationships/hyperlink" Target="https://www.sec.gov/Archives/edgar/data/1625278/000162828021019876/exhibit1019-sx1.htm" TargetMode="External"/><Relationship Id="rId194" Type="http://schemas.openxmlformats.org/officeDocument/2006/relationships/hyperlink" Target="https://www.sec.gov/Archives/edgar/data/1625278/000162828021019876/exhibit1020-sx1.htm" TargetMode="External"/><Relationship Id="rId195" Type="http://schemas.openxmlformats.org/officeDocument/2006/relationships/hyperlink" Target="https://www.sec.gov/Archives/edgar/data/0001625278/000162828021020521/exhibit1022-sx1a2.htm" TargetMode="External"/><Relationship Id="rId196" Type="http://schemas.openxmlformats.org/officeDocument/2006/relationships/hyperlink" Target="https://www.sec.gov/Archives/edgar/data/1625278/000162828021020344/exhibit1017-sx1a.htm" TargetMode="External"/><Relationship Id="rId197" Type="http://schemas.openxmlformats.org/officeDocument/2006/relationships/hyperlink" Target="https://www.sec.gov/Archives/edgar/data/1625278/000162828021019876/exhibit106-sx1.htm" TargetMode="External"/><Relationship Id="rId198" Type="http://schemas.openxmlformats.org/officeDocument/2006/relationships/hyperlink" Target="https://www.sec.gov/Archives/edgar/data/1625278/000162828021019876/exhibit107-sx1.htm" TargetMode="External"/><Relationship Id="rId201" Type="http://schemas.openxmlformats.org/officeDocument/2006/relationships/hyperlink" Target="https://www.sec.gov/Archives/edgar/data/1625278/000162828021019876/exhibit108-sx1.htm" TargetMode="External"/><Relationship Id="rId202" Type="http://schemas.openxmlformats.org/officeDocument/2006/relationships/hyperlink" Target="https://www.sec.gov/Archives/edgar/data/0001625278/000162828021020521/exhibit109-sx1a2.htm" TargetMode="External"/><Relationship Id="rId203" Type="http://schemas.openxmlformats.org/officeDocument/2006/relationships/hyperlink" Target="https://www.sec.gov/Archives/edgar/data/0001625278/000162828021020521/exhibit1010-s1a2.htm" TargetMode="External"/><Relationship Id="rId204" Type="http://schemas.openxmlformats.org/officeDocument/2006/relationships/hyperlink" Target="https://www.sec.gov/Archives/edgar/data/0001625278/000162828021020521/exhibit1011-sx1a2.htm" TargetMode="External"/><Relationship Id="rId205" Type="http://schemas.openxmlformats.org/officeDocument/2006/relationships/hyperlink" Target="https://www.sec.gov/Archives/edgar/data/0001625278/000162828021020521/exhibit1012-sx1a2.htm" TargetMode="External"/><Relationship Id="rId206" Type="http://schemas.openxmlformats.org/officeDocument/2006/relationships/hyperlink" Target="https://www.sec.gov/Archives/edgar/data/1625278/000162828021019876/exhibit1013-sx1.htm" TargetMode="External"/><Relationship Id="rId207" Type="http://schemas.openxmlformats.org/officeDocument/2006/relationships/hyperlink" Target="https://www.sec.gov/Archives/edgar/data/1625278/000162828021019876/exhibit1022-sx1.htm" TargetMode="External"/><Relationship Id="rId208" Type="http://schemas.openxmlformats.org/officeDocument/2006/relationships/hyperlink" Target="https://www.sec.gov/Archives/edgar/data/1625278/000162828021019876/exhibit1021-sx1.htm" TargetMode="External"/><Relationship Id="rId209" Type="http://schemas.openxmlformats.org/officeDocument/2006/relationships/hyperlink" Target="https://www.sec.gov/Archives/edgar/data/1625278/000162828021019876/exhibit1017-sx1.htm" TargetMode="External"/><Relationship Id="rId210" Type="http://schemas.openxmlformats.org/officeDocument/2006/relationships/hyperlink" Target="https://www.sec.gov/Archives/edgar/data/0001625278/000162527821000006/exhibit101-8xkcpoofferlett.htm" TargetMode="External"/><Relationship Id="rId211" Type="http://schemas.openxmlformats.org/officeDocument/2006/relationships/hyperlink" Target="https://www.sec.gov/Archives/edgar/data/1625278/000162828021019876/exhibit1018-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2022-03-24T16:16:21Z</dcterms:created>
  <dcterms:modified xsi:type="dcterms:W3CDTF">2022-03-24T16:16:21Z</dcterms:modified>
</cp:coreProperties>
</file>