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FORM 8-K </w:t>
      </w:r>
    </w:p>
    <w:p>
      <w:pPr>
        <w:pStyle w:val="TextBody"/>
        <w:bidi w:val="0"/>
        <w:spacing w:before="0" w:after="0"/>
        <w:jc w:val="center"/>
        <w:rPr/>
      </w:pPr>
      <w:r>
        <w:rPr/>
      </w:r>
    </w:p>
    <w:p>
      <w:pPr>
        <w:pStyle w:val="TextBody"/>
        <w:bidi w:val="0"/>
        <w:spacing w:lineRule="auto" w:line="288" w:before="0" w:after="12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 of the Securities Exchange Act of 1934</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Date of Report (Date of earliest event reported): August 6, 2026</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NERDWALLET, INC.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(Exact name of registrant as specified in its charter)</w:t>
      </w:r>
    </w:p>
    <w:p>
      <w:pPr>
        <w:pStyle w:val="TextBody"/>
        <w:bidi w:val="0"/>
        <w:spacing w:before="0" w:after="0"/>
        <w:jc w:val="center"/>
        <w:rPr/>
      </w:pPr>
      <w:r>
        <w:rPr/>
      </w:r>
    </w:p>
    <w:tbl>
      <w:tblPr>
        <w:tblW w:w="7843" w:type="dxa"/>
        <w:jc w:val="center"/>
        <w:tblInd w:w="0" w:type="dxa"/>
        <w:tblLayout w:type="fixed"/>
        <w:tblCellMar>
          <w:top w:w="28" w:type="dxa"/>
          <w:left w:w="28" w:type="dxa"/>
          <w:bottom w:w="28" w:type="dxa"/>
          <w:right w:w="28" w:type="dxa"/>
        </w:tblCellMar>
      </w:tblPr>
      <w:tblGrid>
        <w:gridCol w:w="1148"/>
        <w:gridCol w:w="1008"/>
        <w:gridCol w:w="1023"/>
        <w:gridCol w:w="662"/>
        <w:gridCol w:w="662"/>
        <w:gridCol w:w="670"/>
        <w:gridCol w:w="780"/>
        <w:gridCol w:w="780"/>
        <w:gridCol w:w="1110"/>
      </w:tblGrid>
      <w:tr>
        <w:trPr/>
        <w:tc>
          <w:tcPr>
            <w:tcW w:w="1148"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99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001-40994</w:t>
            </w:r>
          </w:p>
        </w:tc>
        <w:tc>
          <w:tcPr>
            <w:tcW w:w="267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45-4180440</w:t>
            </w:r>
          </w:p>
        </w:tc>
      </w:tr>
      <w:tr>
        <w:trPr/>
        <w:tc>
          <w:tcPr>
            <w:tcW w:w="317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6"/>
              </w:rPr>
            </w:pPr>
            <w:r>
              <w:rPr>
                <w:rFonts w:ascii="Times New Roman;serif" w:hAnsi="Times New Roman;serif"/>
                <w:b w:val="false"/>
                <w:color w:val="000000"/>
                <w:sz w:val="16"/>
              </w:rPr>
              <w:t>(State or other jurisdiction of incorporation)</w:t>
            </w:r>
          </w:p>
        </w:tc>
        <w:tc>
          <w:tcPr>
            <w:tcW w:w="199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6"/>
              </w:rPr>
            </w:pPr>
            <w:r>
              <w:rPr>
                <w:rFonts w:ascii="Times New Roman;serif" w:hAnsi="Times New Roman;serif"/>
                <w:b w:val="false"/>
                <w:color w:val="000000"/>
                <w:sz w:val="16"/>
              </w:rPr>
              <w:t>(Commission File Number)</w:t>
            </w:r>
          </w:p>
        </w:tc>
        <w:tc>
          <w:tcPr>
            <w:tcW w:w="267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6"/>
              </w:rPr>
            </w:pPr>
            <w:r>
              <w:rPr>
                <w:rFonts w:ascii="Times New Roman;serif" w:hAnsi="Times New Roman;serif"/>
                <w:b w:val="false"/>
                <w:color w:val="000000"/>
                <w:sz w:val="16"/>
              </w:rPr>
              <w:t>(I.R.S. Employer Identification No.)</w:t>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19 S. B Street, Suite 9, San Mateo, California 94401</w:t>
      </w:r>
    </w:p>
    <w:p>
      <w:pPr>
        <w:pStyle w:val="TextBody"/>
        <w:bidi w:val="0"/>
        <w:spacing w:lineRule="auto" w:line="288" w:before="0" w:after="0"/>
        <w:jc w:val="center"/>
        <w:rPr/>
      </w:pPr>
      <w:r>
        <w:rPr>
          <w:rFonts w:ascii="Times New Roman;serif" w:hAnsi="Times New Roman;serif"/>
          <w:b w:val="false"/>
          <w:color w:val="000000"/>
          <w:sz w:val="16"/>
        </w:rPr>
        <w:t>(Address of principal executive offices)</w:t>
      </w:r>
      <w:r>
        <w:rPr>
          <w:color w:val="000000"/>
        </w:rPr>
        <w:t xml:space="preserve"> </w:t>
      </w:r>
      <w:r>
        <w:rPr>
          <w:rFonts w:ascii="Times New Roman;serif" w:hAnsi="Times New Roman;serif"/>
          <w:b w:val="false"/>
          <w:color w:val="000000"/>
          <w:sz w:val="16"/>
        </w:rPr>
        <w:t>(Zip code)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(415) 549-8913 </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(Registrant’s telephone number, including area code)</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 xml:space="preserve">Pre-commencement communications pursuant to Rule 13e-4(c) under the Exchange Act (17 CFR 240.13e-4(c)) </w:t>
      </w:r>
    </w:p>
    <w:p>
      <w:pPr>
        <w:pStyle w:val="TextBody"/>
        <w:bidi w:val="0"/>
        <w:spacing w:before="0" w:after="0"/>
        <w:jc w:val="left"/>
        <w:rPr/>
      </w:pPr>
      <w:r>
        <w:rPr/>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9014" w:type="dxa"/>
        <w:jc w:val="left"/>
        <w:tblInd w:w="0" w:type="dxa"/>
        <w:tblLayout w:type="fixed"/>
        <w:tblCellMar>
          <w:top w:w="28" w:type="dxa"/>
          <w:left w:w="28" w:type="dxa"/>
          <w:bottom w:w="28" w:type="dxa"/>
          <w:right w:w="28" w:type="dxa"/>
        </w:tblCellMar>
      </w:tblPr>
      <w:tblGrid>
        <w:gridCol w:w="1274"/>
        <w:gridCol w:w="1119"/>
        <w:gridCol w:w="1132"/>
        <w:gridCol w:w="554"/>
        <w:gridCol w:w="554"/>
        <w:gridCol w:w="556"/>
        <w:gridCol w:w="1118"/>
        <w:gridCol w:w="1118"/>
        <w:gridCol w:w="1589"/>
      </w:tblGrid>
      <w:tr>
        <w:trPr/>
        <w:tc>
          <w:tcPr>
            <w:tcW w:w="1274"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166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8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52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Class A common stock, $0.0001 par value</w:t>
            </w:r>
          </w:p>
        </w:tc>
        <w:tc>
          <w:tcPr>
            <w:tcW w:w="166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NRDS</w:t>
            </w:r>
          </w:p>
        </w:tc>
        <w:tc>
          <w:tcPr>
            <w:tcW w:w="382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The Nasdaq Global Market</w:t>
            </w:r>
          </w:p>
        </w:tc>
      </w:tr>
    </w:tbl>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180"/>
        <w:jc w:val="both"/>
        <w:rPr/>
      </w:pPr>
      <w:r>
        <w:rPr>
          <w:rFonts w:ascii="Times New Roman;serif" w:hAnsi="Times New Roman;serif"/>
          <w:b w:val="false"/>
          <w:color w:val="000000"/>
          <w:sz w:val="20"/>
        </w:rPr>
        <w:t xml:space="preserve">Emerging growth company </w:t>
      </w:r>
      <w:r>
        <w:rPr>
          <w:color w:val="000000"/>
        </w:rPr>
        <w:t>☒</w:t>
      </w:r>
    </w:p>
    <w:p>
      <w:pPr>
        <w:pStyle w:val="TextBody"/>
        <w:bidi w:val="0"/>
        <w:spacing w:lineRule="auto" w:line="288" w:before="60" w:after="283"/>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August 6, 2026, NerdWallet, Inc. (the Company) issued a press release announcing the financial results for the Company’s second quarter ended June 30, 2026. A copy of the press release is attached hereto as Exhibit 99.1 and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Item 7.01 Regulation FD Disclosure.</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August 6, 2026, the Company also posted a second quarter shareholder letter available at its investor relations website at https://investors.nerdwallet.com.</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contents of the Company’s website referenced herein and in the exhibit are not incorporated into this Current Report on Form 8-K.</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information in these Items 2.02 and 7.01, including the exhibit hereto, (x) shall not be deemed to be “filed” for purposes of Section 18 of the Securities Exchange Act of 1934, as amended, or otherwise subject to the liabilities of that section and (y) shall not be incorporated by reference into any filing of the Company with the Securities and Exchange Commission, whether made before or after the date hereof, regardless of any general incorporation language in such filings (unless the Company specifically states that the information or exhibit in this particular report with respect to Item 2.02 or Item 7.01, as the case may be, are incorporated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    Exhibits.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7737" w:type="dxa"/>
        <w:jc w:val="left"/>
        <w:tblInd w:w="0" w:type="dxa"/>
        <w:tblLayout w:type="fixed"/>
        <w:tblCellMar>
          <w:top w:w="28" w:type="dxa"/>
          <w:left w:w="28" w:type="dxa"/>
          <w:bottom w:w="28" w:type="dxa"/>
          <w:right w:w="28" w:type="dxa"/>
        </w:tblCellMar>
      </w:tblPr>
      <w:tblGrid>
        <w:gridCol w:w="294"/>
        <w:gridCol w:w="258"/>
        <w:gridCol w:w="259"/>
        <w:gridCol w:w="109"/>
        <w:gridCol w:w="109"/>
        <w:gridCol w:w="109"/>
        <w:gridCol w:w="1928"/>
        <w:gridCol w:w="1928"/>
        <w:gridCol w:w="2743"/>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2743"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Exhibit</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earningsreleaseq2fy26.htm">
              <w:r>
                <w:rPr>
                  <w:rStyle w:val="InternetLink"/>
                  <w:rFonts w:ascii="Times New Roman;serif" w:hAnsi="Times New Roman;serif"/>
                  <w:b w:val="false"/>
                  <w:color w:val="0000FF"/>
                  <w:sz w:val="20"/>
                  <w:u w:val="single"/>
                </w:rPr>
                <w:t>Press Release dated August 6, 2026 issued by NerdWallet, Inc.</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both"/>
        <w:rPr/>
      </w:pPr>
      <w:r>
        <w:rPr/>
      </w:r>
    </w:p>
    <w:p>
      <w:pPr>
        <w:pStyle w:val="TextBody"/>
        <w:bidi w:val="0"/>
        <w:spacing w:before="0" w:after="0"/>
        <w:jc w:val="both"/>
        <w:rPr/>
      </w:pPr>
      <w:r>
        <w:rPr/>
      </w:r>
    </w:p>
    <w:tbl>
      <w:tblPr>
        <w:tblW w:w="5192" w:type="dxa"/>
        <w:jc w:val="left"/>
        <w:tblInd w:w="0" w:type="dxa"/>
        <w:tblLayout w:type="fixed"/>
        <w:tblCellMar>
          <w:top w:w="28" w:type="dxa"/>
          <w:left w:w="28" w:type="dxa"/>
          <w:bottom w:w="28" w:type="dxa"/>
          <w:right w:w="28" w:type="dxa"/>
        </w:tblCellMar>
      </w:tblPr>
      <w:tblGrid>
        <w:gridCol w:w="200"/>
        <w:gridCol w:w="177"/>
        <w:gridCol w:w="178"/>
        <w:gridCol w:w="449"/>
        <w:gridCol w:w="449"/>
        <w:gridCol w:w="451"/>
        <w:gridCol w:w="109"/>
        <w:gridCol w:w="109"/>
        <w:gridCol w:w="109"/>
        <w:gridCol w:w="317"/>
        <w:gridCol w:w="317"/>
        <w:gridCol w:w="317"/>
        <w:gridCol w:w="587"/>
        <w:gridCol w:w="587"/>
        <w:gridCol w:w="836"/>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1" w:type="dxa"/>
            <w:gridSpan w:val="6"/>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NERDWALLET,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Date:</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6,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By:</w:t>
            </w:r>
          </w:p>
        </w:tc>
        <w:tc>
          <w:tcPr>
            <w:tcW w:w="201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 Jun Hyung Lee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Jun Hyung Lee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99.1</w:t>
      </w:r>
    </w:p>
    <w:p>
      <w:pPr>
        <w:pStyle w:val="TextBody"/>
        <w:bidi w:val="0"/>
        <w:spacing w:before="0" w:after="0"/>
        <w:jc w:val="center"/>
        <w:rPr/>
      </w:pPr>
      <w:r>
        <w:rPr/>
        <w:drawing>
          <wp:inline distT="0" distB="0" distL="0" distR="0">
            <wp:extent cx="2695575" cy="59055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2695575" cy="590550"/>
                    </a:xfrm>
                    <a:prstGeom prst="rect">
                      <a:avLst/>
                    </a:prstGeom>
                  </pic:spPr>
                </pic:pic>
              </a:graphicData>
            </a:graphic>
          </wp:inline>
        </w:drawing>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NERDWALLET REPORTS SECOND QUARTER RESULTS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Revenue of $197.3 million, up 6% Year-Over-Year</w:t>
      </w:r>
    </w:p>
    <w:p>
      <w:pPr>
        <w:pStyle w:val="TextBody"/>
        <w:bidi w:val="0"/>
        <w:spacing w:before="0" w:after="0"/>
        <w:jc w:val="both"/>
        <w:rPr/>
      </w:pPr>
      <w:r>
        <w:rPr/>
      </w:r>
    </w:p>
    <w:p>
      <w:pPr>
        <w:pStyle w:val="TextBody"/>
        <w:bidi w:val="0"/>
        <w:spacing w:before="0" w:after="0"/>
        <w:jc w:val="left"/>
        <w:rPr/>
      </w:pPr>
      <w:r>
        <w:rPr/>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FINANCIAL HIGHLIGHTS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Revenue of $197.3 million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GAAP income from operations of $7.0 million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GAAP net income of $4.3 million, or $0.07 income per diluted share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Non-GAAP operating income of $12.2 million</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Adjusted EBITDA of $23.1 million</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SAN FRANCISCO, CA—August 6, 2026—NerdWallet, Inc. (Nasdaq: NRDS), which provides trustworthy financial guidance to consumers and small and mid-sized businesses (SMBs), today reported financial results for its second quarter ended June 30, 2026.</w:t>
      </w:r>
    </w:p>
    <w:p>
      <w:pPr>
        <w:pStyle w:val="TextBody"/>
        <w:bidi w:val="0"/>
        <w:spacing w:lineRule="auto" w:line="288" w:before="0" w:after="180"/>
        <w:ind w:left="0" w:right="0" w:firstLine="360"/>
        <w:jc w:val="both"/>
        <w:rPr>
          <w:color w:val="000000"/>
        </w:rPr>
      </w:pPr>
      <w:r>
        <w:rPr>
          <w:color w:val="000000"/>
        </w:rPr>
        <w:t>“</w:t>
      </w:r>
      <w:r>
        <w:rPr>
          <w:rFonts w:ascii="Times New Roman;serif" w:hAnsi="Times New Roman;serif"/>
          <w:b w:val="false"/>
          <w:color w:val="000000"/>
          <w:sz w:val="20"/>
        </w:rPr>
        <w:t>We're reaching an inflection point in our business,” said Tim Chen, Co-Founder and CEO of NerdWallet. “The success of our vertical integration strategy now gives us the conviction to make incremental investments underwritten on a multi-year payback, with compelling returns. We expect to grow this incremental investment fivefold in 2026 versus 2025 as we deepen our owned audiences and build durable, direct relationships with our customers.”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SECOND QUARTER 2026 HIGHLIGHTS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previously announced, effective with the first quarter of 2026, we present revenue disaggregated by our user groups: Consumer and SMB. This presentation is consistent with recent changes in how management evaluates our financial and business performance, including the information currently reviewed by our chief operating decision maker. Consumer revenue includes revenue from financial products and services intended for individual consumers, including insurance, credit cards, loans, bank accounts and other products and services. Consumer revenue includes our previously reported Insurance, Credit cards, Loans and Emerging verticals product categories. SMB revenue includes revenue from financial products and services intended for SMBs, including loans, credit cards and other products and services. Prior period disaggregation of revenue has been recast to conform to this new presentation.</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Consumer revenue of $175.2 million increased 8% year-over-year, primarily driven by increases of $12.3 million from personal loans as we expanded our marketplace offerings to serve a broader range of borrowers, and $9.6 million from deposit accounts as partners expanded budgets, partially offset by an $8.6 million decrease from consumer credit cards primarily due to continued pressures in organic search traffic that have persisted for multiple quarters.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SMB revenue of $22.1 million was down 11% year-over-year, primarily due to continued pressures in organic search traffic, partially offset by an increase in business loan originations.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drawing>
          <wp:inline distT="0" distB="0" distL="0" distR="0">
            <wp:extent cx="361950" cy="371475"/>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361950" cy="371475"/>
                    </a:xfrm>
                    <a:prstGeom prst="rect">
                      <a:avLst/>
                    </a:prstGeom>
                  </pic:spPr>
                </pic:pic>
              </a:graphicData>
            </a:graphic>
          </wp:inline>
        </w:drawing>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6"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5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SUMMARY FINANCIAL RESULTS</w:t>
      </w:r>
    </w:p>
    <w:tbl>
      <w:tblPr>
        <w:tblW w:w="9172" w:type="dxa"/>
        <w:jc w:val="left"/>
        <w:tblInd w:w="0" w:type="dxa"/>
        <w:tblLayout w:type="fixed"/>
        <w:tblCellMar>
          <w:top w:w="28" w:type="dxa"/>
          <w:left w:w="28" w:type="dxa"/>
          <w:bottom w:w="28" w:type="dxa"/>
          <w:right w:w="28" w:type="dxa"/>
        </w:tblCellMar>
      </w:tblPr>
      <w:tblGrid>
        <w:gridCol w:w="1035"/>
        <w:gridCol w:w="913"/>
        <w:gridCol w:w="917"/>
        <w:gridCol w:w="109"/>
        <w:gridCol w:w="109"/>
        <w:gridCol w:w="109"/>
        <w:gridCol w:w="211"/>
        <w:gridCol w:w="631"/>
        <w:gridCol w:w="109"/>
        <w:gridCol w:w="109"/>
        <w:gridCol w:w="109"/>
        <w:gridCol w:w="109"/>
        <w:gridCol w:w="211"/>
        <w:gridCol w:w="631"/>
        <w:gridCol w:w="109"/>
        <w:gridCol w:w="109"/>
        <w:gridCol w:w="109"/>
        <w:gridCol w:w="109"/>
        <w:gridCol w:w="188"/>
        <w:gridCol w:w="188"/>
        <w:gridCol w:w="385"/>
        <w:gridCol w:w="109"/>
        <w:gridCol w:w="109"/>
        <w:gridCol w:w="109"/>
        <w:gridCol w:w="266"/>
        <w:gridCol w:w="796"/>
        <w:gridCol w:w="137"/>
        <w:gridCol w:w="109"/>
        <w:gridCol w:w="109"/>
        <w:gridCol w:w="109"/>
        <w:gridCol w:w="188"/>
        <w:gridCol w:w="188"/>
        <w:gridCol w:w="434"/>
      </w:tblGrid>
      <w:tr>
        <w:trPr/>
        <w:tc>
          <w:tcPr>
            <w:tcW w:w="1035"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Quarter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b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Quarter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br/>
              <w:t>Change</w:t>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 except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YoY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QoQ</w:t>
            </w:r>
          </w:p>
        </w:tc>
      </w:tr>
      <w:tr>
        <w:trPr/>
        <w:tc>
          <w:tcPr>
            <w:tcW w:w="28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197.3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186.9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w:t>
            </w:r>
          </w:p>
        </w:tc>
        <w:tc>
          <w:tcPr>
            <w:tcW w:w="3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222.2</w:t>
            </w:r>
            <w:r>
              <w:rPr>
                <w:color w:val="000000"/>
              </w:rPr>
              <w:t>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(11</w:t>
            </w:r>
          </w:p>
        </w:tc>
        <w:tc>
          <w:tcPr>
            <w:tcW w:w="4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Consumer</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3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197.6 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4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SMB</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3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4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Income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(35</w:t>
            </w:r>
          </w:p>
        </w:tc>
        <w:tc>
          <w:tcPr>
            <w:tcW w:w="3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27.2</w:t>
            </w: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(75</w:t>
            </w:r>
          </w:p>
        </w:tc>
        <w:tc>
          <w:tcPr>
            <w:tcW w:w="4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(48</w:t>
            </w:r>
          </w:p>
        </w:tc>
        <w:tc>
          <w:tcPr>
            <w:tcW w:w="3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20.4</w:t>
            </w: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(79</w:t>
            </w:r>
          </w:p>
        </w:tc>
        <w:tc>
          <w:tcPr>
            <w:tcW w:w="4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Net income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3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0.30 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w:t>
            </w:r>
          </w:p>
        </w:tc>
        <w:tc>
          <w:tcPr>
            <w:tcW w:w="4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3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0.29 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w:t>
            </w:r>
          </w:p>
        </w:tc>
        <w:tc>
          <w:tcPr>
            <w:tcW w:w="4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Non-GAAP financial measures</w:t>
            </w:r>
            <w:r>
              <w:rPr>
                <w:rFonts w:ascii="Times New Roman;serif" w:hAnsi="Times New Roman;serif"/>
                <w:b/>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Non-GAAP 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(41</w:t>
            </w:r>
          </w:p>
        </w:tc>
        <w:tc>
          <w:tcPr>
            <w:tcW w:w="3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33.7</w:t>
            </w: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(64</w:t>
            </w:r>
          </w:p>
        </w:tc>
        <w:tc>
          <w:tcPr>
            <w:tcW w:w="4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(31</w:t>
            </w:r>
          </w:p>
        </w:tc>
        <w:tc>
          <w:tcPr>
            <w:tcW w:w="3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45.2</w:t>
            </w: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(49</w:t>
            </w:r>
          </w:p>
        </w:tc>
        <w:tc>
          <w:tcPr>
            <w:tcW w:w="4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62.0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105.3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(41</w:t>
            </w:r>
          </w:p>
        </w:tc>
        <w:tc>
          <w:tcPr>
            <w:tcW w:w="3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56.3</w:t>
            </w: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10</w:t>
            </w:r>
          </w:p>
        </w:tc>
        <w:tc>
          <w:tcPr>
            <w:tcW w:w="4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______________</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(1)    Consumer revenue consists of revenue from financial products and services intended for individual consumers, including insurance, credit cards, loans, bank accounts and other products and services.</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(2)    SMB revenue includes revenue from loans, credit cards and other financial products and services intended for small and mid-sized businesses.</w:t>
      </w:r>
    </w:p>
    <w:p>
      <w:pPr>
        <w:pStyle w:val="TextBody"/>
        <w:bidi w:val="0"/>
        <w:spacing w:lineRule="auto" w:line="288" w:before="0" w:after="18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(3)    Non-GAAP operating income and adjusted EBITDA are non-GAAP financial measures. See “Non-GAAP Financial Measures” for more information, including reconciliations to the most directly comparable financial measures calculated in accordance with GAAP.</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QUARTERLY CONFERENCE CALL</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conference call to discuss NerdWallet’s second quarter 2026 financial results will be webcast live today, August 6, 2026 at 1:30 PM Pacific Time (PT). The live webcast is open to the public and will be available on NerdWallet’s investor relations website at https://investors.nerdwallet.com. Following completion of the call, a recorded replay of the webcast will be available on NerdWallet’s investor relations website.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SHAREHOLDER LETTER</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shareholder letter providing additional information and analysis can be found at NerdWallet’s investor relations website at https://investors.nerdwallet.com.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ABOUT NERDWALLET</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NerdWallet (Nasdaq: NRDS) is on a mission to provide clarity for all of life’s financial decisions. As a personal finance website and app, NerdWallet provides consumers with trustworthy and knowledgeable financial information so they can make smart money moves. From finding the best credit card to buying a house, NerdWallet is there to help consumers make financial decisions with confidence. Consumers have free access to our expert content and comparison shopping marketplaces, plus a data-driven app, which helps them stay on top of their finances and save time and money, giving them the freedom to do more. NerdWallet is available in the U.S. and Canada.</w:t>
      </w:r>
    </w:p>
    <w:p>
      <w:pPr>
        <w:pStyle w:val="TextBody"/>
        <w:bidi w:val="0"/>
        <w:spacing w:lineRule="auto" w:line="288" w:before="0" w:after="180"/>
        <w:ind w:left="0" w:right="0" w:firstLine="360"/>
        <w:jc w:val="both"/>
        <w:rPr>
          <w:color w:val="000000"/>
        </w:rPr>
      </w:pPr>
      <w:r>
        <w:rPr>
          <w:color w:val="000000"/>
        </w:rPr>
        <w:t>“</w:t>
      </w:r>
      <w:r>
        <w:rPr>
          <w:rFonts w:ascii="Times New Roman;serif" w:hAnsi="Times New Roman;serif"/>
          <w:b w:val="false"/>
          <w:color w:val="000000"/>
          <w:sz w:val="20"/>
        </w:rPr>
        <w:t>NerdWallet” is a trademark of NerdWallet, Inc. All rights reserved. Other names and trademarks used herein may be trademarks of their respective owners.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drawing>
          <wp:inline distT="0" distB="0" distL="0" distR="0">
            <wp:extent cx="361950" cy="371475"/>
            <wp:effectExtent l="0" t="0" r="0" b="0"/>
            <wp:docPr id="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3" descr=""/>
                    <pic:cNvPicPr>
                      <a:picLocks noChangeAspect="1" noChangeArrowheads="1"/>
                    </pic:cNvPicPr>
                  </pic:nvPicPr>
                  <pic:blipFill>
                    <a:blip r:embed="rId4"/>
                    <a:stretch>
                      <a:fillRect/>
                    </a:stretch>
                  </pic:blipFill>
                  <pic:spPr bwMode="auto">
                    <a:xfrm>
                      <a:off x="0" y="0"/>
                      <a:ext cx="361950" cy="371475"/>
                    </a:xfrm>
                    <a:prstGeom prst="rect">
                      <a:avLst/>
                    </a:prstGeom>
                  </pic:spPr>
                </pic:pic>
              </a:graphicData>
            </a:graphic>
          </wp:inline>
        </w:drawing>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8"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5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CONDENSED CONSOLIDATED STATEMENTS OF OPERATIONS</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477"/>
        <w:gridCol w:w="546"/>
        <w:gridCol w:w="549"/>
        <w:gridCol w:w="109"/>
        <w:gridCol w:w="109"/>
        <w:gridCol w:w="109"/>
        <w:gridCol w:w="211"/>
        <w:gridCol w:w="631"/>
        <w:gridCol w:w="109"/>
        <w:gridCol w:w="109"/>
        <w:gridCol w:w="109"/>
        <w:gridCol w:w="109"/>
        <w:gridCol w:w="211"/>
        <w:gridCol w:w="631"/>
        <w:gridCol w:w="109"/>
        <w:gridCol w:w="109"/>
        <w:gridCol w:w="109"/>
        <w:gridCol w:w="109"/>
        <w:gridCol w:w="188"/>
        <w:gridCol w:w="188"/>
        <w:gridCol w:w="507"/>
        <w:gridCol w:w="109"/>
        <w:gridCol w:w="109"/>
        <w:gridCol w:w="109"/>
        <w:gridCol w:w="211"/>
        <w:gridCol w:w="631"/>
        <w:gridCol w:w="109"/>
        <w:gridCol w:w="109"/>
        <w:gridCol w:w="109"/>
        <w:gridCol w:w="109"/>
        <w:gridCol w:w="211"/>
        <w:gridCol w:w="631"/>
        <w:gridCol w:w="109"/>
        <w:gridCol w:w="109"/>
        <w:gridCol w:w="109"/>
        <w:gridCol w:w="109"/>
        <w:gridCol w:w="210"/>
        <w:gridCol w:w="211"/>
        <w:gridCol w:w="563"/>
      </w:tblGrid>
      <w:tr>
        <w:trPr/>
        <w:tc>
          <w:tcPr>
            <w:tcW w:w="1477"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r>
      <w:tr>
        <w:trPr/>
        <w:tc>
          <w:tcPr>
            <w:tcW w:w="2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25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 except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5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197.3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186.9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w:t>
            </w:r>
          </w:p>
        </w:tc>
        <w:tc>
          <w:tcPr>
            <w:tcW w:w="5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419.5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396.1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w:t>
            </w:r>
          </w:p>
        </w:tc>
        <w:tc>
          <w:tcPr>
            <w:tcW w:w="5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r>
      <w:tr>
        <w:trPr/>
        <w:tc>
          <w:tcPr>
            <w:tcW w:w="25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Costs and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5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5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5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5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5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5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5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5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costs and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5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w:t>
            </w:r>
          </w:p>
        </w:tc>
        <w:tc>
          <w:tcPr>
            <w:tcW w:w="5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(35</w:t>
            </w:r>
          </w:p>
        </w:tc>
        <w:tc>
          <w:tcPr>
            <w:tcW w:w="5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200</w:t>
            </w:r>
          </w:p>
        </w:tc>
        <w:tc>
          <w:tcPr>
            <w:tcW w:w="5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r>
      <w:tr>
        <w:trPr/>
        <w:tc>
          <w:tcPr>
            <w:tcW w:w="25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5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5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5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5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gains,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w:t>
            </w:r>
          </w:p>
        </w:tc>
        <w:tc>
          <w:tcPr>
            <w:tcW w:w="5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5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7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Total other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5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5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5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w:t>
            </w:r>
          </w:p>
        </w:tc>
        <w:tc>
          <w:tcPr>
            <w:tcW w:w="5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5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w:t>
            </w:r>
          </w:p>
        </w:tc>
        <w:tc>
          <w:tcPr>
            <w:tcW w:w="5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Net Income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(48</w:t>
            </w:r>
          </w:p>
        </w:tc>
        <w:tc>
          <w:tcPr>
            <w:tcW w:w="5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195</w:t>
            </w:r>
          </w:p>
        </w:tc>
        <w:tc>
          <w:tcPr>
            <w:tcW w:w="5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r>
      <w:tr>
        <w:trPr/>
        <w:tc>
          <w:tcPr>
            <w:tcW w:w="25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per Share Attributable to Common Stockholders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5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w:t>
            </w:r>
          </w:p>
        </w:tc>
        <w:tc>
          <w:tcPr>
            <w:tcW w:w="5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5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w:t>
            </w:r>
          </w:p>
        </w:tc>
        <w:tc>
          <w:tcPr>
            <w:tcW w:w="5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Weighted-average Shares Used in Computing Net Income per Share Attributable to Common Stockholders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drawing>
          <wp:inline distT="0" distB="0" distL="0" distR="0">
            <wp:extent cx="361950" cy="371475"/>
            <wp:effectExtent l="0" t="0" r="0" b="0"/>
            <wp:docPr id="9"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4" descr=""/>
                    <pic:cNvPicPr>
                      <a:picLocks noChangeAspect="1" noChangeArrowheads="1"/>
                    </pic:cNvPicPr>
                  </pic:nvPicPr>
                  <pic:blipFill>
                    <a:blip r:embed="rId5"/>
                    <a:stretch>
                      <a:fillRect/>
                    </a:stretch>
                  </pic:blipFill>
                  <pic:spPr bwMode="auto">
                    <a:xfrm>
                      <a:off x="0" y="0"/>
                      <a:ext cx="361950" cy="371475"/>
                    </a:xfrm>
                    <a:prstGeom prst="rect">
                      <a:avLst/>
                    </a:prstGeom>
                  </pic:spPr>
                </pic:pic>
              </a:graphicData>
            </a:graphic>
          </wp:inline>
        </w:drawing>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0"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5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Unaudited</w:t>
      </w:r>
    </w:p>
    <w:tbl>
      <w:tblPr>
        <w:tblW w:w="6571" w:type="dxa"/>
        <w:jc w:val="center"/>
        <w:tblInd w:w="0" w:type="dxa"/>
        <w:tblLayout w:type="fixed"/>
        <w:tblCellMar>
          <w:top w:w="28" w:type="dxa"/>
          <w:left w:w="28" w:type="dxa"/>
          <w:bottom w:w="28" w:type="dxa"/>
          <w:right w:w="28" w:type="dxa"/>
        </w:tblCellMar>
      </w:tblPr>
      <w:tblGrid>
        <w:gridCol w:w="1384"/>
        <w:gridCol w:w="1213"/>
        <w:gridCol w:w="1228"/>
        <w:gridCol w:w="109"/>
        <w:gridCol w:w="109"/>
        <w:gridCol w:w="109"/>
        <w:gridCol w:w="211"/>
        <w:gridCol w:w="631"/>
        <w:gridCol w:w="109"/>
        <w:gridCol w:w="109"/>
        <w:gridCol w:w="109"/>
        <w:gridCol w:w="109"/>
        <w:gridCol w:w="241"/>
        <w:gridCol w:w="722"/>
        <w:gridCol w:w="178"/>
      </w:tblGrid>
      <w:tr>
        <w:trPr/>
        <w:tc>
          <w:tcPr>
            <w:tcW w:w="1384"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38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98.3 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111.0 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244.7 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equipment and software—net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123.5 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Deferred tax asset—noncurrent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418.0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461.1</w:t>
            </w:r>
            <w:r>
              <w:rPr>
                <w:color w:val="000000"/>
              </w:rPr>
              <w:t>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liabilities—noncurrent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374.5 </w:t>
            </w:r>
          </w:p>
        </w:tc>
        <w:tc>
          <w:tcPr>
            <w:tcW w:w="178"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 and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418.0</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461.1</w:t>
            </w:r>
            <w:r>
              <w:rPr>
                <w:color w:val="000000"/>
              </w:rPr>
              <w:t> </w:t>
            </w:r>
          </w:p>
        </w:tc>
        <w:tc>
          <w:tcPr>
            <w:tcW w:w="1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drawing>
          <wp:inline distT="0" distB="0" distL="0" distR="0">
            <wp:extent cx="361950" cy="371475"/>
            <wp:effectExtent l="0" t="0" r="0" b="0"/>
            <wp:docPr id="11"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5" descr=""/>
                    <pic:cNvPicPr>
                      <a:picLocks noChangeAspect="1" noChangeArrowheads="1"/>
                    </pic:cNvPicPr>
                  </pic:nvPicPr>
                  <pic:blipFill>
                    <a:blip r:embed="rId6"/>
                    <a:stretch>
                      <a:fillRect/>
                    </a:stretch>
                  </pic:blipFill>
                  <pic:spPr bwMode="auto">
                    <a:xfrm>
                      <a:off x="0" y="0"/>
                      <a:ext cx="361950" cy="371475"/>
                    </a:xfrm>
                    <a:prstGeom prst="rect">
                      <a:avLst/>
                    </a:prstGeom>
                  </pic:spPr>
                </pic:pic>
              </a:graphicData>
            </a:graphic>
          </wp:inline>
        </w:drawing>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2"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5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Unaudited</w:t>
      </w:r>
    </w:p>
    <w:tbl>
      <w:tblPr>
        <w:tblW w:w="9186" w:type="dxa"/>
        <w:jc w:val="center"/>
        <w:tblInd w:w="0" w:type="dxa"/>
        <w:tblLayout w:type="fixed"/>
        <w:tblCellMar>
          <w:top w:w="28" w:type="dxa"/>
          <w:left w:w="28" w:type="dxa"/>
          <w:bottom w:w="28" w:type="dxa"/>
          <w:right w:w="28" w:type="dxa"/>
        </w:tblCellMar>
      </w:tblPr>
      <w:tblGrid>
        <w:gridCol w:w="2428"/>
        <w:gridCol w:w="2130"/>
        <w:gridCol w:w="2162"/>
        <w:gridCol w:w="109"/>
        <w:gridCol w:w="109"/>
        <w:gridCol w:w="109"/>
        <w:gridCol w:w="211"/>
        <w:gridCol w:w="511"/>
        <w:gridCol w:w="109"/>
        <w:gridCol w:w="109"/>
        <w:gridCol w:w="109"/>
        <w:gridCol w:w="109"/>
        <w:gridCol w:w="211"/>
        <w:gridCol w:w="616"/>
        <w:gridCol w:w="154"/>
      </w:tblGrid>
      <w:tr>
        <w:trPr/>
        <w:tc>
          <w:tcPr>
            <w:tcW w:w="2428" w:type="dxa"/>
            <w:tcBorders/>
            <w:vAlign w:val="center"/>
          </w:tcPr>
          <w:p>
            <w:pPr>
              <w:pStyle w:val="TableContents"/>
              <w:bidi w:val="0"/>
              <w:spacing w:before="0" w:after="283"/>
              <w:jc w:val="left"/>
              <w:rPr>
                <w:sz w:val="4"/>
                <w:szCs w:val="4"/>
              </w:rPr>
            </w:pPr>
            <w:r>
              <w:rPr>
                <w:sz w:val="4"/>
                <w:szCs w:val="4"/>
              </w:rPr>
            </w:r>
          </w:p>
        </w:tc>
        <w:tc>
          <w:tcPr>
            <w:tcW w:w="2130" w:type="dxa"/>
            <w:tcBorders/>
            <w:vAlign w:val="center"/>
          </w:tcPr>
          <w:p>
            <w:pPr>
              <w:pStyle w:val="TableContents"/>
              <w:bidi w:val="0"/>
              <w:spacing w:before="0" w:after="283"/>
              <w:jc w:val="left"/>
              <w:rPr>
                <w:sz w:val="4"/>
                <w:szCs w:val="4"/>
              </w:rPr>
            </w:pPr>
            <w:r>
              <w:rPr>
                <w:sz w:val="4"/>
                <w:szCs w:val="4"/>
              </w:rPr>
            </w:r>
          </w:p>
        </w:tc>
        <w:tc>
          <w:tcPr>
            <w:tcW w:w="2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6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67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to 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lease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losses,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 net of business combinations: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Mortgage loans held for 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Purchase of investment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Liquidation of certificate of deposit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software development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Business combinations, net of cash acquired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borrowing (repayment) on warehouse line of credit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Proceeds from exercises of 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payments related to net-share settlements on restricted stock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Issuances of Class A common stock under Employee Stock Purchase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Repurchases of Class A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increase (decrease) in 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drawing>
          <wp:inline distT="0" distB="0" distL="0" distR="0">
            <wp:extent cx="361950" cy="371475"/>
            <wp:effectExtent l="0" t="0" r="0" b="0"/>
            <wp:docPr id="13"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6" descr=""/>
                    <pic:cNvPicPr>
                      <a:picLocks noChangeAspect="1" noChangeArrowheads="1"/>
                    </pic:cNvPicPr>
                  </pic:nvPicPr>
                  <pic:blipFill>
                    <a:blip r:embed="rId7"/>
                    <a:stretch>
                      <a:fillRect/>
                    </a:stretch>
                  </pic:blipFill>
                  <pic:spPr bwMode="auto">
                    <a:xfrm>
                      <a:off x="0" y="0"/>
                      <a:ext cx="361950" cy="371475"/>
                    </a:xfrm>
                    <a:prstGeom prst="rect">
                      <a:avLst/>
                    </a:prstGeom>
                  </pic:spPr>
                </pic:pic>
              </a:graphicData>
            </a:graphic>
          </wp:inline>
        </w:drawing>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4"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5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NON-GAAP FINANCIAL MEASURES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use non-GAAP operating income (loss), adjusted EBITDA and adjusted free cash flow in conjunction with GAAP measures as part of our overall assessment of our performance, including the preparation of our annual operating budget and quarterly forecasts, to evaluate the effectiveness of our business strategies, and to communicate with our Board of Directors concerning our financial performance. </w:t>
      </w:r>
    </w:p>
    <w:p>
      <w:pPr>
        <w:pStyle w:val="TextBody"/>
        <w:bidi w:val="0"/>
        <w:spacing w:lineRule="auto" w:line="288" w:before="0" w:after="120"/>
        <w:ind w:left="0" w:right="0" w:firstLine="360"/>
        <w:jc w:val="both"/>
        <w:rPr/>
      </w:pPr>
      <w:r>
        <w:rPr>
          <w:rFonts w:ascii="Times New Roman;serif" w:hAnsi="Times New Roman;serif"/>
          <w:b/>
          <w:i/>
          <w:color w:val="000000"/>
          <w:sz w:val="20"/>
        </w:rPr>
        <w:t>Non-GAAP operating income (loss):</w:t>
      </w:r>
      <w:r>
        <w:rPr>
          <w:color w:val="000000"/>
        </w:rPr>
        <w:t xml:space="preserve"> </w:t>
      </w:r>
      <w:r>
        <w:rPr>
          <w:rFonts w:ascii="Times New Roman;serif" w:hAnsi="Times New Roman;serif"/>
          <w:b w:val="false"/>
          <w:color w:val="000000"/>
          <w:sz w:val="20"/>
        </w:rPr>
        <w:t>We define non-GAAP operating income (loss) as income (loss) from operations adjusted to exclude depreciation and amortization, and further exclude (1) losses (gains) on disposals of assets, (2) acquisition-related costs, and (3) restructuring charges. We also reduce income from operations, or increase loss from operations, for capitalized internally developed software costs.</w:t>
      </w:r>
    </w:p>
    <w:p>
      <w:pPr>
        <w:pStyle w:val="TextBody"/>
        <w:bidi w:val="0"/>
        <w:spacing w:lineRule="auto" w:line="288" w:before="0" w:after="120"/>
        <w:ind w:left="0" w:right="0" w:firstLine="360"/>
        <w:jc w:val="both"/>
        <w:rPr/>
      </w:pPr>
      <w:r>
        <w:rPr>
          <w:rFonts w:ascii="Times New Roman;serif" w:hAnsi="Times New Roman;serif"/>
          <w:b/>
          <w:i/>
          <w:color w:val="000000"/>
          <w:sz w:val="20"/>
        </w:rPr>
        <w:t xml:space="preserve">Adjusted EBITDA: </w:t>
      </w:r>
      <w:r>
        <w:rPr>
          <w:rFonts w:ascii="Times New Roman;serif" w:hAnsi="Times New Roman;serif"/>
          <w:b w:val="false"/>
          <w:color w:val="000000"/>
          <w:sz w:val="20"/>
        </w:rPr>
        <w:t>We define adjusted EBITDA as net income (loss) from continuing operations adjusted to exclude depreciation and amortization, interest income (expense), net, other gains (losses), net, and provision (benefit) for income taxes, and further exclude (1) losses (gains) on disposals of assets, (2) stock-based compensation, (3) acquisition-related costs, and (4) restructuring charges.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above items are excluded from our non-GAAP operating income (loss) and adjusted EBITDA measures because these items are non-cash in nature, or because the amounts are not driven by core operating results and renders comparisons with prior periods less meaningful. We deduct capitalized internally developed software costs in our non-GAAP operating income (loss) measure to reflect the cash impact of personnel costs incurred within the time period.</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believe that non-GAAP operating income (loss) and adjusted EBITDA provide useful information to investors and others in understanding and evaluating our operating results and in comparing operating results across periods. Moreover, non-GAAP operating income (loss) and adjusted EBITDA are key measurements used by our management internally to make operating decisions, including those related to analyzing operating expenses, evaluating performance, and performing strategic planning and annual budgeting. However, the use of these non-GAAP measures have certain limitations because they do not reflect all items of income and expense that affect our operations. Non-GAAP operating income (loss) and adjusted EBITDA have limitations as financial measures, should be considered as supplemental in nature, and are not meant as substitutes for the related financial information prepared in accordance with GAAP. These limitations include the following:</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Non-GAAP operating income (loss) and adjusted EBITDA exclude certain recurring, non-cash charges, such as amortization of software, depreciation of property and equipment, amortization of intangible assets, and (losses) gains on disposals of assets. Although these are non-cash charges, the assets being depreciated and amortized may have to be replaced in the future, and non-GAAP operating income (loss) and adjusted EBITDA do not reflect all cash requirements for such replacements or for new capital expenditure requirements;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Non-GAAP operating income (loss) and adjusted EBITDA exclude certain acquisition-related costs, including acquisition-related retention compensation under compensatory retention agreements with certain key employees, and acquisition-related transaction expenses;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Non-GAAP operating income (loss) and adjusted EBITDA exclude restructuring charges primarily consisting of severance payments, stock-based compensation, employee benefits, and related expenses for impacted employees, as well as contract termination costs, associated with our restructuring plan implemented in 2024;</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Adjusted EBITDA excludes stock-based compensation, including for acquisition-related inducement awards, which has been, and will continue to be for the foreseeable future, a significant recurring expense in our business and an important part of our compensation strategy; and</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Adjusted EBITDA does not reflect interest income (expense) and other gains (losses), net, which include unrealized and realized gains and losses on foreign currency exchange, as well as certain nonrecurring gains (losses).</w:t>
      </w:r>
    </w:p>
    <w:p>
      <w:pPr>
        <w:pStyle w:val="TextBody"/>
        <w:bidi w:val="0"/>
        <w:spacing w:before="0" w:after="0"/>
        <w:jc w:val="right"/>
        <w:rPr/>
      </w:pPr>
      <w:r>
        <w:rPr/>
        <w:drawing>
          <wp:inline distT="0" distB="0" distL="0" distR="0">
            <wp:extent cx="361950" cy="371475"/>
            <wp:effectExtent l="0" t="0" r="0" b="0"/>
            <wp:docPr id="15"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7" descr=""/>
                    <pic:cNvPicPr>
                      <a:picLocks noChangeAspect="1" noChangeArrowheads="1"/>
                    </pic:cNvPicPr>
                  </pic:nvPicPr>
                  <pic:blipFill>
                    <a:blip r:embed="rId8"/>
                    <a:stretch>
                      <a:fillRect/>
                    </a:stretch>
                  </pic:blipFill>
                  <pic:spPr bwMode="auto">
                    <a:xfrm>
                      <a:off x="0" y="0"/>
                      <a:ext cx="361950" cy="371475"/>
                    </a:xfrm>
                    <a:prstGeom prst="rect">
                      <a:avLst/>
                    </a:prstGeom>
                  </pic:spPr>
                </pic:pic>
              </a:graphicData>
            </a:graphic>
          </wp:inline>
        </w:drawing>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6"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5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120"/>
        <w:ind w:left="0" w:right="0" w:firstLine="360"/>
        <w:jc w:val="both"/>
        <w:rPr/>
      </w:pPr>
      <w:r>
        <w:rPr>
          <w:rFonts w:ascii="Times New Roman;serif" w:hAnsi="Times New Roman;serif"/>
          <w:b/>
          <w:i/>
          <w:color w:val="000000"/>
          <w:sz w:val="20"/>
        </w:rPr>
        <w:t xml:space="preserve">Adjusted free cash flow: </w:t>
      </w:r>
      <w:r>
        <w:rPr>
          <w:rFonts w:ascii="Times New Roman;serif" w:hAnsi="Times New Roman;serif"/>
          <w:b w:val="false"/>
          <w:color w:val="000000"/>
          <w:sz w:val="20"/>
        </w:rPr>
        <w:t xml:space="preserve">We define free cash flow as net cash provided by operating activities less capitalized software development costs and purchases of property and equipment, adjusted for any net borrowing or repayment on our warehouse line of credit. Our warehouse line of credit is used to fund mortgage loans originated for sale, as any increase or decrease in our mortgage loans held for sale is substantially offset by a corresponding borrowing or repayment on our warehouse line of credit. Adjusted free cash flow is a key measurement used by our management internally to evaluate our business performance and overall liquidity. We believe that adjusted free cash flow provides useful information for investors and others for determining the amount of cash available for investment in our business, strategic opportunities, repurchasing stock, strengthening our financial position and other purposes, as well as evaluating our historical and prospective liquidity. A limitation of the utility of adjusted free cash flow as a measure of financial performance and liquidity is that adjusted free cash flow does not represent the total increase or decrease in our cash balance for the period. </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non-GAAP operating income (loss), adjusted EBITDA and adjusted free cash flow as we define them may not be comparable to similarly titled measures used by other companies. Because of these limitations, you should consider non-GAAP operating income (loss), adjusted EBITDA and adjusted free cash flow alongside other financial performance measures, including income (loss) from operations, net income (loss), cash flows from operating activities and our other GAAP results.</w:t>
      </w:r>
    </w:p>
    <w:p>
      <w:pPr>
        <w:pStyle w:val="TextBody"/>
        <w:bidi w:val="0"/>
        <w:spacing w:before="0" w:after="0"/>
        <w:jc w:val="right"/>
        <w:rPr/>
      </w:pPr>
      <w:r>
        <w:rPr/>
        <w:drawing>
          <wp:inline distT="0" distB="0" distL="0" distR="0">
            <wp:extent cx="361950" cy="371475"/>
            <wp:effectExtent l="0" t="0" r="0" b="0"/>
            <wp:docPr id="17"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8" descr=""/>
                    <pic:cNvPicPr>
                      <a:picLocks noChangeAspect="1" noChangeArrowheads="1"/>
                    </pic:cNvPicPr>
                  </pic:nvPicPr>
                  <pic:blipFill>
                    <a:blip r:embed="rId9"/>
                    <a:stretch>
                      <a:fillRect/>
                    </a:stretch>
                  </pic:blipFill>
                  <pic:spPr bwMode="auto">
                    <a:xfrm>
                      <a:off x="0" y="0"/>
                      <a:ext cx="361950" cy="371475"/>
                    </a:xfrm>
                    <a:prstGeom prst="rect">
                      <a:avLst/>
                    </a:prstGeom>
                  </pic:spPr>
                </pic:pic>
              </a:graphicData>
            </a:graphic>
          </wp:inline>
        </w:drawing>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18"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5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compensate for these limitations by reconciling non-GAAP operating income to income from operations, adjusted EBITDA to net income and adjusted free cash flow to net cash provided by operating activities, the most directly comparable GAAP financial measures, as follows:</w:t>
      </w:r>
    </w:p>
    <w:tbl>
      <w:tblPr>
        <w:tblW w:w="10205" w:type="dxa"/>
        <w:jc w:val="left"/>
        <w:tblInd w:w="0" w:type="dxa"/>
        <w:tblLayout w:type="fixed"/>
        <w:tblCellMar>
          <w:top w:w="28" w:type="dxa"/>
          <w:left w:w="28" w:type="dxa"/>
          <w:bottom w:w="28" w:type="dxa"/>
          <w:right w:w="28" w:type="dxa"/>
        </w:tblCellMar>
      </w:tblPr>
      <w:tblGrid>
        <w:gridCol w:w="1042"/>
        <w:gridCol w:w="595"/>
        <w:gridCol w:w="541"/>
        <w:gridCol w:w="109"/>
        <w:gridCol w:w="109"/>
        <w:gridCol w:w="109"/>
        <w:gridCol w:w="211"/>
        <w:gridCol w:w="526"/>
        <w:gridCol w:w="271"/>
        <w:gridCol w:w="109"/>
        <w:gridCol w:w="109"/>
        <w:gridCol w:w="109"/>
        <w:gridCol w:w="211"/>
        <w:gridCol w:w="526"/>
        <w:gridCol w:w="271"/>
        <w:gridCol w:w="109"/>
        <w:gridCol w:w="109"/>
        <w:gridCol w:w="109"/>
        <w:gridCol w:w="240"/>
        <w:gridCol w:w="241"/>
        <w:gridCol w:w="507"/>
        <w:gridCol w:w="109"/>
        <w:gridCol w:w="109"/>
        <w:gridCol w:w="109"/>
        <w:gridCol w:w="211"/>
        <w:gridCol w:w="526"/>
        <w:gridCol w:w="271"/>
        <w:gridCol w:w="109"/>
        <w:gridCol w:w="109"/>
        <w:gridCol w:w="109"/>
        <w:gridCol w:w="211"/>
        <w:gridCol w:w="526"/>
        <w:gridCol w:w="271"/>
        <w:gridCol w:w="109"/>
        <w:gridCol w:w="109"/>
        <w:gridCol w:w="109"/>
        <w:gridCol w:w="239"/>
        <w:gridCol w:w="242"/>
        <w:gridCol w:w="564"/>
      </w:tblGrid>
      <w:tr>
        <w:trPr/>
        <w:tc>
          <w:tcPr>
            <w:tcW w:w="1042"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r>
      <w:tr>
        <w:trPr/>
        <w:tc>
          <w:tcPr>
            <w:tcW w:w="21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21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17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7.0</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10.7</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(35</w:t>
            </w:r>
          </w:p>
        </w:tc>
        <w:tc>
          <w:tcPr>
            <w:tcW w:w="5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34.2</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11.4</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200</w:t>
            </w:r>
          </w:p>
        </w:tc>
        <w:tc>
          <w:tcPr>
            <w:tcW w:w="5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r>
      <w:tr>
        <w:trPr/>
        <w:tc>
          <w:tcPr>
            <w:tcW w:w="21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5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5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Acquisition-related retention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5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5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Acquisition-related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5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disposal of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5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w:t>
            </w:r>
          </w:p>
        </w:tc>
        <w:tc>
          <w:tcPr>
            <w:tcW w:w="5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Restructuring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5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w:t>
            </w:r>
          </w:p>
        </w:tc>
        <w:tc>
          <w:tcPr>
            <w:tcW w:w="564"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internally developed software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5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564"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Non-GAAP 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12.2</w:t>
            </w:r>
            <w:r>
              <w:rPr>
                <w:color w:val="000000"/>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20.7</w:t>
            </w:r>
            <w:r>
              <w:rPr>
                <w:color w:val="000000"/>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(41</w:t>
            </w:r>
          </w:p>
        </w:tc>
        <w:tc>
          <w:tcPr>
            <w:tcW w:w="5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45.9</w:t>
            </w:r>
            <w:r>
              <w:rPr>
                <w:color w:val="000000"/>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30.0</w:t>
            </w:r>
            <w:r>
              <w:rPr>
                <w:color w:val="000000"/>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53</w:t>
            </w:r>
          </w:p>
        </w:tc>
        <w:tc>
          <w:tcPr>
            <w:tcW w:w="5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r>
      <w:tr>
        <w:trPr/>
        <w:tc>
          <w:tcPr>
            <w:tcW w:w="21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Non-GAAP operating income margin</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4.3</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8.2</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(48</w:t>
            </w:r>
          </w:p>
        </w:tc>
        <w:tc>
          <w:tcPr>
            <w:tcW w:w="5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24.7</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8.4</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195</w:t>
            </w:r>
          </w:p>
        </w:tc>
        <w:tc>
          <w:tcPr>
            <w:tcW w:w="5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r>
      <w:tr>
        <w:trPr/>
        <w:tc>
          <w:tcPr>
            <w:tcW w:w="21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5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5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5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5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Acquisition-related retention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5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5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Acquisition-related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5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disposal of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5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w:t>
            </w:r>
          </w:p>
        </w:tc>
        <w:tc>
          <w:tcPr>
            <w:tcW w:w="5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Restructuring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5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w:t>
            </w:r>
          </w:p>
        </w:tc>
        <w:tc>
          <w:tcPr>
            <w:tcW w:w="5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Interest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5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5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gains,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w:t>
            </w:r>
          </w:p>
        </w:tc>
        <w:tc>
          <w:tcPr>
            <w:tcW w:w="5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5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5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w:t>
            </w:r>
          </w:p>
        </w:tc>
        <w:tc>
          <w:tcPr>
            <w:tcW w:w="5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23.1</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33.6</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(31</w:t>
            </w:r>
          </w:p>
        </w:tc>
        <w:tc>
          <w:tcPr>
            <w:tcW w:w="5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68.3</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54.7</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25</w:t>
            </w:r>
          </w:p>
        </w:tc>
        <w:tc>
          <w:tcPr>
            <w:tcW w:w="5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r>
      <w:tr>
        <w:trPr/>
        <w:tc>
          <w:tcPr>
            <w:tcW w:w="21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5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564"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internally developed software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5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564"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Non-GAAP 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12.2</w:t>
            </w:r>
            <w:r>
              <w:rPr>
                <w:color w:val="000000"/>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20.7</w:t>
            </w:r>
            <w:r>
              <w:rPr>
                <w:color w:val="000000"/>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(41</w:t>
            </w:r>
          </w:p>
        </w:tc>
        <w:tc>
          <w:tcPr>
            <w:tcW w:w="5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45.9</w:t>
            </w:r>
            <w:r>
              <w:rPr>
                <w:color w:val="000000"/>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30.0</w:t>
            </w:r>
            <w:r>
              <w:rPr>
                <w:color w:val="000000"/>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53</w:t>
            </w:r>
          </w:p>
        </w:tc>
        <w:tc>
          <w:tcPr>
            <w:tcW w:w="5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r>
      <w:tr>
        <w:trPr/>
        <w:tc>
          <w:tcPr>
            <w:tcW w:w="21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Adjusted EBITDA margin</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______________</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(1)    Represents non-GAAP operating income as a percentage of revenue.</w:t>
      </w:r>
    </w:p>
    <w:p>
      <w:pPr>
        <w:pStyle w:val="TextBody"/>
        <w:bidi w:val="0"/>
        <w:spacing w:lineRule="auto" w:line="288" w:before="0" w:after="18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(2)    Represents adjusted EBITDA as a percentage of revenue.</w:t>
      </w:r>
    </w:p>
    <w:p>
      <w:pPr>
        <w:pStyle w:val="TextBody"/>
        <w:bidi w:val="0"/>
        <w:spacing w:before="0" w:after="0"/>
        <w:jc w:val="right"/>
        <w:rPr/>
      </w:pPr>
      <w:r>
        <w:rPr/>
        <w:drawing>
          <wp:inline distT="0" distB="0" distL="0" distR="0">
            <wp:extent cx="361950" cy="371475"/>
            <wp:effectExtent l="0" t="0" r="0" b="0"/>
            <wp:docPr id="1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9" descr=""/>
                    <pic:cNvPicPr>
                      <a:picLocks noChangeAspect="1" noChangeArrowheads="1"/>
                    </pic:cNvPicPr>
                  </pic:nvPicPr>
                  <pic:blipFill>
                    <a:blip r:embed="rId10"/>
                    <a:stretch>
                      <a:fillRect/>
                    </a:stretch>
                  </pic:blipFill>
                  <pic:spPr bwMode="auto">
                    <a:xfrm>
                      <a:off x="0" y="0"/>
                      <a:ext cx="361950" cy="371475"/>
                    </a:xfrm>
                    <a:prstGeom prst="rect">
                      <a:avLst/>
                    </a:prstGeom>
                  </pic:spPr>
                </pic:pic>
              </a:graphicData>
            </a:graphic>
          </wp:inline>
        </w:drawing>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0"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5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432"/>
        <w:gridCol w:w="1216"/>
        <w:gridCol w:w="1225"/>
        <w:gridCol w:w="109"/>
        <w:gridCol w:w="109"/>
        <w:gridCol w:w="109"/>
        <w:gridCol w:w="211"/>
        <w:gridCol w:w="631"/>
        <w:gridCol w:w="109"/>
        <w:gridCol w:w="109"/>
        <w:gridCol w:w="109"/>
        <w:gridCol w:w="109"/>
        <w:gridCol w:w="211"/>
        <w:gridCol w:w="631"/>
        <w:gridCol w:w="109"/>
        <w:gridCol w:w="109"/>
        <w:gridCol w:w="109"/>
        <w:gridCol w:w="109"/>
        <w:gridCol w:w="211"/>
        <w:gridCol w:w="631"/>
        <w:gridCol w:w="109"/>
        <w:gridCol w:w="109"/>
        <w:gridCol w:w="109"/>
        <w:gridCol w:w="109"/>
        <w:gridCol w:w="211"/>
        <w:gridCol w:w="631"/>
        <w:gridCol w:w="109"/>
        <w:gridCol w:w="109"/>
        <w:gridCol w:w="109"/>
        <w:gridCol w:w="109"/>
        <w:gridCol w:w="211"/>
        <w:gridCol w:w="526"/>
        <w:gridCol w:w="156"/>
      </w:tblGrid>
      <w:tr>
        <w:trPr/>
        <w:tc>
          <w:tcPr>
            <w:tcW w:w="1432"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5"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Twelve Months Ended</w:t>
            </w:r>
          </w:p>
        </w:tc>
      </w:tr>
      <w:tr>
        <w:trPr/>
        <w:tc>
          <w:tcPr>
            <w:tcW w:w="38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Mar 31,</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 31,</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 30,</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 30,</w:t>
              <w:br/>
              <w:t>2025</w:t>
            </w:r>
          </w:p>
        </w:tc>
      </w:tr>
      <w:tr>
        <w:trPr/>
        <w:tc>
          <w:tcPr>
            <w:tcW w:w="387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164.3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140.6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131.6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102.6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83.1</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software development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borrowing (repayment) on warehouse line of credit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Adjusted free cash flow</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141.2</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130.9</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117.8</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85.5</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70.6</w:t>
            </w:r>
            <w:r>
              <w:rPr>
                <w:color w:val="000000"/>
              </w:rPr>
              <w:t>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60"/>
        <w:ind w:left="0" w:right="0" w:hanging="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FINANCIAL OUTLOOK</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providing guidance for the third quarter of 2026:</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Revenue is expected in the range of $244-$260 million, up 17% year-over-year at the midpoint</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GAAP operating income is expected in the range of $22-$30 million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Non-GAAP operating income is expected in the range of $29-$37 million </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Adjusted EBITDA is expected in the range of $39-$47 million</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adjusting our 2026 annual GAAP operating income expectation to the range of $65-$80 million and non-GAAP operating income to the range of $90-$105 million. We are also adjusting our 2026 annual adjusted EBITDA expectation to the range of $131-$147 million.</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NerdWallet has not provided a quantitative reconciliation of forecasted GAAP net income (loss) to forecasted adjusted EBITDA within this communication because the Company is unable, without making unreasonable efforts, to calculate certain reconciling items with confidence. These items include, but are not limited to, income taxes which are directly impacted by unpredictable fluctuations in the market price of the Company’s capital stock. These items, which could materially affect the computation of forward-looking GAAP net income (loss), are inherently uncertain and depend on various factors, many of which are outside of NerdWallet’s control. </w:t>
      </w:r>
    </w:p>
    <w:p>
      <w:pPr>
        <w:pStyle w:val="TextBody"/>
        <w:bidi w:val="0"/>
        <w:spacing w:lineRule="auto" w:line="288" w:before="0" w:after="120"/>
        <w:ind w:left="0" w:right="0" w:firstLine="360"/>
        <w:jc w:val="both"/>
        <w:rPr/>
      </w:pPr>
      <w:r>
        <w:rPr>
          <w:rFonts w:ascii="Times New Roman;serif" w:hAnsi="Times New Roman;serif"/>
          <w:b w:val="false"/>
          <w:color w:val="000000"/>
          <w:sz w:val="20"/>
        </w:rPr>
        <w:t>A reconciliation of forecasted GAAP operating income to forecasted non-GAAP operating income for forecasted third quarter 2026 and forecasted full year 2026</w:t>
      </w:r>
      <w:r>
        <w:rPr>
          <w:color w:val="000000"/>
        </w:rPr>
        <w:t xml:space="preserve"> </w:t>
      </w:r>
      <w:r>
        <w:rPr>
          <w:rFonts w:ascii="Times New Roman;serif" w:hAnsi="Times New Roman;serif"/>
          <w:b w:val="false"/>
          <w:color w:val="000000"/>
          <w:sz w:val="20"/>
        </w:rPr>
        <w:t>is as follows:</w:t>
      </w:r>
    </w:p>
    <w:tbl>
      <w:tblPr>
        <w:tblW w:w="6818" w:type="dxa"/>
        <w:jc w:val="left"/>
        <w:tblInd w:w="0" w:type="dxa"/>
        <w:tblLayout w:type="fixed"/>
        <w:tblCellMar>
          <w:top w:w="28" w:type="dxa"/>
          <w:left w:w="28" w:type="dxa"/>
          <w:bottom w:w="28" w:type="dxa"/>
          <w:right w:w="28" w:type="dxa"/>
        </w:tblCellMar>
      </w:tblPr>
      <w:tblGrid>
        <w:gridCol w:w="1437"/>
        <w:gridCol w:w="1264"/>
        <w:gridCol w:w="1274"/>
        <w:gridCol w:w="109"/>
        <w:gridCol w:w="109"/>
        <w:gridCol w:w="109"/>
        <w:gridCol w:w="384"/>
        <w:gridCol w:w="384"/>
        <w:gridCol w:w="386"/>
        <w:gridCol w:w="109"/>
        <w:gridCol w:w="109"/>
        <w:gridCol w:w="109"/>
        <w:gridCol w:w="303"/>
        <w:gridCol w:w="303"/>
        <w:gridCol w:w="429"/>
      </w:tblGrid>
      <w:tr>
        <w:trPr/>
        <w:tc>
          <w:tcPr>
            <w:tcW w:w="1437"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Forecasted</w:t>
              <w:br/>
              <w:t>Third 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Forecasted</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Full Year</w:t>
            </w:r>
          </w:p>
        </w:tc>
      </w:tr>
      <w:tr>
        <w:trPr/>
        <w:tc>
          <w:tcPr>
            <w:tcW w:w="3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r>
      <w:tr>
        <w:trPr/>
        <w:tc>
          <w:tcPr>
            <w:tcW w:w="39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GAAP 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$22 - $30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$65 - $80</w:t>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Estimated adjustments for: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9 - 10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37 - 39</w:t>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Acquisition-related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0 - 1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1 - 3</w:t>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internally developed software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 - (4)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 - (17)</w:t>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Non-GAAP 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$29 - $37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$90 - $105</w:t>
            </w:r>
          </w:p>
        </w:tc>
      </w:tr>
    </w:tbl>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more information regarding the non-GAAP financial measures discussed in this communication, please see “Non-GAAP Financial Measures”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drawing>
          <wp:inline distT="0" distB="0" distL="0" distR="0">
            <wp:extent cx="361950" cy="371475"/>
            <wp:effectExtent l="0" t="0" r="0" b="0"/>
            <wp:docPr id="21"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0" descr=""/>
                    <pic:cNvPicPr>
                      <a:picLocks noChangeAspect="1" noChangeArrowheads="1"/>
                    </pic:cNvPicPr>
                  </pic:nvPicPr>
                  <pic:blipFill>
                    <a:blip r:embed="rId11"/>
                    <a:stretch>
                      <a:fillRect/>
                    </a:stretch>
                  </pic:blipFill>
                  <pic:spPr bwMode="auto">
                    <a:xfrm>
                      <a:off x="0" y="0"/>
                      <a:ext cx="361950" cy="371475"/>
                    </a:xfrm>
                    <a:prstGeom prst="rect">
                      <a:avLst/>
                    </a:prstGeom>
                  </pic:spPr>
                </pic:pic>
              </a:graphicData>
            </a:graphic>
          </wp:inline>
        </w:drawing>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5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This press release contains forward-looking statements about us and our industry that involve significant risks and uncertainties. Except for statements of historical facts, all statements contained in this press release are forward-looking, including, but not limited to, the statements in the section titled “Financial Outlook.” These statements often contain words such as “anticipate,” “believe,” “contemplate,” “continue,” “could,” “estimate,” “expect,” “forecast,” “intend,” “may,” “outlook,” “plan,” “potential,” “predict,” “project,” “should,” “target,” “will” or “would” or similar terms, including their negatives. These forward-looking statements include, but are not limited to, statements regarding:</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impact of macroeconomic developments, including inflation, interest rates, credit market conditions and general economic uncertainty, on our business, operating results, financial condition and stock price;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our expectations regarding future financial and operational performance, including total revenue, cost of revenue, non-GAAP operating income (loss), adjusted EBITDA, and adjusted free cash flow;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our ability to grow traffic, engagement, and monetization on our platform;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expected returns on marketing investments and brand campaigns;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consumer and SMB demand for products and services offered through our platform;</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ability to increase user registrations, improve repeat usage rates, and convert users into matches with financial services partners;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expansion within existing and new verticals, including new products, services, and features that are competitive, compliant with applicable regulations, and responsive to market needs;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geographic changes in operations;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maintaining and expanding relationships with existing financial services partners and identifying new ones;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developing scalable technology and data capabilities to provide personalized guidance and enhance user engagement;</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strengthening brand awareness, credibility, and consumer and SMB trust;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producing high quality, engaging consumer and SMB content and tools;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adapting to evolving consumer and SMB financial interests and behaviors;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competing effectively in existing and new markets;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maintaining the security, reliability, and availability of our platform;</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protecting and enhancing our intellectual property portfolio;</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attracting, developing, and retaining highly skilled and diverse talent;</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complying with evolving laws, regulations, and supervisory expectations applicable to our business;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the adequacy of our cash, cash equivalents, and investments to meet liquidity needs;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managing growth, scaling infrastructure, and preserving our corporate culture;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identifying, executing, and successfully integrating acquisitions; and</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 xml:space="preserve">achieving expected synergies, accretion, and other benefits from completed acquisitions. </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These forward-looking statements are not guarantees of future performance and should not be relied upon as predictions of future events. They are based on our current expectations, estimates, and projections regarding future events and trends that may affect our business, financial condition and operating results. These expectations are subject to various risks, uncertainties, and assumptions, including those described in filings we make with the SEC from time to time. </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industry is highly competitive and rapidly evolving, and new risks and uncertainties may arise that we cannot predict. As a result, actual results, events, or circumstances may differ materially from those reflected in our forward-looking statements. </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Forward-looking statements in this press release speak only as of the date hereof. We undertake no obligation to update any such statements in this press release to reflect subsequent events, new information, or unexpected developments, except as required by law. These statements also do not reflect potential impacts from future acquisitions, mergers, dispositions, joint ventures, or investments.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drawing>
          <wp:inline distT="0" distB="0" distL="0" distR="0">
            <wp:extent cx="361950" cy="371475"/>
            <wp:effectExtent l="0" t="0" r="0" b="0"/>
            <wp:docPr id="23"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1" descr=""/>
                    <pic:cNvPicPr>
                      <a:picLocks noChangeAspect="1" noChangeArrowheads="1"/>
                    </pic:cNvPicPr>
                  </pic:nvPicPr>
                  <pic:blipFill>
                    <a:blip r:embed="rId12"/>
                    <a:stretch>
                      <a:fillRect/>
                    </a:stretch>
                  </pic:blipFill>
                  <pic:spPr bwMode="auto">
                    <a:xfrm>
                      <a:off x="0" y="0"/>
                      <a:ext cx="361950" cy="371475"/>
                    </a:xfrm>
                    <a:prstGeom prst="rect">
                      <a:avLst/>
                    </a:prstGeom>
                  </pic:spPr>
                </pic:pic>
              </a:graphicData>
            </a:graphic>
          </wp:inline>
        </w:drawing>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5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Investor Relations: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Robb Ferris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ir@nerdwallet.com</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Media Relations: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Maitri Jani</w:t>
      </w:r>
    </w:p>
    <w:p>
      <w:pPr>
        <w:pStyle w:val="TextBody"/>
        <w:bidi w:val="0"/>
        <w:spacing w:lineRule="auto" w:line="288"/>
        <w:jc w:val="both"/>
        <w:rPr>
          <w:rFonts w:ascii="Times New Roman;serif" w:hAnsi="Times New Roman;serif"/>
          <w:b w:val="false"/>
          <w:color w:val="000000"/>
          <w:sz w:val="20"/>
        </w:rPr>
      </w:pPr>
      <w:r>
        <w:rPr>
          <w:rFonts w:ascii="Times New Roman;serif" w:hAnsi="Times New Roman;serif"/>
          <w:b w:val="false"/>
          <w:color w:val="000000"/>
          <w:sz w:val="20"/>
        </w:rPr>
        <w:t>press@nerdwallet.com</w:t>
      </w:r>
    </w:p>
    <w:p>
      <w:pPr>
        <w:pStyle w:val="TextBody"/>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2.jpeg"/><Relationship Id="rId5" Type="http://schemas.openxmlformats.org/officeDocument/2006/relationships/image" Target="media/image2.jpeg"/><Relationship Id="rId6" Type="http://schemas.openxmlformats.org/officeDocument/2006/relationships/image" Target="media/image2.jpeg"/><Relationship Id="rId7" Type="http://schemas.openxmlformats.org/officeDocument/2006/relationships/image" Target="media/image2.jpeg"/><Relationship Id="rId8" Type="http://schemas.openxmlformats.org/officeDocument/2006/relationships/image" Target="media/image2.jpeg"/><Relationship Id="rId9" Type="http://schemas.openxmlformats.org/officeDocument/2006/relationships/image" Target="media/image2.jpeg"/><Relationship Id="rId10" Type="http://schemas.openxmlformats.org/officeDocument/2006/relationships/image" Target="media/image2.jpeg"/><Relationship Id="rId11" Type="http://schemas.openxmlformats.org/officeDocument/2006/relationships/image" Target="media/image2.jpeg"/><Relationship Id="rId12" Type="http://schemas.openxmlformats.org/officeDocument/2006/relationships/image" Target="media/image2.jpeg"/><Relationship Id="rId13" Type="http://schemas.openxmlformats.org/officeDocument/2006/relationships/fontTable" Target="fontTable.xml"/><Relationship Id="rId1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4166</Words>
  <Characters>23249</Characters>
  <CharactersWithSpaces>26743</CharactersWithSpaces>
  <Paragraphs>982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