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7"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4" w:lineRule="exact"/>
        <w:rPr>
          <w:rFonts w:ascii="MS PGothic" w:cs="MS PGothic" w:eastAsia="MS PGothic" w:hAnsi="MS PGothic"/>
          <w:sz w:val="18"/>
          <w:szCs w:val="18"/>
          <w:color w:val="auto"/>
          <w:highlight w:val="black"/>
        </w:rPr>
      </w:pPr>
    </w:p>
    <w:p>
      <w:pPr>
        <w:ind w:left="36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September 30, 2022</w:t>
      </w:r>
    </w:p>
    <w:p>
      <w:pPr>
        <w:sectPr>
          <w:pgSz w:w="11900" w:h="16838" w:orient="portrait"/>
          <w:cols w:equalWidth="0" w:num="1">
            <w:col w:w="11240"/>
          </w:cols>
          <w:pgMar w:left="320" w:top="1380" w:right="339" w:bottom="1440" w:gutter="0" w:footer="0" w:header="0"/>
        </w:sectPr>
      </w:pPr>
    </w:p>
    <w:p>
      <w:pPr>
        <w:spacing w:after="0" w:line="200" w:lineRule="exact"/>
        <w:rPr>
          <w:sz w:val="24"/>
          <w:szCs w:val="24"/>
          <w:color w:val="auto"/>
        </w:rPr>
      </w:pPr>
    </w:p>
    <w:p>
      <w:pPr>
        <w:spacing w:after="0" w:line="29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11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3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3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ind w:left="7460"/>
        <w:spacing w:after="0"/>
        <w:rPr>
          <w:sz w:val="20"/>
          <w:szCs w:val="20"/>
          <w:color w:val="auto"/>
        </w:rPr>
      </w:pPr>
      <w:r>
        <w:rPr>
          <w:rFonts w:ascii="Times New Roman" w:cs="Times New Roman" w:eastAsia="Times New Roman" w:hAnsi="Times New Roman"/>
          <w:sz w:val="17"/>
          <w:szCs w:val="17"/>
          <w:b w:val="1"/>
          <w:bCs w:val="1"/>
          <w:color w:val="auto"/>
        </w:rPr>
        <w:t>45-4180440</w:t>
      </w:r>
    </w:p>
    <w:p>
      <w:pPr>
        <w:spacing w:after="0" w:line="39" w:lineRule="exact"/>
        <w:rPr>
          <w:sz w:val="24"/>
          <w:szCs w:val="24"/>
          <w:color w:val="auto"/>
        </w:rPr>
      </w:pPr>
    </w:p>
    <w:p>
      <w:pPr>
        <w:ind w:left="180"/>
        <w:spacing w:after="0"/>
        <w:tabs>
          <w:tab w:leader="none" w:pos="6620" w:val="left"/>
        </w:tabs>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39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55 Hawthorne Street, 11th Floor, San Francisco, California 94105</w:t>
      </w:r>
    </w:p>
    <w:p>
      <w:pPr>
        <w:spacing w:after="0" w:line="2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9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109" w:lineRule="exact"/>
        <w:rPr>
          <w:sz w:val="24"/>
          <w:szCs w:val="24"/>
          <w:color w:val="auto"/>
        </w:rPr>
      </w:pPr>
    </w:p>
    <w:p>
      <w:pPr>
        <w:sectPr>
          <w:pgSz w:w="11900" w:h="16838" w:orient="portrait"/>
          <w:cols w:equalWidth="0" w:num="2">
            <w:col w:w="180" w:space="400"/>
            <w:col w:w="10660"/>
          </w:cols>
          <w:pgMar w:left="320" w:top="138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7" w:lineRule="exact"/>
        <w:rPr>
          <w:sz w:val="24"/>
          <w:szCs w:val="24"/>
          <w:color w:val="auto"/>
        </w:rPr>
      </w:pPr>
    </w:p>
    <w:p>
      <w:pPr>
        <w:ind w:left="1340"/>
        <w:spacing w:after="0"/>
        <w:tabs>
          <w:tab w:leader="none" w:pos="4500" w:val="left"/>
          <w:tab w:leader="none" w:pos="722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65" w:lineRule="exact"/>
        <w:rPr>
          <w:sz w:val="24"/>
          <w:szCs w:val="24"/>
          <w:color w:val="auto"/>
        </w:rPr>
      </w:pPr>
    </w:p>
    <w:p>
      <w:pPr>
        <w:ind w:left="540"/>
        <w:spacing w:after="0"/>
        <w:tabs>
          <w:tab w:leader="none" w:pos="4940" w:val="left"/>
          <w:tab w:leader="none" w:pos="7860" w:val="left"/>
        </w:tabs>
        <w:rPr>
          <w:sz w:val="20"/>
          <w:szCs w:val="20"/>
          <w:color w:val="auto"/>
        </w:rPr>
      </w:pPr>
      <w:r>
        <w:rPr>
          <w:rFonts w:ascii="Times New Roman" w:cs="Times New Roman" w:eastAsia="Times New Roman" w:hAnsi="Times New Roman"/>
          <w:sz w:val="17"/>
          <w:szCs w:val="17"/>
          <w:color w:val="auto"/>
        </w:rPr>
        <w:t>Class A common stock, $0.0001 par value</w:t>
      </w:r>
      <w:r>
        <w:rPr>
          <w:sz w:val="20"/>
          <w:szCs w:val="20"/>
          <w:color w:val="auto"/>
        </w:rPr>
        <w:tab/>
      </w:r>
      <w:r>
        <w:rPr>
          <w:rFonts w:ascii="Times New Roman" w:cs="Times New Roman" w:eastAsia="Times New Roman" w:hAnsi="Times New Roman"/>
          <w:sz w:val="17"/>
          <w:szCs w:val="17"/>
          <w:color w:val="auto"/>
        </w:rPr>
        <w:t>NRDS</w:t>
      </w:r>
      <w:r>
        <w:rPr>
          <w:sz w:val="20"/>
          <w:szCs w:val="20"/>
          <w:color w:val="auto"/>
        </w:rPr>
        <w:tab/>
      </w:r>
      <w:r>
        <w:rPr>
          <w:rFonts w:ascii="Times New Roman" w:cs="Times New Roman" w:eastAsia="Times New Roman" w:hAnsi="Times New Roman"/>
          <w:sz w:val="17"/>
          <w:szCs w:val="17"/>
          <w:color w:val="auto"/>
        </w:rPr>
        <w:t>The Nasdaq Global Market</w:t>
      </w:r>
    </w:p>
    <w:p>
      <w:pPr>
        <w:spacing w:after="0" w:line="237"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67" w:lineRule="exact"/>
        <w:rPr>
          <w:sz w:val="24"/>
          <w:szCs w:val="24"/>
          <w:color w:val="auto"/>
        </w:rPr>
      </w:pPr>
    </w:p>
    <w:p>
      <w:pPr>
        <w:jc w:val="both"/>
        <w:spacing w:after="0" w:line="24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6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7" w:lineRule="exact"/>
        <w:rPr>
          <w:sz w:val="24"/>
          <w:szCs w:val="24"/>
          <w:color w:val="auto"/>
        </w:rPr>
      </w:pPr>
    </w:p>
    <w:tbl>
      <w:tblPr>
        <w:tblLayout w:type="fixed"/>
        <w:tblInd w:w="108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0"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42,648,265 shares of Class A common stock and 31,685,652 shares of Class B common stock as of October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Form 10-Q</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5"/>
        </w:trPr>
        <w:tc>
          <w:tcPr>
            <w:tcW w:w="320" w:type="dxa"/>
            <w:vAlign w:val="bottom"/>
          </w:tcPr>
          <w:p>
            <w:pPr>
              <w:spacing w:after="0"/>
              <w:rPr>
                <w:sz w:val="15"/>
                <w:szCs w:val="15"/>
                <w:color w:val="auto"/>
              </w:rPr>
            </w:pPr>
          </w:p>
        </w:tc>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540" w:type="dxa"/>
            <w:vAlign w:val="bottom"/>
            <w:gridSpan w:val="8"/>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08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08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760" w:type="dxa"/>
            <w:vAlign w:val="bottom"/>
            <w:gridSpan w:val="6"/>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80" w:type="dxa"/>
            <w:vAlign w:val="bottom"/>
            <w:gridSpan w:val="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00" w:type="dxa"/>
            <w:vAlign w:val="bottom"/>
            <w:gridSpan w:val="10"/>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tcPr>
          <w:p>
            <w:pPr>
              <w:spacing w:after="0"/>
              <w:rPr>
                <w:sz w:val="20"/>
                <w:szCs w:val="20"/>
                <w:color w:val="auto"/>
              </w:rPr>
            </w:pPr>
          </w:p>
        </w:tc>
      </w:tr>
      <w:tr>
        <w:trPr>
          <w:trHeight w:val="507"/>
        </w:trPr>
        <w:tc>
          <w:tcPr>
            <w:tcW w:w="3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Borders>
              <w:bottom w:val="single" w:sz="8" w:color="0000FF"/>
            </w:tcBorders>
          </w:tcPr>
          <w:p>
            <w:pPr>
              <w:spacing w:after="0"/>
              <w:rPr>
                <w:sz w:val="20"/>
                <w:szCs w:val="20"/>
                <w:color w:val="auto"/>
              </w:rPr>
            </w:pP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Borders>
              <w:bottom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20"/>
                <w:szCs w:val="20"/>
                <w:color w:val="auto"/>
              </w:rPr>
            </w:pPr>
          </w:p>
        </w:tc>
        <w:tc>
          <w:tcPr>
            <w:tcW w:w="6980" w:type="dxa"/>
            <w:vAlign w:val="bottom"/>
            <w:gridSpan w:val="1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20" w:type="dxa"/>
            <w:vAlign w:val="bottom"/>
            <w:gridSpan w:val="4"/>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0"/>
                <w:szCs w:val="20"/>
                <w:color w:val="auto"/>
              </w:rPr>
            </w:pPr>
          </w:p>
        </w:tc>
        <w:tc>
          <w:tcPr>
            <w:tcW w:w="6160" w:type="dxa"/>
            <w:vAlign w:val="bottom"/>
            <w:gridSpan w:val="9"/>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60" w:type="dxa"/>
            <w:vAlign w:val="bottom"/>
            <w:gridSpan w:val="14"/>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06"/>
        </w:trPr>
        <w:tc>
          <w:tcPr>
            <w:tcW w:w="320" w:type="dxa"/>
            <w:vAlign w:val="bottom"/>
          </w:tcPr>
          <w:p>
            <w:pPr>
              <w:spacing w:after="0"/>
              <w:rPr>
                <w:sz w:val="24"/>
                <w:szCs w:val="24"/>
                <w:color w:val="auto"/>
              </w:rPr>
            </w:pPr>
          </w:p>
        </w:tc>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300" w:type="dxa"/>
            <w:vAlign w:val="bottom"/>
          </w:tcPr>
          <w:p>
            <w:pPr>
              <w:spacing w:after="0"/>
              <w:rPr>
                <w:sz w:val="24"/>
                <w:szCs w:val="24"/>
                <w:color w:val="auto"/>
              </w:rPr>
            </w:pPr>
          </w:p>
        </w:tc>
      </w:tr>
      <w:tr>
        <w:trPr>
          <w:trHeight w:val="1432"/>
        </w:trPr>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macroeconomic challenges such as market volatility, inflation and an increasing interest rate environment;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benefits of our acquisition of On the Barrelhead, including expected accretive contributions to our revenue and adjusted EBITDA;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On the Barrelhead and achieve our expected synergies from this acquisition;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performance, including total revenue, cost of revenue, Adjusted EBITDA and Monthly Unique Users;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and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consumer demand for the products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into Registered Users and improve repeat user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consumers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within existing and new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geographically;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relationships with our existing financial services partners and to identify new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efficient and scalable technical capabilities to deliver personalized guidance and nudge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awareness and consumer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high quality, engaging consumer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evolving financial interests of consumers;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attract and retain highly skilled, diverse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to meet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expand our infrastructure and maintain our corporate culture;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any existing and potential acquisitions.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or guarantees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These forward-looking statements are subject to risks, uncertainties and other factors described elsewhere in this Quarterly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Report on Form 10-Q, in Part I, Item 1A. Risk Factors in our Annual Report on Form 10-K for the year ended December 31, 2021, and in our subsequent periodic filings with the U.S.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are made only as of the date hereof.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right="3740"/>
        <w:spacing w:after="0" w:line="268" w:lineRule="auto"/>
        <w:rPr>
          <w:sz w:val="20"/>
          <w:szCs w:val="20"/>
          <w:color w:val="auto"/>
        </w:rPr>
      </w:pPr>
      <w:r>
        <w:rPr>
          <w:rFonts w:ascii="Times New Roman" w:cs="Times New Roman" w:eastAsia="Times New Roman" w:hAnsi="Times New Roman"/>
          <w:sz w:val="18"/>
          <w:szCs w:val="18"/>
          <w:b w:val="1"/>
          <w:bCs w:val="1"/>
          <w:color w:val="auto"/>
        </w:rPr>
        <w:t>NERDWALLET, INC. AND SUBSIDIARIES CONDENSED CONSOLIDATED BALANCE SHEETS Unaudited</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 —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Intangibles —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Contingent consideration — current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 — noncurrent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liability — noncurrent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liabilities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50" w:lineRule="exact"/>
        <w:rPr>
          <w:sz w:val="20"/>
          <w:szCs w:val="20"/>
          <w:color w:val="auto"/>
        </w:rPr>
      </w:pPr>
    </w:p>
    <w:p>
      <w:pPr>
        <w:ind w:left="400" w:hanging="161"/>
        <w:spacing w:after="0" w:line="259" w:lineRule="auto"/>
        <w:rPr>
          <w:sz w:val="20"/>
          <w:szCs w:val="20"/>
          <w:color w:val="auto"/>
        </w:rPr>
      </w:pPr>
      <w:r>
        <w:rPr>
          <w:rFonts w:ascii="Times New Roman" w:cs="Times New Roman" w:eastAsia="Times New Roman" w:hAnsi="Times New Roman"/>
          <w:sz w:val="17"/>
          <w:szCs w:val="17"/>
          <w:color w:val="auto"/>
        </w:rPr>
        <w:t>Preferred stock — $0.0001 par value per share — 5,000 shares authorized as of September 30, 2022 and December 31, 2021; zero shares issued and outstanding as of September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40"/>
        <w:spacing w:after="0" w:line="238" w:lineRule="auto"/>
        <w:rPr>
          <w:sz w:val="20"/>
          <w:szCs w:val="20"/>
          <w:color w:val="auto"/>
        </w:rPr>
      </w:pPr>
      <w:r>
        <w:rPr>
          <w:rFonts w:ascii="Times New Roman" w:cs="Times New Roman" w:eastAsia="Times New Roman" w:hAnsi="Times New Roman"/>
          <w:sz w:val="18"/>
          <w:szCs w:val="18"/>
          <w:color w:val="auto"/>
        </w:rPr>
        <w:t>Common stock — $0.0001 par value per share — 296,686 shares authorized as of September 30, 2022 and</w:t>
      </w:r>
    </w:p>
    <w:p>
      <w:pPr>
        <w:ind w:left="400" w:right="420"/>
        <w:spacing w:after="0" w:line="226" w:lineRule="auto"/>
        <w:rPr>
          <w:sz w:val="20"/>
          <w:szCs w:val="20"/>
          <w:color w:val="auto"/>
        </w:rPr>
      </w:pPr>
      <w:r>
        <w:rPr>
          <w:rFonts w:ascii="Times New Roman" w:cs="Times New Roman" w:eastAsia="Times New Roman" w:hAnsi="Times New Roman"/>
          <w:sz w:val="18"/>
          <w:szCs w:val="18"/>
          <w:color w:val="auto"/>
        </w:rPr>
        <w:t>December 31, 2021; 74,322 and 66,722 shares issued and outstanding as of September 30, 2022 and December 31, 2021</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3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60" w:type="dxa"/>
            <w:vAlign w:val="bottom"/>
          </w:tcPr>
          <w:p>
            <w:pPr>
              <w:spacing w:after="0"/>
              <w:rPr>
                <w:sz w:val="16"/>
                <w:szCs w:val="16"/>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80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70"/>
        </w:trPr>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63"/>
        </w:trPr>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0"/>
        </w:trPr>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364.1</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0"/>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70"/>
        </w:trPr>
        <w:tc>
          <w:tcPr>
            <w:tcW w:w="16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958"/>
        </w:trPr>
        <w:tc>
          <w:tcPr>
            <w:tcW w:w="16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94"/>
        </w:trPr>
        <w:tc>
          <w:tcPr>
            <w:tcW w:w="16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7"/>
        </w:trPr>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7"/>
        </w:trPr>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364.1</w:t>
            </w:r>
          </w:p>
        </w:tc>
      </w:tr>
      <w:tr>
        <w:trPr>
          <w:trHeight w:val="27"/>
        </w:trPr>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45" w:lineRule="exact"/>
        <w:rPr>
          <w:sz w:val="20"/>
          <w:szCs w:val="20"/>
          <w:color w:val="auto"/>
        </w:rPr>
      </w:pPr>
    </w:p>
    <w:p>
      <w:pPr>
        <w:sectPr>
          <w:pgSz w:w="11900" w:h="16838" w:orient="portrait"/>
          <w:cols w:equalWidth="0" w:num="2">
            <w:col w:w="8040" w:space="460"/>
            <w:col w:w="2740"/>
          </w:cols>
          <w:pgMar w:left="320" w:top="121"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0" w:type="dxa"/>
            <w:vAlign w:val="bottom"/>
          </w:tcPr>
          <w:p>
            <w:pPr>
              <w:spacing w:after="0"/>
              <w:rPr>
                <w:sz w:val="1"/>
                <w:szCs w:val="1"/>
                <w:color w:val="auto"/>
              </w:rPr>
            </w:pPr>
          </w:p>
        </w:tc>
      </w:tr>
      <w:tr>
        <w:trPr>
          <w:trHeight w:val="22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gains (losses), net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5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(Loss) Per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0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(7.8)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0.1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(7.7)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Class A common stock withheld related to net share settlement of RSUs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for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66,722</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0.5</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257.6</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(0.3)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67,138</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340.2</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255.4</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68,637</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263.5</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74,322</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414.1</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(1.9)</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318.6</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54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surrendered for employees’ tax liability upon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stock options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F common stock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54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surrendered for employees’ tax liability upon settlement of restricted stock units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3"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54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surrendered for employees’ tax liability upon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right="180" w:hanging="161"/>
        <w:spacing w:after="0" w:line="237" w:lineRule="auto"/>
        <w:rPr>
          <w:sz w:val="20"/>
          <w:szCs w:val="20"/>
          <w:color w:val="auto"/>
        </w:rPr>
      </w:pPr>
      <w:r>
        <w:rPr>
          <w:rFonts w:ascii="Times New Roman" w:cs="Times New Roman" w:eastAsia="Times New Roman" w:hAnsi="Times New Roman"/>
          <w:sz w:val="18"/>
          <w:szCs w:val="18"/>
          <w:color w:val="auto"/>
        </w:rPr>
        <w:t>Conversion of Series A redeemable convertible preferred stock to Class A common stock</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48,853</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91"/>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49,052</w:t>
            </w:r>
          </w:p>
        </w:tc>
        <w:tc>
          <w:tcPr>
            <w:tcW w:w="8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105.5</w:t>
            </w:r>
          </w:p>
        </w:tc>
        <w:tc>
          <w:tcPr>
            <w:tcW w:w="8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49,602</w:t>
            </w: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w:t>
            </w:r>
          </w:p>
        </w:tc>
        <w:tc>
          <w:tcPr>
            <w:tcW w:w="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8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8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41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49,971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combination:</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combination, net of cash acquired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Class F common stock</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Series A redeemable convertible preferred stock</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offering costs related to initial public offering</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6"/>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 other current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recorded in accounts payable and 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Offering costs related to initial public offering not yet paid</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11"/>
        </w:trPr>
        <w:tc>
          <w:tcPr>
            <w:tcW w:w="850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Company — </w:t>
      </w:r>
      <w:r>
        <w:rPr>
          <w:rFonts w:ascii="Times New Roman" w:cs="Times New Roman" w:eastAsia="Times New Roman" w:hAnsi="Times New Roman"/>
          <w:sz w:val="18"/>
          <w:szCs w:val="18"/>
          <w:color w:val="auto"/>
        </w:rPr>
        <w:t>NerdWallet, Inc., a Delaware corporation, was formed on December 29, 2011. NerdWallet, Inc. and its wholly-owned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Company) provide consumer-driven advice about personal finance through its platform by connecting individuals and small and mid-sized businesses (SMBs) with providers of financial products.</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unaudited interim condensed consolidated financial statements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(GAAP) and applicable rules and regulations of the U.S. Securities and Exchange Commission (SEC)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2021.</w:t>
      </w:r>
    </w:p>
    <w:p>
      <w:pPr>
        <w:spacing w:after="0" w:line="13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The results of operations for the three and nine months ended September 30, 2022 are not necessarily indicative of the results to be expected for the full year or any other future period.</w:t>
      </w:r>
    </w:p>
    <w:p>
      <w:pPr>
        <w:spacing w:after="0" w:line="1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Acquisition of On the Barrelhead, Inc. — </w:t>
      </w:r>
      <w:r>
        <w:rPr>
          <w:rFonts w:ascii="Times New Roman" w:cs="Times New Roman" w:eastAsia="Times New Roman" w:hAnsi="Times New Roman"/>
          <w:sz w:val="18"/>
          <w:szCs w:val="18"/>
          <w:color w:val="auto"/>
        </w:rPr>
        <w:t>On July 11, 2022, the Company completed the acquisition of On the Barrelhead, Inc. (OTB), a data-driven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platform that provides consumers and SMBs with credit-driven product recommendations. See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Combination for further discussion.</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During the nine months ended September 30, 2022, there have been no material changes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accounting policies as disclosed in Note 1 – The Company and its Significant Accounting Policies in the notes to the consolidated financial statements in the Company’s Annual Report on Form 10-K for the year ended December 31, 2021.</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Pronouncements </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establishing ASC Topic 326, and amended the guidance thereafter (ASC 326). ASC 326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and recognition of expected credit losses for financial assets held at amortized cost; the Company’s financial assets that are in the scope of ASC 326 includes the Company’s accounts receivable, certain financial instruments and contract assets. ASC 326 replaces the prior incurred loss impairment model with an expected loss methodology, which results in more timely recognition of credit losses. The Company adopted the provisions of ASC 326 as of January 1, 2022 (two years after the effective date for public business entities due to the Company’s election under its EGC status), and such adoption did not have an impact on the Company’s financial condition and results of operations within its condensed consolidated financial statements.</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ASU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and Contract Liabilities from Contracts with Customers </w:t>
      </w:r>
      <w:r>
        <w:rPr>
          <w:rFonts w:ascii="Times New Roman" w:cs="Times New Roman" w:eastAsia="Times New Roman" w:hAnsi="Times New Roman"/>
          <w:sz w:val="18"/>
          <w:szCs w:val="18"/>
          <w:color w:val="auto"/>
        </w:rPr>
        <w:t>(ASU 2021-08), to address diversity and inconsistency related to the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measurement of contract assets and contract liabilities acquired in a business combination. The guidance in ASU 2021-08 states that an acquirer should recognize and measure contract assets and contract liabilities acquired in a business combination in accordance with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amendments in ASU 2021-08 will be applied prospectively to any business combinations that occur during or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of adoption. The Company adopted the provisions of ASU 2021-08 as of January 1, 2022, and such adoption did not have an impact on the Company’s financial condition and results of operations within its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a disaggregation of the Company’s revenue based on product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verticals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6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expenses and other current assets on the condensed consolidated balance sheet related to estimated variable consideration was $5.2 million and $3.0 million as of September 30, 2022 and December 31, 2021, respectively.</w:t>
      </w:r>
    </w:p>
    <w:p>
      <w:pPr>
        <w:spacing w:after="0" w:line="10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by level, within the fair value hierarchy are summarized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130.7</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47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6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7"/>
        </w:trPr>
        <w:tc>
          <w:tcPr>
            <w:tcW w:w="6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166.9</w:t>
            </w:r>
          </w:p>
        </w:tc>
        <w:tc>
          <w:tcPr>
            <w:tcW w:w="0" w:type="dxa"/>
            <w:vAlign w:val="bottom"/>
          </w:tcPr>
          <w:p>
            <w:pPr>
              <w:spacing w:after="0"/>
              <w:rPr>
                <w:sz w:val="1"/>
                <w:szCs w:val="1"/>
                <w:color w:val="auto"/>
              </w:rPr>
            </w:pPr>
          </w:p>
        </w:tc>
      </w:tr>
      <w:tr>
        <w:trPr>
          <w:trHeight w:val="27"/>
        </w:trPr>
        <w:tc>
          <w:tcPr>
            <w:tcW w:w="616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liabilities consist entirely of contingent consideration, and the changes in fair value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80" w:type="dxa"/>
            <w:vAlign w:val="bottom"/>
            <w:gridSpan w:val="2"/>
            <w:vMerge w:val="continue"/>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w:t>
            </w:r>
          </w:p>
        </w:tc>
        <w:tc>
          <w:tcPr>
            <w:tcW w:w="7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Contingent consideration liabilities related to acquisitions are measured at fair value each reporting period using Level 3 unobservable inputs. The fair values of the estimated contingent considerations are determined based on the Company’s evaluation of the probability and amount of earnout that will be achieved based on expected future performance by the acquired entity. The Monte Carlo simulation models simulated the applicable figures over the earnout periods to calculate the estimated earnout payments. These payments were then discounted to present value based on the expected payment dates of the contingent considerations. The weighted-average volatility was 51.0% and the weighted-average discount rate was estimated to be 12.5% as of September 30, 2022. The weighted-average volatility was 45.5% and the weighted-average discount rate was estimated to be 9.0% as of December 31, 2021.</w:t>
      </w:r>
    </w:p>
    <w:p>
      <w:pPr>
        <w:spacing w:after="0" w:line="13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Property, equipment and software, net includes capitalized software development costs, net of accumulated amortization, of $41.9 million and $32.1 million as of September 30, 2022 and December 31, 2021, respectively. The Company capitalized $8.9 million and $25.8 million of software development costs during the three and nine months ended September 30, 2022, respectively, and $5.8 million and $17.7 million during the three and nine months ended September 30, 2021, respectively. The Company recorded amortization expense related to capitalized software development costs of $5.7 million and $16.0 million during the three and nine months ended September 30, 2022, respectively, and $4.4 million and $12.2 million during the three and nine months ended September 30, 2021, respectively.</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Accrued expenses and other current liabilities include operating lease liabilities of $3.0 million and $2.4 million, as of September 30, 2022 and December 31, 2021,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liabilities — noncurrent includes operating lease liabilities of $10.4 million and $12.7 million as of September 30, 2022 and December 31, 2021, respectively.</w:t>
      </w:r>
    </w:p>
    <w:p>
      <w:pPr>
        <w:spacing w:after="0" w:line="10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7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Acquisition of On the Barrelhead, Inc.</w:t>
      </w:r>
    </w:p>
    <w:p>
      <w:pPr>
        <w:spacing w:after="0" w:line="173" w:lineRule="exact"/>
        <w:rPr>
          <w:rFonts w:ascii="Times New Roman" w:cs="Times New Roman" w:eastAsia="Times New Roman" w:hAnsi="Times New Roman"/>
          <w:sz w:val="18"/>
          <w:szCs w:val="18"/>
          <w:b w:val="1"/>
          <w:bCs w:val="1"/>
          <w:color w:val="auto"/>
        </w:rPr>
      </w:pPr>
    </w:p>
    <w:p>
      <w:pPr>
        <w:ind w:left="340" w:right="1680"/>
        <w:spacing w:after="0" w:line="43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July 11, 2022, the Company completed the acquisition of OTB under an Agreement and Plan of Merger and Reorganization. </w:t>
      </w:r>
      <w:r>
        <w:rPr>
          <w:rFonts w:ascii="Times New Roman" w:cs="Times New Roman" w:eastAsia="Times New Roman" w:hAnsi="Times New Roman"/>
          <w:sz w:val="18"/>
          <w:szCs w:val="18"/>
          <w:i w:val="1"/>
          <w:iCs w:val="1"/>
          <w:color w:val="auto"/>
        </w:rPr>
        <w:t>Preliminary Purchase Consideration</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preliminary purchase consideration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9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63"/>
        </w:trPr>
        <w:tc>
          <w:tcPr>
            <w:tcW w:w="10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70"/>
        </w:trPr>
        <w:tc>
          <w:tcPr>
            <w:tcW w:w="10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consideration</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50"/>
        </w:trPr>
        <w:tc>
          <w:tcPr>
            <w:tcW w:w="10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70"/>
        </w:trPr>
        <w:tc>
          <w:tcPr>
            <w:tcW w:w="10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amounts considered separate from the business combination and attributable to post-combination expense</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10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Preliminary Purchase Consideration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$12.2 million of cash which is held in escrow for the settlement of breaches, if any, of certain representations, warranties, agreements and covenants.</w:t>
      </w:r>
    </w:p>
    <w:p>
      <w:pPr>
        <w:spacing w:after="0" w:line="17" w:lineRule="exact"/>
        <w:rPr>
          <w:rFonts w:ascii="Times New Roman" w:cs="Times New Roman" w:eastAsia="Times New Roman" w:hAnsi="Times New Roman"/>
          <w:sz w:val="14"/>
          <w:szCs w:val="14"/>
          <w:color w:val="auto"/>
        </w:rPr>
      </w:pPr>
    </w:p>
    <w:p>
      <w:pPr>
        <w:ind w:left="340" w:right="20" w:hanging="332"/>
        <w:spacing w:after="0" w:line="259" w:lineRule="auto"/>
        <w:tabs>
          <w:tab w:leader="none" w:pos="35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fair value of 4.9 million shares issued of the Company’s Class A common stock based on the closing price of the stock on the acquisition date of July 11, 2022, which was $8.75 per share.</w:t>
      </w: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comprised of the additional fair value of unvested OTB option awards discretionally accelerated by the Company and attributable to post-combination expense.</w:t>
      </w:r>
    </w:p>
    <w:p>
      <w:pPr>
        <w:spacing w:after="0" w:line="1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Half of the stock consideration is subject to a lockup arrangement whereby such shares may not be sold or otherwise transferred prior to expiration of the 24-month period following the acquisition date. The final purchase consideration will be subject to customary closing adjustments, including for transaction expenses, indebtedness, cash and working capital.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Retention Agreements and Inducement Awards</w:t>
      </w:r>
    </w:p>
    <w:p>
      <w:pPr>
        <w:spacing w:after="0" w:line="17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Concurrently with the closing of the acquisition, the Company provided employment offer letters to OTB’s employees, including compensatory retention agreements with the co-founders of OTB which could result in up to $15.0 million of cash awards. Cash awards under these retention agreements are payable in equal installments on the first, second and third anniversary dates of the closing of the acquisition. Also concurrently with the closing of the acquisition, the Compensation Committee of the Company’s Board of Directors granted restricted stock unit (RSU) awards under the NerdWallet, Inc. 2022 Inducement Equity Incentive Plan (the Inducement Plan) to employees of OTB who were offered employment with the Company, which RSU awards had an aggregate grant date fair value on the acquisition date of $17.5 million, including $12.8 million of RSU awards to the co-founders of OTB, $2.3 million of RSU awards to six non-management employees of OTB and $2.4 million of RSU awards to all fourteen employees of OTB. The $12.8 million of RSU awards to the co-founders of OTB will generally vest in full upon the third anniversary of the closing of the acquisition. The $2.3 million of RSU awards to non-management employees of OTB will vest annually over four years, with 20% of the RSUs subject to vest on each of the first, second and third annual vesting dates and the remaining 40% of the RSUs subject to vest on the fourth annual vesting date. The $2.4 million of RSU awards granted to all employees of OTB will generally vest over four years subject to a one-year cliff and quarterly vesting thereafter. RSU awards under the Inducement Plan are subject to the conditions of the Inducement Plan and the terms and conditions of the grant agreements covering such awards. Compensation expenses under these employment offer letters and vesting of awards under these retention agreements and Inducement Plan are generally subject to the employees’ continued employment with the Company, and the fair value of such compensation and awards are excluded from the Purchase Price and accounted for separately from the business combination. The value of cash awards under these retention agreements are recognized as compensation expense ratably over the three-year period following the close of the acquisition. The value of RSU awards under the Inducement Plan are recognized as stock-based compensation expense ratably over the respective vesting terms of the awards.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Preliminary Purchase Accounting</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preliminary allocation of purchase consideration to the assets acquired and liabilities assumed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9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64"/>
        </w:trPr>
        <w:tc>
          <w:tcPr>
            <w:tcW w:w="10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Preliminary Purchase Consideration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r>
      <w:tr>
        <w:trPr>
          <w:trHeight w:val="243"/>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Assets Acquired</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0"/>
        </w:trPr>
        <w:tc>
          <w:tcPr>
            <w:tcW w:w="10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50"/>
        </w:trPr>
        <w:tc>
          <w:tcPr>
            <w:tcW w:w="10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10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Liabilities Assumed</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70"/>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10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10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0"/>
        </w:trPr>
        <w:tc>
          <w:tcPr>
            <w:tcW w:w="10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0"/>
        </w:trPr>
        <w:tc>
          <w:tcPr>
            <w:tcW w:w="10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Less: Net Assets Acquired</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r>
      <w:tr>
        <w:trPr>
          <w:trHeight w:val="248"/>
        </w:trPr>
        <w:tc>
          <w:tcPr>
            <w:tcW w:w="10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preliminary fair value estimates of the net assets acquired are based on preliminary calculations and valuations, including preliminary work performed by third party valuation specialists, which are subject to finalization over the one-year measurement period from the acquisition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acquired intangible assets consist of definite-lived assets with preliminary estimated fair values and useful lives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7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1"/>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40"/>
        <w:spacing w:after="0" w:line="297" w:lineRule="auto"/>
        <w:rPr>
          <w:sz w:val="20"/>
          <w:szCs w:val="20"/>
          <w:color w:val="auto"/>
        </w:rPr>
      </w:pPr>
      <w:r>
        <w:rPr>
          <w:rFonts w:ascii="Times New Roman" w:cs="Times New Roman" w:eastAsia="Times New Roman" w:hAnsi="Times New Roman"/>
          <w:sz w:val="14"/>
          <w:szCs w:val="14"/>
          <w:b w:val="1"/>
          <w:bCs w:val="1"/>
          <w:color w:val="auto"/>
        </w:rPr>
        <w:t>Weighted-Average Useful Life (Years)</w:t>
      </w:r>
    </w:p>
    <w:p>
      <w:pPr>
        <w:spacing w:after="0" w:line="21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5.0</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81" w:lineRule="exact"/>
        <w:rPr>
          <w:sz w:val="20"/>
          <w:szCs w:val="20"/>
          <w:color w:val="auto"/>
        </w:rPr>
      </w:pPr>
    </w:p>
    <w:p>
      <w:pPr>
        <w:sectPr>
          <w:pgSz w:w="11900" w:h="16838" w:orient="portrait"/>
          <w:cols w:equalWidth="0" w:num="2">
            <w:col w:w="9720" w:space="240"/>
            <w:col w:w="1280"/>
          </w:cols>
          <w:pgMar w:left="320" w:top="333" w:right="339" w:bottom="1440" w:gutter="0" w:footer="0" w:header="0"/>
        </w:sectPr>
      </w:pPr>
    </w:p>
    <w:p>
      <w:pPr>
        <w:spacing w:after="0" w:line="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acquired intangible assets was determined using the multi-period excess earnings method of the income approach for developed technology, and the replacement cost method for customer relationships.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deferred tax liability of $12.1 million primarily relates to identified intangible assets.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goodwill of $68.1 million, which represents the excess of the preliminary purchase consideration over the estimated fair value of the assets acquired, net of the liabilities assumed. The goodwill is primarily attributable to synergies from combining the operations of the Company and OTB, as well as the value ascribed to the knowledge and experience of the OTB co-founders and employees. For income tax purposes, the acquisition is a stock purchase and goodwill is not tax deductible.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Acquisition-related costs of $1.2 million and $3.4 million were incurred during the three and nine months ended September 30, 2022, respectively, and are included in general and administrative expense on the condensed consolidated statements of operations.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extensive level of integration of OTB’s technology and operations into the Company’s operations following the closing of the acquisition, the Company is not able to quantify the acquisition’s contribution following the closing of the acquisition to the Company’s revenue and operating loss for the three and nine months ended September 30, 2022, as the ability to objectively quantify such amounts would require a significant level of estimation.</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is presented as if the OTB acquisition, including the related debt financing, was completed on January 1, 2021. The pro forma financial information includes the historical operating results of the Company and OTB prior to the acquisition, with adjustments directly attributable to the acquisition. Pro forma adjustments have been made to reflect the incremental intangible asset amortization to be incurred based on the preliminary fair values and useful lives of each identifiable intangible asset, incremental stock-based compensation related to inducement equity awards, incremental compensation related to cash retention agreements, incremental interest expense related to debt drawn to finance the cash portion of the purchase price, the adjustment of acquisition-related expenses, and the related tax effects of pro forma adjustments for the respective periods.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financial information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information is not intended to present, or be indicative of, what the results of operations would have been for the combined company for the periods presented had the acquisition actually occurred on January 1, 2021, nor is it meant to be indicative of results of operations that may be achieved by the combined company in the future. The unaudited pro forma financial information does not include any cost savings or other synergies that resulted, or may result, from the OTB acquisition or any estimated costs that will be incurred to integrate OTB. Future results may vary significantly from the results reflected in this unaudited pro forma financial information because of future events and transactions, as well as other factors.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balance of goodwill, net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37"/>
        </w:trPr>
        <w:tc>
          <w:tcPr>
            <w:tcW w:w="9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43"/>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of OTB</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1"/>
        </w:trPr>
        <w:tc>
          <w:tcPr>
            <w:tcW w:w="9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charges have been recorded for goodwill in the nine months ended September 30, 2022 or the year ended December 31, 2021.</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with definite lives related to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4"/>
                <w:szCs w:val="14"/>
                <w:color w:val="auto"/>
              </w:rPr>
            </w:pPr>
          </w:p>
        </w:tc>
        <w:tc>
          <w:tcPr>
            <w:tcW w:w="98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8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 base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6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5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00" w:type="dxa"/>
            <w:vAlign w:val="bottom"/>
          </w:tcPr>
          <w:p>
            <w:pPr>
              <w:spacing w:after="0"/>
              <w:rPr>
                <w:sz w:val="16"/>
                <w:szCs w:val="16"/>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6"/>
                <w:szCs w:val="16"/>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6"/>
                <w:szCs w:val="16"/>
                <w:color w:val="auto"/>
              </w:rPr>
            </w:pPr>
          </w:p>
        </w:tc>
        <w:tc>
          <w:tcPr>
            <w:tcW w:w="980" w:type="dxa"/>
            <w:vAlign w:val="bottom"/>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 base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6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related to definite-lived intangible assets was $4.6 million and $8.4 million during the three and nine months ended September 30, 2022, respectively, and $1.9 million and $6.0 million during the three and nine months ended September 30, 2021, respectively. No impairment charges have been recorded for intangible assets in the nine months ended September 30, 2022 or the year ended December 31,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future amortization expense related to definite-lived intangible assets as of September 30, 2022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8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7"/>
        </w:trPr>
        <w:tc>
          <w:tcPr>
            <w:tcW w:w="9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64"/>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0"/>
        </w:trPr>
        <w:tc>
          <w:tcPr>
            <w:tcW w:w="9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Credit Facility </w:t>
      </w:r>
      <w:r>
        <w:rPr>
          <w:rFonts w:ascii="Times New Roman" w:cs="Times New Roman" w:eastAsia="Times New Roman" w:hAnsi="Times New Roman"/>
          <w:sz w:val="18"/>
          <w:szCs w:val="18"/>
          <w:color w:val="auto"/>
        </w:rPr>
        <w:t>— The Company maintains a Senior Secured Credit Facilities Credit Agreement with Silicon Valley Bank, which over time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(as amended and restated from time to time, the Credit Agreement). The Credit Agreement provides for a revolving line of credit of up to $100.0 million with the option to increase up to an additional $25.0 million, including a letter of credit sub-facility in the aggregate amount of $10.0 million, and a swingline sub-facility in the aggregate amount of $10.0 million. In September 2022, the Company amended and restated the Credit Agreement to extend the termination date from September 2, 2023 to December 2, 2023, and to replace the Eurodollar Loan option (which was LIBOR based) with a Secured Overnight Financing Rate (SOFR) Loan option, with any outstanding Eurodollar Loans to convert to SOFR Loans at the next interest period. Under the terms of the Credit Agreement, revolving loans may be either SOFR Loans or ABR Loans. Outstanding SOFR Loans incur interest at the Adjusted SOFR Rate (which is defined in the Credit Agreement as Term SOFR plus a Term SOFR Adjustment equal to 0.10% for 1-month interest periods, 0.15% for 3-month interest periods, and 0.25% for 6-month interest periods, and, in each case, subject to a 1.00% floor), plus a margin of either 3.00% or 2.75% depending on usage. The Company is charged a commitment fee of 0.30% per year for committed but unused amounts.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7, 2022, the Company borrowed $70.0 million under the Credit Agreement to finance the cash portion of the purchase consideration for the acquisition of OTB. This outstanding balance under the Credit Agreement of $70.0 million, which is a Eurodollar Loan with an interest rate of 5.43% as of September 30, 2022, represented the entirety of the Company’s outstanding debt as of September 30, 2022. The Company had no outstanding debt as of December 31, 2021. The available amount to borrow under the Credit Agreement was $28.3 million and $94.7 million as of September 30, 2022 and December 31, 2021, respectively, which is equal to the available amount under the Credit Agreement of $30.0 million and $100.0 million, respectively, net of letters of credit with Silicon Valley Bank of $1.7 million and $5.3 million, respectively.</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contains covenants limiting the Company’s ability to, among other things, dispose of assets, undergo a change in control, merge or consolidate, make acquisitions, incur debt, incur liens, pay dividends, repurchase stock, and make investments, in each case subject to certain exceptions.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financial covenants requiring the Company to maintain a minimum adjusted quick ratio and a minimum consolidated adjusted EBITDA if the adjusted quick ratio falls below a specified level, measured in each case at the end of each fiscal quarter. The Company is required to furnish audited financial statements within 90 days after the end of the fiscal year. The Company was in compliance with all financial covenants as of September 30, 2022 and December 31, 2021.</w:t>
      </w:r>
    </w:p>
    <w:p>
      <w:pPr>
        <w:spacing w:after="0" w:line="12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Commitments and Other Financial Arrangements </w:t>
      </w:r>
      <w:r>
        <w:rPr>
          <w:rFonts w:ascii="Times New Roman" w:cs="Times New Roman" w:eastAsia="Times New Roman" w:hAnsi="Times New Roman"/>
          <w:sz w:val="18"/>
          <w:szCs w:val="18"/>
          <w:color w:val="auto"/>
        </w:rPr>
        <w:t>— 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letters of credit and commitments under leases. On July 7, 2022, the Company borrowed $70.0 million under the Company’s Credit Agreement to finance the cash portion of the purchase consideration for the acquisition of OTB. See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Combination and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Debt for further discussion. As of September 30, 2022, there were no other material changes to the Company’s commitments and other financial arrangements as disclosed in Note 8 – Commitments and Contingencies in the notes to the consolidated financial statements in the Company’s Annual Report on Form 10-K for the year ended December 31,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Litigation and Other Legal Matters </w:t>
      </w:r>
      <w:r>
        <w:rPr>
          <w:rFonts w:ascii="Times New Roman" w:cs="Times New Roman" w:eastAsia="Times New Roman" w:hAnsi="Times New Roman"/>
          <w:sz w:val="18"/>
          <w:szCs w:val="18"/>
          <w:color w:val="auto"/>
        </w:rPr>
        <w:t>— 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potential loss as of September 30, 2022 or December 31, 2021.</w:t>
      </w:r>
    </w:p>
    <w:p>
      <w:pPr>
        <w:spacing w:after="0" w:line="13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Equity Incentive Plans </w:t>
      </w:r>
      <w:r>
        <w:rPr>
          <w:rFonts w:ascii="Times New Roman" w:cs="Times New Roman" w:eastAsia="Times New Roman" w:hAnsi="Times New Roman"/>
          <w:sz w:val="18"/>
          <w:szCs w:val="18"/>
          <w:color w:val="auto"/>
        </w:rPr>
        <w:t>— The 2021 Equity Incentive Plan and the predecessor 2012 Equity Incentive Plan, both as amended, provide for the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incentive and non-statutory stock options, stock appreciation rights, restricted stock units and restricted stock awards to employees, non-employee directors and consultants of the Company. At the Company’s 2022 annual meeting of stockholders on May 25, 2022, the stockholders approved an amendment to the 2021 Equity Incentive Plan to increase the aggregate number of shares of Class A common stock reserved for issuance thereunder by 8.0 million shares. Additionally, concurrent with the closing of the acquisition of OTB on July 11, 2022, the Compensation Committee of the Company’s Board of Directors granted RSU awards under the Inducement Plan to employees of OTB who were offered employment with the Company. See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Combination for further discussion. The 2021 Equity Incentive Plan and the predecessor 2012 Equity Incentive Plan, both as amended, along with the Inducement Plan (collectively, the Plans) comprise the equity incentive plans of the Company.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A summary of the Company’s stock option activity for its Plans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5"/>
                <w:szCs w:val="15"/>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4"/>
                <w:szCs w:val="14"/>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4"/>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September 30,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was $5.54 per share during the nine months ended September 30, 2022. The aggregate intrinsic value of options exercised was $5.5 million during the nine months ended September 30, 2022.</w:t>
      </w:r>
    </w:p>
    <w:p>
      <w:pPr>
        <w:spacing w:after="0" w:line="108"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The per-share fair value of each stock option was determined on the date of grant using the following weighted-average assumptions and ranges of fair value of common stock:</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39370</wp:posOffset>
            </wp:positionV>
            <wp:extent cx="17399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61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66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r>
      <w:tr>
        <w:trPr>
          <w:trHeight w:val="27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877"/>
        </w:trPr>
        <w:tc>
          <w:tcPr>
            <w:tcW w:w="3660" w:type="dxa"/>
            <w:vAlign w:val="bottom"/>
          </w:tcPr>
          <w:p>
            <w:pPr>
              <w:spacing w:after="0"/>
              <w:rPr>
                <w:sz w:val="24"/>
                <w:szCs w:val="24"/>
                <w:color w:val="auto"/>
              </w:rPr>
            </w:pPr>
          </w:p>
        </w:tc>
        <w:tc>
          <w:tcPr>
            <w:tcW w:w="4740" w:type="dxa"/>
            <w:vAlign w:val="bottom"/>
          </w:tcPr>
          <w:p>
            <w:pPr>
              <w:jc w:val="right"/>
              <w:ind w:right="259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366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 A summary of the Company’s outstanding nonvested RSUs for its Plans is as follows:</w:t>
      </w:r>
    </w:p>
    <w:p>
      <w:pPr>
        <w:spacing w:after="0" w:line="223"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Number of Units</w:t>
      </w:r>
    </w:p>
    <w:p>
      <w:pPr>
        <w:spacing w:after="0" w:line="29" w:lineRule="exact"/>
        <w:rPr>
          <w:sz w:val="20"/>
          <w:szCs w:val="20"/>
          <w:color w:val="auto"/>
        </w:rPr>
      </w:pPr>
    </w:p>
    <w:p>
      <w:pPr>
        <w:jc w:val="center"/>
        <w:ind w:left="88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line="280" w:lineRule="auto"/>
        <w:rPr>
          <w:sz w:val="20"/>
          <w:szCs w:val="20"/>
          <w:color w:val="auto"/>
        </w:rPr>
      </w:pPr>
      <w:r>
        <w:rPr>
          <w:rFonts w:ascii="Times New Roman" w:cs="Times New Roman" w:eastAsia="Times New Roman" w:hAnsi="Times New Roman"/>
          <w:sz w:val="14"/>
          <w:szCs w:val="14"/>
          <w:b w:val="1"/>
          <w:bCs w:val="1"/>
          <w:color w:val="auto"/>
        </w:rPr>
        <w:t>Weighted-Average Grant-Date Fair Value</w:t>
      </w:r>
    </w:p>
    <w:p>
      <w:pPr>
        <w:spacing w:after="0" w:line="1" w:lineRule="exact"/>
        <w:rPr>
          <w:sz w:val="20"/>
          <w:szCs w:val="20"/>
          <w:color w:val="auto"/>
        </w:rPr>
      </w:pPr>
    </w:p>
    <w:p>
      <w:pPr>
        <w:sectPr>
          <w:pgSz w:w="11900" w:h="16838" w:orient="portrait"/>
          <w:cols w:equalWidth="0" w:num="2">
            <w:col w:w="9860" w:space="220"/>
            <w:col w:w="116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265"/>
        </w:trPr>
        <w:tc>
          <w:tcPr>
            <w:tcW w:w="8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7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5,992</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(1,086)</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70"/>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(1,075)</w:t>
            </w:r>
          </w:p>
        </w:tc>
        <w:tc>
          <w:tcPr>
            <w:tcW w:w="520" w:type="dxa"/>
            <w:vAlign w:val="bottom"/>
            <w:tcBorders>
              <w:bottom w:val="single" w:sz="8" w:color="CCEEFF"/>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89"/>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September 30, 2022</w:t>
            </w:r>
          </w:p>
        </w:tc>
        <w:tc>
          <w:tcPr>
            <w:tcW w:w="120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7,649</w:t>
            </w:r>
          </w:p>
        </w:tc>
        <w:tc>
          <w:tcPr>
            <w:tcW w:w="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that vested under RSUs was $12.0 million during the nine months ended September 30, 2022.</w:t>
      </w:r>
    </w:p>
    <w:p>
      <w:pPr>
        <w:spacing w:after="0" w:line="16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The Company recognized stock-based compensation related to the Employee Stock Purchase Plan (ESPP)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 million and $5.3 million during the three and nine months ended September 30, 2022, respectively.</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The Company recognized stock-based compensation under the Plans and ESPP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180" w:type="dxa"/>
            <w:vAlign w:val="bottom"/>
            <w:gridSpan w:val="2"/>
            <w:vMerge w:val="continue"/>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stock-based compensation capitalized related to software development costs was $1.4 million and $0.8 million during the three months ended September 30, 2022 and 2021, respectively, and $4.7 million and $2.2 million during the nine months ended September 30, 2022 and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estimated annual effective tax rate which is adjusted for discrete items occurring during the periods presented. As part of the acquisition of OTB on July 11, 2022, the Company recorded identified intangible assets of $50.1 million. As these identified intangible assets are not deductible for U.S. tax purposes, a related deferred tax liability of $12.1 million was recognized, which provided an additional source of taxable income to support the realization of a portion of the Company’s pre-existing U.S. deferred tax assets. As the Company had previously established a full valuation allowance against its net U.S. deferred tax assets, the Company reduced its deferred tax asset valuation allowance by a corresponding $12.1 million, with the reduction in allowance recognized as an income tax benefit in the condensed consolidated statements of operations for the three and nine months ended September 30, 2022. As of September 30, 2022, the Company has established a full valuation allowance against its net U.S. deferred tax assets as the Company believes that it is more likely than not that the Company will not be able to fully realize such net deferred tax assets. The Company’s judgment regarding the likelihood of realization of these deferred tax assets could change in future periods, which could result in a material impact in the Company’s income tax provision in the period of change.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(Loss) Per Basic and Diluted Share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computes earnings per share (EPS) in conformity with the two-class method required for participating securities. The two-class method is an earnings allocation method that determines net income (loss) per share for each class of common stock and participating securities according to dividends declared (or accumulated) and participation rights in undistributed earnings or losses. We consider early exercised share options to be participating securities. There were no early exercised share options for the three and nine months ended September 30, 2022, and the impact of early exercised share options on basic and diluted EPS was immaterial for the three and nine months ended September 30, 2021.</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basic and diluted per share computations for net income (loss) attributable to common stockholders: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 basic</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 diluted</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income (loss) per share for the periods presented because including them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20" w:type="dxa"/>
            <w:vAlign w:val="bottom"/>
            <w:gridSpan w:val="2"/>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260" w:type="dxa"/>
            <w:vAlign w:val="bottom"/>
            <w:vMerge w:val="continue"/>
          </w:tcPr>
          <w:p>
            <w:pPr>
              <w:spacing w:after="0"/>
              <w:rPr>
                <w:sz w:val="16"/>
                <w:szCs w:val="16"/>
                <w:color w:val="auto"/>
              </w:rPr>
            </w:pPr>
          </w:p>
        </w:tc>
        <w:tc>
          <w:tcPr>
            <w:tcW w:w="2100" w:type="dxa"/>
            <w:vAlign w:val="bottom"/>
            <w:gridSpan w:val="3"/>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restricted stock units</w:t>
            </w:r>
          </w:p>
        </w:tc>
        <w:tc>
          <w:tcPr>
            <w:tcW w:w="2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850"/>
        </w:trPr>
        <w:tc>
          <w:tcPr>
            <w:tcW w:w="5260" w:type="dxa"/>
            <w:vAlign w:val="bottom"/>
          </w:tcPr>
          <w:p>
            <w:pPr>
              <w:spacing w:after="0"/>
              <w:rPr>
                <w:sz w:val="24"/>
                <w:szCs w:val="24"/>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personal finance website and app, NerdWallet provides consumers 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(UK) and Canada.</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On the Barrelhead, Inc.</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July 11, 2022, we completed the acquisition of On the Barrelhead, Inc. (OTB), a data-driven platform that provides consumers and small and mid-sized businesses (SMBs) with credit-driven product recommendations. See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and Basis of Presentation and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Combination in the notes to our condensed consolidated financial statements for further discussion.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 and Non-GAAP Financial Measure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and other results under generally accepted accounting principles (GAAP), the following sets forth the key operating metric we use to evaluate our business.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our financial services partners on our platform during a given period. We had 19 million and 20 million average MUUs for the three and nine months ended September 30, 2022, which was up 11% and 2% compared to the three and nine months ended September 30, 2021, respectively. We saw strong engagement in areas such as banking, travel and SMB products, and are also now incorporating our recent acquisition of OTB. Partially offsetting growth were declines from a continued challenging macroeconomic environment in both mortgages and investing. While we expect MUUs to grow over time, the metric may fluctuate from period to period based on macroeconomic conditions, trends in consumer behavior, and our strategic marketing decisions.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from continuing operations adjusted to exclude depreciation and amortization, interest expense, net, provision (benefit) for income taxes, and further exclude (1) loss (gain) on impairment and on disposal of assets, (2) remeasurement of the embedded derivative in our previously outstanding long-term debt, (3) change in fair value of contingent consideration related to earnouts, (4) deferred compensation related to earnouts, (5) stock-based compensation, and (6) acquisition-related costs.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above items are excluded from our Adjusted EBITDA measure because these items are non-cash in nature, or because the amount is not driven by core operating results and renders comparisons with prior periods less meaningful.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Adjusted EBITDA provides useful information to investors and others in understanding and evaluating our operating results and in comparing operating results across periods. Moreover, we have included Adjusted EBITDA in this Quarterly Report on Form 10-Q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and the embedded derivative in our previously outstanding long-term debt, as well as certain nonrecurring gains (losses);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property and equipment, amortization of intangible assets, and losses/gains on disposal of assets. Although these are non-cash charges, the assets being depreciated and amortized may have to be replaced in the future, and Adjusted EBITDA does not reflect all cash requirements for such replacements or for new capital expenditure requirements;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Results of Operations — Non-GAAP Financial Measure” for a reconciliation of Adjusted EBITDA to net income (loss), the most directly comparable financial measure calculated in accordance with GAAP.</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78"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7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7"/>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gains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6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as follows:</w:t>
      </w:r>
    </w:p>
    <w:p>
      <w:pPr>
        <w:spacing w:after="0" w:line="200" w:lineRule="exact"/>
        <w:rPr>
          <w:sz w:val="20"/>
          <w:szCs w:val="20"/>
          <w:color w:val="auto"/>
        </w:rPr>
      </w:pPr>
    </w:p>
    <w:p>
      <w:pPr>
        <w:spacing w:after="0" w:line="3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stock-based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(7.8)</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7"/>
        </w:trPr>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-213995</wp:posOffset>
            </wp:positionV>
            <wp:extent cx="713232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gridSpan w:val="4"/>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380" w:type="dxa"/>
            <w:vAlign w:val="bottom"/>
          </w:tcPr>
          <w:p>
            <w:pPr>
              <w:spacing w:after="0"/>
              <w:rPr>
                <w:sz w:val="14"/>
                <w:szCs w:val="1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Borders>
              <w:bottom w:val="single" w:sz="8" w:color="auto"/>
            </w:tcBorders>
          </w:tcPr>
          <w:p>
            <w:pPr>
              <w:spacing w:after="0"/>
              <w:rPr>
                <w:sz w:val="15"/>
                <w:szCs w:val="15"/>
                <w:color w:val="auto"/>
              </w:rPr>
            </w:pPr>
          </w:p>
        </w:tc>
      </w:tr>
      <w:tr>
        <w:trPr>
          <w:trHeight w:val="187"/>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2021</w:t>
            </w:r>
          </w:p>
        </w:tc>
        <w:tc>
          <w:tcPr>
            <w:tcW w:w="380" w:type="dxa"/>
            <w:vAlign w:val="bottom"/>
          </w:tcPr>
          <w:p>
            <w:pPr>
              <w:spacing w:after="0"/>
              <w:rPr>
                <w:sz w:val="16"/>
                <w:szCs w:val="16"/>
                <w:color w:val="auto"/>
              </w:rPr>
            </w:pPr>
          </w:p>
        </w:tc>
      </w:tr>
      <w:tr>
        <w:trPr>
          <w:trHeight w:val="30"/>
        </w:trPr>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6"/>
        </w:trPr>
        <w:tc>
          <w:tcPr>
            <w:tcW w:w="760" w:type="dxa"/>
            <w:vAlign w:val="bottom"/>
          </w:tcPr>
          <w:p>
            <w:pPr>
              <w:jc w:val="right"/>
              <w:ind w:right="59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820" w:type="dxa"/>
            <w:vAlign w:val="bottom"/>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78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30"/>
        </w:trPr>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30"/>
        </w:trPr>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37"/>
        </w:trPr>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6"/>
        </w:trPr>
        <w:tc>
          <w:tcPr>
            <w:tcW w:w="760" w:type="dxa"/>
            <w:vAlign w:val="bottom"/>
          </w:tcPr>
          <w:p>
            <w:pPr>
              <w:jc w:val="right"/>
              <w:ind w:right="59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820" w:type="dxa"/>
            <w:vAlign w:val="bottom"/>
          </w:tcPr>
          <w:p>
            <w:pPr>
              <w:jc w:val="right"/>
              <w:ind w:right="65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78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37"/>
        </w:trPr>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-3547745</wp:posOffset>
            </wp:positionH>
            <wp:positionV relativeFrom="paragraph">
              <wp:posOffset>-333375</wp:posOffset>
            </wp:positionV>
            <wp:extent cx="666940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69405" cy="145415"/>
                    </a:xfrm>
                    <a:prstGeom prst="rect">
                      <a:avLst/>
                    </a:prstGeom>
                    <a:noFill/>
                  </pic:spPr>
                </pic:pic>
              </a:graphicData>
            </a:graphic>
          </wp:anchor>
        </w:drawing>
        <w:drawing>
          <wp:anchor simplePos="0" relativeHeight="251657728" behindDoc="1" locked="0" layoutInCell="0" allowOverlap="1">
            <wp:simplePos x="0" y="0"/>
            <wp:positionH relativeFrom="column">
              <wp:posOffset>-3547745</wp:posOffset>
            </wp:positionH>
            <wp:positionV relativeFrom="paragraph">
              <wp:posOffset>-633730</wp:posOffset>
            </wp:positionV>
            <wp:extent cx="666940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940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5320"/>
          </w:cols>
          <w:pgMar w:left="320" w:top="121"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as a percentage of revenue: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37"/>
        </w:trPr>
        <w:tc>
          <w:tcPr>
            <w:tcW w:w="5720" w:type="dxa"/>
            <w:vAlign w:val="bottom"/>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6500" w:type="dxa"/>
            <w:vAlign w:val="bottom"/>
            <w:gridSpan w:val="3"/>
          </w:tcPr>
          <w:p>
            <w:pPr>
              <w:ind w:left="62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5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106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gains (losses), net</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other expense, net</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3"/>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loss decreased $8.5 million for the three months ended September 30, 2022, and decreased $15.5 million or 45% for the nine months ended September 30, 2022, compared to the three and nine months ended September 30, 2021, respectively. The decreases were attributable to increases of $44.1 million and $116.8 million in revenue, partially offset by increases of $59.2 million and $114.1 million in expenses, primarily driven by increases of $46.6 million and $80.3 million in sales and marketing expense, $6.3 million and $16.9 million in general and administrative expense, and $4.1 million and $14.6 million in research and development expense, as we continued to invest in our business. Additionally, we had income tax benefits of $9.9 million and $8.5 million for the three and nine months ended September 30, 2022, as compared to income tax provisions of $13.6 million and $5.0 million for the three and nine months ended September 30, 2021.</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0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2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verticals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6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$44.1 million, or 45% and $116.8 million, or 42%, for the three and nine months ended September 30, 2022 compared to the three and nine months ended September 30, 2021, respectively, driven by strong growth in credit cards and other verticals revenues, partially offset by lower loans revenue.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cards revenue increased $21.3 million, or 59%, and $68.3 million, or 77%, for the three and nine months ended September 30, 2022, respectively, reflecting our ability to capitalize on higher consumer intent through improved user experiences combined with our deep alignment with our financial services partners to deliver quality matches.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Loans revenue decreased $3.8 million, or 12%, and $10.1 million, or 10%, for the three and nine months ended September 30, 2022, respectively, primarily due to decreases of 50% and 40%, respectively, in mortgages revenue driven by higher interest rates and continuing macroeconomic headwinds, partially offset by increases of 74% and 76%, respectively, in personal loans revenue driven by both organic growth as well as incorporating our recent acquisition of OTB.</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verticals revenue increased $26.6 million, or 87%, and $58.6 million, or 62%, for the three and nine months ended September 30, 2022, respectively, driven by increases of 126% and 148%, respectively, in SMB products revenue, and 255% and 140%, respectively, in banking revenue primarily due to the rising interest rate environment. The increase for the nine month period was partially offset by an 18% decrease in insurance revenue reflecting inflation-driven profitability pressure on carriers.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related to earnouts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6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$4.2 million, or 56%, and $6.3 million, or 30%, for the three and nine months ended September 30, 2022 compared to the three and nine months ended September 30, 2021, respectively, attributable to increases of $3.8 million and $6.2 million, respectively, in amortization expense related to capitalized software development costs and intangible assets related to our recent acquisition of OTB.</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$4.1 million, or 24%, and $14.6 million, or 33%, for the three and nine months ended September 30, 2022 compared to the three and nine months ended September 30, 2021, respectively, primarily attributable to increases of $4.0 million and $13.8 million, respectively, in personnel-related costs for our engineering, data, and product management personnel and contractors to support our continued growth.</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our total sales and marketing expense was comprised of approximately 27% and 33% for brand marketing, respectively, and 46% and 41% for performance marketing, respectively, with the remainder for organic &amp; other marketing expenses. For the three and nine months ended September 30, 2021, our total sales and marketing expense was comprised of approximately 22% and 37% for brand marketing, respectively, and 44% and 36% for performance marketing, respectively, with the remainder for organic &amp; other marketing expenses. We are able to adjust our marketing spend to reflect changes in external factors and consumer behavior.</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$46.6 million, or 82%, and $80.3 million, or 39%, for the three and nine months ended September 30, 2022 compared to the three and nine months ended September 30, 2021, respectively. The increases were primarily attributable to increases of $23.1 million and $43.9 million in performance marketing expenses, $7.8 million and $18.7 million in organic &amp; other marketing expenses primarily due to higher personnel-related costs due to our efforts to grow and increase our user base, and $15.7 million and $17.7 million in brand marketing expenses for the three and nine months ended September 30, 2022, respectively.</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$6.3 million, or 70%, and $16.9 million, or 63%, for the three and nine months ended September 30, 2022 compared to the three and nine months ended September 30, 2021, respectively, primarily attributable to increases of $3.0 million and $8.1 million, respectively, in personnel-related costs mainly due to higher stock-based compensation and increased headcount, $1.1 million and $3.3 million, respectively, in director and officer liability insurance costs, and $1.2 million and $3.3 million, respectively, in acquisition-related costs primarily due to costs related to our acquisition of OTB.</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 related to earnouts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contingent consideration relates to our acquisitions of Fundera, Inc. (Fundera) and Know Your Money (KYM) in 2020. The fair value of the estimated contingent considerations is subject to remeasurement at each reporting date until the payments are made. See Note 3 – Fair Value Measurements in the notes to our condensed consolidated financial statements for further discussion regarding how we estimated the fair value of these contingent considerations.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0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6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center"/>
              <w:ind w:left="136"/>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center"/>
              <w:ind w:left="116"/>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expense, net decreased $0.1 million, or 15%, and increased $0.7 million for the three and nine months ended September 30, 2022 as compared to the three and nine months ended September 30, 2021, respectively. The increase for the nine month period was primarily due to a $1.3 million nonrecurring gain in the nine months ended September 30, 2021 which was partially offset by higher interest income.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had income tax benefits of $9.9 million and $8.5 million for the three and nine months ended September 30, 2022, respectively, as compared to income tax provisions of $13.6 million and $5.0 million for the three and nine months ended September 30, 2021, respectively. Our effective tax rate was 107.5% and 30.9% for the three and nine months ended September 30, 2022, and 232.2% and (17.0%) for the three and nine months ended September 30, 2021, respectively, as compared to the U.S federal statutory income tax rate of 21%. During the three and nine months ended September 30, 2022, we recognized a tax benefit of $12.1 million related to the change in the Company’s existing full valuation allowance on deferred tax assets resulting from the recent acquisition of OTB, partially offset by higher capitalization of research and development expenses under new tax regulations effective in 2022. Our effective tax rates for the three and nine months ended September 30, 2021 reflect the impact of the valuation allowance recorded against our U.S. deferred tax assets of $13.2 million.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compensate for these limitations by reconciling Adjusted EBITDA to net income (loss), the most comparable GAAP financial measure,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00" w:type="dxa"/>
            <w:vAlign w:val="bottom"/>
          </w:tcPr>
          <w:p>
            <w:pPr>
              <w:spacing w:after="0"/>
              <w:rPr>
                <w:sz w:val="21"/>
                <w:szCs w:val="21"/>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related to earnouts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00" w:type="dxa"/>
            <w:vAlign w:val="bottom"/>
          </w:tcPr>
          <w:p>
            <w:pPr>
              <w:spacing w:after="0"/>
              <w:rPr>
                <w:sz w:val="21"/>
                <w:szCs w:val="21"/>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30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6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3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0 %</w:t>
            </w: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(8 %)</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
        </w:trPr>
        <w:tc>
          <w:tcPr>
            <w:tcW w:w="4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1</w:t>
            </w:r>
          </w:p>
        </w:tc>
        <w:tc>
          <w:tcPr>
            <w:tcW w:w="3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10 %</w:t>
            </w:r>
          </w:p>
        </w:tc>
        <w:tc>
          <w:tcPr>
            <w:tcW w:w="14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21 %</w:t>
            </w:r>
          </w:p>
        </w:tc>
        <w:tc>
          <w:tcPr>
            <w:tcW w:w="13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Represents Adjusted EBITDA as a percentage of revenue.</w:t>
      </w:r>
    </w:p>
    <w:p>
      <w:pPr>
        <w:spacing w:after="0" w:line="1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Results of Operations” for a discussion of the decrease in net loss for the three and nine months ended September 30, 2022 compared to the three and nine months ended September 30, 2021.</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decreased $6.7 million and increased $22.5 million for the three and nine months ended September 30, 2022 compared to the three and nine months ended September 30, 2021, respectively. The changes were primarily attributable to decreases of $8.5 million and $15.5 million in net loss and increases in adjustments to reconcile Adjusted EBITDA to net income (loss), including $4.8 million and $14.5 million for stock-based compensation, and $3.7 million and $5.7 million for depreciation and amortization, offset by decreases of $23.5 million and $13.5 million for income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September 30, 2022) and long-term (i.e., beyond the next twelve months), have historically been cash generated from operations and, more recently, sales of our common stock, and borrowings under our credit facilities. Our primary liquidity needs are related to the funding of general corporate requirements, including working capital, research and development, and capital expenditures, as well as other liquidity requirements including, but not limited to, business combinations.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2022 and December 31, 2021, we had cash and cash equivalents of $138.4 million and $167.8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Known Contractual and Other Obligations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September 30, 2022 is included in Note 8 – Commitments and Contingencies in the notes to our condensed consolidated financial statements.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which do not qualify for recognition on our condensed consolidated balance sheets but which we consider non-cancellable. During the nine months ended September 30, 2022, there have been no material changes in our purchase obligations as disclosed in “Management’s Discussion and Analysis of Financial Condition and Results of Operations – Liquidity and Capital Resources” in our Annual Report on Form 10-K for the year ended December 31, 2021.</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as part of the acquisitions of KYM and Fundera, both in 2020, we committed to pay additional amounts of up to $11 million and $66 million, respectively, related to contingent earnout consideration over the succeeding years based, in part, on the achievement of certain financial metrics related to 2021 and 2022 performance. During the nine months ended September 30, 2022, we paid $32.5 million for the 2021 performance period, consisting of $30.5 million of contingent consideration and the remainder for deferred compensation related to earnouts. The remaining commitment for the 2022 performance period is expected to be settled over the next twelve months. Based on fair value measurements for contingent consideration liabilities (see Note 3 – Fair Value Measurements in the notes to our condensed consolidated financial statements), $30.3 million was recorded for contingent consideration as of September 30, 2022.</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expect to increase our personnel and related expenses and to make significant investments in our business. The timing and amount of these investments will vary based on our financial condition, the rate at which we add new personnel and the scale of our growth, as well as the extent and duration of various forces impacting the macroeconomic environment, including market volatility, inflation, and rising interest rates.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or access to our credit facility to satisfy those needs.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believe our current cash and cash equivalents, future cash flow from operations, and access to our credit facility with Silicon Valley Bank and certain other lenders, subject to customary borrowing conditions, will be sufficient to meet our ongoing working capital, capital expenditure and other liquidity requirements for at least twelve months from the date of this filing. On July 7, 2022, we borrowed $70.0 million under our credit facility to finance the cash portion of the purchase consideration for the acquisition of OTB. See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Combination in the notes to our condensed consolidated financial statements for further discussion. In September 2022, we amended the credit facility to, among other things, extend the termination date to December 2, 2023 from September 2, 2023, and to replace the Eurodollar Loan option (which was LIBOR based) with a Secured Overnight Financing Rate (SOFR) Loan option, with any outstanding Eurodollar Loans to convert to SOFR Loans at the next interest period. The outstanding balance on our credit facility was $70.0 million as of September 30, 2022, and there was no outstanding balance as of December 31, 2021. The available amount to borrow under our credit facility was $28.3 million and $94.7 million as of September 30, 2022 and December 31, 2021, respectively, which is equal to the available amount under the credit agreement of $30.0 million and $100.0 million, respectively, net of letters of credit with Silicon Valley Bank of $1.7 million and $5.3 million, respectively. Our credit facility contains certain customary financial and non-financial covenants. We were in compliance with all covenants as of September 30, 2022 and December 31, 2021. See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Debt in the notes to our condensed consolidated financial statements for further discussion on the credit facility.</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15862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16" w:lineRule="exact"/>
        <w:rPr>
          <w:sz w:val="20"/>
          <w:szCs w:val="20"/>
          <w:color w:val="auto"/>
        </w:rPr>
      </w:pPr>
    </w:p>
    <w:p>
      <w:pPr>
        <w:sectPr>
          <w:pgSz w:w="11900" w:h="16838" w:orient="portrait"/>
          <w:cols w:equalWidth="0" w:num="2">
            <w:col w:w="8020" w:space="720"/>
            <w:col w:w="2500"/>
          </w:cols>
          <w:pgMar w:left="320" w:top="121" w:right="339" w:bottom="1440" w:gutter="0" w:footer="0" w:header="0"/>
        </w:sect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$6.4 million in the nine months ended September 30, 2022 compared to the nine months ended September 30, 2021, due to a $15.5 million decrease in net loss, a $5.9 million increase in net cash outflow from changes in operating assets and liabilities, and a $3.2 million decrease in non-cash charges. The increase in net cash outflow from changes in operating assets and liabilities was primarily due to a $11.5 million payment of contingent consideration, partially offset by a $6.2 million decrease related to operating lease liabilities. The decrease in non-cash charges was primarily due to a $17.1 million decrease in deferred taxes, partially offset by a $14.5 million increase in stock-based compensation.</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$78.0 million in the nine months ended September 30, 2022 compared to the nine months ended September 30, 2021, due to $69.5 million of cash paid, net of cash acquired, for our acquisition of OTB, as well as increases of $4.9 million in capitalized software development costs and $3.6 million in purchases of property and equipment.</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increased $74.5 million in the nine months ended September 30, 2022 compared to the nine months ended September 30, 2021, primarily due to $70.0 million of proceeds from our line of credit to finance the cash portion of the purchase consideration for our acquisition of OTB, and cash outflows in the prior-year period for repurchases of $12.4 million for Class F common stock, partially offset by a $19.0 million payment of contingent consideration.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there have been no material changes in our critical accounting policies as disclosed in “Management’s Discussion and Analysis of Financial Condition and Results of Operations – Critical Accounting Policies and Estimates” in our Annual Report on Form 10-K for the year ended December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see Note 1 – The Company and Basis of Presentation in the notes to our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there were no material changes from the market risk disclosures in our Annual Report on Form 10-K for the year ended December 31, 2021.</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September 30, 2022. Based on that evaluation, the Chief Executive Officer and the Chief Financial Officer concluded that these disclosure controls and procedures were effective as of September 30,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September 30, 2022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8 – Commitments and Contingencies in the notes to condensed consolidated financial statements in Item 1 of Part I of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2021 and in our subsequent periodic filings with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100" w:type="dxa"/>
            <w:vAlign w:val="bottom"/>
            <w:gridSpan w:val="3"/>
          </w:tcPr>
          <w:p>
            <w:pPr>
              <w:ind w:left="2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3"/>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NerdWallet, Inc. 2022 Inducement Equity Incentive Plan.</w:t>
              </w:r>
            </w:hyperlink>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Exhibit 99.1 to the Registrant’s Registration Statement</w:t>
            </w:r>
          </w:p>
        </w:tc>
      </w:tr>
      <w:tr>
        <w:trPr>
          <w:trHeight w:val="237"/>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20" w:type="dxa"/>
            <w:vAlign w:val="bottom"/>
            <w:tcBorders>
              <w:top w:val="single" w:sz="8" w:color="0000FF"/>
            </w:tcBorders>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Form S-8 (No. 333-266087) filed July 11, 2022</w:t>
            </w:r>
          </w:p>
        </w:tc>
      </w:tr>
    </w:tbl>
    <w:p>
      <w:pPr>
        <w:spacing w:after="0" w:line="36"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060" w:right="660" w:hanging="785"/>
        <w:spacing w:after="0" w:line="281"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95">
        <w:r>
          <w:rPr>
            <w:rFonts w:ascii="Times New Roman" w:cs="Times New Roman" w:eastAsia="Times New Roman" w:hAnsi="Times New Roman"/>
            <w:sz w:val="18"/>
            <w:szCs w:val="18"/>
            <w:u w:val="single" w:color="auto"/>
            <w:color w:val="0000FF"/>
          </w:rPr>
          <w:t>Form of RSU Inducement Award Agreement for OTB Founders under the</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NerdWallet, Inc. 2022 Inducement Equity Incentive Plan.</w:t>
        </w:r>
      </w:hyperlink>
    </w:p>
    <w:p>
      <w:pPr>
        <w:spacing w:after="0" w:line="1" w:lineRule="exact"/>
        <w:rPr>
          <w:sz w:val="20"/>
          <w:szCs w:val="20"/>
          <w:color w:val="auto"/>
        </w:rPr>
      </w:pPr>
    </w:p>
    <w:p>
      <w:pPr>
        <w:ind w:left="1060" w:right="480" w:hanging="785"/>
        <w:spacing w:after="0" w:line="281"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96">
        <w:r>
          <w:rPr>
            <w:rFonts w:ascii="Times New Roman" w:cs="Times New Roman" w:eastAsia="Times New Roman" w:hAnsi="Times New Roman"/>
            <w:sz w:val="18"/>
            <w:szCs w:val="18"/>
            <w:u w:val="single" w:color="auto"/>
            <w:color w:val="0000FF"/>
          </w:rPr>
          <w:t>Form of RSU Inducement Award Agreement for Other Employees under the</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NerdWallet, Inc. 2022 Inducement Equity Incentive Plan.</w:t>
        </w:r>
      </w:hyperlink>
    </w:p>
    <w:p>
      <w:pPr>
        <w:spacing w:after="0" w:line="1" w:lineRule="exact"/>
        <w:rPr>
          <w:sz w:val="20"/>
          <w:szCs w:val="20"/>
          <w:color w:val="auto"/>
        </w:rPr>
      </w:pPr>
    </w:p>
    <w:p>
      <w:pPr>
        <w:ind w:left="1060" w:hanging="780"/>
        <w:spacing w:after="0" w:line="266" w:lineRule="auto"/>
        <w:tabs>
          <w:tab w:leader="none" w:pos="10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0000FF"/>
        </w:rPr>
        <w:t>Amended and Restated Senior Secured Credit Facilities Credit Agreement between Silicon Valley Bank and the Registrant, dated February 19, 2021, as amended by the Third Amendment thereto, dated September 15, 2022.</w:t>
      </w:r>
    </w:p>
    <w:p>
      <w:pPr>
        <w:spacing w:after="0" w:line="14" w:lineRule="exact"/>
        <w:rPr>
          <w:sz w:val="20"/>
          <w:szCs w:val="20"/>
          <w:color w:val="auto"/>
        </w:rPr>
      </w:pPr>
    </w:p>
    <w:p>
      <w:pPr>
        <w:ind w:left="1060" w:right="140" w:hanging="735"/>
        <w:spacing w:after="0" w:line="266" w:lineRule="auto"/>
        <w:tabs>
          <w:tab w:leader="none" w:pos="10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Exchange Act Rules 13a-14(a) and 15d-14(a), as adopted pursuant to Section 302 of the Sarbanes-Oxley Act of 2002.</w:t>
      </w:r>
    </w:p>
    <w:p>
      <w:pPr>
        <w:spacing w:after="0" w:line="20" w:lineRule="exact"/>
        <w:rPr>
          <w:sz w:val="20"/>
          <w:szCs w:val="20"/>
          <w:color w:val="auto"/>
        </w:rPr>
      </w:pPr>
      <w:r>
        <w:rPr>
          <w:sz w:val="20"/>
          <w:szCs w:val="20"/>
          <w:color w:val="auto"/>
        </w:rPr>
        <w:br w:type="column"/>
      </w:r>
    </w:p>
    <w:p>
      <w:pPr>
        <w:ind w:right="120"/>
        <w:spacing w:after="0" w:line="298" w:lineRule="auto"/>
        <w:rPr>
          <w:sz w:val="20"/>
          <w:szCs w:val="20"/>
          <w:color w:val="auto"/>
        </w:rPr>
      </w:pPr>
      <w:r>
        <w:rPr>
          <w:rFonts w:ascii="Times New Roman" w:cs="Times New Roman" w:eastAsia="Times New Roman" w:hAnsi="Times New Roman"/>
          <w:sz w:val="17"/>
          <w:szCs w:val="17"/>
          <w:color w:val="auto"/>
        </w:rPr>
        <w:t>Exhibit 99.2 to the Registrant’s Registration Statement on Form S-8 (No. 333-266087) filed July 11, 2022</w:t>
      </w:r>
    </w:p>
    <w:p>
      <w:pPr>
        <w:spacing w:after="0" w:line="1"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7"/>
          <w:szCs w:val="17"/>
          <w:color w:val="auto"/>
        </w:rPr>
        <w:t>Exhibit 99.3 to the Registrant’s Registration Statement on Form S-8 (No. 333-266087) filed July 11,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482" w:lineRule="exact"/>
        <w:rPr>
          <w:sz w:val="20"/>
          <w:szCs w:val="20"/>
          <w:color w:val="auto"/>
        </w:rPr>
      </w:pPr>
    </w:p>
    <w:p>
      <w:pPr>
        <w:sectPr>
          <w:pgSz w:w="11900" w:h="16838" w:orient="portrait"/>
          <w:cols w:equalWidth="0" w:num="2">
            <w:col w:w="7040" w:space="140"/>
            <w:col w:w="4060"/>
          </w:cols>
          <w:pgMar w:left="320" w:top="121" w:right="33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31.2</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20" w:type="dxa"/>
            <w:vAlign w:val="bottom"/>
          </w:tcPr>
          <w:p>
            <w:pPr>
              <w:spacing w:after="0"/>
              <w:rPr>
                <w:sz w:val="15"/>
                <w:szCs w:val="15"/>
                <w:color w:val="auto"/>
              </w:rPr>
            </w:pPr>
          </w:p>
        </w:tc>
        <w:tc>
          <w:tcPr>
            <w:tcW w:w="580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2"/>
          </w:tcPr>
          <w:p>
            <w:pPr>
              <w:spacing w:after="0"/>
              <w:rPr>
                <w:sz w:val="17"/>
                <w:szCs w:val="17"/>
                <w:color w:val="auto"/>
              </w:rPr>
            </w:pPr>
          </w:p>
        </w:tc>
        <w:tc>
          <w:tcPr>
            <w:tcW w:w="360" w:type="dxa"/>
            <w:vAlign w:val="bottom"/>
            <w:gridSpan w:val="4"/>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32.1**</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83"/>
        </w:trPr>
        <w:tc>
          <w:tcPr>
            <w:tcW w:w="9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20" w:type="dxa"/>
            <w:vAlign w:val="bottom"/>
            <w:tcBorders>
              <w:top w:val="single" w:sz="8" w:color="0000FF"/>
            </w:tcBorders>
            <w:gridSpan w:val="4"/>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50"/>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32.2**</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83"/>
        </w:trPr>
        <w:tc>
          <w:tcPr>
            <w:tcW w:w="9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1480" w:type="dxa"/>
            <w:vAlign w:val="bottom"/>
          </w:tcPr>
          <w:p>
            <w:pPr>
              <w:spacing w:after="0"/>
              <w:rPr>
                <w:sz w:val="15"/>
                <w:szCs w:val="15"/>
                <w:color w:val="auto"/>
              </w:rPr>
            </w:pPr>
          </w:p>
        </w:tc>
      </w:tr>
      <w:tr>
        <w:trPr>
          <w:trHeight w:val="259"/>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101.INS</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14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1480" w:type="dxa"/>
            <w:vAlign w:val="bottom"/>
          </w:tcPr>
          <w:p>
            <w:pPr>
              <w:spacing w:after="0"/>
              <w:rPr>
                <w:sz w:val="20"/>
                <w:szCs w:val="20"/>
                <w:color w:val="auto"/>
              </w:rPr>
            </w:pPr>
          </w:p>
        </w:tc>
      </w:tr>
      <w:tr>
        <w:trPr>
          <w:trHeight w:val="256"/>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101.SCH</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101.CAL</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101.DEF</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101.LAB</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101.PRE</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104</w:t>
            </w: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20" w:type="dxa"/>
            <w:vAlign w:val="bottom"/>
          </w:tcPr>
          <w:p>
            <w:pPr>
              <w:spacing w:after="0"/>
              <w:rPr>
                <w:sz w:val="20"/>
                <w:szCs w:val="20"/>
                <w:color w:val="auto"/>
              </w:rPr>
            </w:pPr>
          </w:p>
        </w:tc>
        <w:tc>
          <w:tcPr>
            <w:tcW w:w="6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14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39" w:lineRule="exact"/>
        <w:rPr>
          <w:sz w:val="20"/>
          <w:szCs w:val="20"/>
          <w:color w:val="auto"/>
        </w:rPr>
      </w:pPr>
    </w:p>
    <w:p>
      <w:pPr>
        <w:ind w:left="340" w:hanging="332"/>
        <w:spacing w:after="0" w:line="301" w:lineRule="auto"/>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pursuant to Item 601(a)(5) of Regulation S-K. The Company agrees to furnish supplementally to the SEC a copy of any omitted schedule or exhibit upon request.</w:t>
      </w:r>
    </w:p>
    <w:p>
      <w:pPr>
        <w:spacing w:after="0" w:line="1" w:lineRule="exact"/>
        <w:rPr>
          <w:sz w:val="20"/>
          <w:szCs w:val="20"/>
          <w:color w:val="auto"/>
        </w:rPr>
      </w:pPr>
    </w:p>
    <w:p>
      <w:pPr>
        <w:jc w:val="both"/>
        <w:ind w:left="340" w:hanging="332"/>
        <w:spacing w:after="0" w:line="281" w:lineRule="auto"/>
        <w:tabs>
          <w:tab w:leader="none" w:pos="31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41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59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NERDWALLET, INC.</w:t>
            </w:r>
          </w:p>
        </w:tc>
      </w:tr>
      <w:tr>
        <w:trPr>
          <w:trHeight w:val="52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59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Lauren StClair</w:t>
            </w:r>
          </w:p>
        </w:tc>
      </w:tr>
      <w:tr>
        <w:trPr>
          <w:trHeight w:val="27"/>
        </w:trPr>
        <w:tc>
          <w:tcPr>
            <w:tcW w:w="3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Lauren StClair</w:t>
            </w:r>
          </w:p>
        </w:tc>
      </w:tr>
      <w:tr>
        <w:trPr>
          <w:trHeight w:val="270"/>
        </w:trPr>
        <w:tc>
          <w:tcPr>
            <w:tcW w:w="3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AMENDED AND RESTATED SENIOR SECURED CREDIT FACILITIES</w:t>
      </w:r>
    </w:p>
    <w:p>
      <w:pPr>
        <w:spacing w:after="0" w:line="200" w:lineRule="exact"/>
        <w:rPr>
          <w:sz w:val="20"/>
          <w:szCs w:val="20"/>
          <w:color w:val="auto"/>
        </w:rPr>
      </w:pPr>
    </w:p>
    <w:p>
      <w:pPr>
        <w:spacing w:after="0" w:line="20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39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 February 19, 2021,</w:t>
      </w:r>
    </w:p>
    <w:p>
      <w:pPr>
        <w:spacing w:after="0" w:line="1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3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NERDWALLET, INC.</w:t>
      </w:r>
    </w:p>
    <w:p>
      <w:pPr>
        <w:jc w:val="center"/>
        <w:ind w:right="1100"/>
        <w:spacing w:after="0" w:line="211" w:lineRule="auto"/>
        <w:rPr>
          <w:sz w:val="20"/>
          <w:szCs w:val="20"/>
          <w:color w:val="auto"/>
        </w:rPr>
      </w:pPr>
      <w:r>
        <w:rPr>
          <w:rFonts w:ascii="Times New Roman" w:cs="Times New Roman" w:eastAsia="Times New Roman" w:hAnsi="Times New Roman"/>
          <w:sz w:val="20"/>
          <w:szCs w:val="20"/>
          <w:color w:val="auto"/>
        </w:rPr>
        <w:t>and</w:t>
      </w:r>
    </w:p>
    <w:p>
      <w:pPr>
        <w:ind w:left="3000"/>
        <w:spacing w:after="0"/>
        <w:rPr>
          <w:sz w:val="20"/>
          <w:szCs w:val="20"/>
          <w:color w:val="auto"/>
        </w:rPr>
      </w:pPr>
      <w:r>
        <w:rPr>
          <w:rFonts w:ascii="Times New Roman" w:cs="Times New Roman" w:eastAsia="Times New Roman" w:hAnsi="Times New Roman"/>
          <w:sz w:val="20"/>
          <w:szCs w:val="20"/>
          <w:b w:val="1"/>
          <w:bCs w:val="1"/>
          <w:color w:val="auto"/>
        </w:rPr>
        <w:t>NERDWALLET COMPARE, INC.,</w:t>
      </w:r>
    </w:p>
    <w:p>
      <w:pPr>
        <w:spacing w:after="0" w:line="14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jointly and severally, individually and collectively,</w:t>
      </w:r>
    </w:p>
    <w:p>
      <w:pPr>
        <w:jc w:val="center"/>
        <w:ind w:right="11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6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THE SEVERAL LENDERS FROM TIME TO TIME PARTY HERETO,</w:t>
      </w:r>
    </w:p>
    <w:p>
      <w:pPr>
        <w:spacing w:after="0" w:line="200" w:lineRule="exact"/>
        <w:rPr>
          <w:sz w:val="20"/>
          <w:szCs w:val="20"/>
          <w:color w:val="auto"/>
        </w:rPr>
      </w:pPr>
    </w:p>
    <w:p>
      <w:pPr>
        <w:spacing w:after="0" w:line="2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SILICON VALLEY BANK,</w:t>
      </w:r>
    </w:p>
    <w:p>
      <w:pPr>
        <w:spacing w:after="0" w:line="3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as Administrative Agent, Issuing Lender and Swingline Lender,</w:t>
      </w:r>
    </w:p>
    <w:p>
      <w:pPr>
        <w:spacing w:after="0" w:line="200" w:lineRule="exact"/>
        <w:rPr>
          <w:sz w:val="20"/>
          <w:szCs w:val="20"/>
          <w:color w:val="auto"/>
        </w:rPr>
      </w:pP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1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SILICON VALLEY BANK,</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Lead Arranger,</w:t>
      </w:r>
    </w:p>
    <w:p>
      <w:pPr>
        <w:sectPr>
          <w:pgSz w:w="11900" w:h="16838" w:orient="portrait"/>
          <w:cols w:equalWidth="0" w:num="1">
            <w:col w:w="10120"/>
          </w:cols>
          <w:pgMar w:left="1440" w:top="100" w:right="339" w:bottom="1440" w:gutter="0" w:footer="0" w:header="0"/>
        </w:sectPr>
      </w:pPr>
    </w:p>
    <w:bookmarkStart w:id="34" w:name="page35"/>
    <w:bookmarkEnd w:id="34"/>
    <w:p>
      <w:pPr>
        <w:jc w:val="center"/>
        <w:ind w:left="11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 DEFINITIONS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1.1</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Defined Terms</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1.2</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Other Definitional Provisions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1.3</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Rounding</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1.4</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Exchange Rates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1.5</w:t>
            </w:r>
          </w:p>
        </w:tc>
        <w:tc>
          <w:tcPr>
            <w:tcW w:w="60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Alternative Currencies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1.6</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Limited Condition Acquisitions</w:t>
            </w:r>
          </w:p>
        </w:tc>
      </w:tr>
      <w:tr>
        <w:trPr>
          <w:trHeight w:val="260"/>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1.7</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Rates</w:t>
            </w:r>
            <w:r>
              <w:rPr>
                <w:rFonts w:ascii="Times New Roman" w:cs="Times New Roman" w:eastAsia="Times New Roman" w:hAnsi="Times New Roman"/>
                <w:sz w:val="20"/>
                <w:szCs w:val="20"/>
                <w:color w:val="auto"/>
              </w:rPr>
              <w:t>..</w:t>
            </w:r>
          </w:p>
        </w:tc>
      </w:tr>
      <w:tr>
        <w:trPr>
          <w:trHeight w:val="253"/>
        </w:trPr>
        <w:tc>
          <w:tcPr>
            <w:tcW w:w="7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2 AMOUNT AND TERMS OF COMMITMENTS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[Reserved]</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2.2</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[Reserved]</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2.3</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[Reserved]</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2.4</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Revolving Commitments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2.5</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Procedure for Revolving Loan Borrowing</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2.6</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Swingline Commitment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2.7</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Procedure for Swingline Borrowing; Refunding of Swingline Loans</w:t>
            </w:r>
            <w:r>
              <w:rPr>
                <w:rFonts w:ascii="Times New Roman" w:cs="Times New Roman" w:eastAsia="Times New Roman" w:hAnsi="Times New Roman"/>
                <w:sz w:val="20"/>
                <w:szCs w:val="20"/>
                <w:color w:val="auto"/>
              </w:rPr>
              <w:t>.</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2.8</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Overadvances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2.9</w:t>
            </w:r>
          </w:p>
        </w:tc>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2.10</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w w:val="99"/>
              </w:rPr>
              <w:t>Termination or Reduction of Revolving Commitments; Prepayments</w:t>
            </w:r>
            <w:r>
              <w:rPr>
                <w:rFonts w:ascii="Times New Roman" w:cs="Times New Roman" w:eastAsia="Times New Roman" w:hAnsi="Times New Roman"/>
                <w:sz w:val="20"/>
                <w:szCs w:val="20"/>
                <w:color w:val="auto"/>
                <w:w w:val="99"/>
              </w:rPr>
              <w:t>.</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2.11</w:t>
            </w:r>
          </w:p>
        </w:tc>
        <w:tc>
          <w:tcPr>
            <w:tcW w:w="608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2.12</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2.13</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Conversion and Continuation Options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2.14</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Limitations on SOFR Tranches</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2.15</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Interest Rates and Payment Dates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2.16</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Computation of Interest and Fees; Conforming Changes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2.17</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w w:val="98"/>
              </w:rPr>
              <w:t>Inability to Determine Interest Rate; Benchmark Replacement Setting</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2.18</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Pro Rata Treatment and Payments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2.19</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Illegality; Requirements of Law</w:t>
            </w:r>
            <w:r>
              <w:rPr>
                <w:rFonts w:ascii="Times New Roman" w:cs="Times New Roman" w:eastAsia="Times New Roman" w:hAnsi="Times New Roman"/>
                <w:sz w:val="20"/>
                <w:szCs w:val="20"/>
                <w:color w:val="auto"/>
              </w:rPr>
              <w:t>.</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2.20</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2.21</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Indemnity</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2.22</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Change of Lending Office</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2.23</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Substitution of Lenders</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2.24</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Defaulting Lenders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2.25</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Joint and Several Liability of the Borrowers</w:t>
            </w:r>
            <w:r>
              <w:rPr>
                <w:rFonts w:ascii="Times New Roman" w:cs="Times New Roman" w:eastAsia="Times New Roman" w:hAnsi="Times New Roman"/>
                <w:sz w:val="20"/>
                <w:szCs w:val="20"/>
                <w:color w:val="auto"/>
              </w:rPr>
              <w:t>.</w:t>
            </w:r>
          </w:p>
        </w:tc>
      </w:tr>
      <w:tr>
        <w:trPr>
          <w:trHeight w:val="262"/>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2.26</w:t>
            </w:r>
          </w:p>
        </w:tc>
        <w:tc>
          <w:tcPr>
            <w:tcW w:w="6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Notes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2">
            <w:col w:w="9960" w:space="720"/>
            <w:col w:w="180"/>
          </w:cols>
          <w:pgMar w:left="400" w:top="104" w:right="639" w:bottom="1440" w:gutter="0" w:footer="0" w:header="0"/>
        </w:sectPr>
      </w:pPr>
    </w:p>
    <w:bookmarkStart w:id="35" w:name="page36"/>
    <w:bookmarkEnd w:id="35"/>
    <w:p>
      <w:pPr>
        <w:jc w:val="center"/>
        <w:ind w:left="112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0"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2.27</w:t>
            </w:r>
          </w:p>
        </w:tc>
        <w:tc>
          <w:tcPr>
            <w:tcW w:w="39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Incremental Facility</w:t>
            </w:r>
            <w:r>
              <w:rPr>
                <w:rFonts w:ascii="Times New Roman" w:cs="Times New Roman" w:eastAsia="Times New Roman" w:hAnsi="Times New Roman"/>
                <w:sz w:val="20"/>
                <w:szCs w:val="20"/>
                <w:color w:val="auto"/>
              </w:rPr>
              <w:t>.</w:t>
            </w:r>
          </w:p>
        </w:tc>
      </w:tr>
      <w:tr>
        <w:trPr>
          <w:trHeight w:val="253"/>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 LETTERS OF CREDIT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3.1</w:t>
            </w:r>
          </w:p>
        </w:tc>
        <w:tc>
          <w:tcPr>
            <w:tcW w:w="3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L/C Commitment</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3.2</w:t>
            </w:r>
          </w:p>
        </w:tc>
        <w:tc>
          <w:tcPr>
            <w:tcW w:w="3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Procedure for Issuance of Letters of Credit</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3.3</w:t>
            </w:r>
          </w:p>
        </w:tc>
        <w:tc>
          <w:tcPr>
            <w:tcW w:w="3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Fees and Other Charges</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3.4</w:t>
            </w:r>
          </w:p>
        </w:tc>
        <w:tc>
          <w:tcPr>
            <w:tcW w:w="3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w w:val="98"/>
              </w:rPr>
              <w:t>L/C Participations; Existing Letters of Credit</w:t>
            </w:r>
            <w:r>
              <w:rPr>
                <w:rFonts w:ascii="Times New Roman" w:cs="Times New Roman" w:eastAsia="Times New Roman" w:hAnsi="Times New Roman"/>
                <w:sz w:val="20"/>
                <w:szCs w:val="20"/>
                <w:color w:val="auto"/>
                <w:w w:val="98"/>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3.5</w:t>
            </w:r>
          </w:p>
        </w:tc>
        <w:tc>
          <w:tcPr>
            <w:tcW w:w="3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Reimbursement</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3.6</w:t>
            </w:r>
          </w:p>
        </w:tc>
        <w:tc>
          <w:tcPr>
            <w:tcW w:w="3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Obligations Absolute</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3.7</w:t>
            </w:r>
          </w:p>
        </w:tc>
        <w:tc>
          <w:tcPr>
            <w:tcW w:w="3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Letter of Credit Payments</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3.8</w:t>
            </w:r>
          </w:p>
        </w:tc>
        <w:tc>
          <w:tcPr>
            <w:tcW w:w="39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Applications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3.9</w:t>
            </w:r>
          </w:p>
        </w:tc>
        <w:tc>
          <w:tcPr>
            <w:tcW w:w="3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Interim Interest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3.10</w:t>
            </w:r>
          </w:p>
        </w:tc>
        <w:tc>
          <w:tcPr>
            <w:tcW w:w="39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Cash Collateral.</w:t>
            </w:r>
          </w:p>
        </w:tc>
      </w:tr>
      <w:tr>
        <w:trPr>
          <w:trHeight w:val="262"/>
        </w:trPr>
        <w:tc>
          <w:tcPr>
            <w:tcW w:w="4920" w:type="dxa"/>
            <w:vAlign w:val="bottom"/>
            <w:gridSpan w:val="2"/>
          </w:tcPr>
          <w:p>
            <w:pPr>
              <w:ind w:left="600"/>
              <w:spacing w:after="0"/>
              <w:rPr>
                <w:sz w:val="20"/>
                <w:szCs w:val="20"/>
                <w:color w:val="auto"/>
              </w:rPr>
            </w:pPr>
            <w:r>
              <w:rPr>
                <w:rFonts w:ascii="Times New Roman" w:cs="Times New Roman" w:eastAsia="Times New Roman" w:hAnsi="Times New Roman"/>
                <w:sz w:val="20"/>
                <w:szCs w:val="20"/>
                <w:b w:val="1"/>
                <w:bCs w:val="1"/>
                <w:color w:val="auto"/>
              </w:rPr>
              <w:t>3.11  Additional Issuing Lenders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3.12</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Resignation of the Issuing Lender</w:t>
            </w:r>
          </w:p>
        </w:tc>
      </w:tr>
      <w:tr>
        <w:trPr>
          <w:trHeight w:val="261"/>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3.13</w:t>
            </w:r>
          </w:p>
        </w:tc>
        <w:tc>
          <w:tcPr>
            <w:tcW w:w="40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Applicability of UCP and ISP</w:t>
            </w:r>
          </w:p>
        </w:tc>
      </w:tr>
      <w:tr>
        <w:trPr>
          <w:trHeight w:val="253"/>
        </w:trPr>
        <w:tc>
          <w:tcPr>
            <w:tcW w:w="5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 REPRESENTATIONS AND WARRANTIES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w:t>
            </w: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Financial Condition</w:t>
            </w:r>
            <w:r>
              <w:rPr>
                <w:rFonts w:ascii="Times New Roman" w:cs="Times New Roman" w:eastAsia="Times New Roman" w:hAnsi="Times New Roman"/>
                <w:sz w:val="20"/>
                <w:szCs w:val="20"/>
                <w:color w:val="auto"/>
              </w:rPr>
              <w:t>.</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4.2</w:t>
            </w: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 Change</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4.3</w:t>
            </w: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Existence; Compliance with Law</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4.4</w:t>
            </w: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w w:val="97"/>
              </w:rPr>
              <w:t>Power, Authorization; Enforceable Obligations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4.5</w:t>
            </w: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 Legal Bar</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4.6</w:t>
            </w: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Litigation</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4.7</w:t>
            </w: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 Default</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4.8</w:t>
            </w: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Ownership of Property; Liens; Investments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4.9</w:t>
            </w: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Intellectual Property</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4.10</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Taxes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4.11</w:t>
            </w:r>
          </w:p>
        </w:tc>
        <w:tc>
          <w:tcPr>
            <w:tcW w:w="40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Federal Regulations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4.12</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Labor Matters</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4.13</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ERISA</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4.14</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w w:val="99"/>
              </w:rPr>
              <w:t>Investment Company Act; Other Regulations</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4.15</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Subsidiaries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4.16</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Use of Proceeds</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4.17</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Environmental Matters</w:t>
            </w:r>
          </w:p>
        </w:tc>
      </w:tr>
      <w:tr>
        <w:trPr>
          <w:trHeight w:val="257"/>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4.18</w:t>
            </w:r>
          </w:p>
        </w:tc>
        <w:tc>
          <w:tcPr>
            <w:tcW w:w="40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Accuracy of Information, etc.</w:t>
            </w:r>
          </w:p>
        </w:tc>
      </w:tr>
      <w:tr>
        <w:trPr>
          <w:trHeight w:val="256"/>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4.19</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Security Documents</w:t>
            </w:r>
            <w:r>
              <w:rPr>
                <w:rFonts w:ascii="Times New Roman" w:cs="Times New Roman" w:eastAsia="Times New Roman" w:hAnsi="Times New Roman"/>
                <w:sz w:val="20"/>
                <w:szCs w:val="20"/>
                <w:color w:val="auto"/>
              </w:rPr>
              <w:t>.</w:t>
            </w:r>
          </w:p>
        </w:tc>
      </w:tr>
      <w:tr>
        <w:trPr>
          <w:trHeight w:val="262"/>
        </w:trPr>
        <w:tc>
          <w:tcPr>
            <w:tcW w:w="9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4.20</w:t>
            </w: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Solvency; Voidable Transaction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2">
            <w:col w:w="9960" w:space="720"/>
            <w:col w:w="180"/>
          </w:cols>
          <w:pgMar w:left="400" w:top="100" w:right="639" w:bottom="1440" w:gutter="0" w:footer="0" w:header="0"/>
        </w:sectPr>
      </w:pPr>
    </w:p>
    <w:bookmarkStart w:id="36" w:name="page37"/>
    <w:bookmarkEnd w:id="36"/>
    <w:p>
      <w:pPr>
        <w:jc w:val="center"/>
        <w:ind w:left="112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0"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56"/>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1"/>
              </w:rPr>
              <w:t>4.21</w:t>
            </w:r>
          </w:p>
        </w:tc>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Regulation H</w:t>
            </w:r>
          </w:p>
        </w:tc>
      </w:tr>
      <w:tr>
        <w:trPr>
          <w:trHeight w:val="257"/>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1"/>
              </w:rPr>
              <w:t>4.22</w:t>
            </w:r>
          </w:p>
        </w:tc>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w w:val="98"/>
              </w:rPr>
              <w:t>Designated Senior Indebtedness</w:t>
            </w:r>
          </w:p>
        </w:tc>
      </w:tr>
      <w:tr>
        <w:trPr>
          <w:trHeight w:val="257"/>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1"/>
              </w:rPr>
              <w:t>4.23</w:t>
            </w:r>
          </w:p>
        </w:tc>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[Reserved]</w:t>
            </w:r>
          </w:p>
        </w:tc>
      </w:tr>
      <w:tr>
        <w:trPr>
          <w:trHeight w:val="257"/>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1"/>
              </w:rPr>
              <w:t>4.24</w:t>
            </w:r>
          </w:p>
        </w:tc>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Insurance</w:t>
            </w:r>
          </w:p>
        </w:tc>
      </w:tr>
      <w:tr>
        <w:trPr>
          <w:trHeight w:val="256"/>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1"/>
              </w:rPr>
              <w:t>4.25</w:t>
            </w:r>
          </w:p>
        </w:tc>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No Casualty</w:t>
            </w:r>
          </w:p>
        </w:tc>
      </w:tr>
      <w:tr>
        <w:trPr>
          <w:trHeight w:val="257"/>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1"/>
              </w:rPr>
              <w:t>4.26</w:t>
            </w:r>
          </w:p>
        </w:tc>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r>
      <w:tr>
        <w:trPr>
          <w:trHeight w:val="257"/>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1"/>
              </w:rPr>
              <w:t>4.27</w:t>
            </w:r>
          </w:p>
        </w:tc>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[Reserved]</w:t>
            </w:r>
            <w:r>
              <w:rPr>
                <w:rFonts w:ascii="Times New Roman" w:cs="Times New Roman" w:eastAsia="Times New Roman" w:hAnsi="Times New Roman"/>
                <w:sz w:val="20"/>
                <w:szCs w:val="20"/>
                <w:color w:val="auto"/>
              </w:rPr>
              <w:t>.</w:t>
            </w:r>
          </w:p>
        </w:tc>
      </w:tr>
      <w:tr>
        <w:trPr>
          <w:trHeight w:val="257"/>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1"/>
              </w:rPr>
              <w:t>4.28</w:t>
            </w:r>
          </w:p>
        </w:tc>
        <w:tc>
          <w:tcPr>
            <w:tcW w:w="28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OFAC</w:t>
            </w:r>
          </w:p>
        </w:tc>
      </w:tr>
      <w:tr>
        <w:trPr>
          <w:trHeight w:val="262"/>
        </w:trPr>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w w:val="91"/>
              </w:rPr>
              <w:t>4.29</w:t>
            </w:r>
          </w:p>
        </w:tc>
        <w:tc>
          <w:tcPr>
            <w:tcW w:w="28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Anti-Corruption Laws</w:t>
            </w:r>
          </w:p>
        </w:tc>
      </w:tr>
    </w:tbl>
    <w:p>
      <w:pPr>
        <w:spacing w:after="0"/>
        <w:rPr>
          <w:sz w:val="20"/>
          <w:szCs w:val="20"/>
          <w:color w:val="auto"/>
        </w:rPr>
      </w:pPr>
      <w:r>
        <w:rPr>
          <w:rFonts w:ascii="Times New Roman" w:cs="Times New Roman" w:eastAsia="Times New Roman" w:hAnsi="Times New Roman"/>
          <w:sz w:val="20"/>
          <w:szCs w:val="20"/>
          <w:color w:val="auto"/>
        </w:rPr>
        <w:t>SECTION 5 CONDITIONS PRECEDENT</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Conditions to Initial Extension of Credit</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Conditions to Each Extension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 AFFIRMATIVE COVENANTS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Financial Statements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19"/>
          <w:szCs w:val="19"/>
          <w:b w:val="1"/>
          <w:bCs w:val="1"/>
          <w:color w:val="auto"/>
        </w:rPr>
        <w:t>Certificates; Reports; Other Information</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19"/>
          <w:szCs w:val="19"/>
          <w:b w:val="1"/>
          <w:bCs w:val="1"/>
          <w:color w:val="auto"/>
        </w:rPr>
        <w:t>Payment of Obligations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6.5</w:t>
      </w:r>
      <w:r>
        <w:rPr>
          <w:sz w:val="20"/>
          <w:szCs w:val="20"/>
          <w:color w:val="auto"/>
        </w:rPr>
        <w:tab/>
      </w:r>
      <w:r>
        <w:rPr>
          <w:rFonts w:ascii="Times New Roman" w:cs="Times New Roman" w:eastAsia="Times New Roman" w:hAnsi="Times New Roman"/>
          <w:sz w:val="19"/>
          <w:szCs w:val="19"/>
          <w:b w:val="1"/>
          <w:bCs w:val="1"/>
          <w:color w:val="auto"/>
        </w:rPr>
        <w:t>Maintenance of Existence; Compliance</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6.6</w:t>
      </w:r>
      <w:r>
        <w:rPr>
          <w:sz w:val="20"/>
          <w:szCs w:val="20"/>
          <w:color w:val="auto"/>
        </w:rPr>
        <w:tab/>
      </w:r>
      <w:r>
        <w:rPr>
          <w:rFonts w:ascii="Times New Roman" w:cs="Times New Roman" w:eastAsia="Times New Roman" w:hAnsi="Times New Roman"/>
          <w:sz w:val="19"/>
          <w:szCs w:val="19"/>
          <w:b w:val="1"/>
          <w:bCs w:val="1"/>
          <w:color w:val="auto"/>
        </w:rPr>
        <w:t>Maintenance of Property; Insurance</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6.7</w:t>
      </w:r>
      <w:r>
        <w:rPr>
          <w:sz w:val="20"/>
          <w:szCs w:val="20"/>
          <w:color w:val="auto"/>
        </w:rPr>
        <w:tab/>
      </w:r>
      <w:r>
        <w:rPr>
          <w:rFonts w:ascii="Times New Roman" w:cs="Times New Roman" w:eastAsia="Times New Roman" w:hAnsi="Times New Roman"/>
          <w:sz w:val="19"/>
          <w:szCs w:val="19"/>
          <w:b w:val="1"/>
          <w:bCs w:val="1"/>
          <w:color w:val="auto"/>
        </w:rPr>
        <w:t>Books and Records; Discussions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6.8</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6.9</w:t>
      </w:r>
      <w:r>
        <w:rPr>
          <w:sz w:val="20"/>
          <w:szCs w:val="20"/>
          <w:color w:val="auto"/>
        </w:rPr>
        <w:tab/>
      </w:r>
      <w:r>
        <w:rPr>
          <w:rFonts w:ascii="Times New Roman" w:cs="Times New Roman" w:eastAsia="Times New Roman" w:hAnsi="Times New Roman"/>
          <w:sz w:val="19"/>
          <w:szCs w:val="19"/>
          <w:b w:val="1"/>
          <w:bCs w:val="1"/>
          <w:color w:val="auto"/>
        </w:rPr>
        <w:t>Environmental Laws</w:t>
      </w:r>
      <w:r>
        <w:rPr>
          <w:rFonts w:ascii="Times New Roman" w:cs="Times New Roman" w:eastAsia="Times New Roman" w:hAnsi="Times New Roman"/>
          <w:sz w:val="19"/>
          <w:szCs w:val="19"/>
          <w:color w:val="auto"/>
        </w:rPr>
        <w:t>.</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6.10</w:t>
      </w:r>
      <w:r>
        <w:rPr>
          <w:sz w:val="20"/>
          <w:szCs w:val="20"/>
          <w:color w:val="auto"/>
        </w:rPr>
        <w:tab/>
      </w:r>
      <w:r>
        <w:rPr>
          <w:rFonts w:ascii="Times New Roman" w:cs="Times New Roman" w:eastAsia="Times New Roman" w:hAnsi="Times New Roman"/>
          <w:sz w:val="19"/>
          <w:szCs w:val="19"/>
          <w:b w:val="1"/>
          <w:bCs w:val="1"/>
          <w:color w:val="auto"/>
        </w:rPr>
        <w:t>Operating Accounts</w:t>
      </w:r>
    </w:p>
    <w:p>
      <w:pPr>
        <w:spacing w:after="0" w:line="27"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6.11</w:t>
      </w:r>
      <w:r>
        <w:rPr>
          <w:sz w:val="20"/>
          <w:szCs w:val="20"/>
          <w:color w:val="auto"/>
        </w:rPr>
        <w:tab/>
      </w:r>
      <w:r>
        <w:rPr>
          <w:rFonts w:ascii="Times New Roman" w:cs="Times New Roman" w:eastAsia="Times New Roman" w:hAnsi="Times New Roman"/>
          <w:sz w:val="19"/>
          <w:szCs w:val="19"/>
          <w:b w:val="1"/>
          <w:bCs w:val="1"/>
          <w:color w:val="auto"/>
        </w:rPr>
        <w:t>Audits</w:t>
      </w:r>
    </w:p>
    <w:p>
      <w:pPr>
        <w:spacing w:after="0" w:line="27"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6.12</w:t>
      </w:r>
      <w:r>
        <w:rPr>
          <w:sz w:val="20"/>
          <w:szCs w:val="20"/>
          <w:color w:val="auto"/>
        </w:rPr>
        <w:tab/>
      </w:r>
      <w:r>
        <w:rPr>
          <w:rFonts w:ascii="Times New Roman" w:cs="Times New Roman" w:eastAsia="Times New Roman" w:hAnsi="Times New Roman"/>
          <w:sz w:val="19"/>
          <w:szCs w:val="19"/>
          <w:b w:val="1"/>
          <w:bCs w:val="1"/>
          <w:color w:val="auto"/>
        </w:rPr>
        <w:t>Additional Collateral, Etc.</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6.13</w:t>
      </w:r>
      <w:r>
        <w:rPr>
          <w:sz w:val="20"/>
          <w:szCs w:val="20"/>
          <w:color w:val="auto"/>
        </w:rPr>
        <w:tab/>
      </w:r>
      <w:r>
        <w:rPr>
          <w:rFonts w:ascii="Times New Roman" w:cs="Times New Roman" w:eastAsia="Times New Roman" w:hAnsi="Times New Roman"/>
          <w:sz w:val="19"/>
          <w:szCs w:val="19"/>
          <w:b w:val="1"/>
          <w:bCs w:val="1"/>
          <w:color w:val="auto"/>
        </w:rPr>
        <w:t>Use of Proceeds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6.14</w:t>
      </w:r>
      <w:r>
        <w:rPr>
          <w:sz w:val="20"/>
          <w:szCs w:val="20"/>
          <w:color w:val="auto"/>
        </w:rPr>
        <w:tab/>
      </w:r>
      <w:r>
        <w:rPr>
          <w:rFonts w:ascii="Times New Roman" w:cs="Times New Roman" w:eastAsia="Times New Roman" w:hAnsi="Times New Roman"/>
          <w:sz w:val="19"/>
          <w:szCs w:val="19"/>
          <w:b w:val="1"/>
          <w:bCs w:val="1"/>
          <w:color w:val="auto"/>
        </w:rPr>
        <w:t>Designated Senior Indebtedness</w:t>
      </w:r>
    </w:p>
    <w:p>
      <w:pPr>
        <w:spacing w:after="0" w:line="27"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6.15</w:t>
      </w:r>
      <w:r>
        <w:rPr>
          <w:sz w:val="20"/>
          <w:szCs w:val="20"/>
          <w:color w:val="auto"/>
        </w:rPr>
        <w:tab/>
      </w:r>
      <w:r>
        <w:rPr>
          <w:rFonts w:ascii="Times New Roman" w:cs="Times New Roman" w:eastAsia="Times New Roman" w:hAnsi="Times New Roman"/>
          <w:sz w:val="19"/>
          <w:szCs w:val="19"/>
          <w:b w:val="1"/>
          <w:bCs w:val="1"/>
          <w:color w:val="auto"/>
        </w:rPr>
        <w:t>Anti-Corruption Laws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6.16</w:t>
      </w:r>
      <w:r>
        <w:rPr>
          <w:sz w:val="20"/>
          <w:szCs w:val="20"/>
          <w:color w:val="auto"/>
        </w:rPr>
        <w:tab/>
      </w:r>
      <w:r>
        <w:rPr>
          <w:rFonts w:ascii="Times New Roman" w:cs="Times New Roman" w:eastAsia="Times New Roman" w:hAnsi="Times New Roman"/>
          <w:sz w:val="19"/>
          <w:szCs w:val="19"/>
          <w:b w:val="1"/>
          <w:bCs w:val="1"/>
          <w:color w:val="auto"/>
        </w:rPr>
        <w:t>Further Assurances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7 NEGATIVE COVENANTS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Financial Condition Covenants</w:t>
      </w:r>
      <w:r>
        <w:rPr>
          <w:rFonts w:ascii="Times New Roman" w:cs="Times New Roman" w:eastAsia="Times New Roman" w:hAnsi="Times New Roman"/>
          <w:sz w:val="19"/>
          <w:szCs w:val="19"/>
          <w:color w:val="auto"/>
        </w:rPr>
        <w:t>.</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Indebtedness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19"/>
          <w:szCs w:val="19"/>
          <w:b w:val="1"/>
          <w:bCs w:val="1"/>
          <w:color w:val="auto"/>
        </w:rPr>
        <w:t>Liens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19"/>
          <w:szCs w:val="19"/>
          <w:b w:val="1"/>
          <w:bCs w:val="1"/>
          <w:color w:val="auto"/>
        </w:rPr>
        <w:t>Fundamental Changes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19"/>
          <w:szCs w:val="19"/>
          <w:b w:val="1"/>
          <w:bCs w:val="1"/>
          <w:color w:val="auto"/>
        </w:rPr>
        <w:t>Disposition of Property</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7.6</w:t>
      </w:r>
      <w:r>
        <w:rPr>
          <w:sz w:val="20"/>
          <w:szCs w:val="20"/>
          <w:color w:val="auto"/>
        </w:rPr>
        <w:tab/>
      </w:r>
      <w:r>
        <w:rPr>
          <w:rFonts w:ascii="Times New Roman" w:cs="Times New Roman" w:eastAsia="Times New Roman" w:hAnsi="Times New Roman"/>
          <w:sz w:val="19"/>
          <w:szCs w:val="19"/>
          <w:b w:val="1"/>
          <w:bCs w:val="1"/>
          <w:color w:val="auto"/>
        </w:rPr>
        <w:t>Restricted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2">
            <w:col w:w="9960" w:space="720"/>
            <w:col w:w="180"/>
          </w:cols>
          <w:pgMar w:left="400" w:top="100" w:right="639" w:bottom="1440" w:gutter="0" w:footer="0" w:header="0"/>
        </w:sectPr>
      </w:pPr>
    </w:p>
    <w:bookmarkStart w:id="37" w:name="page38"/>
    <w:bookmarkEnd w:id="37"/>
    <w:p>
      <w:pPr>
        <w:jc w:val="center"/>
        <w:ind w:left="11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jc w:val="center"/>
        <w:ind w:left="1160"/>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7.7</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32"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7.8</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7.9</w:t>
      </w:r>
      <w:r>
        <w:rPr>
          <w:sz w:val="20"/>
          <w:szCs w:val="20"/>
          <w:color w:val="auto"/>
        </w:rPr>
        <w:tab/>
      </w:r>
      <w:r>
        <w:rPr>
          <w:rFonts w:ascii="Times New Roman" w:cs="Times New Roman" w:eastAsia="Times New Roman" w:hAnsi="Times New Roman"/>
          <w:sz w:val="19"/>
          <w:szCs w:val="19"/>
          <w:b w:val="1"/>
          <w:bCs w:val="1"/>
          <w:color w:val="auto"/>
        </w:rPr>
        <w:t>ERISA</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7.10</w:t>
      </w:r>
      <w:r>
        <w:rPr>
          <w:sz w:val="20"/>
          <w:szCs w:val="20"/>
          <w:color w:val="auto"/>
        </w:rPr>
        <w:tab/>
      </w:r>
      <w:r>
        <w:rPr>
          <w:rFonts w:ascii="Times New Roman" w:cs="Times New Roman" w:eastAsia="Times New Roman" w:hAnsi="Times New Roman"/>
          <w:sz w:val="19"/>
          <w:szCs w:val="19"/>
          <w:b w:val="1"/>
          <w:bCs w:val="1"/>
          <w:color w:val="auto"/>
        </w:rPr>
        <w:t>Optional Payments and Modifications of Certain Preferred Stock</w:t>
      </w:r>
    </w:p>
    <w:p>
      <w:pPr>
        <w:spacing w:after="0" w:line="27"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7.11</w:t>
      </w:r>
      <w:r>
        <w:rPr>
          <w:sz w:val="20"/>
          <w:szCs w:val="20"/>
          <w:color w:val="auto"/>
        </w:rPr>
        <w:tab/>
      </w:r>
      <w:r>
        <w:rPr>
          <w:rFonts w:ascii="Times New Roman" w:cs="Times New Roman" w:eastAsia="Times New Roman" w:hAnsi="Times New Roman"/>
          <w:sz w:val="19"/>
          <w:szCs w:val="19"/>
          <w:b w:val="1"/>
          <w:bCs w:val="1"/>
          <w:color w:val="auto"/>
        </w:rPr>
        <w:t>Transactions with Affiliates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7.12</w:t>
      </w:r>
      <w:r>
        <w:rPr>
          <w:sz w:val="20"/>
          <w:szCs w:val="20"/>
          <w:color w:val="auto"/>
        </w:rPr>
        <w:tab/>
      </w:r>
      <w:r>
        <w:rPr>
          <w:rFonts w:ascii="Times New Roman" w:cs="Times New Roman" w:eastAsia="Times New Roman" w:hAnsi="Times New Roman"/>
          <w:sz w:val="19"/>
          <w:szCs w:val="19"/>
          <w:b w:val="1"/>
          <w:bCs w:val="1"/>
          <w:color w:val="auto"/>
        </w:rPr>
        <w:t>Sale Leaseback Transactions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7.13</w:t>
      </w:r>
      <w:r>
        <w:rPr>
          <w:sz w:val="20"/>
          <w:szCs w:val="20"/>
          <w:color w:val="auto"/>
        </w:rPr>
        <w:tab/>
      </w:r>
      <w:r>
        <w:rPr>
          <w:rFonts w:ascii="Times New Roman" w:cs="Times New Roman" w:eastAsia="Times New Roman" w:hAnsi="Times New Roman"/>
          <w:sz w:val="19"/>
          <w:szCs w:val="19"/>
          <w:b w:val="1"/>
          <w:bCs w:val="1"/>
          <w:color w:val="auto"/>
        </w:rPr>
        <w:t>Swap Agreements</w:t>
      </w:r>
    </w:p>
    <w:p>
      <w:pPr>
        <w:spacing w:after="0" w:line="27"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7.14</w:t>
      </w:r>
      <w:r>
        <w:rPr>
          <w:sz w:val="20"/>
          <w:szCs w:val="20"/>
          <w:color w:val="auto"/>
        </w:rPr>
        <w:tab/>
      </w:r>
      <w:r>
        <w:rPr>
          <w:rFonts w:ascii="Times New Roman" w:cs="Times New Roman" w:eastAsia="Times New Roman" w:hAnsi="Times New Roman"/>
          <w:sz w:val="19"/>
          <w:szCs w:val="19"/>
          <w:b w:val="1"/>
          <w:bCs w:val="1"/>
          <w:color w:val="auto"/>
        </w:rPr>
        <w:t>Accounting Changes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7.15</w:t>
      </w:r>
      <w:r>
        <w:rPr>
          <w:sz w:val="20"/>
          <w:szCs w:val="20"/>
          <w:color w:val="auto"/>
        </w:rPr>
        <w:tab/>
      </w:r>
      <w:r>
        <w:rPr>
          <w:rFonts w:ascii="Times New Roman" w:cs="Times New Roman" w:eastAsia="Times New Roman" w:hAnsi="Times New Roman"/>
          <w:sz w:val="19"/>
          <w:szCs w:val="19"/>
          <w:b w:val="1"/>
          <w:bCs w:val="1"/>
          <w:color w:val="auto"/>
        </w:rPr>
        <w:t>Negative Pledge Clauses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7.16</w:t>
      </w:r>
      <w:r>
        <w:rPr>
          <w:sz w:val="20"/>
          <w:szCs w:val="20"/>
          <w:color w:val="auto"/>
        </w:rPr>
        <w:tab/>
      </w:r>
      <w:r>
        <w:rPr>
          <w:rFonts w:ascii="Times New Roman" w:cs="Times New Roman" w:eastAsia="Times New Roman" w:hAnsi="Times New Roman"/>
          <w:sz w:val="19"/>
          <w:szCs w:val="19"/>
          <w:b w:val="1"/>
          <w:bCs w:val="1"/>
          <w:color w:val="auto"/>
        </w:rPr>
        <w:t>Clauses Restricting Subsidiary Distributions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7.17</w:t>
      </w:r>
      <w:r>
        <w:rPr>
          <w:sz w:val="20"/>
          <w:szCs w:val="20"/>
          <w:color w:val="auto"/>
        </w:rPr>
        <w:tab/>
      </w:r>
      <w:r>
        <w:rPr>
          <w:rFonts w:ascii="Times New Roman" w:cs="Times New Roman" w:eastAsia="Times New Roman" w:hAnsi="Times New Roman"/>
          <w:sz w:val="19"/>
          <w:szCs w:val="19"/>
          <w:b w:val="1"/>
          <w:bCs w:val="1"/>
          <w:color w:val="auto"/>
        </w:rPr>
        <w:t>Lines of Business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7.18</w:t>
      </w:r>
      <w:r>
        <w:rPr>
          <w:sz w:val="20"/>
          <w:szCs w:val="20"/>
          <w:color w:val="auto"/>
        </w:rPr>
        <w:tab/>
      </w:r>
      <w:r>
        <w:rPr>
          <w:rFonts w:ascii="Times New Roman" w:cs="Times New Roman" w:eastAsia="Times New Roman" w:hAnsi="Times New Roman"/>
          <w:sz w:val="19"/>
          <w:szCs w:val="19"/>
          <w:b w:val="1"/>
          <w:bCs w:val="1"/>
          <w:color w:val="auto"/>
        </w:rPr>
        <w:t>Designation of other Indebtedness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7.19</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7"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7.20</w:t>
      </w:r>
      <w:r>
        <w:rPr>
          <w:sz w:val="20"/>
          <w:szCs w:val="20"/>
          <w:color w:val="auto"/>
        </w:rPr>
        <w:tab/>
      </w:r>
      <w:r>
        <w:rPr>
          <w:rFonts w:ascii="Times New Roman" w:cs="Times New Roman" w:eastAsia="Times New Roman" w:hAnsi="Times New Roman"/>
          <w:sz w:val="19"/>
          <w:szCs w:val="19"/>
          <w:b w:val="1"/>
          <w:bCs w:val="1"/>
          <w:color w:val="auto"/>
        </w:rPr>
        <w:t>Amendments to Operating Documents and Material Contracts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7.21</w:t>
      </w:r>
      <w:r>
        <w:rPr>
          <w:sz w:val="20"/>
          <w:szCs w:val="20"/>
          <w:color w:val="auto"/>
        </w:rPr>
        <w:tab/>
      </w:r>
      <w:r>
        <w:rPr>
          <w:rFonts w:ascii="Times New Roman" w:cs="Times New Roman" w:eastAsia="Times New Roman" w:hAnsi="Times New Roman"/>
          <w:sz w:val="19"/>
          <w:szCs w:val="19"/>
          <w:b w:val="1"/>
          <w:bCs w:val="1"/>
          <w:color w:val="auto"/>
        </w:rPr>
        <w:t>Use of Proceeds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7.22</w:t>
      </w:r>
      <w:r>
        <w:rPr>
          <w:sz w:val="20"/>
          <w:szCs w:val="20"/>
          <w:color w:val="auto"/>
        </w:rPr>
        <w:tab/>
      </w:r>
      <w:r>
        <w:rPr>
          <w:rFonts w:ascii="Times New Roman" w:cs="Times New Roman" w:eastAsia="Times New Roman" w:hAnsi="Times New Roman"/>
          <w:sz w:val="19"/>
          <w:szCs w:val="19"/>
          <w:b w:val="1"/>
          <w:bCs w:val="1"/>
          <w:color w:val="auto"/>
        </w:rPr>
        <w:t>Subordinated Indebtedness</w:t>
      </w:r>
      <w:r>
        <w:rPr>
          <w:rFonts w:ascii="Times New Roman" w:cs="Times New Roman" w:eastAsia="Times New Roman" w:hAnsi="Times New Roman"/>
          <w:sz w:val="19"/>
          <w:szCs w:val="19"/>
          <w:color w:val="auto"/>
        </w:rPr>
        <w:t>.</w:t>
      </w:r>
    </w:p>
    <w:p>
      <w:pPr>
        <w:spacing w:after="0" w:line="27"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7.23</w:t>
      </w:r>
      <w:r>
        <w:rPr>
          <w:sz w:val="20"/>
          <w:szCs w:val="20"/>
          <w:color w:val="auto"/>
        </w:rPr>
        <w:tab/>
      </w:r>
      <w:r>
        <w:rPr>
          <w:rFonts w:ascii="Times New Roman" w:cs="Times New Roman" w:eastAsia="Times New Roman" w:hAnsi="Times New Roman"/>
          <w:sz w:val="19"/>
          <w:szCs w:val="19"/>
          <w:b w:val="1"/>
          <w:bCs w:val="1"/>
          <w:color w:val="auto"/>
        </w:rPr>
        <w:t>Anti-Terrorism Laws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8 EVENTS OF DEFAULT</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Events of Default</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19"/>
          <w:szCs w:val="19"/>
          <w:b w:val="1"/>
          <w:bCs w:val="1"/>
          <w:color w:val="auto"/>
        </w:rPr>
        <w:t>Remedies Upon Event of Default</w:t>
      </w:r>
    </w:p>
    <w:p>
      <w:pPr>
        <w:spacing w:after="0" w:line="27" w:lineRule="exact"/>
        <w:rPr>
          <w:sz w:val="20"/>
          <w:szCs w:val="20"/>
          <w:color w:val="auto"/>
        </w:rPr>
      </w:pPr>
    </w:p>
    <w:p>
      <w:pPr>
        <w:ind w:left="60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19"/>
          <w:szCs w:val="19"/>
          <w:b w:val="1"/>
          <w:bCs w:val="1"/>
          <w:color w:val="auto"/>
        </w:rPr>
        <w:t>Application of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9 THE ADMINISTRATIVE AGENT</w:t>
      </w:r>
    </w:p>
    <w:p>
      <w:pPr>
        <w:spacing w:after="0" w:line="27" w:lineRule="exact"/>
        <w:rPr>
          <w:sz w:val="20"/>
          <w:szCs w:val="20"/>
          <w:color w:val="auto"/>
        </w:rPr>
      </w:pPr>
    </w:p>
    <w:p>
      <w:pPr>
        <w:ind w:left="60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Appointment and Authority</w:t>
      </w:r>
      <w:r>
        <w:rPr>
          <w:rFonts w:ascii="Times New Roman" w:cs="Times New Roman" w:eastAsia="Times New Roman" w:hAnsi="Times New Roman"/>
          <w:sz w:val="19"/>
          <w:szCs w:val="19"/>
          <w:color w:val="auto"/>
        </w:rPr>
        <w:t>.</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19"/>
          <w:szCs w:val="19"/>
          <w:b w:val="1"/>
          <w:bCs w:val="1"/>
          <w:color w:val="auto"/>
        </w:rPr>
        <w:t>Delegation of Duties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9.3</w:t>
      </w:r>
      <w:r>
        <w:rPr>
          <w:sz w:val="20"/>
          <w:szCs w:val="20"/>
          <w:color w:val="auto"/>
        </w:rPr>
        <w:tab/>
      </w:r>
      <w:r>
        <w:rPr>
          <w:rFonts w:ascii="Times New Roman" w:cs="Times New Roman" w:eastAsia="Times New Roman" w:hAnsi="Times New Roman"/>
          <w:sz w:val="19"/>
          <w:szCs w:val="19"/>
          <w:b w:val="1"/>
          <w:bCs w:val="1"/>
          <w:color w:val="auto"/>
        </w:rPr>
        <w:t>Exculpatory Provisions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9.4</w:t>
      </w:r>
      <w:r>
        <w:rPr>
          <w:sz w:val="20"/>
          <w:szCs w:val="20"/>
          <w:color w:val="auto"/>
        </w:rPr>
        <w:tab/>
      </w:r>
      <w:r>
        <w:rPr>
          <w:rFonts w:ascii="Times New Roman" w:cs="Times New Roman" w:eastAsia="Times New Roman" w:hAnsi="Times New Roman"/>
          <w:sz w:val="19"/>
          <w:szCs w:val="19"/>
          <w:b w:val="1"/>
          <w:bCs w:val="1"/>
          <w:color w:val="auto"/>
        </w:rPr>
        <w:t>Reliance by Administrative Agent</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9.5</w:t>
      </w:r>
      <w:r>
        <w:rPr>
          <w:sz w:val="20"/>
          <w:szCs w:val="20"/>
          <w:color w:val="auto"/>
        </w:rPr>
        <w:tab/>
      </w:r>
      <w:r>
        <w:rPr>
          <w:rFonts w:ascii="Times New Roman" w:cs="Times New Roman" w:eastAsia="Times New Roman" w:hAnsi="Times New Roman"/>
          <w:sz w:val="19"/>
          <w:szCs w:val="19"/>
          <w:b w:val="1"/>
          <w:bCs w:val="1"/>
          <w:color w:val="auto"/>
        </w:rPr>
        <w:t>Notice of Default</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9.6</w:t>
      </w:r>
      <w:r>
        <w:rPr>
          <w:sz w:val="20"/>
          <w:szCs w:val="20"/>
          <w:color w:val="auto"/>
        </w:rPr>
        <w:tab/>
      </w:r>
      <w:r>
        <w:rPr>
          <w:rFonts w:ascii="Times New Roman" w:cs="Times New Roman" w:eastAsia="Times New Roman" w:hAnsi="Times New Roman"/>
          <w:sz w:val="19"/>
          <w:szCs w:val="19"/>
          <w:b w:val="1"/>
          <w:bCs w:val="1"/>
          <w:color w:val="auto"/>
        </w:rPr>
        <w:t>Non-Reliance on Administrative Agent and Other Lenders</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9.7</w:t>
      </w:r>
      <w:r>
        <w:rPr>
          <w:sz w:val="20"/>
          <w:szCs w:val="20"/>
          <w:color w:val="auto"/>
        </w:rPr>
        <w:tab/>
      </w:r>
      <w:r>
        <w:rPr>
          <w:rFonts w:ascii="Times New Roman" w:cs="Times New Roman" w:eastAsia="Times New Roman" w:hAnsi="Times New Roman"/>
          <w:sz w:val="19"/>
          <w:szCs w:val="19"/>
          <w:b w:val="1"/>
          <w:bCs w:val="1"/>
          <w:color w:val="auto"/>
        </w:rPr>
        <w:t>Indemnification</w:t>
      </w:r>
    </w:p>
    <w:p>
      <w:pPr>
        <w:spacing w:after="0" w:line="27" w:lineRule="exact"/>
        <w:rPr>
          <w:sz w:val="20"/>
          <w:szCs w:val="20"/>
          <w:color w:val="auto"/>
        </w:rPr>
      </w:pPr>
    </w:p>
    <w:p>
      <w:pPr>
        <w:ind w:left="60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9.8</w:t>
      </w:r>
      <w:r>
        <w:rPr>
          <w:sz w:val="20"/>
          <w:szCs w:val="20"/>
          <w:color w:val="auto"/>
        </w:rPr>
        <w:tab/>
      </w:r>
      <w:r>
        <w:rPr>
          <w:rFonts w:ascii="Times New Roman" w:cs="Times New Roman" w:eastAsia="Times New Roman" w:hAnsi="Times New Roman"/>
          <w:sz w:val="19"/>
          <w:szCs w:val="19"/>
          <w:b w:val="1"/>
          <w:bCs w:val="1"/>
          <w:color w:val="auto"/>
        </w:rPr>
        <w:t>Agent in Its Individual Capacity</w:t>
      </w:r>
    </w:p>
    <w:p>
      <w:pPr>
        <w:spacing w:after="0" w:line="27" w:lineRule="exact"/>
        <w:rPr>
          <w:sz w:val="20"/>
          <w:szCs w:val="20"/>
          <w:color w:val="auto"/>
        </w:rPr>
      </w:pPr>
    </w:p>
    <w:p>
      <w:pPr>
        <w:ind w:left="60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9.9</w:t>
      </w:r>
      <w:r>
        <w:rPr>
          <w:sz w:val="20"/>
          <w:szCs w:val="20"/>
          <w:color w:val="auto"/>
        </w:rPr>
        <w:tab/>
      </w:r>
      <w:r>
        <w:rPr>
          <w:rFonts w:ascii="Times New Roman" w:cs="Times New Roman" w:eastAsia="Times New Roman" w:hAnsi="Times New Roman"/>
          <w:sz w:val="19"/>
          <w:szCs w:val="19"/>
          <w:b w:val="1"/>
          <w:bCs w:val="1"/>
          <w:color w:val="auto"/>
        </w:rPr>
        <w:t>Successor Administrative Agent</w:t>
      </w:r>
      <w:r>
        <w:rPr>
          <w:rFonts w:ascii="Times New Roman" w:cs="Times New Roman" w:eastAsia="Times New Roman" w:hAnsi="Times New Roman"/>
          <w:sz w:val="19"/>
          <w:szCs w:val="19"/>
          <w:color w:val="auto"/>
        </w:rPr>
        <w:t>.</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Times New Roman" w:cs="Times New Roman" w:eastAsia="Times New Roman" w:hAnsi="Times New Roman"/>
          <w:sz w:val="19"/>
          <w:szCs w:val="19"/>
          <w:b w:val="1"/>
          <w:bCs w:val="1"/>
          <w:color w:val="auto"/>
        </w:rPr>
        <w:t>Collateral and Guaranty Matters</w:t>
      </w:r>
    </w:p>
    <w:p>
      <w:pPr>
        <w:spacing w:after="0" w:line="27" w:lineRule="exact"/>
        <w:rPr>
          <w:sz w:val="20"/>
          <w:szCs w:val="20"/>
          <w:color w:val="auto"/>
        </w:rPr>
      </w:pPr>
    </w:p>
    <w:p>
      <w:pPr>
        <w:ind w:left="60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9.11</w:t>
      </w:r>
      <w:r>
        <w:rPr>
          <w:sz w:val="20"/>
          <w:szCs w:val="20"/>
          <w:color w:val="auto"/>
        </w:rPr>
        <w:tab/>
      </w:r>
      <w:r>
        <w:rPr>
          <w:rFonts w:ascii="Times New Roman" w:cs="Times New Roman" w:eastAsia="Times New Roman" w:hAnsi="Times New Roman"/>
          <w:sz w:val="19"/>
          <w:szCs w:val="19"/>
          <w:b w:val="1"/>
          <w:bCs w:val="1"/>
          <w:color w:val="auto"/>
        </w:rPr>
        <w:t>Administrative Agent May File Proofs of Claim</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9.12</w:t>
      </w:r>
      <w:r>
        <w:rPr>
          <w:sz w:val="20"/>
          <w:szCs w:val="20"/>
          <w:color w:val="auto"/>
        </w:rPr>
        <w:tab/>
      </w:r>
      <w:r>
        <w:rPr>
          <w:rFonts w:ascii="Times New Roman" w:cs="Times New Roman" w:eastAsia="Times New Roman" w:hAnsi="Times New Roman"/>
          <w:sz w:val="19"/>
          <w:szCs w:val="19"/>
          <w:b w:val="1"/>
          <w:bCs w:val="1"/>
          <w:color w:val="auto"/>
        </w:rPr>
        <w:t>No Other Duties, etc.</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9.13</w:t>
      </w:r>
      <w:r>
        <w:rPr>
          <w:sz w:val="20"/>
          <w:szCs w:val="20"/>
          <w:color w:val="auto"/>
        </w:rPr>
        <w:tab/>
      </w:r>
      <w:r>
        <w:rPr>
          <w:rFonts w:ascii="Times New Roman" w:cs="Times New Roman" w:eastAsia="Times New Roman" w:hAnsi="Times New Roman"/>
          <w:sz w:val="19"/>
          <w:szCs w:val="19"/>
          <w:b w:val="1"/>
          <w:bCs w:val="1"/>
          <w:color w:val="auto"/>
        </w:rPr>
        <w:t>Cash Management Bank and Qualified Counterparty Reports</w:t>
      </w:r>
    </w:p>
    <w:p>
      <w:pPr>
        <w:spacing w:after="0" w:line="27" w:lineRule="exact"/>
        <w:rPr>
          <w:sz w:val="20"/>
          <w:szCs w:val="20"/>
          <w:color w:val="auto"/>
        </w:rPr>
      </w:pPr>
    </w:p>
    <w:p>
      <w:pPr>
        <w:ind w:left="60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9.14</w:t>
      </w:r>
      <w:r>
        <w:rPr>
          <w:sz w:val="20"/>
          <w:szCs w:val="20"/>
          <w:color w:val="auto"/>
        </w:rPr>
        <w:tab/>
      </w:r>
      <w:r>
        <w:rPr>
          <w:rFonts w:ascii="Times New Roman" w:cs="Times New Roman" w:eastAsia="Times New Roman" w:hAnsi="Times New Roman"/>
          <w:sz w:val="19"/>
          <w:szCs w:val="19"/>
          <w:b w:val="1"/>
          <w:bCs w:val="1"/>
          <w:color w:val="auto"/>
        </w:rPr>
        <w:t>Certain ERISA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96</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97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2">
            <w:col w:w="9920" w:space="720"/>
            <w:col w:w="260"/>
          </w:cols>
          <w:pgMar w:left="400" w:top="98" w:right="599" w:bottom="1440" w:gutter="0" w:footer="0" w:header="0"/>
        </w:sectPr>
      </w:pPr>
    </w:p>
    <w:bookmarkStart w:id="38" w:name="page39"/>
    <w:bookmarkEnd w:id="38"/>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(continued)</w:t>
      </w:r>
    </w:p>
    <w:p>
      <w:pPr>
        <w:sectPr>
          <w:pgSz w:w="11900" w:h="16838" w:orient="portrait"/>
          <w:cols w:equalWidth="0" w:num="1">
            <w:col w:w="10900"/>
          </w:cols>
          <w:pgMar w:left="400" w:top="10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9.15</w:t>
            </w:r>
          </w:p>
        </w:tc>
        <w:tc>
          <w:tcPr>
            <w:tcW w:w="9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Erroneous Payment</w:t>
            </w:r>
          </w:p>
        </w:tc>
      </w:tr>
      <w:tr>
        <w:trPr>
          <w:trHeight w:val="261"/>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9.16</w:t>
            </w:r>
          </w:p>
        </w:tc>
        <w:tc>
          <w:tcPr>
            <w:tcW w:w="9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Survival</w:t>
            </w:r>
          </w:p>
        </w:tc>
      </w:tr>
      <w:tr>
        <w:trPr>
          <w:trHeight w:val="253"/>
        </w:trPr>
        <w:tc>
          <w:tcPr>
            <w:tcW w:w="10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10 MISCELLANEOUS</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w:t>
            </w:r>
          </w:p>
        </w:tc>
        <w:tc>
          <w:tcPr>
            <w:tcW w:w="9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Amendments and Waivers</w:t>
            </w:r>
            <w:r>
              <w:rPr>
                <w:rFonts w:ascii="Times New Roman" w:cs="Times New Roman" w:eastAsia="Times New Roman" w:hAnsi="Times New Roman"/>
                <w:sz w:val="20"/>
                <w:szCs w:val="20"/>
                <w:color w:val="auto"/>
              </w:rPr>
              <w:t>.</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10.2</w:t>
            </w:r>
          </w:p>
        </w:tc>
        <w:tc>
          <w:tcPr>
            <w:tcW w:w="9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Notices</w:t>
            </w:r>
          </w:p>
        </w:tc>
      </w:tr>
      <w:tr>
        <w:trPr>
          <w:trHeight w:val="256"/>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10.3</w:t>
            </w:r>
          </w:p>
        </w:tc>
        <w:tc>
          <w:tcPr>
            <w:tcW w:w="9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 Waiver; Cumulative Remedies</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10.4</w:t>
            </w:r>
          </w:p>
        </w:tc>
        <w:tc>
          <w:tcPr>
            <w:tcW w:w="9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Survival of Representations and Warranties</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10.5</w:t>
            </w:r>
          </w:p>
        </w:tc>
        <w:tc>
          <w:tcPr>
            <w:tcW w:w="9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Expenses; Indemnity; Damage Waiver</w:t>
            </w:r>
            <w:r>
              <w:rPr>
                <w:rFonts w:ascii="Times New Roman" w:cs="Times New Roman" w:eastAsia="Times New Roman" w:hAnsi="Times New Roman"/>
                <w:sz w:val="20"/>
                <w:szCs w:val="20"/>
                <w:color w:val="auto"/>
              </w:rPr>
              <w:t>.</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10.6</w:t>
            </w:r>
          </w:p>
        </w:tc>
        <w:tc>
          <w:tcPr>
            <w:tcW w:w="9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Successors and Assigns; Participations and Assignments</w:t>
            </w:r>
            <w:r>
              <w:rPr>
                <w:rFonts w:ascii="Times New Roman" w:cs="Times New Roman" w:eastAsia="Times New Roman" w:hAnsi="Times New Roman"/>
                <w:sz w:val="20"/>
                <w:szCs w:val="20"/>
                <w:color w:val="auto"/>
              </w:rPr>
              <w:t>.</w:t>
            </w:r>
          </w:p>
        </w:tc>
      </w:tr>
      <w:tr>
        <w:trPr>
          <w:trHeight w:val="256"/>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10.7</w:t>
            </w:r>
          </w:p>
        </w:tc>
        <w:tc>
          <w:tcPr>
            <w:tcW w:w="9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Adjustments; Set-off</w:t>
            </w:r>
            <w:r>
              <w:rPr>
                <w:rFonts w:ascii="Times New Roman" w:cs="Times New Roman" w:eastAsia="Times New Roman" w:hAnsi="Times New Roman"/>
                <w:sz w:val="20"/>
                <w:szCs w:val="20"/>
                <w:color w:val="auto"/>
              </w:rPr>
              <w:t>.</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10.8</w:t>
            </w:r>
          </w:p>
        </w:tc>
        <w:tc>
          <w:tcPr>
            <w:tcW w:w="9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Payments Set Aside</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10.9</w:t>
            </w:r>
          </w:p>
        </w:tc>
        <w:tc>
          <w:tcPr>
            <w:tcW w:w="9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Interest Rate Limitation</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10.10</w:t>
            </w:r>
          </w:p>
        </w:tc>
        <w:tc>
          <w:tcPr>
            <w:tcW w:w="9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Counterparts; Electronic Execution of Assignments</w:t>
            </w:r>
            <w:r>
              <w:rPr>
                <w:rFonts w:ascii="Times New Roman" w:cs="Times New Roman" w:eastAsia="Times New Roman" w:hAnsi="Times New Roman"/>
                <w:sz w:val="20"/>
                <w:szCs w:val="20"/>
                <w:color w:val="auto"/>
              </w:rPr>
              <w:t>.</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10.11</w:t>
            </w:r>
          </w:p>
        </w:tc>
        <w:tc>
          <w:tcPr>
            <w:tcW w:w="92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Severability</w:t>
            </w:r>
          </w:p>
        </w:tc>
      </w:tr>
      <w:tr>
        <w:trPr>
          <w:trHeight w:val="256"/>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10.12</w:t>
            </w:r>
          </w:p>
        </w:tc>
        <w:tc>
          <w:tcPr>
            <w:tcW w:w="9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Integration</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10.13</w:t>
            </w:r>
          </w:p>
        </w:tc>
        <w:tc>
          <w:tcPr>
            <w:tcW w:w="9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GOVERNING LAW</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10.14</w:t>
            </w:r>
          </w:p>
        </w:tc>
        <w:tc>
          <w:tcPr>
            <w:tcW w:w="9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Submission to Jurisdiction; Waivers</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10.15</w:t>
            </w:r>
          </w:p>
        </w:tc>
        <w:tc>
          <w:tcPr>
            <w:tcW w:w="92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Acknowledgements</w:t>
            </w:r>
          </w:p>
        </w:tc>
      </w:tr>
      <w:tr>
        <w:trPr>
          <w:trHeight w:val="256"/>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10.16</w:t>
            </w:r>
          </w:p>
        </w:tc>
        <w:tc>
          <w:tcPr>
            <w:tcW w:w="9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Releases of Guarantees and Liens</w:t>
            </w:r>
            <w:r>
              <w:rPr>
                <w:rFonts w:ascii="Times New Roman" w:cs="Times New Roman" w:eastAsia="Times New Roman" w:hAnsi="Times New Roman"/>
                <w:sz w:val="20"/>
                <w:szCs w:val="20"/>
                <w:color w:val="auto"/>
              </w:rPr>
              <w:t>.</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10.17</w:t>
            </w:r>
          </w:p>
        </w:tc>
        <w:tc>
          <w:tcPr>
            <w:tcW w:w="9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Treatment of Certain Information; Confidentiality</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10.18</w:t>
            </w:r>
          </w:p>
        </w:tc>
        <w:tc>
          <w:tcPr>
            <w:tcW w:w="92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Automatic Debits</w:t>
            </w:r>
          </w:p>
        </w:tc>
      </w:tr>
      <w:tr>
        <w:trPr>
          <w:trHeight w:val="256"/>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10.19</w:t>
            </w:r>
          </w:p>
        </w:tc>
        <w:tc>
          <w:tcPr>
            <w:tcW w:w="9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Judgment Currency</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10.20</w:t>
            </w:r>
          </w:p>
        </w:tc>
        <w:tc>
          <w:tcPr>
            <w:tcW w:w="922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Patriot Act; Other Regulations</w:t>
            </w:r>
          </w:p>
        </w:tc>
      </w:tr>
      <w:tr>
        <w:trPr>
          <w:trHeight w:val="257"/>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10.21</w:t>
            </w:r>
          </w:p>
        </w:tc>
        <w:tc>
          <w:tcPr>
            <w:tcW w:w="92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Acknowledgement and Consent to Bail-In of EEA Financial Institutions</w:t>
            </w:r>
          </w:p>
        </w:tc>
      </w:tr>
      <w:tr>
        <w:trPr>
          <w:trHeight w:val="203"/>
        </w:trPr>
        <w:tc>
          <w:tcPr>
            <w:tcW w:w="1080" w:type="dxa"/>
            <w:vAlign w:val="bottom"/>
          </w:tcPr>
          <w:p>
            <w:pPr>
              <w:ind w:left="600"/>
              <w:spacing w:after="0" w:line="203" w:lineRule="exact"/>
              <w:rPr>
                <w:sz w:val="20"/>
                <w:szCs w:val="20"/>
                <w:color w:val="auto"/>
              </w:rPr>
            </w:pPr>
            <w:r>
              <w:rPr>
                <w:rFonts w:ascii="Times New Roman" w:cs="Times New Roman" w:eastAsia="Times New Roman" w:hAnsi="Times New Roman"/>
                <w:sz w:val="20"/>
                <w:szCs w:val="20"/>
                <w:b w:val="1"/>
                <w:bCs w:val="1"/>
                <w:color w:val="auto"/>
              </w:rPr>
              <w:t>10.22</w:t>
            </w:r>
          </w:p>
        </w:tc>
        <w:tc>
          <w:tcPr>
            <w:tcW w:w="9220" w:type="dxa"/>
            <w:vAlign w:val="bottom"/>
          </w:tcPr>
          <w:p>
            <w:pPr>
              <w:ind w:left="240"/>
              <w:spacing w:after="0" w:line="203" w:lineRule="exact"/>
              <w:rPr>
                <w:sz w:val="20"/>
                <w:szCs w:val="20"/>
                <w:color w:val="auto"/>
              </w:rPr>
            </w:pPr>
            <w:r>
              <w:rPr>
                <w:rFonts w:ascii="Times New Roman" w:cs="Times New Roman" w:eastAsia="Times New Roman" w:hAnsi="Times New Roman"/>
                <w:sz w:val="20"/>
                <w:szCs w:val="20"/>
                <w:b w:val="1"/>
                <w:bCs w:val="1"/>
                <w:color w:val="auto"/>
              </w:rPr>
              <w:t>Amendment and Restatement of Existing Credit Agreement; Acknowledgment of Prior Obligations; No</w:t>
            </w:r>
          </w:p>
        </w:tc>
      </w:tr>
      <w:tr>
        <w:trPr>
          <w:trHeight w:val="243"/>
        </w:trPr>
        <w:tc>
          <w:tcPr>
            <w:tcW w:w="10300" w:type="dxa"/>
            <w:vAlign w:val="bottom"/>
            <w:gridSpan w:val="2"/>
          </w:tcPr>
          <w:p>
            <w:pPr>
              <w:ind w:left="600"/>
              <w:spacing w:after="0"/>
              <w:rPr>
                <w:sz w:val="20"/>
                <w:szCs w:val="20"/>
                <w:color w:val="auto"/>
              </w:rPr>
            </w:pPr>
            <w:r>
              <w:rPr>
                <w:rFonts w:ascii="Times New Roman" w:cs="Times New Roman" w:eastAsia="Times New Roman" w:hAnsi="Times New Roman"/>
                <w:sz w:val="20"/>
                <w:szCs w:val="20"/>
                <w:b w:val="1"/>
                <w:bCs w:val="1"/>
                <w:color w:val="auto"/>
              </w:rPr>
              <w:t>Novation</w:t>
            </w:r>
          </w:p>
        </w:tc>
      </w:tr>
      <w:tr>
        <w:trPr>
          <w:trHeight w:val="262"/>
        </w:trPr>
        <w:tc>
          <w:tcPr>
            <w:tcW w:w="108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rPr>
              <w:t>10.23</w:t>
            </w:r>
          </w:p>
        </w:tc>
        <w:tc>
          <w:tcPr>
            <w:tcW w:w="92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Acknowledgement Regarding Any Supported QFCs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2">
            <w:col w:w="10300" w:space="340"/>
            <w:col w:w="260"/>
          </w:cols>
          <w:pgMar w:left="400" w:top="100" w:right="599" w:bottom="1440" w:gutter="0" w:footer="0" w:header="0"/>
          <w:type w:val="continuous"/>
        </w:sectPr>
      </w:pPr>
    </w:p>
    <w:bookmarkStart w:id="39" w:name="page40"/>
    <w:bookmarkEnd w:id="39"/>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jc w:val="center"/>
        <w:ind w:right="-1100"/>
        <w:spacing w:after="0"/>
        <w:rPr>
          <w:sz w:val="20"/>
          <w:szCs w:val="20"/>
          <w:color w:val="auto"/>
        </w:rPr>
      </w:pPr>
      <w:r>
        <w:rPr>
          <w:rFonts w:ascii="Times New Roman" w:cs="Times New Roman" w:eastAsia="Times New Roman" w:hAnsi="Times New Roman"/>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SCHEDULES</w:t>
      </w:r>
    </w:p>
    <w:p>
      <w:pPr>
        <w:spacing w:after="0"/>
        <w:tabs>
          <w:tab w:leader="none" w:pos="1400" w:val="left"/>
        </w:tabs>
        <w:rPr>
          <w:sz w:val="20"/>
          <w:szCs w:val="20"/>
          <w:color w:val="auto"/>
        </w:rPr>
      </w:pPr>
      <w:r>
        <w:rPr>
          <w:rFonts w:ascii="Times New Roman" w:cs="Times New Roman" w:eastAsia="Times New Roman" w:hAnsi="Times New Roman"/>
          <w:sz w:val="20"/>
          <w:szCs w:val="20"/>
          <w:color w:val="auto"/>
        </w:rPr>
        <w:t>Schedule 1.1A:</w:t>
      </w:r>
      <w:r>
        <w:rPr>
          <w:sz w:val="20"/>
          <w:szCs w:val="20"/>
          <w:color w:val="auto"/>
        </w:rPr>
        <w:tab/>
      </w:r>
      <w:r>
        <w:rPr>
          <w:rFonts w:ascii="Times New Roman" w:cs="Times New Roman" w:eastAsia="Times New Roman" w:hAnsi="Times New Roman"/>
          <w:sz w:val="19"/>
          <w:szCs w:val="19"/>
          <w:color w:val="auto"/>
        </w:rPr>
        <w:t>Commitments</w:t>
      </w:r>
    </w:p>
    <w:p>
      <w:pPr>
        <w:spacing w:after="0" w:line="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color w:val="auto"/>
        </w:rPr>
        <w:t>Schedule 1.1B:</w:t>
      </w:r>
      <w:r>
        <w:rPr>
          <w:sz w:val="20"/>
          <w:szCs w:val="20"/>
          <w:color w:val="auto"/>
        </w:rPr>
        <w:tab/>
      </w:r>
      <w:r>
        <w:rPr>
          <w:rFonts w:ascii="Times New Roman" w:cs="Times New Roman" w:eastAsia="Times New Roman" w:hAnsi="Times New Roman"/>
          <w:sz w:val="19"/>
          <w:szCs w:val="19"/>
          <w:color w:val="auto"/>
        </w:rPr>
        <w:t>Existing Letters of Credit</w:t>
      </w:r>
    </w:p>
    <w:p>
      <w:pPr>
        <w:spacing w:after="0" w:line="1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Schedule 4.4:</w:t>
      </w:r>
      <w:r>
        <w:rPr>
          <w:sz w:val="20"/>
          <w:szCs w:val="20"/>
          <w:color w:val="auto"/>
        </w:rPr>
        <w:tab/>
      </w:r>
      <w:r>
        <w:rPr>
          <w:rFonts w:ascii="Times New Roman" w:cs="Times New Roman" w:eastAsia="Times New Roman" w:hAnsi="Times New Roman"/>
          <w:sz w:val="19"/>
          <w:szCs w:val="19"/>
          <w:color w:val="auto"/>
        </w:rPr>
        <w:t>Governmental Approvals, Consents, Authorizations, Filings and Notices</w:t>
      </w:r>
    </w:p>
    <w:p>
      <w:pPr>
        <w:spacing w:after="0" w:line="2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Schedule 4.13:</w:t>
      </w:r>
      <w:r>
        <w:rPr>
          <w:sz w:val="20"/>
          <w:szCs w:val="20"/>
          <w:color w:val="auto"/>
        </w:rPr>
        <w:tab/>
      </w:r>
      <w:r>
        <w:rPr>
          <w:rFonts w:ascii="Times New Roman" w:cs="Times New Roman" w:eastAsia="Times New Roman" w:hAnsi="Times New Roman"/>
          <w:sz w:val="19"/>
          <w:szCs w:val="19"/>
          <w:color w:val="auto"/>
        </w:rPr>
        <w:t>Pension Plans</w:t>
      </w:r>
    </w:p>
    <w:p>
      <w:pPr>
        <w:spacing w:after="0" w:line="2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Schedule 4.15:</w:t>
      </w:r>
      <w:r>
        <w:rPr>
          <w:sz w:val="20"/>
          <w:szCs w:val="20"/>
          <w:color w:val="auto"/>
        </w:rPr>
        <w:tab/>
      </w:r>
      <w:r>
        <w:rPr>
          <w:rFonts w:ascii="Times New Roman" w:cs="Times New Roman" w:eastAsia="Times New Roman" w:hAnsi="Times New Roman"/>
          <w:sz w:val="19"/>
          <w:szCs w:val="19"/>
          <w:color w:val="auto"/>
        </w:rPr>
        <w:t>Subsidiaries</w:t>
      </w:r>
    </w:p>
    <w:p>
      <w:pPr>
        <w:spacing w:after="0" w:line="1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Schedule 4.17:</w:t>
      </w:r>
      <w:r>
        <w:rPr>
          <w:sz w:val="20"/>
          <w:szCs w:val="20"/>
          <w:color w:val="auto"/>
        </w:rPr>
        <w:tab/>
      </w:r>
      <w:r>
        <w:rPr>
          <w:rFonts w:ascii="Times New Roman" w:cs="Times New Roman" w:eastAsia="Times New Roman" w:hAnsi="Times New Roman"/>
          <w:sz w:val="19"/>
          <w:szCs w:val="19"/>
          <w:color w:val="auto"/>
        </w:rPr>
        <w:t>Environmental Matters</w:t>
      </w:r>
    </w:p>
    <w:p>
      <w:pPr>
        <w:spacing w:after="0" w:line="27"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Schedule 4.19(a):</w:t>
      </w:r>
      <w:r>
        <w:rPr>
          <w:sz w:val="20"/>
          <w:szCs w:val="20"/>
          <w:color w:val="auto"/>
        </w:rPr>
        <w:tab/>
      </w:r>
      <w:r>
        <w:rPr>
          <w:rFonts w:ascii="Times New Roman" w:cs="Times New Roman" w:eastAsia="Times New Roman" w:hAnsi="Times New Roman"/>
          <w:sz w:val="19"/>
          <w:szCs w:val="19"/>
          <w:color w:val="auto"/>
        </w:rPr>
        <w:t>Financing Statements and Other Filings</w:t>
      </w:r>
    </w:p>
    <w:p>
      <w:pPr>
        <w:spacing w:after="0" w:line="27"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0"/>
          <w:szCs w:val="20"/>
          <w:color w:val="auto"/>
        </w:rPr>
        <w:t>Schedule 7.2(d):</w:t>
      </w:r>
      <w:r>
        <w:rPr>
          <w:sz w:val="20"/>
          <w:szCs w:val="20"/>
          <w:color w:val="auto"/>
        </w:rPr>
        <w:tab/>
      </w:r>
      <w:r>
        <w:rPr>
          <w:rFonts w:ascii="Times New Roman" w:cs="Times New Roman" w:eastAsia="Times New Roman" w:hAnsi="Times New Roman"/>
          <w:sz w:val="19"/>
          <w:szCs w:val="19"/>
          <w:color w:val="auto"/>
        </w:rPr>
        <w:t>Existing Indebtedness</w:t>
      </w:r>
    </w:p>
    <w:p>
      <w:pPr>
        <w:spacing w:after="0" w:line="1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Schedule 7.3(f):</w:t>
      </w:r>
      <w:r>
        <w:rPr>
          <w:sz w:val="20"/>
          <w:szCs w:val="20"/>
          <w:color w:val="auto"/>
        </w:rPr>
        <w:tab/>
      </w:r>
      <w:r>
        <w:rPr>
          <w:rFonts w:ascii="Times New Roman" w:cs="Times New Roman" w:eastAsia="Times New Roman" w:hAnsi="Times New Roman"/>
          <w:sz w:val="19"/>
          <w:szCs w:val="19"/>
          <w:color w:val="auto"/>
        </w:rPr>
        <w:t>Existing Liens</w:t>
      </w:r>
    </w:p>
    <w:p>
      <w:pPr>
        <w:spacing w:after="0" w:line="2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0"/>
          <w:szCs w:val="20"/>
          <w:color w:val="auto"/>
        </w:rPr>
        <w:t>Schedule 7.8(e):</w:t>
      </w:r>
      <w:r>
        <w:rPr>
          <w:sz w:val="20"/>
          <w:szCs w:val="20"/>
          <w:color w:val="auto"/>
        </w:rPr>
        <w:tab/>
      </w:r>
      <w:r>
        <w:rPr>
          <w:rFonts w:ascii="Times New Roman" w:cs="Times New Roman" w:eastAsia="Times New Roman" w:hAnsi="Times New Roman"/>
          <w:sz w:val="19"/>
          <w:szCs w:val="19"/>
          <w:color w:val="auto"/>
        </w:rPr>
        <w:t>Existing Investments</w:t>
      </w: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1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[Reserved]</w:t>
      </w:r>
    </w:p>
    <w:p>
      <w:pPr>
        <w:spacing w:after="0" w:line="2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Secretary’s/Managing Member’s Certificate</w:t>
      </w:r>
    </w:p>
    <w:p>
      <w:pPr>
        <w:spacing w:after="0" w:line="1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Assignment and Assumption</w:t>
      </w:r>
    </w:p>
    <w:p>
      <w:pPr>
        <w:spacing w:after="0" w:line="27"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color w:val="auto"/>
        </w:rPr>
        <w:t>Exhibits F-1 – F-4:</w:t>
      </w:r>
      <w:r>
        <w:rPr>
          <w:sz w:val="20"/>
          <w:szCs w:val="20"/>
          <w:color w:val="auto"/>
        </w:rPr>
        <w:tab/>
      </w:r>
      <w:r>
        <w:rPr>
          <w:rFonts w:ascii="Times New Roman" w:cs="Times New Roman" w:eastAsia="Times New Roman" w:hAnsi="Times New Roman"/>
          <w:sz w:val="19"/>
          <w:szCs w:val="19"/>
          <w:color w:val="auto"/>
        </w:rPr>
        <w:t>Forms of U.S. Tax Compliance Certificate</w:t>
      </w:r>
    </w:p>
    <w:p>
      <w:pPr>
        <w:spacing w:after="0" w:line="1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[Reserved]</w:t>
      </w:r>
    </w:p>
    <w:p>
      <w:pPr>
        <w:spacing w:after="0" w:line="2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Exhibit H-1:</w:t>
      </w:r>
      <w:r>
        <w:rPr>
          <w:sz w:val="20"/>
          <w:szCs w:val="20"/>
          <w:color w:val="auto"/>
        </w:rPr>
        <w:tab/>
      </w:r>
      <w:r>
        <w:rPr>
          <w:rFonts w:ascii="Times New Roman" w:cs="Times New Roman" w:eastAsia="Times New Roman" w:hAnsi="Times New Roman"/>
          <w:sz w:val="19"/>
          <w:szCs w:val="19"/>
          <w:color w:val="auto"/>
        </w:rPr>
        <w:t>Form of Revolving Loan Note</w:t>
      </w:r>
    </w:p>
    <w:p>
      <w:pPr>
        <w:spacing w:after="0" w:line="1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Exhibit H-2:</w:t>
      </w:r>
      <w:r>
        <w:rPr>
          <w:sz w:val="20"/>
          <w:szCs w:val="20"/>
          <w:color w:val="auto"/>
        </w:rPr>
        <w:tab/>
      </w:r>
      <w:r>
        <w:rPr>
          <w:rFonts w:ascii="Times New Roman" w:cs="Times New Roman" w:eastAsia="Times New Roman" w:hAnsi="Times New Roman"/>
          <w:sz w:val="19"/>
          <w:szCs w:val="19"/>
          <w:color w:val="auto"/>
        </w:rPr>
        <w:t>Form of Swingline Loan Note</w:t>
      </w:r>
    </w:p>
    <w:p>
      <w:pPr>
        <w:spacing w:after="0" w:line="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19"/>
          <w:szCs w:val="19"/>
          <w:color w:val="auto"/>
        </w:rPr>
        <w:t>[Reserved]</w:t>
      </w:r>
    </w:p>
    <w:p>
      <w:pPr>
        <w:spacing w:after="0" w:line="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J:</w:t>
      </w:r>
      <w:r>
        <w:rPr>
          <w:sz w:val="20"/>
          <w:szCs w:val="20"/>
          <w:color w:val="auto"/>
        </w:rPr>
        <w:tab/>
      </w:r>
      <w:r>
        <w:rPr>
          <w:rFonts w:ascii="Times New Roman" w:cs="Times New Roman" w:eastAsia="Times New Roman" w:hAnsi="Times New Roman"/>
          <w:sz w:val="19"/>
          <w:szCs w:val="19"/>
          <w:color w:val="auto"/>
        </w:rPr>
        <w:t>Form of Collateral Information Certificate</w:t>
      </w:r>
    </w:p>
    <w:p>
      <w:pPr>
        <w:spacing w:after="0" w:line="1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L:</w:t>
      </w:r>
      <w:r>
        <w:rPr>
          <w:sz w:val="20"/>
          <w:szCs w:val="20"/>
          <w:color w:val="auto"/>
        </w:rPr>
        <w:tab/>
      </w:r>
      <w:r>
        <w:rPr>
          <w:rFonts w:ascii="Times New Roman" w:cs="Times New Roman" w:eastAsia="Times New Roman" w:hAnsi="Times New Roman"/>
          <w:sz w:val="19"/>
          <w:szCs w:val="19"/>
          <w:color w:val="auto"/>
        </w:rPr>
        <w:t>Form of Notice of Conversion/Continuation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-vi-</w:t>
      </w:r>
    </w:p>
    <w:p>
      <w:pPr>
        <w:sectPr>
          <w:pgSz w:w="11900" w:h="16838" w:orient="portrait"/>
          <w:cols w:equalWidth="0" w:num="1">
            <w:col w:w="10139"/>
          </w:cols>
          <w:pgMar w:left="320" w:top="98" w:right="1440" w:bottom="1440" w:gutter="0" w:footer="0" w:header="0"/>
        </w:sectPr>
      </w:pPr>
    </w:p>
    <w:bookmarkStart w:id="40" w:name="page41"/>
    <w:bookmarkEnd w:id="40"/>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THIS AMENDED AND RESTATED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February 19, 2021, is entered into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and among </w:t>
      </w:r>
      <w:r>
        <w:rPr>
          <w:rFonts w:ascii="Times New Roman" w:cs="Times New Roman" w:eastAsia="Times New Roman" w:hAnsi="Times New Roman"/>
          <w:sz w:val="20"/>
          <w:szCs w:val="20"/>
          <w:b w:val="1"/>
          <w:bCs w:val="1"/>
          <w:color w:val="auto"/>
        </w:rPr>
        <w:t>NERDWALLET,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i w:val="1"/>
          <w:iCs w:val="1"/>
          <w:color w:val="auto"/>
        </w:rPr>
        <w:t>NerdWallet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NERDWALLET COMPARE,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i w:val="1"/>
          <w:iCs w:val="1"/>
          <w:color w:val="auto"/>
        </w:rPr>
        <w:t>NW Compare</w:t>
      </w:r>
      <w:r>
        <w:rPr>
          <w:rFonts w:ascii="Times New Roman" w:cs="Times New Roman" w:eastAsia="Times New Roman" w:hAnsi="Times New Roman"/>
          <w:sz w:val="20"/>
          <w:szCs w:val="20"/>
          <w:color w:val="auto"/>
        </w:rPr>
        <w:t>” and together with NerdWallet, individually and collectively as the context requires, jointly and severally, the “</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the several banks and other financial institutions or entities from time to time party to this Agreement (each a “</w:t>
      </w:r>
      <w:r>
        <w:rPr>
          <w:rFonts w:ascii="Times New Roman" w:cs="Times New Roman" w:eastAsia="Times New Roman" w:hAnsi="Times New Roman"/>
          <w:sz w:val="20"/>
          <w:szCs w:val="20"/>
          <w:b w:val="1"/>
          <w:bCs w:val="1"/>
          <w:i w:val="1"/>
          <w:iCs w:val="1"/>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SILICON VALLEY BANK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SVB</w:t>
      </w:r>
      <w:r>
        <w:rPr>
          <w:rFonts w:ascii="Times New Roman" w:cs="Times New Roman" w:eastAsia="Times New Roman" w:hAnsi="Times New Roman"/>
          <w:sz w:val="20"/>
          <w:szCs w:val="20"/>
          <w:color w:val="auto"/>
        </w:rPr>
        <w:t xml:space="preserve">”), as the Issuing Lender and the Swingline Lender, and SVB, as administrative agent and collateral agent for the Lenders (in such capacities, together with any successors and assigns in such capacities,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is a party to that certain Credit Agreement, originally dated as of September 2, 2020 (as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restated or otherwise modified prior to date hereof, the “</w:t>
      </w:r>
      <w:r>
        <w:rPr>
          <w:rFonts w:ascii="Times New Roman" w:cs="Times New Roman" w:eastAsia="Times New Roman" w:hAnsi="Times New Roman"/>
          <w:sz w:val="20"/>
          <w:szCs w:val="20"/>
          <w:b w:val="1"/>
          <w:bCs w:val="1"/>
          <w:i w:val="1"/>
          <w:iCs w:val="1"/>
          <w:color w:val="auto"/>
        </w:rPr>
        <w:t>Existing Credit Agreement</w:t>
      </w:r>
      <w:r>
        <w:rPr>
          <w:rFonts w:ascii="Times New Roman" w:cs="Times New Roman" w:eastAsia="Times New Roman" w:hAnsi="Times New Roman"/>
          <w:sz w:val="20"/>
          <w:szCs w:val="20"/>
          <w:color w:val="auto"/>
        </w:rPr>
        <w:t>”), among the Borrower, the lenders party thereto from time to time, and SVB, as the administrative agent and collateral agent for the lenders, pursuant to which the lenders, the issuing lenders and the swingline lenders have made available to the Borrower certain extensions of credit;</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Lenders and the Administrative Agent have agreed to enter into this Agreement in order to (a) amend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restate the Existing Credit Agreement in its entirety and (b) set forth the terms and conditions under which the Lenders will from time to time make loans and extend other financial accommodations to the Borrower, as set forth below;</w:t>
      </w:r>
    </w:p>
    <w:p>
      <w:pPr>
        <w:spacing w:after="0" w:line="18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Lenders have agreed to extend a revolving credit facility to the Borrower, upon the terms and conditions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this Agreement, in an aggregate principal amount not to exceed $100,000,000, including a letter of credit sub-facility in the aggregate availability amount of $10,000,000 (as a sublimit of the revolving loan facility), and a swingline sub-facility in the aggregate availability amount of $10,000,000; (as a sublimit of the revolving loan facility);</w:t>
      </w:r>
    </w:p>
    <w:p>
      <w:pPr>
        <w:spacing w:after="0" w:line="17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agreed to secure all of its Obligations by granting to the Administrative Agent, for the benefit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Secured Parties, a first priority lien on substantially all of its assets; and</w:t>
      </w:r>
    </w:p>
    <w:p>
      <w:pPr>
        <w:spacing w:after="0" w:line="15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each of the Guarantors has agreed to guarantee the Obligations of the Borrower and to secure its respective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respect of such guarantee by granting to the Administrative Agent, for the benefit of the Secured Parties, a first priority lien on substantially all of its assets.</w:t>
      </w:r>
    </w:p>
    <w:p>
      <w:pPr>
        <w:spacing w:after="0" w:line="16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conditions and agreements set forth in this Agreement, and for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receipt of which is hereby acknowledged, the parties hereto hereby agree that the Existing Credit Agreement shall be amended and restated in its entirety to read as follows (it being agreed that this Agreement shall not be deemed to evidence or result in a novation or repayment and reborrowing of the Obligations under, and as defined in, the Existing Credit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1.1 Defined Terms</w:t>
      </w:r>
      <w:r>
        <w:rPr>
          <w:rFonts w:ascii="Times New Roman" w:cs="Times New Roman" w:eastAsia="Times New Roman" w:hAnsi="Times New Roman"/>
          <w:sz w:val="20"/>
          <w:szCs w:val="20"/>
          <w:color w:val="auto"/>
        </w:rPr>
        <w:t>. As used in this Agreement (including the recitals hereof), the terms listed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respective meanings set forth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95"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ABR</w:t>
      </w:r>
      <w:r>
        <w:rPr>
          <w:rFonts w:ascii="Times New Roman" w:cs="Times New Roman" w:eastAsia="Times New Roman" w:hAnsi="Times New Roman"/>
          <w:sz w:val="19"/>
          <w:szCs w:val="19"/>
          <w:color w:val="auto"/>
        </w:rPr>
        <w:t>”: for any day, a rate per annum equal to the highest of (a) the Prime Rate in effect on such day, (b) the Federal Funds Effective Rate in effect for such day plus 0.50%, and (c) 3.25%. Any change in the ABR due to a change in any of the Prime Rate or the Federal Funds Effective Rate, as the case may be, shall be effective as of the opening of business on the effective day of the change in such rates.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 Loans</w:t>
      </w:r>
      <w:r>
        <w:rPr>
          <w:rFonts w:ascii="Times New Roman" w:cs="Times New Roman" w:eastAsia="Times New Roman" w:hAnsi="Times New Roman"/>
          <w:sz w:val="20"/>
          <w:szCs w:val="20"/>
          <w:color w:val="auto"/>
        </w:rPr>
        <w:t>”: Loans, the rate of interest applicable to which is based upon the ABR.</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 Debtor</w:t>
      </w:r>
      <w:r>
        <w:rPr>
          <w:rFonts w:ascii="Times New Roman" w:cs="Times New Roman" w:eastAsia="Times New Roman" w:hAnsi="Times New Roman"/>
          <w:sz w:val="20"/>
          <w:szCs w:val="20"/>
          <w:color w:val="auto"/>
        </w:rPr>
        <w:t>”: any Person who may become obligated to any Person under, with respect to, or on account of, an Account, chattel paper or general intangibles (including a payment intangible). Unless otherwise stated, the term “Account Debtor,” when used herein, shall mean an Account Debtor in respect of an Account of a Group Member.</w:t>
      </w:r>
    </w:p>
    <w:p>
      <w:pPr>
        <w:spacing w:after="0" w:line="16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Accounts</w:t>
      </w:r>
      <w:r>
        <w:rPr>
          <w:rFonts w:ascii="Times New Roman" w:cs="Times New Roman" w:eastAsia="Times New Roman" w:hAnsi="Times New Roman"/>
          <w:sz w:val="20"/>
          <w:szCs w:val="20"/>
          <w:color w:val="auto"/>
        </w:rPr>
        <w:t>”: all “accounts” (as defined in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a Group Member.</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Adjusted Quick Ratio</w:t>
      </w:r>
      <w:r>
        <w:rPr>
          <w:rFonts w:ascii="Times New Roman" w:cs="Times New Roman" w:eastAsia="Times New Roman" w:hAnsi="Times New Roman"/>
          <w:sz w:val="20"/>
          <w:szCs w:val="20"/>
          <w:color w:val="auto"/>
        </w:rPr>
        <w:t>”: as of any date of determination, (a) the sum of (i) Qualified Cash, plus (ii) net billed trade Accounts of the Loan Parties, plus (iii) Unbilled Accounts Receivable; divided by (b) the result of (i) Current Liabilities minus (ii) to the extent included in Current Liabilities, the current portion of Deferred Revenue.</w:t>
      </w:r>
    </w:p>
    <w:p>
      <w:pPr>
        <w:spacing w:after="0" w:line="16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Adjusted Term SOFR</w:t>
      </w:r>
      <w:r>
        <w:rPr>
          <w:rFonts w:ascii="Times New Roman" w:cs="Times New Roman" w:eastAsia="Times New Roman" w:hAnsi="Times New Roman"/>
          <w:sz w:val="20"/>
          <w:szCs w:val="20"/>
          <w:color w:val="auto"/>
        </w:rPr>
        <w:t xml:space="preserve">”: for purposes of any calculation, the rate per annum equal to (a) Term SOFR for such calculation plus (b) the SOFR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Adjusted Term SOFR as so determined shall ever be less than the Floor, then Adjusted Term SOFR shall be deemed to be equal to the Floor.</w:t>
      </w:r>
    </w:p>
    <w:p>
      <w:pPr>
        <w:spacing w:after="0" w:line="16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 SVB, as the administrative agent under this Agreement and the other Loan Documents, together with any of its successors in such capacity.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xml:space="preserve">”: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neither the Administrative Agent nor the Lenders shall be deemed Affiliates of the Loan Parties as a result of the exercise of their rights and remedies under the Loan Documents.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10.2(d)(ii)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Exposure</w:t>
      </w:r>
      <w:r>
        <w:rPr>
          <w:rFonts w:ascii="Times New Roman" w:cs="Times New Roman" w:eastAsia="Times New Roman" w:hAnsi="Times New Roman"/>
          <w:sz w:val="20"/>
          <w:szCs w:val="20"/>
          <w:color w:val="auto"/>
        </w:rPr>
        <w:t>”: with respect to any Lender at any time, an amount equal to the sum of (a) the amount of such Lender’s Revolving Commitment then in effect or, if the Revolving Commitments have been terminated, the amount of such Lender’s Revolving Extensions of Credit then outstanding, and (b) without duplication of clause (a), the L/C Commitment of such Lender then in effect (as a sublimit of the Revolving Commitment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42" w:name="page43"/>
    <w:bookmarkEnd w:id="42"/>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Exposure Percentage</w:t>
      </w:r>
      <w:r>
        <w:rPr>
          <w:rFonts w:ascii="Times New Roman" w:cs="Times New Roman" w:eastAsia="Times New Roman" w:hAnsi="Times New Roman"/>
          <w:sz w:val="20"/>
          <w:szCs w:val="20"/>
          <w:color w:val="auto"/>
        </w:rPr>
        <w:t>”: with respect to any Lender at any time, the ratio (expressed as a percentage) of such Lender’s Aggregate Exposure at such time to the Aggregate Exposure of all Lenders at such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as defined in the preamble hereto.</w:t>
      </w:r>
    </w:p>
    <w:p>
      <w:pPr>
        <w:spacing w:after="0" w:line="20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w:t>
      </w:r>
      <w:r>
        <w:rPr>
          <w:rFonts w:ascii="Times New Roman" w:cs="Times New Roman" w:eastAsia="Times New Roman" w:hAnsi="Times New Roman"/>
          <w:sz w:val="20"/>
          <w:szCs w:val="20"/>
          <w:color w:val="auto"/>
        </w:rPr>
        <w:t xml:space="preserve">”: each of the following currencies: Sterling, Euro or Australian Dollars, together with each other currency (other than Dollars) that is approved in accordance with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Alternative Currency Equivalent</w:t>
      </w:r>
      <w:r>
        <w:rPr>
          <w:rFonts w:ascii="Times New Roman" w:cs="Times New Roman" w:eastAsia="Times New Roman" w:hAnsi="Times New Roman"/>
          <w:sz w:val="20"/>
          <w:szCs w:val="20"/>
          <w:color w:val="auto"/>
        </w:rPr>
        <w:t>”: at any time, with respect to any amount denominated in Dollars, the equivalent amount thereof in the applicable Alternative Currency as determined by the Administrative Agent or the Issuing Lender, as the case may be, at such time on the basis of the Spot Rate (determined in respect of the most recent Revaluation Date) for the purchase of such Alternative Currency with Dollars.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commencing on the first day of the second full quarter ending after the Closing Date, the rate per annum set forth under the relevant column heading below based on the applicable Average Daily Usage for the prior quarter:</w:t>
      </w:r>
    </w:p>
    <w:p>
      <w:pPr>
        <w:spacing w:after="0" w:line="185" w:lineRule="exact"/>
        <w:rPr>
          <w:sz w:val="20"/>
          <w:szCs w:val="20"/>
          <w:color w:val="auto"/>
        </w:rPr>
      </w:pPr>
    </w:p>
    <w:tbl>
      <w:tblPr>
        <w:tblLayout w:type="fixed"/>
        <w:tblInd w:w="1070" w:type="dxa"/>
        <w:tblCellMar>
          <w:top w:w="0" w:type="dxa"/>
          <w:left w:w="0" w:type="dxa"/>
          <w:bottom w:w="0" w:type="dxa"/>
          <w:right w:w="0" w:type="dxa"/>
        </w:tblCellMar>
      </w:tblPr>
      <w:tr>
        <w:trPr>
          <w:trHeight w:val="533"/>
        </w:trPr>
        <w:tc>
          <w:tcPr>
            <w:tcW w:w="11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320" w:type="dxa"/>
            <w:vAlign w:val="bottom"/>
            <w:tcBorders>
              <w:top w:val="single" w:sz="8" w:color="auto"/>
            </w:tcBorders>
          </w:tcPr>
          <w:p>
            <w:pPr>
              <w:spacing w:after="0"/>
              <w:rPr>
                <w:sz w:val="24"/>
                <w:szCs w:val="24"/>
                <w:color w:val="auto"/>
              </w:rPr>
            </w:pPr>
          </w:p>
        </w:tc>
        <w:tc>
          <w:tcPr>
            <w:tcW w:w="2160" w:type="dxa"/>
            <w:vAlign w:val="bottom"/>
            <w:tcBorders>
              <w:top w:val="single" w:sz="8" w:color="auto"/>
              <w:right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w w:val="98"/>
              </w:rPr>
              <w:t>Average Daily Usage</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Applicable Margin</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Applicable Margin for</w:t>
            </w:r>
          </w:p>
        </w:tc>
        <w:tc>
          <w:tcPr>
            <w:tcW w:w="0" w:type="dxa"/>
            <w:vAlign w:val="bottom"/>
          </w:tcPr>
          <w:p>
            <w:pPr>
              <w:spacing w:after="0"/>
              <w:rPr>
                <w:sz w:val="1"/>
                <w:szCs w:val="1"/>
                <w:color w:val="auto"/>
              </w:rPr>
            </w:pPr>
          </w:p>
        </w:tc>
      </w:tr>
      <w:tr>
        <w:trPr>
          <w:trHeight w:val="270"/>
        </w:trPr>
        <w:tc>
          <w:tcPr>
            <w:tcW w:w="1180" w:type="dxa"/>
            <w:vAlign w:val="bottom"/>
            <w:tcBorders>
              <w:left w:val="single" w:sz="8" w:color="auto"/>
              <w:right w:val="single" w:sz="8" w:color="auto"/>
            </w:tcBorders>
            <w:vMerge w:val="continue"/>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Borders>
              <w:right w:val="single" w:sz="8" w:color="auto"/>
            </w:tcBorders>
            <w:gridSpan w:val="2"/>
            <w:vMerge w:val="continue"/>
          </w:tcPr>
          <w:p>
            <w:pPr>
              <w:spacing w:after="0"/>
              <w:rPr>
                <w:sz w:val="23"/>
                <w:szCs w:val="23"/>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for SOFR Loans</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ABR Loans</w:t>
            </w:r>
          </w:p>
        </w:tc>
        <w:tc>
          <w:tcPr>
            <w:tcW w:w="0" w:type="dxa"/>
            <w:vAlign w:val="bottom"/>
          </w:tcPr>
          <w:p>
            <w:pPr>
              <w:spacing w:after="0"/>
              <w:rPr>
                <w:sz w:val="1"/>
                <w:szCs w:val="1"/>
                <w:color w:val="auto"/>
              </w:rPr>
            </w:pPr>
          </w:p>
        </w:tc>
      </w:tr>
      <w:tr>
        <w:trPr>
          <w:trHeight w:val="34"/>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I</w:t>
            </w:r>
          </w:p>
        </w:tc>
        <w:tc>
          <w:tcPr>
            <w:tcW w:w="2480" w:type="dxa"/>
            <w:vAlign w:val="bottom"/>
            <w:tcBorders>
              <w:right w:val="single" w:sz="8" w:color="auto"/>
            </w:tcBorders>
            <w:gridSpan w:val="3"/>
          </w:tcPr>
          <w:p>
            <w:pPr>
              <w:jc w:val="right"/>
              <w:ind w:right="1000"/>
              <w:spacing w:after="0"/>
              <w:rPr>
                <w:sz w:val="20"/>
                <w:szCs w:val="20"/>
                <w:color w:val="auto"/>
              </w:rPr>
            </w:pPr>
            <w:r>
              <w:rPr>
                <w:rFonts w:ascii="Times New Roman" w:cs="Times New Roman" w:eastAsia="Times New Roman" w:hAnsi="Times New Roman"/>
                <w:sz w:val="20"/>
                <w:szCs w:val="20"/>
                <w:color w:val="auto"/>
              </w:rPr>
              <w:t>&gt; $50,000,000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3.00%</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2.00%</w:t>
            </w:r>
          </w:p>
        </w:tc>
        <w:tc>
          <w:tcPr>
            <w:tcW w:w="0" w:type="dxa"/>
            <w:vAlign w:val="bottom"/>
          </w:tcPr>
          <w:p>
            <w:pPr>
              <w:spacing w:after="0"/>
              <w:rPr>
                <w:sz w:val="1"/>
                <w:szCs w:val="1"/>
                <w:color w:val="auto"/>
              </w:rPr>
            </w:pPr>
          </w:p>
        </w:tc>
      </w:tr>
      <w:tr>
        <w:trPr>
          <w:trHeight w:val="48"/>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II</w:t>
            </w:r>
          </w:p>
        </w:tc>
        <w:tc>
          <w:tcPr>
            <w:tcW w:w="2480" w:type="dxa"/>
            <w:vAlign w:val="bottom"/>
            <w:tcBorders>
              <w:right w:val="single" w:sz="8" w:color="auto"/>
            </w:tcBorders>
            <w:gridSpan w:val="3"/>
          </w:tcPr>
          <w:p>
            <w:pPr>
              <w:jc w:val="right"/>
              <w:ind w:right="1000"/>
              <w:spacing w:after="0" w:line="223" w:lineRule="exact"/>
              <w:rPr>
                <w:sz w:val="20"/>
                <w:szCs w:val="20"/>
                <w:color w:val="auto"/>
              </w:rPr>
            </w:pPr>
            <w:r>
              <w:rPr>
                <w:rFonts w:ascii="Times New Roman" w:cs="Times New Roman" w:eastAsia="Times New Roman" w:hAnsi="Times New Roman"/>
                <w:sz w:val="20"/>
                <w:szCs w:val="20"/>
                <w:color w:val="auto"/>
              </w:rPr>
              <w:t>&lt; $50,000,000</w:t>
            </w:r>
          </w:p>
        </w:tc>
        <w:tc>
          <w:tcPr>
            <w:tcW w:w="194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2.75%</w:t>
            </w:r>
          </w:p>
        </w:tc>
        <w:tc>
          <w:tcPr>
            <w:tcW w:w="206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1.75%</w:t>
            </w:r>
          </w:p>
        </w:tc>
        <w:tc>
          <w:tcPr>
            <w:tcW w:w="0" w:type="dxa"/>
            <w:vAlign w:val="bottom"/>
          </w:tcPr>
          <w:p>
            <w:pPr>
              <w:spacing w:after="0"/>
              <w:rPr>
                <w:sz w:val="1"/>
                <w:szCs w:val="1"/>
                <w:color w:val="auto"/>
              </w:rPr>
            </w:pPr>
          </w:p>
        </w:tc>
      </w:tr>
      <w:tr>
        <w:trPr>
          <w:trHeight w:val="74"/>
        </w:trPr>
        <w:tc>
          <w:tcPr>
            <w:tcW w:w="1180" w:type="dxa"/>
            <w:vAlign w:val="bottom"/>
            <w:tcBorders>
              <w:left w:val="single" w:sz="8" w:color="auto"/>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Notwithstanding the foregoing, (a) until and including the last day of the first full calendar quarter ending after the Closing Date, the Applicable Margin shall be the rates corresponding to level II in the foregoing table, and (b) no reduction to the Applicable Margin shall become effective at any time when an Event of Default has occurred and is continuing.</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Time</w:t>
      </w:r>
      <w:r>
        <w:rPr>
          <w:rFonts w:ascii="Times New Roman" w:cs="Times New Roman" w:eastAsia="Times New Roman" w:hAnsi="Times New Roman"/>
          <w:sz w:val="20"/>
          <w:szCs w:val="20"/>
          <w:color w:val="auto"/>
        </w:rPr>
        <w:t>”: with respect to any Revolving Extensions of Credit and payments in any Alternative Currency, the local time in the place of settlement for such Alternative Currency as may be determined by the Administrative Agent or the Issuing Lender, as the case may be, to be necessary for timely settlement on the relevant date in accordance with normal banking procedures in the place of payment.</w:t>
      </w:r>
    </w:p>
    <w:p>
      <w:pPr>
        <w:spacing w:after="0" w:line="16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Application</w:t>
      </w:r>
      <w:r>
        <w:rPr>
          <w:rFonts w:ascii="Times New Roman" w:cs="Times New Roman" w:eastAsia="Times New Roman" w:hAnsi="Times New Roman"/>
          <w:sz w:val="20"/>
          <w:szCs w:val="20"/>
          <w:color w:val="auto"/>
        </w:rPr>
        <w:t>”: an application, in such form as the Issuing Lender may specify from time to time, requesting the Issuing Lender to issue a Letter of Credit.</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Approved Fund</w:t>
      </w:r>
      <w:r>
        <w:rPr>
          <w:rFonts w:ascii="Times New Roman" w:cs="Times New Roman" w:eastAsia="Times New Roman" w:hAnsi="Times New Roman"/>
          <w:sz w:val="20"/>
          <w:szCs w:val="20"/>
          <w:color w:val="auto"/>
        </w:rPr>
        <w:t>”: any Fund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Assignment and Assumption</w:t>
      </w:r>
      <w:r>
        <w:rPr>
          <w:rFonts w:ascii="Times New Roman" w:cs="Times New Roman" w:eastAsia="Times New Roman" w:hAnsi="Times New Roman"/>
          <w:sz w:val="20"/>
          <w:szCs w:val="20"/>
          <w:color w:val="auto"/>
        </w:rPr>
        <w:t xml:space="preserve">”: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approved by the Administrative Agent.</w:t>
      </w:r>
    </w:p>
    <w:p>
      <w:pPr>
        <w:spacing w:after="0" w:line="16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Revolving Commitment</w:t>
      </w:r>
      <w:r>
        <w:rPr>
          <w:rFonts w:ascii="Times New Roman" w:cs="Times New Roman" w:eastAsia="Times New Roman" w:hAnsi="Times New Roman"/>
          <w:sz w:val="20"/>
          <w:szCs w:val="20"/>
          <w:color w:val="auto"/>
        </w:rPr>
        <w:t xml:space="preserve">”: at any time, an amount equal to (a) the Total Revolving Commitments in effect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Dollar Equivalent of the aggregate undrawn amount of all outstanding Letters of Credit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the Dollar Equivalent of the aggregate amount of all L/C Disbursements that have not yet been reimbursed or converted into Revolving Loans or Swingline Loans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(d) the aggregate principal balance of any Revolving Loans and Swingline Loans outstanding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43" w:name="page44"/>
    <w:bookmarkEnd w:id="43"/>
    <w:p>
      <w:pPr>
        <w:jc w:val="both"/>
        <w:ind w:firstLine="648"/>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Available Revolving Increase Amount</w:t>
      </w:r>
      <w:r>
        <w:rPr>
          <w:rFonts w:ascii="Times New Roman" w:cs="Times New Roman" w:eastAsia="Times New Roman" w:hAnsi="Times New Roman"/>
          <w:sz w:val="19"/>
          <w:szCs w:val="19"/>
          <w:color w:val="auto"/>
        </w:rPr>
        <w:t xml:space="preserve">”: as of any date of determination, an amount equal to the result of (a) $25,000,000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principal amount of Increases to the Revolving Commitments previously made pursuant to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after the Closing Date.</w:t>
      </w:r>
    </w:p>
    <w:p>
      <w:pPr>
        <w:spacing w:after="0" w:line="1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Tenor</w:t>
      </w:r>
      <w:r>
        <w:rPr>
          <w:rFonts w:ascii="Times New Roman" w:cs="Times New Roman" w:eastAsia="Times New Roman" w:hAnsi="Times New Roman"/>
          <w:sz w:val="20"/>
          <w:szCs w:val="20"/>
          <w:color w:val="auto"/>
        </w:rPr>
        <w:t xml:space="preserve">”: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2.17(e)</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Average Daily Usage</w:t>
      </w:r>
      <w:r>
        <w:rPr>
          <w:rFonts w:ascii="Times New Roman" w:cs="Times New Roman" w:eastAsia="Times New Roman" w:hAnsi="Times New Roman"/>
          <w:sz w:val="20"/>
          <w:szCs w:val="20"/>
          <w:color w:val="auto"/>
        </w:rPr>
        <w:t>”: the average of the result of the sum of (a) the aggregate undrawn amount of all outstanding Letters of Credit at such time, (b) the aggregate amount of all Letter of Credit disbursements that have not yet been reimbursed or converted into Revolving Loans at such time, and (c) the aggregate principal balance of any Loans (including Swingline Loans) outstanding at such time for each day of the immediately preceding calendar quarter.</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Action</w:t>
      </w:r>
      <w:r>
        <w:rPr>
          <w:rFonts w:ascii="Times New Roman" w:cs="Times New Roman" w:eastAsia="Times New Roman" w:hAnsi="Times New Roman"/>
          <w:sz w:val="20"/>
          <w:szCs w:val="20"/>
          <w:color w:val="auto"/>
        </w:rPr>
        <w:t>”: the exercise of any Write-Down and Conversion Powers by the applicable EEA Resolution Authority in respect of any liability of an EEA Financial Institution.</w:t>
      </w:r>
    </w:p>
    <w:p>
      <w:pPr>
        <w:spacing w:after="0" w:line="16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Legislation</w:t>
      </w:r>
      <w:r>
        <w:rPr>
          <w:rFonts w:ascii="Times New Roman" w:cs="Times New Roman" w:eastAsia="Times New Roman" w:hAnsi="Times New Roman"/>
          <w:sz w:val="20"/>
          <w:szCs w:val="20"/>
          <w:color w:val="auto"/>
        </w:rPr>
        <w:t>”: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Bankruptcy Code</w:t>
      </w:r>
      <w:r>
        <w:rPr>
          <w:rFonts w:ascii="Times New Roman" w:cs="Times New Roman" w:eastAsia="Times New Roman" w:hAnsi="Times New Roman"/>
          <w:sz w:val="20"/>
          <w:szCs w:val="20"/>
          <w:color w:val="auto"/>
        </w:rPr>
        <w:t>”: Title 11 of the United States Code entitled “Bankruptcy.”</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w:t>
      </w:r>
      <w:r>
        <w:rPr>
          <w:rFonts w:ascii="Times New Roman" w:cs="Times New Roman" w:eastAsia="Times New Roman" w:hAnsi="Times New Roman"/>
          <w:sz w:val="20"/>
          <w:szCs w:val="20"/>
          <w:color w:val="auto"/>
        </w:rPr>
        <w:t xml:space="preserve">”: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2.17(b)(i)</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w:t>
      </w:r>
      <w:r>
        <w:rPr>
          <w:rFonts w:ascii="Times New Roman" w:cs="Times New Roman" w:eastAsia="Times New Roman" w:hAnsi="Times New Roman"/>
          <w:sz w:val="20"/>
          <w:szCs w:val="20"/>
          <w:color w:val="auto"/>
        </w:rPr>
        <w:t>”: with respect to any Benchmark Transition Event, the first alternative set forth in the order below that can be determined by the Administrative Agent for the applicable Benchmark Replacement Date:</w:t>
      </w:r>
    </w:p>
    <w:p>
      <w:pPr>
        <w:spacing w:after="0" w:line="156" w:lineRule="exact"/>
        <w:rPr>
          <w:sz w:val="20"/>
          <w:szCs w:val="20"/>
          <w:color w:val="auto"/>
        </w:rPr>
      </w:pPr>
    </w:p>
    <w:p>
      <w:pPr>
        <w:ind w:left="1160" w:hanging="504"/>
        <w:spacing w:after="0"/>
        <w:tabs>
          <w:tab w:leader="none" w:pos="11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Daily Simple SOFR and (ii) the SOFR Adjustment applicable to SOFR Loans with a one (1) month Interest</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 or</w:t>
      </w:r>
    </w:p>
    <w:p>
      <w:pPr>
        <w:spacing w:after="0" w:line="180" w:lineRule="exact"/>
        <w:rPr>
          <w:rFonts w:ascii="Times New Roman" w:cs="Times New Roman" w:eastAsia="Times New Roman" w:hAnsi="Times New Roman"/>
          <w:sz w:val="20"/>
          <w:szCs w:val="20"/>
          <w:color w:val="auto"/>
        </w:rPr>
      </w:pPr>
    </w:p>
    <w:p>
      <w:pPr>
        <w:jc w:val="both"/>
        <w:ind w:firstLine="656"/>
        <w:spacing w:after="0" w:line="237" w:lineRule="auto"/>
        <w:tabs>
          <w:tab w:leader="none" w:pos="113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Dollar-denominated syndicated credit facilities at such time and (ii) the related Benchmark Replacement Adjustment.</w:t>
      </w:r>
    </w:p>
    <w:p>
      <w:pPr>
        <w:spacing w:after="0" w:line="1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44" w:name="page45"/>
    <w:bookmarkEnd w:id="44"/>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 Adjustment</w:t>
      </w:r>
      <w:r>
        <w:rPr>
          <w:rFonts w:ascii="Times New Roman" w:cs="Times New Roman" w:eastAsia="Times New Roman" w:hAnsi="Times New Roman"/>
          <w:sz w:val="20"/>
          <w:szCs w:val="20"/>
          <w:color w:val="auto"/>
        </w:rPr>
        <w:t>”: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 Date</w:t>
      </w:r>
      <w:r>
        <w:rPr>
          <w:rFonts w:ascii="Times New Roman" w:cs="Times New Roman" w:eastAsia="Times New Roman" w:hAnsi="Times New Roman"/>
          <w:sz w:val="20"/>
          <w:szCs w:val="20"/>
          <w:color w:val="auto"/>
        </w:rPr>
        <w:t>”: the earliest to occur of the following events with respect to the then-current Benchmark:</w:t>
      </w:r>
    </w:p>
    <w:p>
      <w:pPr>
        <w:spacing w:after="0" w:line="206" w:lineRule="exact"/>
        <w:rPr>
          <w:sz w:val="20"/>
          <w:szCs w:val="20"/>
          <w:color w:val="auto"/>
        </w:rPr>
      </w:pPr>
    </w:p>
    <w:p>
      <w:pPr>
        <w:jc w:val="both"/>
        <w:ind w:left="660" w:hanging="4"/>
        <w:spacing w:after="0" w:line="239" w:lineRule="auto"/>
        <w:tabs>
          <w:tab w:leader="none" w:pos="93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7" w:lineRule="exact"/>
        <w:rPr>
          <w:rFonts w:ascii="Times New Roman" w:cs="Times New Roman" w:eastAsia="Times New Roman" w:hAnsi="Times New Roman"/>
          <w:sz w:val="20"/>
          <w:szCs w:val="20"/>
          <w:color w:val="auto"/>
        </w:rPr>
      </w:pPr>
    </w:p>
    <w:p>
      <w:pPr>
        <w:jc w:val="both"/>
        <w:ind w:left="660" w:hanging="4"/>
        <w:spacing w:after="0" w:line="234" w:lineRule="auto"/>
        <w:tabs>
          <w:tab w:leader="none" w:pos="96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Transition Event</w:t>
      </w:r>
      <w:r>
        <w:rPr>
          <w:rFonts w:ascii="Times New Roman" w:cs="Times New Roman" w:eastAsia="Times New Roman" w:hAnsi="Times New Roman"/>
          <w:sz w:val="20"/>
          <w:szCs w:val="20"/>
          <w:color w:val="auto"/>
        </w:rPr>
        <w:t>”: the occurrence of one or more of the following events with respect to the then-current Benchmark:</w:t>
      </w:r>
    </w:p>
    <w:p>
      <w:pPr>
        <w:spacing w:after="0" w:line="206" w:lineRule="exact"/>
        <w:rPr>
          <w:sz w:val="20"/>
          <w:szCs w:val="20"/>
          <w:color w:val="auto"/>
        </w:rPr>
      </w:pPr>
    </w:p>
    <w:p>
      <w:pPr>
        <w:jc w:val="both"/>
        <w:ind w:left="660" w:hanging="4"/>
        <w:spacing w:after="0" w:line="234" w:lineRule="auto"/>
        <w:tabs>
          <w:tab w:leader="none" w:pos="96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74" w:lineRule="exact"/>
        <w:rPr>
          <w:rFonts w:ascii="Times New Roman" w:cs="Times New Roman" w:eastAsia="Times New Roman" w:hAnsi="Times New Roman"/>
          <w:sz w:val="20"/>
          <w:szCs w:val="20"/>
          <w:color w:val="auto"/>
        </w:rPr>
      </w:pPr>
    </w:p>
    <w:p>
      <w:pPr>
        <w:jc w:val="both"/>
        <w:ind w:left="660" w:hanging="4"/>
        <w:spacing w:after="0" w:line="233" w:lineRule="auto"/>
        <w:tabs>
          <w:tab w:leader="none" w:pos="96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45" w:name="page46"/>
    <w:bookmarkEnd w:id="45"/>
    <w:p>
      <w:pPr>
        <w:ind w:left="660"/>
        <w:spacing w:after="0" w:line="255" w:lineRule="auto"/>
        <w:rPr>
          <w:sz w:val="20"/>
          <w:szCs w:val="20"/>
          <w:color w:val="auto"/>
        </w:rPr>
      </w:pPr>
      <w:r>
        <w:rPr>
          <w:rFonts w:ascii="Times New Roman" w:cs="Times New Roman" w:eastAsia="Times New Roman" w:hAnsi="Times New Roman"/>
          <w:sz w:val="20"/>
          <w:szCs w:val="20"/>
          <w:color w:val="auto"/>
        </w:rPr>
        <w:t>time of such statement or publication, there is no successor administrator that will continue to provide any Available Tenor of such Benchmark (or such component thereof); or</w:t>
      </w:r>
    </w:p>
    <w:p>
      <w:pPr>
        <w:spacing w:after="0" w:line="159" w:lineRule="exact"/>
        <w:rPr>
          <w:sz w:val="20"/>
          <w:szCs w:val="20"/>
          <w:color w:val="auto"/>
        </w:rPr>
      </w:pPr>
    </w:p>
    <w:p>
      <w:pPr>
        <w:jc w:val="both"/>
        <w:ind w:left="660" w:hanging="4"/>
        <w:spacing w:after="0" w:line="247" w:lineRule="auto"/>
        <w:tabs>
          <w:tab w:leader="none" w:pos="95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6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Unavailability Period</w:t>
      </w:r>
      <w:r>
        <w:rPr>
          <w:rFonts w:ascii="Times New Roman" w:cs="Times New Roman" w:eastAsia="Times New Roman" w:hAnsi="Times New Roman"/>
          <w:sz w:val="20"/>
          <w:szCs w:val="20"/>
          <w:color w:val="auto"/>
        </w:rPr>
        <w:t xml:space="preserve">”: the period (if any) (x) beginning at the time that a Benchmark Replacement Date has occurred if, at such time, no Benchmark Replacement has replaced the then-current Benchmark for all purposes hereunder and under any other Loan Document in accordance with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other Loan Document in accordance with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Certification</w:t>
      </w:r>
      <w:r>
        <w:rPr>
          <w:rFonts w:ascii="Times New Roman" w:cs="Times New Roman" w:eastAsia="Times New Roman" w:hAnsi="Times New Roman"/>
          <w:sz w:val="20"/>
          <w:szCs w:val="20"/>
          <w:color w:val="auto"/>
        </w:rPr>
        <w:t>”: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Regulation</w:t>
      </w:r>
      <w:r>
        <w:rPr>
          <w:rFonts w:ascii="Times New Roman" w:cs="Times New Roman" w:eastAsia="Times New Roman" w:hAnsi="Times New Roman"/>
          <w:sz w:val="20"/>
          <w:szCs w:val="20"/>
          <w:color w:val="auto"/>
        </w:rPr>
        <w:t>”: United States 31 C.F.R. § 1010.230.</w:t>
      </w:r>
    </w:p>
    <w:p>
      <w:pPr>
        <w:spacing w:after="0" w:line="202"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 Plan</w:t>
      </w:r>
      <w:r>
        <w:rPr>
          <w:rFonts w:ascii="Times New Roman" w:cs="Times New Roman" w:eastAsia="Times New Roman" w:hAnsi="Times New Roman"/>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Assets Regulations or otherwise for purposes of Title I of ERISA or Section 4975 of the Code) the assets of any such “employee benefit plan” or “plan”.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Blocked Person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7.23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the Board of Governors of the Federal Reserve System of the United States (or any successor).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as defined in the preamble hereto.</w:t>
      </w:r>
    </w:p>
    <w:p>
      <w:pPr>
        <w:spacing w:after="0" w:line="20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w:t>
      </w:r>
      <w:r>
        <w:rPr>
          <w:rFonts w:ascii="Times New Roman" w:cs="Times New Roman" w:eastAsia="Times New Roman" w:hAnsi="Times New Roman"/>
          <w:sz w:val="20"/>
          <w:szCs w:val="20"/>
          <w:color w:val="auto"/>
        </w:rPr>
        <w:t>”: a borrowing consisting of simultaneous Loans of the same Type and, in the case of a SOFR Borrowing, having the same Interest Period made by the Lenders.</w:t>
      </w:r>
    </w:p>
    <w:p>
      <w:pPr>
        <w:spacing w:after="0" w:line="1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 Date</w:t>
      </w:r>
      <w:r>
        <w:rPr>
          <w:rFonts w:ascii="Times New Roman" w:cs="Times New Roman" w:eastAsia="Times New Roman" w:hAnsi="Times New Roman"/>
          <w:sz w:val="20"/>
          <w:szCs w:val="20"/>
          <w:color w:val="auto"/>
        </w:rPr>
        <w:t>”: any Business Day specified by the Borrower in a Notice of Borrowing as a date on which the Borrower requests the relevant Lenders to make Loans hereunder.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4.17(b)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a day other than a Saturday, Sunday or other day on which commercial banks in the State of New York or the State of California are authorized or required by law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46" w:name="page47"/>
    <w:bookmarkEnd w:id="46"/>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Lease Obligations</w:t>
      </w:r>
      <w:r>
        <w:rPr>
          <w:rFonts w:ascii="Times New Roman" w:cs="Times New Roman" w:eastAsia="Times New Roman" w:hAnsi="Times New Roman"/>
          <w:sz w:val="20"/>
          <w:szCs w:val="20"/>
          <w:color w:val="auto"/>
        </w:rPr>
        <w:t xml:space="preserve">”: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for all purposes hereunder, any obligations of such Person in respect of leases of real property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7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xml:space="preserve">”: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any Indebtedness convertible into equity interests that are not Disqualified Stock shall not constitute Capital Stock.</w:t>
      </w:r>
    </w:p>
    <w:p>
      <w:pPr>
        <w:spacing w:after="0" w:line="17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Collateralize</w:t>
      </w:r>
      <w:r>
        <w:rPr>
          <w:rFonts w:ascii="Times New Roman" w:cs="Times New Roman" w:eastAsia="Times New Roman" w:hAnsi="Times New Roman"/>
          <w:sz w:val="20"/>
          <w:szCs w:val="20"/>
          <w:color w:val="auto"/>
        </w:rPr>
        <w:t>”: to pledge and deposit with or deliver to (a)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credit support, in each case pursuant to documentation in form and substance satisfactory to the Administrative Agent and such Issuing Lender; (b)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or, if the Administrative Agent and the applicable Cash Management Bank shall agree in their sole discretion, other credit support, in each case pursuant to documentation in form and substance satisfactory to the Administrative Agent and such Cash Management Bank; or (c) with respect to Obligations in respect of any Specified Swap Agreements, the applicable Qualified Counterparty, as Collateral for such Obligations, cash or deposit account balances or, if such Qualified Counterparty shall agree in its sole discretion, other credit support, in each case pursuant to documentation in form and substance satisfactory to such Qualified Counterparty. “</w:t>
      </w:r>
      <w:r>
        <w:rPr>
          <w:rFonts w:ascii="Times New Roman" w:cs="Times New Roman" w:eastAsia="Times New Roman" w:hAnsi="Times New Roman"/>
          <w:sz w:val="20"/>
          <w:szCs w:val="20"/>
          <w:b w:val="1"/>
          <w:bCs w:val="1"/>
          <w:i w:val="1"/>
          <w:iCs w:val="1"/>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7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Equivalents</w:t>
      </w:r>
      <w:r>
        <w:rPr>
          <w:rFonts w:ascii="Times New Roman" w:cs="Times New Roman" w:eastAsia="Times New Roman" w:hAnsi="Times New Roman"/>
          <w:sz w:val="20"/>
          <w:szCs w:val="20"/>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12 months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12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47" w:name="page48"/>
    <w:bookmarkEnd w:id="47"/>
    <w:p>
      <w:pPr>
        <w:jc w:val="both"/>
        <w:spacing w:after="0" w:line="230" w:lineRule="auto"/>
        <w:rPr>
          <w:sz w:val="20"/>
          <w:szCs w:val="20"/>
          <w:color w:val="auto"/>
        </w:rPr>
      </w:pPr>
      <w:r>
        <w:rPr>
          <w:rFonts w:ascii="Times New Roman" w:cs="Times New Roman" w:eastAsia="Times New Roman" w:hAnsi="Times New Roman"/>
          <w:sz w:val="20"/>
          <w:szCs w:val="20"/>
          <w:color w:val="auto"/>
        </w:rPr>
        <w:t>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12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(h) money market funds that (i) comply with the criteria set forth in SEC Rule 2a-7 under the Investment Company Act of 1940, as amended, (ii) are rated AAA by S&amp;P and Aaa by Moody’s and (iii) have portfolio assets of at least $5,000,000,000; (i)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clauses (b) through (i) above; or (j) investments permitted by the Borrower’s board-approved investment policy as approved from time to time by the Administrative Agent (such approval not to be unreasonably withheld, delayed or conditioned).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 as defined in the definition of “Cash Management Services.”</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Bank</w:t>
      </w:r>
      <w:r>
        <w:rPr>
          <w:rFonts w:ascii="Times New Roman" w:cs="Times New Roman" w:eastAsia="Times New Roman" w:hAnsi="Times New Roman"/>
          <w:sz w:val="20"/>
          <w:szCs w:val="20"/>
          <w:color w:val="auto"/>
        </w:rPr>
        <w:t>”: any Person that, at the time it enters into a Cash Management Agreement, is a Lender or an Affiliate of a Lender, in its capacity as a party to such Cash Management Agreement.</w:t>
      </w:r>
    </w:p>
    <w:p>
      <w:pPr>
        <w:spacing w:after="0" w:line="15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Services</w:t>
      </w:r>
      <w:r>
        <w:rPr>
          <w:rFonts w:ascii="Times New Roman" w:cs="Times New Roman" w:eastAsia="Times New Roman" w:hAnsi="Times New Roman"/>
          <w:sz w:val="20"/>
          <w:szCs w:val="20"/>
          <w:color w:val="auto"/>
        </w:rPr>
        <w:t>”: cash management and other services provided to one or more of the Group Members by a Cash Management Bank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and check cashing services identified in such Cash Management Bank’s various cash management services or other similar agreements (each, a “</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Casualty Event</w:t>
      </w:r>
      <w:r>
        <w:rPr>
          <w:rFonts w:ascii="Times New Roman" w:cs="Times New Roman" w:eastAsia="Times New Roman" w:hAnsi="Times New Roman"/>
          <w:sz w:val="20"/>
          <w:szCs w:val="20"/>
          <w:color w:val="auto"/>
        </w:rPr>
        <w:t>”: any damage to or any destruction of, or any condemnation or other taking by any Governmental Authority of any property of the Loan Parties.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Certificated Securities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4.19(a)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xml:space="preserve">”: (a) at any time, any “person” or “group” (as such terms are used in Sections 13(d) and 14(d) of the Exchange Act) other than Tim Chen, Institutional Venture Partners, RRE Ventures and iGlobe International or their respective Control Investment Affiliates shall become, or obtain rights (whether by means of warrants, options or otherwise) to become, the “beneficial owner” (as defined in Rules 13(d)-3 and 13(d)-5 under the Exchange Act), directly or indirectly, of 49% or more of the ordinary voting power for the election of directors of NerdWallet (determined on a fully diluted basis); (b) at any time, NerdWallet shall cease to own and control, of record and beneficially, directly or indirectly, 100% of each class of outstanding Capital Stock of each other Loan Party free and clear of all Liens other than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(other than director’s qualifying shares as required by law); or (c) a “change of control” or any comparable term under and as defined in any agreement governing any other Indebtedness of the Group Members in an aggregate principal amount in excess of $2,500,000.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48" w:name="page49"/>
    <w:bookmarkEnd w:id="48"/>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xml:space="preserve">”: the date on which all of the conditions precedent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are satisfied or waived by the Administrative Agent and, as applicable, the Lenders or the Required Lenders.</w:t>
      </w:r>
    </w:p>
    <w:p>
      <w:pPr>
        <w:spacing w:after="0" w:line="15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 Projections</w:t>
      </w:r>
      <w:r>
        <w:rPr>
          <w:rFonts w:ascii="Times New Roman" w:cs="Times New Roman" w:eastAsia="Times New Roman" w:hAnsi="Times New Roman"/>
          <w:sz w:val="20"/>
          <w:szCs w:val="20"/>
          <w:color w:val="auto"/>
        </w:rPr>
        <w:t xml:space="preserve">”: the lender model delivered to the Administrative Agent on or around January 15, 2021 presenting projected balance sheets and income statements prepared by the Group Members and demonstrating projected compliance with the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the Internal Revenue Code of 1986, as amended from time to time.</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w:t>
      </w:r>
      <w:r>
        <w:rPr>
          <w:rFonts w:ascii="Times New Roman" w:cs="Times New Roman" w:eastAsia="Times New Roman" w:hAnsi="Times New Roman"/>
          <w:sz w:val="20"/>
          <w:szCs w:val="20"/>
          <w:color w:val="auto"/>
        </w:rPr>
        <w:t>”: all property of the Loan Parties, now owned or hereafter acquired, upon which a Lien is purported to be created by any Security Document. For the avoidance of doubt, no Excluded Asset shall constitute “Collateral.”</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 Information Certificate</w:t>
      </w:r>
      <w:r>
        <w:rPr>
          <w:rFonts w:ascii="Times New Roman" w:cs="Times New Roman" w:eastAsia="Times New Roman" w:hAnsi="Times New Roman"/>
          <w:sz w:val="20"/>
          <w:szCs w:val="20"/>
          <w:color w:val="auto"/>
        </w:rPr>
        <w:t xml:space="preserve">”: the Collateral Information Certificate to be executed and delivered by the Borrower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Collateral-Related Expenses</w:t>
      </w:r>
      <w:r>
        <w:rPr>
          <w:rFonts w:ascii="Times New Roman" w:cs="Times New Roman" w:eastAsia="Times New Roman" w:hAnsi="Times New Roman"/>
          <w:sz w:val="20"/>
          <w:szCs w:val="20"/>
          <w:color w:val="auto"/>
        </w:rPr>
        <w:t>”: all reasonable costs and expenses of the Administrative Agent paid or incurred in connection with any sale, collection or other realization on the Collateral, including reasonable compensation to the Administrative Agent and its agents and counsel, and reimbursement for all other reasonable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under the Security Documents for the account of any Loan Party.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as to any Lender, its Revolving Commitment.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 Fee Rate</w:t>
      </w:r>
      <w:r>
        <w:rPr>
          <w:rFonts w:ascii="Times New Roman" w:cs="Times New Roman" w:eastAsia="Times New Roman" w:hAnsi="Times New Roman"/>
          <w:sz w:val="20"/>
          <w:szCs w:val="20"/>
          <w:color w:val="auto"/>
        </w:rPr>
        <w:t>”: 0.30% per annum.</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Commodity Exchange Act</w:t>
      </w:r>
      <w:r>
        <w:rPr>
          <w:rFonts w:ascii="Times New Roman" w:cs="Times New Roman" w:eastAsia="Times New Roman" w:hAnsi="Times New Roman"/>
          <w:sz w:val="20"/>
          <w:szCs w:val="20"/>
          <w:color w:val="auto"/>
        </w:rPr>
        <w:t xml:space="preserve">”: the Commodity Exchange Act (7 U.S.C. Section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Communications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10.2(d)(ii)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Certificate</w:t>
      </w:r>
      <w:r>
        <w:rPr>
          <w:rFonts w:ascii="Times New Roman" w:cs="Times New Roman" w:eastAsia="Times New Roman" w:hAnsi="Times New Roman"/>
          <w:sz w:val="20"/>
          <w:szCs w:val="20"/>
          <w:color w:val="auto"/>
        </w:rPr>
        <w:t xml:space="preserve">”: a certificate duly executed by a Responsible Officer of the Borrower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Conforming Changes</w:t>
      </w:r>
      <w:r>
        <w:rPr>
          <w:rFonts w:ascii="Times New Roman" w:cs="Times New Roman" w:eastAsia="Times New Roman" w:hAnsi="Times New Roman"/>
          <w:sz w:val="20"/>
          <w:szCs w:val="20"/>
          <w:color w:val="auto"/>
        </w:rPr>
        <w:t xml:space="preserve">”: with respect to either the use or administration of any Benchmark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in consultation with the Borrower, decides that adoption of any portion of such market practice is not administratively feasible or if the Administrative Agent, in consultation with the Borrower, determines that no market practice for the administration of any such rate exists, in such other manner of administration as the Administrative Agent, in consultation with the Borrower,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49" w:name="page50"/>
    <w:bookmarkEnd w:id="49"/>
    <w:p>
      <w:pPr>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Connection Income Taxes</w:t>
      </w:r>
      <w:r>
        <w:rPr>
          <w:rFonts w:ascii="Times New Roman" w:cs="Times New Roman" w:eastAsia="Times New Roman" w:hAnsi="Times New Roman"/>
          <w:sz w:val="20"/>
          <w:szCs w:val="20"/>
          <w:color w:val="auto"/>
        </w:rPr>
        <w:t>”: Other Connection Taxes that are imposed on or measured by net income (however denominated) or that are franchise Taxes or branch profits Taxes.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Adjusted EBITDA</w:t>
      </w:r>
      <w:r>
        <w:rPr>
          <w:rFonts w:ascii="Times New Roman" w:cs="Times New Roman" w:eastAsia="Times New Roman" w:hAnsi="Times New Roman"/>
          <w:sz w:val="20"/>
          <w:szCs w:val="20"/>
          <w:color w:val="auto"/>
        </w:rPr>
        <w:t>”: with respect to the Group Members for any period,</w:t>
      </w:r>
    </w:p>
    <w:p>
      <w:pPr>
        <w:spacing w:after="0" w:line="206" w:lineRule="exact"/>
        <w:rPr>
          <w:sz w:val="20"/>
          <w:szCs w:val="20"/>
          <w:color w:val="auto"/>
        </w:rPr>
      </w:pPr>
    </w:p>
    <w:p>
      <w:pPr>
        <w:ind w:left="920" w:hanging="264"/>
        <w:spacing w:after="0"/>
        <w:tabs>
          <w:tab w:leader="none" w:pos="9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firstLine="656"/>
        <w:spacing w:after="0" w:line="255" w:lineRule="auto"/>
        <w:tabs>
          <w:tab w:leader="none" w:pos="97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 the following amounts for such period but solely to the extent deducted in calculating Consolidated Net Income (other than in the case of clause (xviii)) for such period of:</w:t>
      </w:r>
    </w:p>
    <w:p>
      <w:pPr>
        <w:spacing w:after="0" w:line="159" w:lineRule="exact"/>
        <w:rPr>
          <w:rFonts w:ascii="Times New Roman" w:cs="Times New Roman" w:eastAsia="Times New Roman" w:hAnsi="Times New Roman"/>
          <w:sz w:val="20"/>
          <w:szCs w:val="20"/>
          <w:color w:val="auto"/>
        </w:rPr>
      </w:pPr>
    </w:p>
    <w:p>
      <w:pPr>
        <w:ind w:left="1540" w:hanging="236"/>
        <w:spacing w:after="0"/>
        <w:tabs>
          <w:tab w:leader="none" w:pos="15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w:t>
      </w:r>
      <w:r>
        <w:rPr>
          <w:rFonts w:ascii="Times New Roman" w:cs="Times New Roman" w:eastAsia="Times New Roman" w:hAnsi="Times New Roman"/>
          <w:sz w:val="20"/>
          <w:szCs w:val="20"/>
          <w:u w:val="single" w:color="auto"/>
          <w:color w:val="auto"/>
        </w:rPr>
        <w:t>plus</w:t>
      </w:r>
    </w:p>
    <w:p>
      <w:pPr>
        <w:spacing w:after="0" w:line="202"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provisions for Taxes based on income; </w:t>
      </w:r>
      <w:r>
        <w:rPr>
          <w:rFonts w:ascii="Times New Roman" w:cs="Times New Roman" w:eastAsia="Times New Roman" w:hAnsi="Times New Roman"/>
          <w:sz w:val="20"/>
          <w:szCs w:val="20"/>
          <w:u w:val="single" w:color="auto"/>
          <w:color w:val="auto"/>
        </w:rPr>
        <w:t>plus</w:t>
      </w:r>
    </w:p>
    <w:p>
      <w:pPr>
        <w:spacing w:after="0" w:line="202"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depreciation expense; </w:t>
      </w:r>
      <w:r>
        <w:rPr>
          <w:rFonts w:ascii="Times New Roman" w:cs="Times New Roman" w:eastAsia="Times New Roman" w:hAnsi="Times New Roman"/>
          <w:sz w:val="20"/>
          <w:szCs w:val="20"/>
          <w:u w:val="single" w:color="auto"/>
          <w:color w:val="auto"/>
        </w:rPr>
        <w:t>plus</w:t>
      </w:r>
    </w:p>
    <w:p>
      <w:pPr>
        <w:spacing w:after="0" w:line="202"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amortization expense (including, without limitation, amortization of intangibles from purchase price accounting);</w:t>
      </w:r>
    </w:p>
    <w:p>
      <w:pPr>
        <w:spacing w:after="0" w:line="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plus</w:t>
      </w:r>
    </w:p>
    <w:p>
      <w:pPr>
        <w:spacing w:after="0" w:line="180"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stock based compensation expense;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660" w:firstLine="644"/>
        <w:spacing w:after="0" w:line="255" w:lineRule="auto"/>
        <w:tabs>
          <w:tab w:leader="none" w:pos="1657"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exchange, transaction or performance losses relating to any foreign currency hedging transactions or currency fluctuations;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751"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fees and expenses in connection with the execution and delivery of this Agreement, the Existing Credit Agreement and the other Loan Documents and any amendments or other modifications thereto, in each case to the extent incurred within 6 months after the Original Closing Date, the Closing Date or the effectiveness of such amendment or other modification (or such later time period as approved in writing by the Administrative Agent in its sole discretion);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9" w:lineRule="auto"/>
        <w:tabs>
          <w:tab w:leader="none" w:pos="176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one-time costs, fees, and expenses in connection with Permitted Acquisitions, Investments, dispositions, issuances or repurchases of Capital Stock, or the incurrence, amendment or waiver of Indebtedness (in each case permitted hereunder), in each case, whether or not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amounts described in this clause (b)(viii) with respect to transactions that are not consummated shall not exceed $5,000,000 in the aggregate for any period; </w:t>
      </w:r>
      <w:r>
        <w:rPr>
          <w:rFonts w:ascii="Times New Roman" w:cs="Times New Roman" w:eastAsia="Times New Roman" w:hAnsi="Times New Roman"/>
          <w:sz w:val="20"/>
          <w:szCs w:val="20"/>
          <w:u w:val="single" w:color="auto"/>
          <w:color w:val="auto"/>
        </w:rPr>
        <w:t>plus</w:t>
      </w:r>
    </w:p>
    <w:p>
      <w:pPr>
        <w:spacing w:after="0" w:line="177" w:lineRule="exact"/>
        <w:rPr>
          <w:rFonts w:ascii="Times New Roman" w:cs="Times New Roman" w:eastAsia="Times New Roman" w:hAnsi="Times New Roman"/>
          <w:sz w:val="20"/>
          <w:szCs w:val="20"/>
          <w:color w:val="auto"/>
        </w:rPr>
      </w:pPr>
    </w:p>
    <w:p>
      <w:pPr>
        <w:jc w:val="both"/>
        <w:ind w:left="660" w:firstLine="644"/>
        <w:spacing w:after="0" w:line="234" w:lineRule="auto"/>
        <w:tabs>
          <w:tab w:leader="none" w:pos="1703"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purchase accounting adjustments (including, but not limited to deferred revenue write down) and any adjustments as required or permitted by the application of FASB 141 (requiring the use of purchase method of accounting for acquisitions and consolidations), FASB 142 (relating to changes in accounting for the amortization of goodwill and certain other intangibles) and FASB 144 (relating to the write downs of long-lived assets), in each case, in connection with Permitted Acquisitions;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660" w:firstLine="644"/>
        <w:spacing w:after="0" w:line="269" w:lineRule="auto"/>
        <w:tabs>
          <w:tab w:leader="none" w:pos="159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charges for goodwill and other intangible write-offs and write-downs in connection with Permitted Acquisitions or otherwise;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9" w:right="339" w:bottom="1440" w:gutter="0" w:footer="0" w:header="0"/>
        </w:sectPr>
      </w:pPr>
    </w:p>
    <w:bookmarkStart w:id="50" w:name="page51"/>
    <w:bookmarkEnd w:id="50"/>
    <w:p>
      <w:pPr>
        <w:jc w:val="both"/>
        <w:ind w:left="4" w:firstLine="644"/>
        <w:spacing w:after="0" w:line="245" w:lineRule="auto"/>
        <w:tabs>
          <w:tab w:leader="none" w:pos="102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any restructuring charge, accrual or reserve, integration cost or other business optimization expense, including any restructuring costs incurred in connection with acquisitions, mergers or consolidations after the Original Closing Date and any other restructuring expenses, severance expenses, one-time compensation charges, post-retirement employee benefits plans, any expenses relating to reconstruction, decommissioning or recommissioning fixed assets for alternate use, expenses or charges relating to facility closing costs, acquisition integration costs and signing, retention or completion bonuses or expenses, in an amount,</w:t>
      </w:r>
    </w:p>
    <w:p>
      <w:pPr>
        <w:ind w:left="4" w:hanging="4"/>
        <w:spacing w:after="0" w:line="236"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 taken together with any amounts under clause (xviii) below, not to exceed $4,000,000 in any period; and (B) when taken together with any amounts in clauses (xii) and (xviii) below, not to exceed $5,000,000 in any period; </w:t>
      </w:r>
      <w:r>
        <w:rPr>
          <w:rFonts w:ascii="Times New Roman" w:cs="Times New Roman" w:eastAsia="Times New Roman" w:hAnsi="Times New Roman"/>
          <w:sz w:val="20"/>
          <w:szCs w:val="20"/>
          <w:u w:val="single" w:color="auto"/>
          <w:color w:val="auto"/>
        </w:rPr>
        <w:t>plus</w:t>
      </w:r>
    </w:p>
    <w:p>
      <w:pPr>
        <w:spacing w:after="0" w:line="173" w:lineRule="exact"/>
        <w:rPr>
          <w:rFonts w:ascii="Times New Roman" w:cs="Times New Roman" w:eastAsia="Times New Roman" w:hAnsi="Times New Roman"/>
          <w:sz w:val="20"/>
          <w:szCs w:val="20"/>
          <w:color w:val="auto"/>
        </w:rPr>
      </w:pPr>
    </w:p>
    <w:p>
      <w:pPr>
        <w:jc w:val="both"/>
        <w:ind w:left="4" w:firstLine="644"/>
        <w:spacing w:after="0"/>
        <w:tabs>
          <w:tab w:leader="none" w:pos="107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extraordinary, unusual or non-recurring non-cash expenses or non-cash charges and (B) any non-recurring expenses or charges in an amount not to exceed in any period (I) $2,000,000; and (II) when taken together with any amounts in clauses (xi) and (xviii), $5,000,000;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4" w:firstLine="644"/>
        <w:spacing w:after="0" w:line="247" w:lineRule="auto"/>
        <w:tabs>
          <w:tab w:leader="none" w:pos="114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noncash items reducing Consolidated Net Income (excluding any such non cash item to the extent that it represents an accrual or reserve for potential cash items in any future period or amortization of a prepaid cash item that was paid in a prior period) approved by the Administrative Agent in writing as an ‘add-back’ to Consolidated Adjusted EBITDA; </w:t>
      </w:r>
      <w:r>
        <w:rPr>
          <w:rFonts w:ascii="Times New Roman" w:cs="Times New Roman" w:eastAsia="Times New Roman" w:hAnsi="Times New Roman"/>
          <w:sz w:val="20"/>
          <w:szCs w:val="20"/>
          <w:u w:val="single" w:color="auto"/>
          <w:color w:val="auto"/>
        </w:rPr>
        <w:t>plus</w:t>
      </w:r>
    </w:p>
    <w:p>
      <w:pPr>
        <w:spacing w:after="0" w:line="167"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Insurance Loss Addback; </w:t>
      </w:r>
      <w:r>
        <w:rPr>
          <w:rFonts w:ascii="Times New Roman" w:cs="Times New Roman" w:eastAsia="Times New Roman" w:hAnsi="Times New Roman"/>
          <w:sz w:val="20"/>
          <w:szCs w:val="20"/>
          <w:u w:val="single" w:color="auto"/>
          <w:color w:val="auto"/>
        </w:rPr>
        <w:t>plus</w:t>
      </w:r>
    </w:p>
    <w:p>
      <w:pPr>
        <w:spacing w:after="0" w:line="202" w:lineRule="exact"/>
        <w:rPr>
          <w:rFonts w:ascii="Times New Roman" w:cs="Times New Roman" w:eastAsia="Times New Roman" w:hAnsi="Times New Roman"/>
          <w:sz w:val="20"/>
          <w:szCs w:val="20"/>
          <w:color w:val="auto"/>
        </w:rPr>
      </w:pPr>
    </w:p>
    <w:p>
      <w:pPr>
        <w:jc w:val="both"/>
        <w:ind w:left="4" w:firstLine="644"/>
        <w:spacing w:after="0" w:line="236" w:lineRule="auto"/>
        <w:tabs>
          <w:tab w:leader="none" w:pos="104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and payments that are covered by indemnification or purchase price adjustment provisions in any agreement entered into by a Group Member in connection with any proposed or actual Permitted Acquisition and for which (A) the indemnitor or counterparty has assumed coverage and (B) the Borrower reasonably expects to receive such expenses and payments within one year from the date of calculation;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left="4" w:firstLine="644"/>
        <w:spacing w:after="0" w:line="255" w:lineRule="auto"/>
        <w:tabs>
          <w:tab w:leader="none" w:pos="111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expense deducted in calculating Consolidated Net Income and reimbursed by third parties (other than a Group Member); </w:t>
      </w:r>
      <w:r>
        <w:rPr>
          <w:rFonts w:ascii="Times New Roman" w:cs="Times New Roman" w:eastAsia="Times New Roman" w:hAnsi="Times New Roman"/>
          <w:sz w:val="20"/>
          <w:szCs w:val="20"/>
          <w:u w:val="single" w:color="auto"/>
          <w:color w:val="auto"/>
        </w:rPr>
        <w:t>plus</w:t>
      </w:r>
    </w:p>
    <w:p>
      <w:pPr>
        <w:spacing w:after="0" w:line="172" w:lineRule="exact"/>
        <w:rPr>
          <w:rFonts w:ascii="Times New Roman" w:cs="Times New Roman" w:eastAsia="Times New Roman" w:hAnsi="Times New Roman"/>
          <w:sz w:val="20"/>
          <w:szCs w:val="20"/>
          <w:color w:val="auto"/>
        </w:rPr>
      </w:pPr>
    </w:p>
    <w:p>
      <w:pPr>
        <w:ind w:left="4" w:right="20" w:firstLine="644"/>
        <w:spacing w:after="0" w:line="255" w:lineRule="auto"/>
        <w:tabs>
          <w:tab w:leader="none" w:pos="114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earn-out obligations incurred in connection with any Permitted Acquisition, to the extent such earn-outs are permitted under this Agreement and expensed under GAAP standards;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4" w:firstLine="644"/>
        <w:spacing w:after="0" w:line="230" w:lineRule="auto"/>
        <w:tabs>
          <w:tab w:leader="none" w:pos="120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cost savings, operating expense reductions, other operating improvements and initiatives and synergies projected by the Borrower in good faith to result from actions actually taken in connection with any Investment, Disposition, merger, amalgamation, consolidation, discontinued operations, or operational changes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during such period from such actions in an amount (A) when taken together with any amounts under clause (xi) above, not to exceed $4,000,000 in any period; and (B) when taken together with any amounts under clauses (xi) and (xii) above, not to exceed $5,000,000 in any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such actions have actually been taken within 6 months after the consummation of the Investment, acquisition, Disposition, merger, amalgamation, consolidation, discontinued operations, or operational change expected to result in such cost savings or other benefits, and (y) such cost savings are reasonably identifiable and factually supportable (in the good faith determination of the Borrower); </w:t>
      </w:r>
      <w:r>
        <w:rPr>
          <w:rFonts w:ascii="Times New Roman" w:cs="Times New Roman" w:eastAsia="Times New Roman" w:hAnsi="Times New Roman"/>
          <w:sz w:val="20"/>
          <w:szCs w:val="20"/>
          <w:u w:val="single" w:color="auto"/>
          <w:color w:val="auto"/>
        </w:rPr>
        <w:t>plus</w:t>
      </w:r>
    </w:p>
    <w:p>
      <w:pPr>
        <w:spacing w:after="0" w:line="181" w:lineRule="exact"/>
        <w:rPr>
          <w:rFonts w:ascii="Times New Roman" w:cs="Times New Roman" w:eastAsia="Times New Roman" w:hAnsi="Times New Roman"/>
          <w:sz w:val="20"/>
          <w:szCs w:val="20"/>
          <w:color w:val="auto"/>
        </w:rPr>
      </w:pPr>
    </w:p>
    <w:p>
      <w:pPr>
        <w:ind w:left="1224" w:hanging="576"/>
        <w:spacing w:after="0"/>
        <w:tabs>
          <w:tab w:leader="none" w:pos="122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write-downs of capitalized software development costs; </w:t>
      </w:r>
      <w:r>
        <w:rPr>
          <w:rFonts w:ascii="Times New Roman" w:cs="Times New Roman" w:eastAsia="Times New Roman" w:hAnsi="Times New Roman"/>
          <w:sz w:val="20"/>
          <w:szCs w:val="20"/>
          <w:u w:val="single" w:color="auto"/>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584"/>
          </w:cols>
          <w:pgMar w:left="976" w:top="1413" w:right="339" w:bottom="1440" w:gutter="0" w:footer="0" w:header="0"/>
        </w:sectPr>
      </w:pPr>
    </w:p>
    <w:bookmarkStart w:id="51" w:name="page52"/>
    <w:bookmarkEnd w:id="51"/>
    <w:p>
      <w:pPr>
        <w:ind w:left="920" w:hanging="264"/>
        <w:spacing w:after="0"/>
        <w:tabs>
          <w:tab w:leader="none" w:pos="9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 the amounts for such period of</w:t>
      </w:r>
    </w:p>
    <w:p>
      <w:pPr>
        <w:spacing w:after="0" w:line="202" w:lineRule="exact"/>
        <w:rPr>
          <w:rFonts w:ascii="Times New Roman" w:cs="Times New Roman" w:eastAsia="Times New Roman" w:hAnsi="Times New Roman"/>
          <w:sz w:val="20"/>
          <w:szCs w:val="20"/>
          <w:color w:val="auto"/>
        </w:rPr>
      </w:pPr>
    </w:p>
    <w:p>
      <w:pPr>
        <w:ind w:left="1540" w:hanging="236"/>
        <w:spacing w:after="0"/>
        <w:tabs>
          <w:tab w:leader="none" w:pos="154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income; </w:t>
      </w:r>
      <w:r>
        <w:rPr>
          <w:rFonts w:ascii="Times New Roman" w:cs="Times New Roman" w:eastAsia="Times New Roman" w:hAnsi="Times New Roman"/>
          <w:sz w:val="20"/>
          <w:szCs w:val="20"/>
          <w:u w:val="single" w:color="auto"/>
          <w:color w:val="auto"/>
        </w:rPr>
        <w:t>plus</w:t>
      </w:r>
    </w:p>
    <w:p>
      <w:pPr>
        <w:spacing w:after="0" w:line="202"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software development costs; </w:t>
      </w:r>
      <w:r>
        <w:rPr>
          <w:rFonts w:ascii="Times New Roman" w:cs="Times New Roman" w:eastAsia="Times New Roman" w:hAnsi="Times New Roman"/>
          <w:sz w:val="20"/>
          <w:szCs w:val="20"/>
          <w:u w:val="single" w:color="auto"/>
          <w:color w:val="auto"/>
        </w:rPr>
        <w:t>plus</w:t>
      </w:r>
    </w:p>
    <w:p>
      <w:pPr>
        <w:spacing w:after="0" w:line="202" w:lineRule="exact"/>
        <w:rPr>
          <w:rFonts w:ascii="Times New Roman" w:cs="Times New Roman" w:eastAsia="Times New Roman" w:hAnsi="Times New Roman"/>
          <w:sz w:val="20"/>
          <w:szCs w:val="20"/>
          <w:color w:val="auto"/>
        </w:rPr>
      </w:pPr>
    </w:p>
    <w:p>
      <w:pPr>
        <w:ind w:left="660" w:firstLine="644"/>
        <w:spacing w:after="0" w:line="269" w:lineRule="auto"/>
        <w:tabs>
          <w:tab w:leader="none" w:pos="167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items increasing Consolidated Net Income for such period (excluding any such noncash item to the extent it represents the reversal of an accrual or reserve for potential cash item in any prior period); </w:t>
      </w:r>
      <w:r>
        <w:rPr>
          <w:rFonts w:ascii="Times New Roman" w:cs="Times New Roman" w:eastAsia="Times New Roman" w:hAnsi="Times New Roman"/>
          <w:sz w:val="20"/>
          <w:szCs w:val="20"/>
          <w:u w:val="single" w:color="auto"/>
          <w:color w:val="auto"/>
        </w:rPr>
        <w:t>plus</w:t>
      </w:r>
    </w:p>
    <w:p>
      <w:pPr>
        <w:spacing w:after="0" w:line="145"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unusual or non-recurring gains.</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Consolidated Adjusted EBITDA for any period shall be determined on a Pro Forma Basis to give effect to any Permitted Acquisitions or any Disposition of any business or assets consummated during such period, in each case as if such transaction occurred on the first day of such period and in accordance with Regulation S-X promulgated by the SEC.</w:t>
      </w:r>
    </w:p>
    <w:p>
      <w:pPr>
        <w:spacing w:after="0" w:line="17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Interest Expense</w:t>
      </w:r>
      <w:r>
        <w:rPr>
          <w:rFonts w:ascii="Times New Roman" w:cs="Times New Roman" w:eastAsia="Times New Roman" w:hAnsi="Times New Roman"/>
          <w:sz w:val="20"/>
          <w:szCs w:val="20"/>
          <w:color w:val="auto"/>
        </w:rPr>
        <w:t>”: for any period, total cash interest expense (including that attributable to Capital Lease Obligations) of the Group Members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7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Net Income</w:t>
      </w:r>
      <w:r>
        <w:rPr>
          <w:rFonts w:ascii="Times New Roman" w:cs="Times New Roman" w:eastAsia="Times New Roman" w:hAnsi="Times New Roman"/>
          <w:sz w:val="20"/>
          <w:szCs w:val="20"/>
          <w:color w:val="auto"/>
        </w:rPr>
        <w:t xml:space="preserve">”: for any period, the consolidated net income (or loss) of the Group Members, determined on a consolidated basis in accordance with GAAP;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there shall be excluded from the calculation of “Consolidated Net Income” (a) the income (or deficit) of any such Person accrued prior to the date it becomes a Subsidiary of the Borrower or is merged into or consolidated with a Group Member, (b) the income (or deficit) of any such Person (other than a Subsidiary of the Borrower) in which a Group Member has an ownership interest, except to the extent that any such income is actually received by a Group Member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Contractual Obligation</w:t>
      </w:r>
      <w:r>
        <w:rPr>
          <w:rFonts w:ascii="Times New Roman" w:cs="Times New Roman" w:eastAsia="Times New Roman" w:hAnsi="Times New Roman"/>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5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b w:val="1"/>
          <w:bCs w:val="1"/>
          <w:i w:val="1"/>
          <w:i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Controlled</w:t>
      </w:r>
      <w:r>
        <w:rPr>
          <w:rFonts w:ascii="Times New Roman" w:cs="Times New Roman" w:eastAsia="Times New Roman" w:hAnsi="Times New Roman"/>
          <w:sz w:val="20"/>
          <w:szCs w:val="20"/>
          <w:color w:val="auto"/>
        </w:rPr>
        <w:t>” have meanings correlative thereto.</w:t>
      </w:r>
    </w:p>
    <w:p>
      <w:pPr>
        <w:spacing w:after="0" w:line="16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 Agreement</w:t>
      </w:r>
      <w:r>
        <w:rPr>
          <w:rFonts w:ascii="Times New Roman" w:cs="Times New Roman" w:eastAsia="Times New Roman" w:hAnsi="Times New Roman"/>
          <w:sz w:val="20"/>
          <w:szCs w:val="20"/>
          <w:color w:val="auto"/>
        </w:rPr>
        <w:t>”: any account control agreement in form and substance reasonably satisfactory to the Administrative Agent entered into among the depository institution at which a Loan Party maintains a Deposit Account or the securities intermediary at which a Loan Party maintains a Securities Account, such Loan Party, and the Administrative Agent pursuant to which the Administrative Agent obtains control (within the meaning of the UCC or any other applicable law) over such Deposit Account or Securities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52" w:name="page53"/>
    <w:bookmarkEnd w:id="52"/>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 Investment Affiliate</w:t>
      </w:r>
      <w:r>
        <w:rPr>
          <w:rFonts w:ascii="Times New Roman" w:cs="Times New Roman" w:eastAsia="Times New Roman" w:hAnsi="Times New Roman"/>
          <w:sz w:val="20"/>
          <w:szCs w:val="20"/>
          <w:color w:val="auto"/>
        </w:rPr>
        <w:t>”: as to any Person, any other Person that (a) directly or indirectly, is in Control of, is Controlled by, or is under common Control with, such Person and (b) is organized by such Person primarily for the purpose of making equity or debt investments in one or more companies.</w:t>
      </w:r>
    </w:p>
    <w:p>
      <w:pPr>
        <w:spacing w:after="0" w:line="16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Covenant Testing Period</w:t>
      </w:r>
      <w:r>
        <w:rPr>
          <w:rFonts w:ascii="Times New Roman" w:cs="Times New Roman" w:eastAsia="Times New Roman" w:hAnsi="Times New Roman"/>
          <w:sz w:val="20"/>
          <w:szCs w:val="20"/>
          <w:color w:val="auto"/>
        </w:rPr>
        <w:t xml:space="preserve">”: each period (a) commencing on the last day of the applicable fiscal quarter of the Borrower most recently ended at the time a Covenant Trigger Event occurs for which the Borrower was required to deliver to the Administrative Agent financial statements pursuant to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and (b) continuing until the Consolidated Adjusted Quick Ratio as of the last day of each monthly or quarterly testing period (as applicable) for one fiscal quarter is at least 1.50:1.00.</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Covenant Trigger Event</w:t>
      </w:r>
      <w:r>
        <w:rPr>
          <w:rFonts w:ascii="Times New Roman" w:cs="Times New Roman" w:eastAsia="Times New Roman" w:hAnsi="Times New Roman"/>
          <w:sz w:val="20"/>
          <w:szCs w:val="20"/>
          <w:color w:val="auto"/>
        </w:rPr>
        <w:t>”: the Consolidated Adjusted Quick Ratio as of the last day of any month (to the extent that monthly financial statements are required hereunder) or quarter is less than 1.50:1.00.</w:t>
      </w:r>
    </w:p>
    <w:p>
      <w:pPr>
        <w:spacing w:after="0" w:line="15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Current Liabilities</w:t>
      </w:r>
      <w:r>
        <w:rPr>
          <w:rFonts w:ascii="Times New Roman" w:cs="Times New Roman" w:eastAsia="Times New Roman" w:hAnsi="Times New Roman"/>
          <w:sz w:val="20"/>
          <w:szCs w:val="20"/>
          <w:color w:val="auto"/>
        </w:rPr>
        <w:t>”: the sum of (without duplication) (a) the Obligations (including, without limitation, any outstanding drawn or undrawn Letters of Credit), plus (b) the aggregate amount of the Group Members’ Total Liabilities (excluding operating leases and leases of real property) that mature within one year from the applicable date of determination.</w:t>
      </w:r>
    </w:p>
    <w:p>
      <w:pPr>
        <w:spacing w:after="0" w:line="16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Daily Simple SOFR</w:t>
      </w:r>
      <w:r>
        <w:rPr>
          <w:rFonts w:ascii="Times New Roman" w:cs="Times New Roman" w:eastAsia="Times New Roman" w:hAnsi="Times New Roman"/>
          <w:sz w:val="20"/>
          <w:szCs w:val="20"/>
          <w:color w:val="auto"/>
        </w:rPr>
        <w:t>”: for any day (a “</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 rate per annum equal to the greater of (a) SOFR for the day (such day a “</w:t>
      </w:r>
      <w:r>
        <w:rPr>
          <w:rFonts w:ascii="Times New Roman" w:cs="Times New Roman" w:eastAsia="Times New Roman" w:hAnsi="Times New Roman"/>
          <w:sz w:val="20"/>
          <w:szCs w:val="20"/>
          <w:b w:val="1"/>
          <w:bCs w:val="1"/>
          <w:i w:val="1"/>
          <w:iCs w:val="1"/>
          <w:color w:val="auto"/>
        </w:rPr>
        <w:t>SOFR Determination Day</w:t>
      </w:r>
      <w:r>
        <w:rPr>
          <w:rFonts w:ascii="Times New Roman" w:cs="Times New Roman" w:eastAsia="Times New Roman" w:hAnsi="Times New Roman"/>
          <w:sz w:val="20"/>
          <w:szCs w:val="20"/>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Debtor Relief Laws</w:t>
      </w:r>
      <w:r>
        <w:rPr>
          <w:rFonts w:ascii="Times New Roman" w:cs="Times New Roman" w:eastAsia="Times New Roman" w:hAnsi="Times New Roman"/>
          <w:sz w:val="20"/>
          <w:szCs w:val="20"/>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whether or not any requirement for the giving of notice, the lapse of time, or both, has been satisfied.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53" w:name="page54"/>
    <w:bookmarkEnd w:id="53"/>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Defaulting Lender</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 any Lender that (a) has failed to (i) fund all or any portion of its Loans within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 upon delivery of written notice of such determination to the Borrower, the Issuing Lender, the Swingline Lender and each Lender.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Deferred Revenue</w:t>
      </w:r>
      <w:r>
        <w:rPr>
          <w:rFonts w:ascii="Times New Roman" w:cs="Times New Roman" w:eastAsia="Times New Roman" w:hAnsi="Times New Roman"/>
          <w:sz w:val="19"/>
          <w:szCs w:val="19"/>
          <w:color w:val="auto"/>
        </w:rPr>
        <w:t>”: all amounts received or invoiced in advance of performance under contracts and not yet recognized as revenue.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w:t>
      </w:r>
      <w:r>
        <w:rPr>
          <w:rFonts w:ascii="Times New Roman" w:cs="Times New Roman" w:eastAsia="Times New Roman" w:hAnsi="Times New Roman"/>
          <w:sz w:val="20"/>
          <w:szCs w:val="20"/>
          <w:color w:val="auto"/>
        </w:rPr>
        <w:t>”: any “deposit account” as defined in the UCC with such additions to such term as may hereafter be made.</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 Control Agreement</w:t>
      </w:r>
      <w:r>
        <w:rPr>
          <w:rFonts w:ascii="Times New Roman" w:cs="Times New Roman" w:eastAsia="Times New Roman" w:hAnsi="Times New Roman"/>
          <w:sz w:val="20"/>
          <w:szCs w:val="20"/>
          <w:color w:val="auto"/>
        </w:rPr>
        <w:t>”: any Control Agreement entered into by the Administrative Agent, a Loan Party and a financial institution holding a Deposit Account of such Loan Party pursuant to which the Administrative Agent is granted “control” (for purposes of the UCC) over such Deposit Account.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Jurisdiction</w:t>
      </w:r>
      <w:r>
        <w:rPr>
          <w:rFonts w:ascii="Times New Roman" w:cs="Times New Roman" w:eastAsia="Times New Roman" w:hAnsi="Times New Roman"/>
          <w:sz w:val="20"/>
          <w:szCs w:val="20"/>
          <w:color w:val="auto"/>
        </w:rPr>
        <w:t>”: any country or territory to the extent that such country or territory itself is the subject of any Sanction.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 as defined in the definition of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09" w:right="339" w:bottom="1440" w:gutter="0" w:footer="0" w:header="0"/>
        </w:sectPr>
      </w:pPr>
    </w:p>
    <w:bookmarkStart w:id="54" w:name="page55"/>
    <w:bookmarkEnd w:id="54"/>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Discharge of Obligations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 satisfaction of the Obligations (including all such Obligations relating to Cash Management Services) by the payment in full, in cash (or, as applicable, Cash Collateralization in accordance with the terms hereof) of the principal of and interest on or other liabilities relating to each Loan and any previously provided Cash Management Services, all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no default or termination event shall have occurred and be continuing thereunder, (b) any such Obligations in respect of Specified Swap Agreements have, if required by any applicable Qualified Counterparties, been Cash Collateralized, (c) no Letter of Credit shall be outstanding (or, as applicable, each outstanding and undrawn Letter of Credit has been Cash Collateralized in accordance with the terms hereof), (d) no Obligations in respect of any Cash Management Services are outstanding (or, as applicable, all such outstanding Obligations in respect of Cash Management Services have been Cash Collateralized in accordance with the terms hereof), and (e) the aggregate Commitments of the Lenders are terminated.</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Disclosure Letter</w:t>
      </w:r>
      <w:r>
        <w:rPr>
          <w:rFonts w:ascii="Times New Roman" w:cs="Times New Roman" w:eastAsia="Times New Roman" w:hAnsi="Times New Roman"/>
          <w:sz w:val="20"/>
          <w:szCs w:val="20"/>
          <w:color w:val="auto"/>
        </w:rPr>
        <w:t>”: the disclosure letter, dated as of the date hereof, delivered by each Loan Party to Administrative Agent for the benefit of the Lenders.</w:t>
      </w:r>
    </w:p>
    <w:p>
      <w:pPr>
        <w:spacing w:after="0" w:line="15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Disposition</w:t>
      </w:r>
      <w:r>
        <w:rPr>
          <w:rFonts w:ascii="Times New Roman" w:cs="Times New Roman" w:eastAsia="Times New Roman" w:hAnsi="Times New Roman"/>
          <w:sz w:val="20"/>
          <w:szCs w:val="20"/>
          <w:color w:val="auto"/>
        </w:rPr>
        <w:t>”: with respect to any property (including, without limitation, Capital Stock of any Group Member), any sale, lease, Sale Leaseback Transaction, assignment, conveyance, transfer, encumbrance or other disposition thereof (in one transaction or in a series of transactions and whether effected pursuant to a Division or otherwise) and any issuance of Capital Stock of any Group Member. The terms “</w:t>
      </w:r>
      <w:r>
        <w:rPr>
          <w:rFonts w:ascii="Times New Roman" w:cs="Times New Roman" w:eastAsia="Times New Roman" w:hAnsi="Times New Roman"/>
          <w:sz w:val="20"/>
          <w:szCs w:val="20"/>
          <w:b w:val="1"/>
          <w:bCs w:val="1"/>
          <w:i w:val="1"/>
          <w:iCs w:val="1"/>
          <w:color w:val="auto"/>
        </w:rPr>
        <w:t>Dispose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Disposed of</w:t>
      </w:r>
      <w:r>
        <w:rPr>
          <w:rFonts w:ascii="Times New Roman" w:cs="Times New Roman" w:eastAsia="Times New Roman" w:hAnsi="Times New Roman"/>
          <w:sz w:val="20"/>
          <w:szCs w:val="20"/>
          <w:color w:val="auto"/>
        </w:rPr>
        <w:t>” shall have correlative meanings.</w:t>
      </w:r>
    </w:p>
    <w:p>
      <w:pPr>
        <w:spacing w:after="0" w:line="17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Disqualified Stock</w:t>
      </w:r>
      <w:r>
        <w:rPr>
          <w:rFonts w:ascii="Times New Roman" w:cs="Times New Roman" w:eastAsia="Times New Roman" w:hAnsi="Times New Roman"/>
          <w:sz w:val="20"/>
          <w:szCs w:val="20"/>
          <w:color w:val="auto"/>
        </w:rPr>
        <w:t>”: any Capital Stock that, by its terms (or by the terms of any security into which it is convertible, or for which it is exchangeable, in each case at the option of the holder thereof), or upon the happening of any event (other than a change of control or similar event), matures or is mandatorily redeemable, pursuant to a sinking fund obligation or otherwise, or redeemable at the option of the holder thereof, in whole or in part, on or prior to the date that is 91 days after the date on which the Loans mature. The amount of Disqualified Stock deemed to be outstanding at any time for purposes of this Agreement will be the maximum amount that the Group Members may become obligated to pay upon maturity of, or pursuant to any mandatory redemption provisions of, such Disqualified Stock or portion thereof, plus accrued dividends. Notwithstanding the preceding sentence, any Capital Stock that would constitute Disqualified Stock solely because the holders of the Capital Stock have the right to be paid upon liquidation, dissolution, winding up or pursuant to such other applicable statutory or regulatory obligations of the issuer of such Capital Stock will not constitute Disqualified Stock if the terms of such Capital Stock provide that such payments may not be made with respect to such Capital Stock unless such payments are made after the Discharge of Obligations.</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Division</w:t>
      </w:r>
      <w:r>
        <w:rPr>
          <w:rFonts w:ascii="Times New Roman" w:cs="Times New Roman" w:eastAsia="Times New Roman" w:hAnsi="Times New Roman"/>
          <w:sz w:val="20"/>
          <w:szCs w:val="20"/>
          <w:color w:val="auto"/>
        </w:rPr>
        <w:t>”: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dollars in lawful currency of the United States.</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 Equivalent</w:t>
      </w:r>
      <w:r>
        <w:rPr>
          <w:rFonts w:ascii="Times New Roman" w:cs="Times New Roman" w:eastAsia="Times New Roman" w:hAnsi="Times New Roman"/>
          <w:sz w:val="20"/>
          <w:szCs w:val="20"/>
          <w:color w:val="auto"/>
        </w:rPr>
        <w:t>”: at any time, (a) with respect to any amount denominated in Dollars, such amount, (b) with respect to any amount denominated in any currency other than Dollars, the equivalent amount thereof in Dollars as determined by the Administrative Agent at such time on the basis of the Spot Rate for the purchase of Dollars with such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9"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Domestic Subsidiary</w:t>
      </w:r>
      <w:r>
        <w:rPr>
          <w:rFonts w:ascii="Times New Roman" w:cs="Times New Roman" w:eastAsia="Times New Roman" w:hAnsi="Times New Roman"/>
          <w:sz w:val="20"/>
          <w:szCs w:val="20"/>
          <w:color w:val="auto"/>
        </w:rPr>
        <w:t>”: any Subsidiary of the Borrower organized under the laws of any jurisdiction within the United States.</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Financial Institution</w:t>
      </w:r>
      <w:r>
        <w:rPr>
          <w:rFonts w:ascii="Times New Roman" w:cs="Times New Roman" w:eastAsia="Times New Roman" w:hAnsi="Times New Roman"/>
          <w:sz w:val="20"/>
          <w:szCs w:val="20"/>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Resolution Authority</w:t>
      </w:r>
      <w:r>
        <w:rPr>
          <w:rFonts w:ascii="Times New Roman" w:cs="Times New Roman" w:eastAsia="Times New Roman" w:hAnsi="Times New Roman"/>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Assignee</w:t>
      </w:r>
      <w:r>
        <w:rPr>
          <w:rFonts w:ascii="Times New Roman" w:cs="Times New Roman" w:eastAsia="Times New Roman" w:hAnsi="Times New Roman"/>
          <w:sz w:val="20"/>
          <w:szCs w:val="20"/>
          <w:color w:val="auto"/>
        </w:rPr>
        <w:t xml:space="preserve">”: any Person that meets the requirements to be an assignee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Laws</w:t>
      </w:r>
      <w:r>
        <w:rPr>
          <w:rFonts w:ascii="Times New Roman" w:cs="Times New Roman" w:eastAsia="Times New Roman" w:hAnsi="Times New Roman"/>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7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Liability</w:t>
      </w:r>
      <w:r>
        <w:rPr>
          <w:rFonts w:ascii="Times New Roman" w:cs="Times New Roman" w:eastAsia="Times New Roman" w:hAnsi="Times New Roman"/>
          <w:sz w:val="20"/>
          <w:szCs w:val="20"/>
          <w:color w:val="auto"/>
        </w:rPr>
        <w:t>”: any liability, contingent or otherwise (including any liability for damages, costs of environmental remediation, fines, penalties or indemnities), of any Group Member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spacing w:after="0" w:line="18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the Employee Retirement Income Security Act of 1974, as amended, including (unless the context otherwise requires) any rules or regulations promulgated thereunder.</w:t>
      </w:r>
    </w:p>
    <w:p>
      <w:pPr>
        <w:spacing w:after="0" w:line="15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color w:val="auto"/>
        </w:rPr>
        <w:t>”: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4001(a)(14) of ERISA.</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Event</w:t>
      </w:r>
      <w:r>
        <w:rPr>
          <w:rFonts w:ascii="Times New Roman" w:cs="Times New Roman" w:eastAsia="Times New Roman" w:hAnsi="Times New Roman"/>
          <w:sz w:val="19"/>
          <w:szCs w:val="19"/>
          <w:color w:val="auto"/>
        </w:rPr>
        <w:t>”: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30 days; (c) a withdrawal by any Loan Party or any ERISA Affiliate thereof from a Pension Plan or the termination of any Pension Plan resulting in liability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9" w:right="339" w:bottom="1440" w:gutter="0" w:footer="0" w:header="0"/>
        </w:sectPr>
      </w:pPr>
    </w:p>
    <w:bookmarkStart w:id="56" w:name="page57"/>
    <w:bookmarkEnd w:id="56"/>
    <w:p>
      <w:pPr>
        <w:jc w:val="both"/>
        <w:spacing w:after="0" w:line="228" w:lineRule="auto"/>
        <w:rPr>
          <w:sz w:val="20"/>
          <w:szCs w:val="20"/>
          <w:color w:val="auto"/>
        </w:rPr>
      </w:pPr>
      <w:r>
        <w:rPr>
          <w:rFonts w:ascii="Times New Roman" w:cs="Times New Roman" w:eastAsia="Times New Roman" w:hAnsi="Times New Roman"/>
          <w:sz w:val="20"/>
          <w:szCs w:val="20"/>
          <w:color w:val="auto"/>
        </w:rPr>
        <w:t>Loan Party under Sections 4063 or 4064 of ERISA; (d) the withdrawal of any Loan Party or any ERISA Affiliate thereof in a complete or partial withdrawal (within the meaning of Section 4203 and 4205 of ERISA) from any Multiemployer Plan if there is any potential liability to a Loan Party therefor, or the receipt by any Loan Party or any ERISA Affiliate thereof of notice from any Multiemployer Plan that it is in reorganization or insolvency pursuant to Section 4241 or 4245 of ERISA; (e) the filing of a notice of intent to terminate, the treatment of a Pension Plan or Multiemployer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would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Group Member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 under Sections 409, 502(c), (i) or (1) or 4071 of ERISA; (o) the assertion of a material claim (other than routine claims for benefits) against any Plan or the assets thereof, or against any Group Member in connection with any such Plan; (p) receipt from the IRS of notice of the failure of any Qualified Plan to qualify under Section 401(a) of the Code, or the failure of any trust forming part of any Qualified Plan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 or (r) the establishment or amendment by any Group Member of any “welfare plan” as such term is defined in Section 3(1) of ERISA, that provides post-employment welfare benefits in a manner that would increase the liability of any Loan Party.</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Funding Rules</w:t>
      </w:r>
      <w:r>
        <w:rPr>
          <w:rFonts w:ascii="Times New Roman" w:cs="Times New Roman" w:eastAsia="Times New Roman" w:hAnsi="Times New Roman"/>
          <w:sz w:val="20"/>
          <w:szCs w:val="20"/>
          <w:color w:val="auto"/>
        </w:rPr>
        <w:t>”: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Deficiency Assignment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Return Deficiency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Subrogation Rights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57" w:name="page58"/>
    <w:bookmarkEnd w:id="57"/>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5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any requirement for the giving of notice, the lapse of time, or both, has been satisfied.</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the Securities Exchange Act of 1934, as amended from time to time and any successor statute.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Assets</w:t>
      </w:r>
      <w:r>
        <w:rPr>
          <w:rFonts w:ascii="Times New Roman" w:cs="Times New Roman" w:eastAsia="Times New Roman" w:hAnsi="Times New Roman"/>
          <w:sz w:val="20"/>
          <w:szCs w:val="20"/>
          <w:color w:val="auto"/>
        </w:rPr>
        <w:t>”: as defined in the Guarantee and Collateral Agreement.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Swap Obligations</w:t>
      </w:r>
      <w:r>
        <w:rPr>
          <w:rFonts w:ascii="Times New Roman" w:cs="Times New Roman" w:eastAsia="Times New Roman" w:hAnsi="Times New Roman"/>
          <w:sz w:val="20"/>
          <w:szCs w:val="20"/>
          <w:color w:val="auto"/>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Taxes</w:t>
      </w:r>
      <w:r>
        <w:rPr>
          <w:rFonts w:ascii="Times New Roman" w:cs="Times New Roman" w:eastAsia="Times New Roman" w:hAnsi="Times New Roman"/>
          <w:sz w:val="19"/>
          <w:szCs w:val="19"/>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or</w:t>
      </w:r>
    </w:p>
    <w:p>
      <w:pPr>
        <w:spacing w:after="0" w:line="3" w:lineRule="exact"/>
        <w:rPr>
          <w:sz w:val="20"/>
          <w:szCs w:val="20"/>
          <w:color w:val="auto"/>
        </w:rPr>
      </w:pPr>
    </w:p>
    <w:p>
      <w:pPr>
        <w:jc w:val="both"/>
        <w:ind w:firstLine="8"/>
        <w:spacing w:after="0" w:line="230" w:lineRule="auto"/>
        <w:tabs>
          <w:tab w:leader="none" w:pos="31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and (d) any withholding Taxes imposed under FATCA.</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Credit Agreement</w:t>
      </w:r>
      <w:r>
        <w:rPr>
          <w:rFonts w:ascii="Times New Roman" w:cs="Times New Roman" w:eastAsia="Times New Roman" w:hAnsi="Times New Roman"/>
          <w:sz w:val="20"/>
          <w:szCs w:val="20"/>
          <w:color w:val="auto"/>
        </w:rPr>
        <w:t>”: as defined in the recitals hereto.</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Fee Letter</w:t>
      </w:r>
      <w:r>
        <w:rPr>
          <w:rFonts w:ascii="Times New Roman" w:cs="Times New Roman" w:eastAsia="Times New Roman" w:hAnsi="Times New Roman"/>
          <w:sz w:val="20"/>
          <w:szCs w:val="20"/>
          <w:color w:val="auto"/>
        </w:rPr>
        <w:t>”: the letter agreement dated August 11, 2020, between the Borrower and SVB.</w:t>
      </w:r>
    </w:p>
    <w:p>
      <w:pPr>
        <w:spacing w:after="0" w:line="21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Letters of Credit</w:t>
      </w:r>
      <w:r>
        <w:rPr>
          <w:rFonts w:ascii="Times New Roman" w:cs="Times New Roman" w:eastAsia="Times New Roman" w:hAnsi="Times New Roman"/>
          <w:sz w:val="20"/>
          <w:szCs w:val="20"/>
          <w:color w:val="auto"/>
        </w:rPr>
        <w:t xml:space="preserve">”: the letters of credit as in effect on the Original Closing Date and described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of the Disclosure Letter.</w:t>
      </w:r>
    </w:p>
    <w:p>
      <w:pPr>
        <w:spacing w:after="0" w:line="15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each of (a) the L/C Facility (which is a sub-facility of the Revolving Facility), (b) the Revolving Facility and (c) the Swingline Facility (which is a sub-facility of the Revolving Facility).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FASB ASC</w:t>
      </w:r>
      <w:r>
        <w:rPr>
          <w:rFonts w:ascii="Times New Roman" w:cs="Times New Roman" w:eastAsia="Times New Roman" w:hAnsi="Times New Roman"/>
          <w:sz w:val="20"/>
          <w:szCs w:val="20"/>
          <w:color w:val="auto"/>
        </w:rPr>
        <w:t>”: the Accounting Standards certification of the Financial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09" w:right="339" w:bottom="1440" w:gutter="0" w:footer="0" w:header="0"/>
        </w:sectPr>
      </w:pPr>
    </w:p>
    <w:bookmarkStart w:id="58" w:name="page59"/>
    <w:bookmarkEnd w:id="58"/>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FATCA</w:t>
      </w:r>
      <w:r>
        <w:rPr>
          <w:rFonts w:ascii="Times New Roman" w:cs="Times New Roman" w:eastAsia="Times New Roman" w:hAnsi="Times New Roman"/>
          <w:sz w:val="20"/>
          <w:szCs w:val="20"/>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Federal Funds Effective Rate</w:t>
      </w:r>
      <w:r>
        <w:rPr>
          <w:rFonts w:ascii="Times New Roman" w:cs="Times New Roman" w:eastAsia="Times New Roman" w:hAnsi="Times New Roman"/>
          <w:sz w:val="20"/>
          <w:szCs w:val="20"/>
          <w:color w:val="auto"/>
        </w:rPr>
        <w:t>”: for any day, the greater of (a) 0.00% and (b)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Fee Letter</w:t>
      </w:r>
      <w:r>
        <w:rPr>
          <w:rFonts w:ascii="Times New Roman" w:cs="Times New Roman" w:eastAsia="Times New Roman" w:hAnsi="Times New Roman"/>
          <w:sz w:val="20"/>
          <w:szCs w:val="20"/>
          <w:color w:val="auto"/>
        </w:rPr>
        <w:t>”: the letter agreement dated February 19, 2021, between the Borrower and SVB.</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w:t>
      </w:r>
      <w:r>
        <w:rPr>
          <w:rFonts w:ascii="Times New Roman" w:cs="Times New Roman" w:eastAsia="Times New Roman" w:hAnsi="Times New Roman"/>
          <w:sz w:val="20"/>
          <w:szCs w:val="20"/>
          <w:color w:val="auto"/>
        </w:rPr>
        <w:t>”: that certain First Amendment to Amended and Restated Credit Agreement dated as of May 19, 2021 by and among the Borrower, the Lenders party thereto, the Administrative Agent and consented to and acknowledged by Fundera, Inc.</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 Effective Date</w:t>
      </w:r>
      <w:r>
        <w:rPr>
          <w:rFonts w:ascii="Times New Roman" w:cs="Times New Roman" w:eastAsia="Times New Roman" w:hAnsi="Times New Roman"/>
          <w:sz w:val="20"/>
          <w:szCs w:val="20"/>
          <w:color w:val="auto"/>
        </w:rPr>
        <w:t>”: as defined in the First Amendment.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Flood Laws</w:t>
      </w:r>
      <w:r>
        <w:rPr>
          <w:rFonts w:ascii="Times New Roman" w:cs="Times New Roman" w:eastAsia="Times New Roman" w:hAnsi="Times New Roman"/>
          <w:sz w:val="20"/>
          <w:szCs w:val="20"/>
          <w:color w:val="auto"/>
        </w:rPr>
        <w:t>”: the National Flood Insurance Reform Act of 1994 and related legislation (including the regulations of the Board of Governors of the Federal Reserve System).</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Floor</w:t>
      </w:r>
      <w:r>
        <w:rPr>
          <w:rFonts w:ascii="Times New Roman" w:cs="Times New Roman" w:eastAsia="Times New Roman" w:hAnsi="Times New Roman"/>
          <w:sz w:val="20"/>
          <w:szCs w:val="20"/>
          <w:color w:val="auto"/>
        </w:rPr>
        <w:t>”: 1.00% per annum.</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Foreclosed Borrowers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Lender</w:t>
      </w:r>
      <w:r>
        <w:rPr>
          <w:rFonts w:ascii="Times New Roman" w:cs="Times New Roman" w:eastAsia="Times New Roman" w:hAnsi="Times New Roman"/>
          <w:sz w:val="20"/>
          <w:szCs w:val="20"/>
          <w:color w:val="auto"/>
        </w:rPr>
        <w:t>”: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w:t>
      </w:r>
      <w:r>
        <w:rPr>
          <w:rFonts w:ascii="Times New Roman" w:cs="Times New Roman" w:eastAsia="Times New Roman" w:hAnsi="Times New Roman"/>
          <w:sz w:val="20"/>
          <w:szCs w:val="20"/>
          <w:color w:val="auto"/>
        </w:rPr>
        <w:t>”: any Subsidiary of the Borrower that is not a Domestic Subsidiary.</w:t>
      </w:r>
    </w:p>
    <w:p>
      <w:pPr>
        <w:spacing w:after="0" w:line="20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Fronting Exposure</w:t>
      </w:r>
      <w:r>
        <w:rPr>
          <w:rFonts w:ascii="Times New Roman" w:cs="Times New Roman" w:eastAsia="Times New Roman" w:hAnsi="Times New Roman"/>
          <w:sz w:val="20"/>
          <w:szCs w:val="20"/>
          <w:color w:val="auto"/>
        </w:rPr>
        <w:t>”: at any time there is a Defaulting Lender, as applicable, (a) with respect to the Issuing Lender, such Defaulting Lender’s L/C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1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w:t>
      </w:r>
      <w:r>
        <w:rPr>
          <w:rFonts w:ascii="Times New Roman" w:cs="Times New Roman" w:eastAsia="Times New Roman" w:hAnsi="Times New Roman"/>
          <w:sz w:val="20"/>
          <w:szCs w:val="20"/>
          <w:color w:val="auto"/>
        </w:rPr>
        <w:t>”: any Person (other than a natural Person) that is (or will be) engaged in making, purchasing, holding or otherwise investing in commercial loans, bonds and similar extensions of credit in the ordinary course of its activities.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Funding Office</w:t>
      </w:r>
      <w:r>
        <w:rPr>
          <w:rFonts w:ascii="Times New Roman" w:cs="Times New Roman" w:eastAsia="Times New Roman" w:hAnsi="Times New Roman"/>
          <w:sz w:val="20"/>
          <w:szCs w:val="20"/>
          <w:color w:val="auto"/>
        </w:rPr>
        <w:t>”: the Revolving Loan Funding Office.</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xml:space="preserve">”: generally accepted accounting principles in the United States as in effect from time to time, except that for purposes of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GAAP shall be determined on the basis of such principles in effect on the date hereof and consistent with those used in the preparation of the most recent audited financial statements referred to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In the event that any “</w:t>
      </w:r>
      <w:r>
        <w:rPr>
          <w:rFonts w:ascii="Times New Roman" w:cs="Times New Roman" w:eastAsia="Times New Roman" w:hAnsi="Times New Roman"/>
          <w:sz w:val="20"/>
          <w:szCs w:val="20"/>
          <w:b w:val="1"/>
          <w:bCs w:val="1"/>
          <w:i w:val="1"/>
          <w:iCs w:val="1"/>
          <w:color w:val="auto"/>
        </w:rPr>
        <w:t>Accounting Change</w:t>
      </w:r>
      <w:r>
        <w:rPr>
          <w:rFonts w:ascii="Times New Roman" w:cs="Times New Roman" w:eastAsia="Times New Roman" w:hAnsi="Times New Roman"/>
          <w:sz w:val="20"/>
          <w:szCs w:val="20"/>
          <w:color w:val="auto"/>
        </w:rPr>
        <w:t>” (as defined below) shall occur and such change results in a change in the method of calculation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9" w:right="339" w:bottom="1440" w:gutter="0" w:footer="0" w:header="0"/>
        </w:sectPr>
      </w:pPr>
    </w:p>
    <w:bookmarkStart w:id="59" w:name="page60"/>
    <w:bookmarkEnd w:id="59"/>
    <w:p>
      <w:pPr>
        <w:jc w:val="both"/>
        <w:spacing w:after="0" w:line="232" w:lineRule="auto"/>
        <w:rPr>
          <w:sz w:val="20"/>
          <w:szCs w:val="20"/>
          <w:color w:val="auto"/>
        </w:rPr>
      </w:pPr>
      <w:r>
        <w:rPr>
          <w:rFonts w:ascii="Times New Roman" w:cs="Times New Roman" w:eastAsia="Times New Roman" w:hAnsi="Times New Roman"/>
          <w:sz w:val="20"/>
          <w:szCs w:val="20"/>
          <w:color w:val="auto"/>
        </w:rPr>
        <w:t>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 w:cs="Times New Roman" w:eastAsia="Times New Roman" w:hAnsi="Times New Roman"/>
          <w:sz w:val="20"/>
          <w:szCs w:val="20"/>
          <w:b w:val="1"/>
          <w:bCs w:val="1"/>
          <w:i w:val="1"/>
          <w:iCs w:val="1"/>
          <w:color w:val="auto"/>
        </w:rPr>
        <w:t>Accounting Changes</w:t>
      </w:r>
      <w:r>
        <w:rPr>
          <w:rFonts w:ascii="Times New Roman" w:cs="Times New Roman" w:eastAsia="Times New Roman" w:hAnsi="Times New Roman"/>
          <w:sz w:val="20"/>
          <w:szCs w:val="20"/>
          <w:color w:val="auto"/>
        </w:rPr>
        <w:t>” refers to changes in accounting principles required by the promulgation of any rule, regulation, pronouncement or opinion by the Financial Accounting Standards Board of the American Institute of Certified Public Accountants or, if applicable, the SEC, or the adoption of IFRS.</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Approval</w:t>
      </w:r>
      <w:r>
        <w:rPr>
          <w:rFonts w:ascii="Times New Roman" w:cs="Times New Roman" w:eastAsia="Times New Roman" w:hAnsi="Times New Roman"/>
          <w:sz w:val="20"/>
          <w:szCs w:val="20"/>
          <w:color w:val="auto"/>
        </w:rPr>
        <w:t>”: any consent, authorization, approval, order, license, franchise, permit, certificate, accreditation, registration, filing or notice, of, issued by, from or to, or other act by or in respect of, any Governmental Authority.</w:t>
      </w:r>
    </w:p>
    <w:p>
      <w:pPr>
        <w:spacing w:after="0" w:line="15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Group Members</w:t>
      </w:r>
      <w:r>
        <w:rPr>
          <w:rFonts w:ascii="Times New Roman" w:cs="Times New Roman" w:eastAsia="Times New Roman" w:hAnsi="Times New Roman"/>
          <w:sz w:val="20"/>
          <w:szCs w:val="20"/>
          <w:color w:val="auto"/>
        </w:rPr>
        <w:t>”: the collective reference to the Borrower and its Subsidiaries.</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and Collateral Agreement</w:t>
      </w:r>
      <w:r>
        <w:rPr>
          <w:rFonts w:ascii="Times New Roman" w:cs="Times New Roman" w:eastAsia="Times New Roman" w:hAnsi="Times New Roman"/>
          <w:sz w:val="20"/>
          <w:szCs w:val="20"/>
          <w:color w:val="auto"/>
        </w:rPr>
        <w:t>”: the Guarantee and Collateral Agreement dated as of the Original Closing Date by and among the Loan Parties and the Administrative Agent.</w:t>
      </w:r>
    </w:p>
    <w:p>
      <w:pPr>
        <w:spacing w:after="0" w:line="15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Obligation</w:t>
      </w:r>
      <w:r>
        <w:rPr>
          <w:rFonts w:ascii="Times New Roman" w:cs="Times New Roman" w:eastAsia="Times New Roman" w:hAnsi="Times New Roman"/>
          <w:sz w:val="20"/>
          <w:szCs w:val="20"/>
          <w:color w:val="auto"/>
        </w:rPr>
        <w:t>”: as to any Person (the “</w:t>
      </w:r>
      <w:r>
        <w:rPr>
          <w:rFonts w:ascii="Times New Roman" w:cs="Times New Roman" w:eastAsia="Times New Roman" w:hAnsi="Times New Roman"/>
          <w:sz w:val="20"/>
          <w:szCs w:val="20"/>
          <w:b w:val="1"/>
          <w:bCs w:val="1"/>
          <w:i w:val="1"/>
          <w:iCs w:val="1"/>
          <w:color w:val="auto"/>
        </w:rPr>
        <w:t>guaranteeing person</w:t>
      </w:r>
      <w:r>
        <w:rPr>
          <w:rFonts w:ascii="Times New Roman" w:cs="Times New Roman" w:eastAsia="Times New Roman" w:hAnsi="Times New Roman"/>
          <w:sz w:val="20"/>
          <w:szCs w:val="20"/>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Times New Roman" w:cs="Times New Roman" w:eastAsia="Times New Roman" w:hAnsi="Times New Roman"/>
          <w:sz w:val="20"/>
          <w:szCs w:val="20"/>
          <w:b w:val="1"/>
          <w:bCs w:val="1"/>
          <w:i w:val="1"/>
          <w:iCs w:val="1"/>
          <w:color w:val="auto"/>
        </w:rPr>
        <w:t>primary obligations</w:t>
      </w:r>
      <w:r>
        <w:rPr>
          <w:rFonts w:ascii="Times New Roman" w:cs="Times New Roman" w:eastAsia="Times New Roman" w:hAnsi="Times New Roman"/>
          <w:sz w:val="20"/>
          <w:szCs w:val="20"/>
          <w:color w:val="auto"/>
        </w:rPr>
        <w:t>”) of any other third Person (the “</w:t>
      </w:r>
      <w:r>
        <w:rPr>
          <w:rFonts w:ascii="Times New Roman" w:cs="Times New Roman" w:eastAsia="Times New Roman" w:hAnsi="Times New Roman"/>
          <w:sz w:val="20"/>
          <w:szCs w:val="20"/>
          <w:b w:val="1"/>
          <w:bCs w:val="1"/>
          <w:i w:val="1"/>
          <w:iCs w:val="1"/>
          <w:color w:val="auto"/>
        </w:rPr>
        <w:t>primary obligor</w:t>
      </w:r>
      <w:r>
        <w:rPr>
          <w:rFonts w:ascii="Times New Roman" w:cs="Times New Roman" w:eastAsia="Times New Roman" w:hAnsi="Times New Roman"/>
          <w:sz w:val="20"/>
          <w:szCs w:val="20"/>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60" w:name="page61"/>
    <w:bookmarkEnd w:id="60"/>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xml:space="preserve">”: a collective reference to each Subsidiary of the Borrower which has become a Guarantor pursuant to the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hereof and the Guarantee and Collateral Agreement. Notwithstanding the foregoing or any contrary provision herein or in any other Loan Document, no Immaterial Subsidiary shall be required to be a Guarantor, and no Subsidiary shall be required to become a Guarantor if, in the reasonable judgment of the Administrative Agent and the Borrower, the burden or cost of providing a guarantee shall be excessive in view of the benefits to be obtained by the Secured Parties therefrom.</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international accounting standards within the meaning of IAS Regulation 1606/2002 to the extent applicable to the relevant financial statements delivered under or referred to herein.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Illegality Notice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Immaterial Subsidiary</w:t>
      </w:r>
      <w:r>
        <w:rPr>
          <w:rFonts w:ascii="Times New Roman" w:cs="Times New Roman" w:eastAsia="Times New Roman" w:hAnsi="Times New Roman"/>
          <w:sz w:val="20"/>
          <w:szCs w:val="20"/>
          <w:color w:val="auto"/>
        </w:rPr>
        <w:t xml:space="preserve">”: as of the last day of each fiscal quarter and at any other date of determination, any Subsidiary of any Loan Party (other than a Borrower or a Guarantor) designated as such by the Borrower in writing and which as of such date (a) holds assets representing 10% or less of the Borrower’s consolidated total assets as of such date (determined in accordance with GAAP), (b) has generated 10% or less of the Borrower’s consolidated total revenues determined in accordance with GAAP for the four fiscal quarter period ending on the last day of the most recent period for which financial statements have been delivered after the Closing Date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6.1(c),</w:t>
      </w:r>
      <w:r>
        <w:rPr>
          <w:rFonts w:ascii="Times New Roman" w:cs="Times New Roman" w:eastAsia="Times New Roman" w:hAnsi="Times New Roman"/>
          <w:sz w:val="20"/>
          <w:szCs w:val="20"/>
          <w:color w:val="auto"/>
        </w:rPr>
        <w:t xml:space="preserve"> (c) has contributed 10% or less of Borrower’s Consolidated Adjusted EBITDA for the four fiscal quarter period ending on the last day of the most recent period for which financial statements have been delivered after the Closing Date pursuant to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all Subsidiaries that are individually </w:t>
      </w:r>
      <w:r>
        <w:rPr>
          <w:rFonts w:ascii="Times New Roman" w:cs="Times New Roman" w:eastAsia="Times New Roman" w:hAnsi="Times New Roman"/>
          <w:sz w:val="20"/>
          <w:szCs w:val="20"/>
          <w:b w:val="1"/>
          <w:bCs w:val="1"/>
          <w:i w:val="1"/>
          <w:iCs w:val="1"/>
          <w:color w:val="auto"/>
        </w:rPr>
        <w:t>“Immaterial Subsidiaries”</w:t>
      </w:r>
      <w:r>
        <w:rPr>
          <w:rFonts w:ascii="Times New Roman" w:cs="Times New Roman" w:eastAsia="Times New Roman" w:hAnsi="Times New Roman"/>
          <w:sz w:val="20"/>
          <w:szCs w:val="20"/>
          <w:color w:val="auto"/>
        </w:rPr>
        <w:t xml:space="preserve"> shall not have (i) aggregate consolidated total assets that would represent 20% or more of the Borrower’s consolidated total assets as of such date, (ii) generated 20% or more of the Borrower’s consolidated total revenues for such four fiscal quarter period, in each case of clauses (i) and (ii) determined in accordance with GAAP, or (iii) contributed 20% or more of the Borrower’s Consolidated Adjusted EBITDA for such four fiscal quarter period, (d) owns no Capital Stock of any Subsidiary that is not an Immaterial Subsidiary, and (e) owns no material Intellectual Property.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Increase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Increase Joinder</w:t>
      </w:r>
      <w:r>
        <w:rPr>
          <w:rFonts w:ascii="Times New Roman" w:cs="Times New Roman" w:eastAsia="Times New Roman" w:hAnsi="Times New Roman"/>
          <w:sz w:val="20"/>
          <w:szCs w:val="20"/>
          <w:color w:val="auto"/>
        </w:rPr>
        <w:t xml:space="preserve">”: an instrument, in form and substance reasonably satisfactory to the Administrative Agent, by which a Lender becomes a party to this Agreement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as defined in the definition of “Pro Forma Basis”.</w:t>
      </w:r>
    </w:p>
    <w:p>
      <w:pPr>
        <w:spacing w:after="0" w:line="2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Indebtedness</w:t>
      </w:r>
      <w:r>
        <w:rPr>
          <w:rFonts w:ascii="Times New Roman" w:cs="Times New Roman" w:eastAsia="Times New Roman" w:hAnsi="Times New Roman"/>
          <w:sz w:val="19"/>
          <w:szCs w:val="19"/>
          <w:color w:val="auto"/>
        </w:rPr>
        <w:t>”: of any Person at any date, without duplication, (a) all indebtedness of such Person for borrowed money, (b) all obligations of such Person for the deferred purchase price of property or services (other than (i) current trade payables incurred in the ordinary course of such Person’s business, (ii) any earn-out obligation unless either such obligation is not paid after becoming due and payable or such obligation is required to be reflected on the Borrower’s balance sheet in accordance with GAAP and (iii) accruals for payroll and other liabilities, including deferred compensation arrangements, in each case, accrued in the ordinary course of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Disqualified Stock, (h) all Guarantee Obligations of such Person in respect of obligations of the kind referred to in clauses (a) through (g) above, (i) all obligations of the kind referred to in clauses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09" w:right="339" w:bottom="1440" w:gutter="0" w:footer="0" w:header="0"/>
        </w:sectPr>
      </w:pPr>
    </w:p>
    <w:bookmarkStart w:id="61" w:name="page62"/>
    <w:bookmarkEnd w:id="61"/>
    <w:p>
      <w:pPr>
        <w:jc w:val="both"/>
        <w:spacing w:after="0" w:line="235" w:lineRule="auto"/>
        <w:rPr>
          <w:sz w:val="20"/>
          <w:szCs w:val="20"/>
          <w:color w:val="auto"/>
        </w:rPr>
      </w:pPr>
      <w:r>
        <w:rPr>
          <w:rFonts w:ascii="Times New Roman" w:cs="Times New Roman" w:eastAsia="Times New Roman" w:hAnsi="Times New Roman"/>
          <w:sz w:val="20"/>
          <w:szCs w:val="20"/>
          <w:color w:val="auto"/>
        </w:rPr>
        <w:t>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Indemnified Taxes</w:t>
      </w:r>
      <w:r>
        <w:rPr>
          <w:rFonts w:ascii="Times New Roman" w:cs="Times New Roman" w:eastAsia="Times New Roman" w:hAnsi="Times New Roman"/>
          <w:sz w:val="20"/>
          <w:szCs w:val="20"/>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Insolvency Proceeding</w:t>
      </w:r>
      <w:r>
        <w:rPr>
          <w:rFonts w:ascii="Times New Roman" w:cs="Times New Roman" w:eastAsia="Times New Roman" w:hAnsi="Times New Roman"/>
          <w:sz w:val="20"/>
          <w:szCs w:val="20"/>
          <w:color w:val="auto"/>
        </w:rPr>
        <w:t>”: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w:t>
      </w:r>
    </w:p>
    <w:p>
      <w:pPr>
        <w:spacing w:after="0" w:line="17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Insurance Loss Addback</w:t>
      </w:r>
      <w:r>
        <w:rPr>
          <w:rFonts w:ascii="Times New Roman" w:cs="Times New Roman" w:eastAsia="Times New Roman" w:hAnsi="Times New Roman"/>
          <w:sz w:val="20"/>
          <w:szCs w:val="20"/>
          <w:color w:val="auto"/>
        </w:rPr>
        <w:t>”: with respect to any fiscal period, the amount of any loss incurred during such fiscal period for which there is insurance or indemnity coverage and for which a related insurance or indemnity recovery is not recorded in accordance with GAAP, but for which such insurance or indemnity recovery is reasonably expected to be received by a Loan Party in a subsequent fiscal period and within one year of the date of the underlying loss.</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w:t>
      </w:r>
      <w:r>
        <w:rPr>
          <w:rFonts w:ascii="Times New Roman" w:cs="Times New Roman" w:eastAsia="Times New Roman" w:hAnsi="Times New Roman"/>
          <w:sz w:val="20"/>
          <w:szCs w:val="20"/>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70"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Payment Date</w:t>
      </w:r>
      <w:r>
        <w:rPr>
          <w:rFonts w:ascii="Times New Roman" w:cs="Times New Roman" w:eastAsia="Times New Roman" w:hAnsi="Times New Roman"/>
          <w:sz w:val="20"/>
          <w:szCs w:val="20"/>
          <w:color w:val="auto"/>
        </w:rPr>
        <w:t>”: (a) as to any ABR Loan (including any Swingline Loan), the last calendar day of each month to occur while such Loan is outstanding and the Revolving Termination Date , (b) as to any SOFR Loan (i) having an Interest Period of three (3) months or less, the last Business Day of such Interest Period and the Revolving Termination Date and (ii) having an Interest Period longer than three (3) months, each Business Day that is three (3) months after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 Interest Period, the last Business Day of such Interest Period and the Revolving Termination Date, and (c) as to any Loan (other than any Revolving Loan that is an ABR Loan and any Swingline Loan), the date of any repayment or prepayment made in respect thereof.</w:t>
      </w:r>
    </w:p>
    <w:p>
      <w:pPr>
        <w:spacing w:after="0" w:line="18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Period</w:t>
      </w:r>
      <w:r>
        <w:rPr>
          <w:rFonts w:ascii="Times New Roman" w:cs="Times New Roman" w:eastAsia="Times New Roman" w:hAnsi="Times New Roman"/>
          <w:sz w:val="20"/>
          <w:szCs w:val="20"/>
          <w:color w:val="auto"/>
        </w:rPr>
        <w:t xml:space="preserve">”: as to any SOFR Loan, (a) initially, the period commencing on the borrowing or conversion date, as the case may be, with respect to such SOFR Loan and ending on the numerically corresponding day in the month that is 1, 3 or 6 months thereafter, as selected by the Borrower in its Notice of Borrowing or Notice of Conversion/Continuation, as the case may be, given with respect thereto; and (b) thereafter, each period commencing on the last day of the next preceding Interest Period applicable to such SOFR Loan and ending on the numerically corresponding day in the month that is 1, 3 or 6 months thereafter, as selected by the Borrower by irrevocable notice to the Administrative Agent in a Notice of Conversion/Continuation not later than 10:00 A.M. on the date that is 3 U.S. Government Securities Business Days prior to the last day of the then current Interest Period with respect thereto;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all of the foregoing provisions relating to Interest Periods are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62" w:name="page63"/>
    <w:bookmarkEnd w:id="62"/>
    <w:p>
      <w:pPr>
        <w:jc w:val="both"/>
        <w:ind w:firstLine="1952"/>
        <w:spacing w:after="0"/>
        <w:tabs>
          <w:tab w:leader="none" w:pos="239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4" w:lineRule="exact"/>
        <w:rPr>
          <w:rFonts w:ascii="Times New Roman" w:cs="Times New Roman" w:eastAsia="Times New Roman" w:hAnsi="Times New Roman"/>
          <w:sz w:val="20"/>
          <w:szCs w:val="20"/>
          <w:color w:val="auto"/>
        </w:rPr>
      </w:pPr>
    </w:p>
    <w:p>
      <w:pPr>
        <w:ind w:left="2520" w:hanging="568"/>
        <w:spacing w:after="0"/>
        <w:tabs>
          <w:tab w:leader="none" w:pos="25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not select an Interest Period under a particular Facility that would extend beyond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Revolving Termination Date;</w:t>
      </w:r>
    </w:p>
    <w:p>
      <w:pPr>
        <w:spacing w:after="0" w:line="180" w:lineRule="exact"/>
        <w:rPr>
          <w:rFonts w:ascii="Times New Roman" w:cs="Times New Roman" w:eastAsia="Times New Roman" w:hAnsi="Times New Roman"/>
          <w:sz w:val="20"/>
          <w:szCs w:val="20"/>
          <w:color w:val="auto"/>
        </w:rPr>
      </w:pPr>
    </w:p>
    <w:p>
      <w:pPr>
        <w:jc w:val="both"/>
        <w:ind w:firstLine="1952"/>
        <w:spacing w:after="0"/>
        <w:tabs>
          <w:tab w:leader="none" w:pos="244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last calendar month of such Interest Period) shall end on the last Business Day of the last calendar month of such Interest Period; and</w:t>
      </w:r>
    </w:p>
    <w:p>
      <w:pPr>
        <w:spacing w:after="0" w:line="174" w:lineRule="exact"/>
        <w:rPr>
          <w:rFonts w:ascii="Times New Roman" w:cs="Times New Roman" w:eastAsia="Times New Roman" w:hAnsi="Times New Roman"/>
          <w:sz w:val="20"/>
          <w:szCs w:val="20"/>
          <w:color w:val="auto"/>
        </w:rPr>
      </w:pPr>
    </w:p>
    <w:p>
      <w:pPr>
        <w:ind w:firstLine="1952"/>
        <w:spacing w:after="0" w:line="255" w:lineRule="auto"/>
        <w:tabs>
          <w:tab w:leader="none" w:pos="244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tenor that has been removed from (and not reinstated in) this definition pursuant to Section 2.17(b) shall be available for specification in any Notice of Borrowing or Notice of Conversion/Continuation.</w:t>
      </w:r>
    </w:p>
    <w:p>
      <w:pPr>
        <w:spacing w:after="0" w:line="15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Rate Agreement</w:t>
      </w:r>
      <w:r>
        <w:rPr>
          <w:rFonts w:ascii="Times New Roman" w:cs="Times New Roman" w:eastAsia="Times New Roman" w:hAnsi="Times New Roman"/>
          <w:sz w:val="20"/>
          <w:szCs w:val="20"/>
          <w:color w:val="auto"/>
        </w:rPr>
        <w:t>”: any interest rate swap agreement, interest rate cap agreement, interest rate collar agreement, interest rate hedging agreement or other similar agreement or arrangement, each of which is (a) for the purpose of hedging the interest rate exposure associated with the Group Members’ operations and (b) not for speculative purposes.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Inventory</w:t>
      </w:r>
      <w:r>
        <w:rPr>
          <w:rFonts w:ascii="Times New Roman" w:cs="Times New Roman" w:eastAsia="Times New Roman" w:hAnsi="Times New Roman"/>
          <w:sz w:val="19"/>
          <w:szCs w:val="19"/>
          <w:color w:val="auto"/>
        </w:rPr>
        <w:t>”: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Investor Indebtedness</w:t>
      </w:r>
      <w:r>
        <w:rPr>
          <w:rFonts w:ascii="Times New Roman" w:cs="Times New Roman" w:eastAsia="Times New Roman" w:hAnsi="Times New Roman"/>
          <w:sz w:val="20"/>
          <w:szCs w:val="20"/>
          <w:color w:val="auto"/>
        </w:rPr>
        <w:t>”: Indebtedness evidenced by (a) that certain Subordinated Promissory Note dated as of January 23, 2017 between NerdWallet and The Kai R. Gibson 2014 Irrevocable Trust, (b) that certain Subordinated Promissory Note dated as of April 29, 2019 between NerdWallet and Beverly Picardo Living Trust, (c) that certain Subordinated Promissory Note dated as of January 23, 2017 between NerdWallet and The Gabriella I. Gibson 2014 Irrevocable Trust and (d) that certain Subordinated Promissory Note dated as of April 29, 2019 between NerdWallet and JakeG Living Trust.</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Investor Subordination Agreement</w:t>
      </w:r>
      <w:r>
        <w:rPr>
          <w:rFonts w:ascii="Times New Roman" w:cs="Times New Roman" w:eastAsia="Times New Roman" w:hAnsi="Times New Roman"/>
          <w:sz w:val="20"/>
          <w:szCs w:val="20"/>
          <w:color w:val="auto"/>
        </w:rPr>
        <w:t>”: that certain Subordination Agreement dated as of the Original Closing Date, between the Administrative Agent, on the one hand, and JakeG Living Trust, Beverly Picardo Living Trust, The Gabriella I. Gibson 2014 Irrevocable Trust and The Kai R. Gibson 2014 Irrevocable Trust, on the other, and acknowledged by NerdWallet.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the Internal Revenue Service, or any successor thereto.</w:t>
      </w:r>
    </w:p>
    <w:p>
      <w:pPr>
        <w:spacing w:after="0" w:line="21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ISP</w:t>
      </w:r>
      <w:r>
        <w:rPr>
          <w:rFonts w:ascii="Times New Roman" w:cs="Times New Roman" w:eastAsia="Times New Roman" w:hAnsi="Times New Roman"/>
          <w:sz w:val="20"/>
          <w:szCs w:val="20"/>
          <w:color w:val="auto"/>
        </w:rPr>
        <w:t>”: with respect to any Letter of Credit, the “International Standby Practices 1998” published by the Institute of International Banking Law &amp; Practice (or such later version thereof as may be in effect at the time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648"/>
        <w:spacing w:after="0" w:line="24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Issuing Lender</w:t>
      </w:r>
      <w:r>
        <w:rPr>
          <w:rFonts w:ascii="Times New Roman" w:cs="Times New Roman" w:eastAsia="Times New Roman" w:hAnsi="Times New Roman"/>
          <w:sz w:val="19"/>
          <w:szCs w:val="19"/>
          <w:color w:val="auto"/>
        </w:rPr>
        <w:t xml:space="preserve">”: as the context may require, (a) SVB or any Affiliate thereof, in its capacity as issuer of any Letter of Credit (including, without limitation, each Existing Letter of Credit), and (b) any other Lender or an Affiliate thereof that may become an Issuing Lender pursuant to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3.12</w:t>
      </w:r>
      <w:r>
        <w:rPr>
          <w:rFonts w:ascii="Times New Roman" w:cs="Times New Roman" w:eastAsia="Times New Roman" w:hAnsi="Times New Roman"/>
          <w:sz w:val="19"/>
          <w:szCs w:val="19"/>
          <w:color w:val="auto"/>
        </w:rPr>
        <w:t>, with respect to Letters of Credit issued by such Lender or its Affiliate.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 For the avoidance of doubt, no Lender shall become an Issuing Lender unless it shall so agree.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Advance</w:t>
      </w:r>
      <w:r>
        <w:rPr>
          <w:rFonts w:ascii="Times New Roman" w:cs="Times New Roman" w:eastAsia="Times New Roman" w:hAnsi="Times New Roman"/>
          <w:sz w:val="20"/>
          <w:szCs w:val="20"/>
          <w:color w:val="auto"/>
        </w:rPr>
        <w:t>”: each L/C Lender’s funding of its participation in any L/C Disbursement in accordance with its L/C Percentage of the L/C Commitment. All L/C Advances shall be denominated in Dollars.</w:t>
      </w:r>
    </w:p>
    <w:p>
      <w:pPr>
        <w:spacing w:after="0" w:line="15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Commitment</w:t>
      </w:r>
      <w:r>
        <w:rPr>
          <w:rFonts w:ascii="Times New Roman" w:cs="Times New Roman" w:eastAsia="Times New Roman" w:hAnsi="Times New Roman"/>
          <w:sz w:val="20"/>
          <w:szCs w:val="20"/>
          <w:color w:val="auto"/>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 xml:space="preserve">) in an aggregate principal amount not to exceed the amount set forth under the heading “L/C Commitment” opposite such L/C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or in the Assignment and Assumption or Increase Joinder pursuant to which such L/C Lender becomes a party hereto, as the same may be changed from time to time pursuant to the terms hereof. The L/C Commitment is a sublimit of the Revolving Commitment and the aggregate amount of the L/C Commitments shall not exceed the amount of the Total L/C Commitments at any time.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Disbursements</w:t>
      </w:r>
      <w:r>
        <w:rPr>
          <w:rFonts w:ascii="Times New Roman" w:cs="Times New Roman" w:eastAsia="Times New Roman" w:hAnsi="Times New Roman"/>
          <w:sz w:val="20"/>
          <w:szCs w:val="20"/>
          <w:color w:val="auto"/>
        </w:rPr>
        <w:t>”: a payment or disbursement made by the Issuing Lender pursuant to a Letter of Credit.</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Exposure</w:t>
      </w:r>
      <w:r>
        <w:rPr>
          <w:rFonts w:ascii="Times New Roman" w:cs="Times New Roman" w:eastAsia="Times New Roman" w:hAnsi="Times New Roman"/>
          <w:sz w:val="20"/>
          <w:szCs w:val="20"/>
          <w:color w:val="auto"/>
        </w:rPr>
        <w:t>”: at any time, the sum of (a) the Dollar Equivalent of the aggregate undrawn amount of all outstanding Letters of Credit at such time, and (b) the aggregate amount of all L/C Disbursements that have not yet been reimbursed or converted into Revolving Loans or Swingline Loans at such time. The L/C Exposure of any L/C Lender at any time shall equal its L/C Percentage of the aggregate L/C Exposure at such time.</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Facility</w:t>
      </w:r>
      <w:r>
        <w:rPr>
          <w:rFonts w:ascii="Times New Roman" w:cs="Times New Roman" w:eastAsia="Times New Roman" w:hAnsi="Times New Roman"/>
          <w:sz w:val="20"/>
          <w:szCs w:val="20"/>
          <w:color w:val="auto"/>
        </w:rPr>
        <w:t>”: the L/C Commitments and the extensions of credit made thereunder.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Fee Payment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Lender</w:t>
      </w:r>
      <w:r>
        <w:rPr>
          <w:rFonts w:ascii="Times New Roman" w:cs="Times New Roman" w:eastAsia="Times New Roman" w:hAnsi="Times New Roman"/>
          <w:sz w:val="20"/>
          <w:szCs w:val="20"/>
          <w:color w:val="auto"/>
        </w:rPr>
        <w:t>”: a Lender with an L/C Commitment.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Percentage</w:t>
      </w:r>
      <w:r>
        <w:rPr>
          <w:rFonts w:ascii="Times New Roman" w:cs="Times New Roman" w:eastAsia="Times New Roman" w:hAnsi="Times New Roman"/>
          <w:sz w:val="20"/>
          <w:szCs w:val="20"/>
          <w:color w:val="auto"/>
        </w:rPr>
        <w:t xml:space="preserve">”: as to any L/C Lender at any time, the percentage of the Total L/C Commitments represented by such L/C Lender’s L/C Commitment, as such percentage may be adjusted as provided in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L/C-Related Documents</w:t>
      </w:r>
      <w:r>
        <w:rPr>
          <w:rFonts w:ascii="Times New Roman" w:cs="Times New Roman" w:eastAsia="Times New Roman" w:hAnsi="Times New Roman"/>
          <w:sz w:val="20"/>
          <w:szCs w:val="20"/>
          <w:color w:val="auto"/>
        </w:rPr>
        <w:t>”: collectively, each Letter of Credit (including any Existing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LCA Election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LCA Test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09" w:right="339" w:bottom="1440" w:gutter="0" w:footer="0" w:header="0"/>
        </w:sectPr>
      </w:pPr>
    </w:p>
    <w:bookmarkStart w:id="64" w:name="page65"/>
    <w:bookmarkEnd w:id="64"/>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xml:space="preserve">”: as defined in the preamble hereto;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unless the context otherwise requires, each reference herein to the Lenders shall be deemed to include the Issuing Lender, the L/C Lenders, and the Swingline Lender.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term shall include each Existing Letter of Credit.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Letter of Credit Availability Period</w:t>
      </w:r>
      <w:r>
        <w:rPr>
          <w:rFonts w:ascii="Times New Roman" w:cs="Times New Roman" w:eastAsia="Times New Roman" w:hAnsi="Times New Roman"/>
          <w:sz w:val="19"/>
          <w:szCs w:val="19"/>
          <w:color w:val="auto"/>
        </w:rPr>
        <w:t>”: the period from and including the Closing Date to but excluding the Letter of Credit Maturity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Fronting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Maturity Date</w:t>
      </w:r>
      <w:r>
        <w:rPr>
          <w:rFonts w:ascii="Times New Roman" w:cs="Times New Roman" w:eastAsia="Times New Roman" w:hAnsi="Times New Roman"/>
          <w:sz w:val="20"/>
          <w:szCs w:val="20"/>
          <w:color w:val="auto"/>
        </w:rPr>
        <w:t>”: the date occurring 15 days prior to the Revolving Termination Date then in effect (or, if such day is not a Business Day, the next preceding Business Day).</w:t>
      </w:r>
    </w:p>
    <w:p>
      <w:pPr>
        <w:spacing w:after="0" w:line="15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7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Limited Condition Acquisition</w:t>
      </w:r>
      <w:r>
        <w:rPr>
          <w:rFonts w:ascii="Times New Roman" w:cs="Times New Roman" w:eastAsia="Times New Roman" w:hAnsi="Times New Roman"/>
          <w:sz w:val="20"/>
          <w:szCs w:val="20"/>
          <w:color w:val="auto"/>
        </w:rPr>
        <w:t xml:space="preserve">”: any Permitted Acquisition, the consummation of which is not conditioned on the availability of, or on obtaining, third party financing and is being financed with an Increase;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 the event the consummation of any such Permitted Acquisition shall not have occurred on or prior to the date that is 90 days following the signing of the applicable Limited Condition Acquisition Agreement, such Permitted Acquisition shall no longer constitute a Limited Condition Acquisition for any purpose.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Limited Condition Acquisition Agreement</w:t>
      </w:r>
      <w:r>
        <w:rPr>
          <w:rFonts w:ascii="Times New Roman" w:cs="Times New Roman" w:eastAsia="Times New Roman" w:hAnsi="Times New Roman"/>
          <w:sz w:val="20"/>
          <w:szCs w:val="20"/>
          <w:color w:val="auto"/>
        </w:rPr>
        <w:t>”: any agreement providing for a Limited Condition Acquisition.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w:t>
      </w:r>
      <w:r>
        <w:rPr>
          <w:rFonts w:ascii="Times New Roman" w:cs="Times New Roman" w:eastAsia="Times New Roman" w:hAnsi="Times New Roman"/>
          <w:sz w:val="20"/>
          <w:szCs w:val="20"/>
          <w:color w:val="auto"/>
        </w:rPr>
        <w:t>”: any loan made or maintained by any Lender pursuant to this Agreement.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Documents</w:t>
      </w:r>
      <w:r>
        <w:rPr>
          <w:rFonts w:ascii="Times New Roman" w:cs="Times New Roman" w:eastAsia="Times New Roman" w:hAnsi="Times New Roman"/>
          <w:sz w:val="20"/>
          <w:szCs w:val="20"/>
          <w:color w:val="auto"/>
        </w:rPr>
        <w:t xml:space="preserve">”: this Agreement, each Security Document, each Note, the Existing Fee Letter, the Fee Letter, each Assignment and Assumption, each Compliance Certificate, each Increase Joinder, each Notice of Borrowing, each Notice of Conversion/Continuation, the Solvency Certificate, the Collateral Information Certificate, each L/C-Related Document, the Investor Subordination Agreement, each subordination or intercreditor agreement and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or otherwise, and any amendment, waiver, supplement or other modification to any of the foregoing.</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Parties</w:t>
      </w:r>
      <w:r>
        <w:rPr>
          <w:rFonts w:ascii="Times New Roman" w:cs="Times New Roman" w:eastAsia="Times New Roman" w:hAnsi="Times New Roman"/>
          <w:sz w:val="20"/>
          <w:szCs w:val="20"/>
          <w:color w:val="auto"/>
        </w:rPr>
        <w:t>”: each Group Member that is a party to a Loan Document, as a Borrower or a Guarantor.</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 (a) a material adverse change in, or a material adverse effect on, the operations, business, assets, properties, liabilities (actual or contingent), or financial condition of the Group Members, taken as a whole; (b) a material impairment of the rights and remedies, taken as a whole, of the Administrative Agent or any Lender under any Loan Document, or of the ability of the Loan Parties, taken as a whole, to perform their obligations under the Loan Documents; or (c) a material adverse effect upon the legality, validity, binding effect or enforceability against any Loan Party of any Loan Document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09" w:right="339" w:bottom="1440" w:gutter="0" w:footer="0" w:header="0"/>
        </w:sectPr>
      </w:pPr>
    </w:p>
    <w:bookmarkStart w:id="65" w:name="page66"/>
    <w:bookmarkEnd w:id="65"/>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Materials of Environmental Concern</w:t>
      </w:r>
      <w:r>
        <w:rPr>
          <w:rFonts w:ascii="Times New Roman" w:cs="Times New Roman" w:eastAsia="Times New Roman" w:hAnsi="Times New Roman"/>
          <w:sz w:val="20"/>
          <w:szCs w:val="20"/>
          <w:color w:val="auto"/>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Moody’s</w:t>
      </w:r>
      <w:r>
        <w:rPr>
          <w:rFonts w:ascii="Times New Roman" w:cs="Times New Roman" w:eastAsia="Times New Roman" w:hAnsi="Times New Roman"/>
          <w:sz w:val="20"/>
          <w:szCs w:val="20"/>
          <w:color w:val="auto"/>
        </w:rPr>
        <w:t>”: Moody’s Investors Service, Inc.</w:t>
      </w:r>
    </w:p>
    <w:p>
      <w:pPr>
        <w:spacing w:after="0" w:line="20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Mortgaged Properties</w:t>
      </w:r>
      <w:r>
        <w:rPr>
          <w:rFonts w:ascii="Times New Roman" w:cs="Times New Roman" w:eastAsia="Times New Roman" w:hAnsi="Times New Roman"/>
          <w:sz w:val="20"/>
          <w:szCs w:val="20"/>
          <w:color w:val="auto"/>
        </w:rPr>
        <w:t xml:space="preserve">”: the real properties as to which, pursuant to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 xml:space="preserve"> or otherwise, the Administrative Agent, for the benefit of the Secured Parties, shall be granted a Lien pursuant to the Mortgages.</w:t>
      </w:r>
    </w:p>
    <w:p>
      <w:pPr>
        <w:spacing w:after="0" w:line="15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Mortgages</w:t>
      </w:r>
      <w:r>
        <w:rPr>
          <w:rFonts w:ascii="Times New Roman" w:cs="Times New Roman" w:eastAsia="Times New Roman" w:hAnsi="Times New Roman"/>
          <w:sz w:val="20"/>
          <w:szCs w:val="20"/>
          <w:color w:val="auto"/>
        </w:rPr>
        <w:t>”: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Multiemployer Plan</w:t>
      </w:r>
      <w:r>
        <w:rPr>
          <w:rFonts w:ascii="Times New Roman" w:cs="Times New Roman" w:eastAsia="Times New Roman" w:hAnsi="Times New Roman"/>
          <w:sz w:val="20"/>
          <w:szCs w:val="20"/>
          <w:color w:val="auto"/>
        </w:rPr>
        <w:t>”: a “multiemployer plan” (within the meaning of Section 3(37) of ERISA) to which any Loan Party or any ERISA Affiliate thereof makes, is making, or is obligated to make, contributions or has any liability.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NerdWallet</w:t>
      </w:r>
      <w:r>
        <w:rPr>
          <w:rFonts w:ascii="Times New Roman" w:cs="Times New Roman" w:eastAsia="Times New Roman" w:hAnsi="Times New Roman"/>
          <w:sz w:val="20"/>
          <w:szCs w:val="20"/>
          <w:color w:val="auto"/>
        </w:rPr>
        <w:t>”: as defined in the preamble hereto.</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Non-Consenting Lender</w:t>
      </w:r>
      <w:r>
        <w:rPr>
          <w:rFonts w:ascii="Times New Roman" w:cs="Times New Roman" w:eastAsia="Times New Roman" w:hAnsi="Times New Roman"/>
          <w:sz w:val="20"/>
          <w:szCs w:val="20"/>
          <w:color w:val="auto"/>
        </w:rPr>
        <w:t xml:space="preserve">”: any Lender that does not approve any consent, waiver or amendment that (a) requires the approval of all affected Lenders in accordance with the terms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(b) has been approved by the Required Lenders.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Non-Defaulting Lender</w:t>
      </w:r>
      <w:r>
        <w:rPr>
          <w:rFonts w:ascii="Times New Roman" w:cs="Times New Roman" w:eastAsia="Times New Roman" w:hAnsi="Times New Roman"/>
          <w:sz w:val="20"/>
          <w:szCs w:val="20"/>
          <w:color w:val="auto"/>
        </w:rPr>
        <w:t>”: at any time, each Lender that is not a Defaulting Lender at such time.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a Revolving Loan Note or a Swingline Loan Note.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Borrowing</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Conversion/Continuation</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NW Compare</w:t>
      </w:r>
      <w:r>
        <w:rPr>
          <w:rFonts w:ascii="Times New Roman" w:cs="Times New Roman" w:eastAsia="Times New Roman" w:hAnsi="Times New Roman"/>
          <w:sz w:val="20"/>
          <w:szCs w:val="20"/>
          <w:color w:val="auto"/>
        </w:rPr>
        <w:t>”: as defined in the preamble hereto.</w:t>
      </w:r>
    </w:p>
    <w:p>
      <w:pPr>
        <w:spacing w:after="0" w:line="20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(a) the unpaid principal of and interest on (including interest accruing after the maturity of the Loans and interest accruing after the filing of any petition in bankruptcy, or the commencement of any Insolvency Proceeding relating to any Loan Party, whether or not a claim for post-filing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(and the other Group Members in the cash of obligations in respect of Cash Management Services) to the Administrative Agent, the Issuing Lender, any other Lender, any applicable Cash Management Bank, and any Qualified Counterparty, whether direct or indirect, absolute or contingent, due or to become due, or now existing or hereafter incurred, which may arise under, out of, or in connection with, this Agreement, any other Loan Document, the Letters of Credit, any Cash Management Agreement, any Specified Swap Agreement or any other document made, delivered or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09" w:right="339" w:bottom="1440" w:gutter="0" w:footer="0" w:header="0"/>
        </w:sectPr>
      </w:pPr>
    </w:p>
    <w:bookmarkStart w:id="66" w:name="page67"/>
    <w:bookmarkEnd w:id="66"/>
    <w:p>
      <w:pPr>
        <w:jc w:val="both"/>
        <w:spacing w:after="0" w:line="243" w:lineRule="auto"/>
        <w:rPr>
          <w:sz w:val="20"/>
          <w:szCs w:val="20"/>
          <w:color w:val="auto"/>
        </w:rPr>
      </w:pPr>
      <w:r>
        <w:rPr>
          <w:rFonts w:ascii="Times New Roman" w:cs="Times New Roman" w:eastAsia="Times New Roman" w:hAnsi="Times New Roman"/>
          <w:sz w:val="19"/>
          <w:szCs w:val="19"/>
          <w:color w:val="auto"/>
        </w:rPr>
        <w:t>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to the extent that any applicable Cash Management Agreement requires the reimbursement by any applicable Group Member of any such expenses, and any Qualified Counterparty) that are required to be paid by any Group Member pursuant any Loan Document, Cash Management Agreement, Specified Swap Agreement or otherwise, and (b) Erroneous Payment Subrogation Rights. For the avoidance of doubt, the Obligations shall not include</w:t>
      </w:r>
    </w:p>
    <w:p>
      <w:pPr>
        <w:spacing w:after="0" w:line="4" w:lineRule="exact"/>
        <w:rPr>
          <w:sz w:val="20"/>
          <w:szCs w:val="20"/>
          <w:color w:val="auto"/>
        </w:rPr>
      </w:pPr>
    </w:p>
    <w:p>
      <w:pPr>
        <w:ind w:firstLine="8"/>
        <w:spacing w:after="0" w:line="236" w:lineRule="auto"/>
        <w:tabs>
          <w:tab w:leader="none" w:pos="27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obligations arising under any warrants or other equity instruments issued by any Loan Party to any Lender, or (b) solely with respect to any Guarantor that is not a Qualified ECP Guarantor, any Excluded Swap Obligations of such Guarantor.</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the Office of Foreign Assets Control of the United States Department of the Treasury and any successor thereto.</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Operating Documents</w:t>
      </w:r>
      <w:r>
        <w:rPr>
          <w:rFonts w:ascii="Times New Roman" w:cs="Times New Roman" w:eastAsia="Times New Roman" w:hAnsi="Times New Roman"/>
          <w:sz w:val="20"/>
          <w:szCs w:val="20"/>
          <w:color w:val="auto"/>
        </w:rPr>
        <w:t>”: for any Person as of any date, such Person’s constitutional documents, formation documents and/or certificate of incorporation (or equivalent thereof),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Original Closing Date</w:t>
      </w:r>
      <w:r>
        <w:rPr>
          <w:rFonts w:ascii="Times New Roman" w:cs="Times New Roman" w:eastAsia="Times New Roman" w:hAnsi="Times New Roman"/>
          <w:sz w:val="20"/>
          <w:szCs w:val="20"/>
          <w:color w:val="auto"/>
        </w:rPr>
        <w:t>”: the “Closing Date” as defined in in the Existing Credit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Original Loan Documents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Connection Taxes</w:t>
      </w:r>
      <w:r>
        <w:rPr>
          <w:rFonts w:ascii="Times New Roman" w:cs="Times New Roman" w:eastAsia="Times New Roman" w:hAnsi="Times New Roman"/>
          <w:sz w:val="20"/>
          <w:szCs w:val="20"/>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Taxes</w:t>
      </w:r>
      <w:r>
        <w:rPr>
          <w:rFonts w:ascii="Times New Roman" w:cs="Times New Roman" w:eastAsia="Times New Roman" w:hAnsi="Times New Roman"/>
          <w:sz w:val="20"/>
          <w:szCs w:val="20"/>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Overadvance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Patriot Act</w:t>
      </w:r>
      <w:r>
        <w:rPr>
          <w:rFonts w:ascii="Times New Roman" w:cs="Times New Roman" w:eastAsia="Times New Roman" w:hAnsi="Times New Roman"/>
          <w:sz w:val="20"/>
          <w:szCs w:val="20"/>
          <w:color w:val="auto"/>
        </w:rPr>
        <w:t>”: the Uniting and Strengthening America by Providing Appropriate Tools Required to Intercept and Obstruct Terrorism (USA PATRIOT ACT) Act of 2001, Title III of Pub. L. 107-56, signed into law October 26, 2001.</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Recipient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PBGC</w:t>
      </w:r>
      <w:r>
        <w:rPr>
          <w:rFonts w:ascii="Times New Roman" w:cs="Times New Roman" w:eastAsia="Times New Roman" w:hAnsi="Times New Roman"/>
          <w:sz w:val="20"/>
          <w:szCs w:val="20"/>
          <w:color w:val="auto"/>
        </w:rPr>
        <w:t>”: the Pension Benefit Guaranty Corporation,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67" w:name="page68"/>
    <w:bookmarkEnd w:id="67"/>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Plan</w:t>
      </w:r>
      <w:r>
        <w:rPr>
          <w:rFonts w:ascii="Times New Roman" w:cs="Times New Roman" w:eastAsia="Times New Roman" w:hAnsi="Times New Roman"/>
          <w:sz w:val="20"/>
          <w:szCs w:val="20"/>
          <w:color w:val="auto"/>
        </w:rPr>
        <w:t>”: an employee benefit plan (as defined in Section 3(3) of ERISA) other than a Multiemployer Plan (a) that is sponsored by any Loan Party or any ERISA Affiliate thereof or to which any Loan Party or any ERISA Affiliate thereof has any obligation to make contributions or has any liability (contingent or otherwise), and (b) that is or was subject to Section 412 of the Code, Section 302 of ERISA or Title IV of ERISA.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as defined in the definition of “Term SOFR”.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7.8(p)</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any natural Person, corporation, limited liability company, trust, joint venture, association, company, partnership, Governmental Authority or other entity.</w:t>
      </w:r>
    </w:p>
    <w:p>
      <w:pPr>
        <w:spacing w:after="0" w:line="15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 an employee benefit plan (as defined in Section 3(3) of ERISA) other than a Multiemployer Plan which is maintained or sponsored by any Group Member or to which any Group Member is obligated to make, contributions or has any liability, (b) a Pension Plan, or (c) a Qualified Plan.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Assets Regulation</w:t>
      </w:r>
      <w:r>
        <w:rPr>
          <w:rFonts w:ascii="Times New Roman" w:cs="Times New Roman" w:eastAsia="Times New Roman" w:hAnsi="Times New Roman"/>
          <w:sz w:val="20"/>
          <w:szCs w:val="20"/>
          <w:color w:val="auto"/>
        </w:rPr>
        <w:t>”: 29 CFR § 2510.3-101, as modified by Section 3(42) of ERISA, as amended from time to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Platform</w:t>
      </w:r>
      <w:r>
        <w:rPr>
          <w:rFonts w:ascii="Times New Roman" w:cs="Times New Roman" w:eastAsia="Times New Roman" w:hAnsi="Times New Roman"/>
          <w:sz w:val="20"/>
          <w:szCs w:val="20"/>
          <w:color w:val="auto"/>
        </w:rPr>
        <w:t>”: is any of Debt Domain, Intralinks, Syndtrak, DebtX or a substantially similar electronic transmission system.</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the preferred Capital Stock of the Borrower, if any.</w:t>
      </w:r>
    </w:p>
    <w:p>
      <w:pPr>
        <w:spacing w:after="0" w:line="20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Prime Rate</w:t>
      </w:r>
      <w:r>
        <w:rPr>
          <w:rFonts w:ascii="Times New Roman" w:cs="Times New Roman" w:eastAsia="Times New Roman" w:hAnsi="Times New Roman"/>
          <w:sz w:val="20"/>
          <w:szCs w:val="20"/>
          <w:color w:val="auto"/>
        </w:rPr>
        <w:t xml:space="preserve">”: for any day, a rate per annum equal to the rate of interest per annum published in the money rates section of the Wall Street Journal or any successor publication thereto as the “prime rate” then in effect;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in the State of California (such announced Prime Rate not being intended to be the lowest rate of interest charged by the Administrative Agent in connection with extensions of credit to debtors).</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Basis</w:t>
      </w:r>
      <w:r>
        <w:rPr>
          <w:rFonts w:ascii="Times New Roman" w:cs="Times New Roman" w:eastAsia="Times New Roman" w:hAnsi="Times New Roman"/>
          <w:sz w:val="20"/>
          <w:szCs w:val="20"/>
          <w:color w:val="auto"/>
        </w:rPr>
        <w:t>”: with respect to any calculation or determination for any period, in making such calculation or determination on the specified date of determination (the “</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1304"/>
        <w:spacing w:after="0" w:line="236" w:lineRule="auto"/>
        <w:tabs>
          <w:tab w:leader="none" w:pos="180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effect will be given to any Indebtedness incurred by a Group Member (including by assumption of then outstanding Indebtedness or by a Person becoming a Subsidiary) (“</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after the beginning of the applicable period and on or before the Determination Date to the extent the Indebtedness is outstanding or is to be Incurred on the Determination Date, as if such Indebtedness had been Incurred on the first day of such period;</w:t>
      </w:r>
    </w:p>
    <w:p>
      <w:pPr>
        <w:spacing w:after="0" w:line="175"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3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calculations of interest on Indebtedness bearing a floating interest rate will be made as if the rate in effect on the Determination Date (taking into account any Swap Agreement applicable to the Indebtedness) had been the applicable rate for the entire reference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09" w:right="339" w:bottom="1440" w:gutter="0" w:footer="0" w:header="0"/>
        </w:sectPr>
      </w:pPr>
    </w:p>
    <w:bookmarkStart w:id="68" w:name="page69"/>
    <w:bookmarkEnd w:id="68"/>
    <w:p>
      <w:pPr>
        <w:jc w:val="both"/>
        <w:ind w:firstLine="1304"/>
        <w:spacing w:after="0" w:line="245" w:lineRule="auto"/>
        <w:tabs>
          <w:tab w:leader="none" w:pos="1743"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 forma effect will be given to: (A) the acquisition or disposition of companies, divisions or lines of businesses by a Group Member, including any acquisition or disposition of a company, division or line of business since the beginning of the reference period by a Person that became a Subsidiary after the beginning of the applicable period; and (B) the discontinuation of any discontinued operations; in each case of clauses (A) and (B),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in good faith by a responsible financial or accounting officer of the Borrower in accordance with Regulation S-X under the Securities Act based upon the most recent four full fiscal quarters for which the relevant financial information is available.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6.2(c)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Properties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4.17(a)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Cash</w:t>
      </w:r>
      <w:r>
        <w:rPr>
          <w:rFonts w:ascii="Times New Roman" w:cs="Times New Roman" w:eastAsia="Times New Roman" w:hAnsi="Times New Roman"/>
          <w:sz w:val="20"/>
          <w:szCs w:val="20"/>
          <w:color w:val="auto"/>
        </w:rPr>
        <w:t>”: as of any date of determination, the aggregate amount of unrestricted cash and Cash Equivalents held at such time by the Loan Parties in Deposit Accounts that are subject to a first priority perfected Lien in favor of the Administrative Agent.</w:t>
      </w:r>
    </w:p>
    <w:p>
      <w:pPr>
        <w:spacing w:after="0" w:line="16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Counterparty</w:t>
      </w:r>
      <w:r>
        <w:rPr>
          <w:rFonts w:ascii="Times New Roman" w:cs="Times New Roman" w:eastAsia="Times New Roman" w:hAnsi="Times New Roman"/>
          <w:sz w:val="20"/>
          <w:szCs w:val="20"/>
          <w:color w:val="auto"/>
        </w:rPr>
        <w:t>”: with respect to any Specified Swap Agreement, any counterparty thereto that is a Lender or an Affiliate of a Lender or, at the time such Specified Swap Agreement was entered into or as of the Closing Date, was the Administrative Agent or a Lender or an Affiliate of the Administrative Agent or a Lender.</w:t>
      </w:r>
    </w:p>
    <w:p>
      <w:pPr>
        <w:spacing w:after="0" w:line="16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ECP Guarantor</w:t>
      </w:r>
      <w:r>
        <w:rPr>
          <w:rFonts w:ascii="Times New Roman" w:cs="Times New Roman" w:eastAsia="Times New Roman" w:hAnsi="Times New Roman"/>
          <w:sz w:val="20"/>
          <w:szCs w:val="20"/>
          <w:color w:val="auto"/>
        </w:rPr>
        <w:t>”: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w:t>
      </w:r>
    </w:p>
    <w:p>
      <w:pPr>
        <w:spacing w:after="0" w:line="1" w:lineRule="exact"/>
        <w:rPr>
          <w:sz w:val="20"/>
          <w:szCs w:val="20"/>
          <w:color w:val="auto"/>
        </w:rPr>
      </w:pPr>
    </w:p>
    <w:p>
      <w:pPr>
        <w:jc w:val="both"/>
        <w:ind w:firstLine="8"/>
        <w:spacing w:after="0" w:line="234" w:lineRule="auto"/>
        <w:tabs>
          <w:tab w:leader="none" w:pos="25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w:t>
      </w:r>
    </w:p>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IPO</w:t>
      </w:r>
      <w:r>
        <w:rPr>
          <w:rFonts w:ascii="Times New Roman" w:cs="Times New Roman" w:eastAsia="Times New Roman" w:hAnsi="Times New Roman"/>
          <w:sz w:val="20"/>
          <w:szCs w:val="20"/>
          <w:color w:val="auto"/>
        </w:rPr>
        <w:t>”: an underwritten primary public offering (other than a public offering pursuant to a registration statement on Form S-8) pursuant to an effective registration statement filed with the SEC in accordance with the Exchange Act (whether alone or in connection with any secondary public offering).</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Plan</w:t>
      </w:r>
      <w:r>
        <w:rPr>
          <w:rFonts w:ascii="Times New Roman" w:cs="Times New Roman" w:eastAsia="Times New Roman" w:hAnsi="Times New Roman"/>
          <w:sz w:val="19"/>
          <w:szCs w:val="19"/>
          <w:color w:val="auto"/>
        </w:rPr>
        <w:t>”: an employee benefit plan (as defined in Section 3(3) of ERISA) other than a Multiemployer Plan (a) that is maintained or sponsored by any Loan Party or any ERISA Affiliate thereof or to which any Loan Party or any ERISA Affiliate is obligated to make contributions or has liability (contingent or otherwise), and (b) that is intended to be tax-qualified under Section 401(a) of the Code.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Recipient</w:t>
      </w:r>
      <w:r>
        <w:rPr>
          <w:rFonts w:ascii="Times New Roman" w:cs="Times New Roman" w:eastAsia="Times New Roman" w:hAnsi="Times New Roman"/>
          <w:sz w:val="20"/>
          <w:szCs w:val="20"/>
          <w:color w:val="auto"/>
        </w:rPr>
        <w:t>”: the (a) Administrative Agent, (b) any Lender or (c) the Issuing Lender, as applicable.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Refunded Swingline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T</w:t>
      </w:r>
      <w:r>
        <w:rPr>
          <w:rFonts w:ascii="Times New Roman" w:cs="Times New Roman" w:eastAsia="Times New Roman" w:hAnsi="Times New Roman"/>
          <w:sz w:val="20"/>
          <w:szCs w:val="20"/>
          <w:color w:val="auto"/>
        </w:rPr>
        <w:t>”: Regulation T of the Board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U</w:t>
      </w:r>
      <w:r>
        <w:rPr>
          <w:rFonts w:ascii="Times New Roman" w:cs="Times New Roman" w:eastAsia="Times New Roman" w:hAnsi="Times New Roman"/>
          <w:sz w:val="20"/>
          <w:szCs w:val="20"/>
          <w:color w:val="auto"/>
        </w:rPr>
        <w:t>”: Regulation U of the Board as in effect from time to time.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X</w:t>
      </w:r>
      <w:r>
        <w:rPr>
          <w:rFonts w:ascii="Times New Roman" w:cs="Times New Roman" w:eastAsia="Times New Roman" w:hAnsi="Times New Roman"/>
          <w:sz w:val="20"/>
          <w:szCs w:val="20"/>
          <w:color w:val="auto"/>
        </w:rPr>
        <w:t>”: Regulation X of the Board as in effect from time to time.</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Parties</w:t>
      </w:r>
      <w:r>
        <w:rPr>
          <w:rFonts w:ascii="Times New Roman" w:cs="Times New Roman" w:eastAsia="Times New Roman" w:hAnsi="Times New Roman"/>
          <w:sz w:val="20"/>
          <w:szCs w:val="20"/>
          <w:color w:val="auto"/>
        </w:rPr>
        <w:t>”: with respect to any Person, such Person’s Affiliates and the partners, directors, officers, employees, agents, trustees, administrators, managers, advisors and representatives of such Person and of such Person’s Affiliates.</w:t>
      </w:r>
    </w:p>
    <w:p>
      <w:pPr>
        <w:spacing w:after="0" w:line="16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Relevant Governmental Body</w:t>
      </w:r>
      <w:r>
        <w:rPr>
          <w:rFonts w:ascii="Times New Roman" w:cs="Times New Roman" w:eastAsia="Times New Roman" w:hAnsi="Times New Roman"/>
          <w:sz w:val="20"/>
          <w:szCs w:val="20"/>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Replacement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Lenders</w:t>
      </w:r>
      <w:r>
        <w:rPr>
          <w:rFonts w:ascii="Times New Roman" w:cs="Times New Roman" w:eastAsia="Times New Roman" w:hAnsi="Times New Roman"/>
          <w:sz w:val="20"/>
          <w:szCs w:val="20"/>
          <w:color w:val="auto"/>
        </w:rPr>
        <w:t xml:space="preserve">”: at any time, (a) if only one Lender holds the Total Revolving Commitments, such Lender; and (b) if more than one Lender holds the Total Revolving Commitments, then at least two Lenders who together hold more than 50% of the Total Revolving Commitments (including, without duplication, the L/C Commitments) then in effect or, if the Revolving Commitments have been terminated, the Total Revolving Extensions of Credit then outstanding;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for the purposes of this clause (b), the Revolving Commitments of, and the portion of the Revolving Loans and participations in L/C Exposure and Swingline Loans held or deemed held by, any Defaulting Lender shall be excluded for purposes of making a determination of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 Lender and its Affiliates shall be deemed one Lender.</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Requirement of Law</w:t>
      </w:r>
      <w:r>
        <w:rPr>
          <w:rFonts w:ascii="Times New Roman" w:cs="Times New Roman" w:eastAsia="Times New Roman" w:hAnsi="Times New Roman"/>
          <w:sz w:val="20"/>
          <w:szCs w:val="20"/>
          <w:color w:val="auto"/>
        </w:rPr>
        <w:t>”: as to any Person, the Operating Documents of such Person, and any law,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Resolution Authority</w:t>
      </w:r>
      <w:r>
        <w:rPr>
          <w:rFonts w:ascii="Times New Roman" w:cs="Times New Roman" w:eastAsia="Times New Roman" w:hAnsi="Times New Roman"/>
          <w:sz w:val="20"/>
          <w:szCs w:val="20"/>
          <w:color w:val="auto"/>
        </w:rPr>
        <w:t>”: an EEA Resolution Authority or, with respect to any UK Financial Institution, a UK Resolution Authority.</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Responsible Officer</w:t>
      </w:r>
      <w:r>
        <w:rPr>
          <w:rFonts w:ascii="Times New Roman" w:cs="Times New Roman" w:eastAsia="Times New Roman" w:hAnsi="Times New Roman"/>
          <w:sz w:val="20"/>
          <w:szCs w:val="20"/>
          <w:color w:val="auto"/>
        </w:rPr>
        <w:t>”: with respect to any Loan Party, the chief executive officer, president, vice president, chief financial officer, treasurer, controller or comptroller of such Loan Party, but in any event, with respect to financial matters, the chief financial officer, treasurer, controller or comptroller of such Loan Party.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Payments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Revaluation Date</w:t>
      </w:r>
      <w:r>
        <w:rPr>
          <w:rFonts w:ascii="Times New Roman" w:cs="Times New Roman" w:eastAsia="Times New Roman" w:hAnsi="Times New Roman"/>
          <w:sz w:val="20"/>
          <w:szCs w:val="20"/>
          <w:color w:val="auto"/>
        </w:rPr>
        <w:t>”: with respect to any Letter of Credit, each of the following: (a) each date of issuance, amendment and/or extension of a Letter of Credit denominated in an Alternative Currency, (b) each date of any payment by the Issuing Lender under any Letter of Credit denominated in an Alternative Currency, (c) in the case of all Existing Letters of Credit denominated in Alternative Currencies, the Original Closing Date, and (d) such additional dates as the Administrative Agent or the Issuing Lender shall determine or the Required Lenders shall require.</w:t>
      </w:r>
    </w:p>
    <w:p>
      <w:pPr>
        <w:spacing w:after="0" w:line="17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w:t>
      </w:r>
      <w:r>
        <w:rPr>
          <w:rFonts w:ascii="Times New Roman" w:cs="Times New Roman" w:eastAsia="Times New Roman" w:hAnsi="Times New Roman"/>
          <w:sz w:val="20"/>
          <w:szCs w:val="20"/>
          <w:color w:val="auto"/>
        </w:rPr>
        <w:t xml:space="preserve">”: as to any Lender, the obligation of such Lender, if any, to make Revolving Loans and participate in Swingline Loans and Letters of Credit in an aggregate principal amount not to exceed the amount set forth under the heading “Revolving Commitment”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or in the Assignment and Assumption or Increase Joinder pursuant to which such Lender became a party hereto, as the same may be changed from time to time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09" w:right="339" w:bottom="1440" w:gutter="0" w:footer="0" w:header="0"/>
        </w:sectPr>
      </w:pPr>
    </w:p>
    <w:bookmarkStart w:id="70" w:name="page71"/>
    <w:bookmarkEnd w:id="70"/>
    <w:p>
      <w:pPr>
        <w:jc w:val="both"/>
        <w:spacing w:after="0"/>
        <w:rPr>
          <w:sz w:val="20"/>
          <w:szCs w:val="20"/>
          <w:color w:val="auto"/>
        </w:rPr>
      </w:pPr>
      <w:r>
        <w:rPr>
          <w:rFonts w:ascii="Times New Roman" w:cs="Times New Roman" w:eastAsia="Times New Roman" w:hAnsi="Times New Roman"/>
          <w:sz w:val="20"/>
          <w:szCs w:val="20"/>
          <w:color w:val="auto"/>
        </w:rPr>
        <w:t>terms hereof (including in connection with assignments and Increases permitted hereunder). The amount of the Total Revolving Commitments as of the Closing Date is $100,000,000. The L/C Commitment and the Swingline Commitment are each sublimits of the Total Revolving Commitments.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 Period</w:t>
      </w:r>
      <w:r>
        <w:rPr>
          <w:rFonts w:ascii="Times New Roman" w:cs="Times New Roman" w:eastAsia="Times New Roman" w:hAnsi="Times New Roman"/>
          <w:sz w:val="20"/>
          <w:szCs w:val="20"/>
          <w:color w:val="auto"/>
        </w:rPr>
        <w:t>”: the period from and including the Closing Date to the Revolving Termination Date.</w:t>
      </w:r>
    </w:p>
    <w:p>
      <w:pPr>
        <w:spacing w:after="0" w:line="21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Extensions of Credit</w:t>
      </w:r>
      <w:r>
        <w:rPr>
          <w:rFonts w:ascii="Times New Roman" w:cs="Times New Roman" w:eastAsia="Times New Roman" w:hAnsi="Times New Roman"/>
          <w:sz w:val="20"/>
          <w:szCs w:val="20"/>
          <w:color w:val="auto"/>
        </w:rPr>
        <w:t xml:space="preserve">”: as to any Revolving Lender at any time, an amount equal to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(a) the aggregate principal amount of all Revolving Loans held by such Lender then outstanding,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such Lender’s L/C Percentage of the Dollar Equivalent of the aggregate undrawn amount of all outstanding Letters of Credit (including the Existing Letter of Credit)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Dollar Equivalent of such Lender’s L/C Percentage of the aggregate amount of all L/C Disbursements that have not yet been reimbursed or converted into Revolving Loans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such Lender’s Revolving Percentage of the aggregate principal amount of Swingline Loans then outstanding.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Facility</w:t>
      </w:r>
      <w:r>
        <w:rPr>
          <w:rFonts w:ascii="Times New Roman" w:cs="Times New Roman" w:eastAsia="Times New Roman" w:hAnsi="Times New Roman"/>
          <w:sz w:val="20"/>
          <w:szCs w:val="20"/>
          <w:color w:val="auto"/>
        </w:rPr>
        <w:t>”: the Revolving Commitments and the extensions of credit made thereunder.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Lender</w:t>
      </w:r>
      <w:r>
        <w:rPr>
          <w:rFonts w:ascii="Times New Roman" w:cs="Times New Roman" w:eastAsia="Times New Roman" w:hAnsi="Times New Roman"/>
          <w:sz w:val="20"/>
          <w:szCs w:val="20"/>
          <w:color w:val="auto"/>
        </w:rPr>
        <w:t>”: each Lender that has a Revolving Commitment or that holds Revolving Loans.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Conversion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H-1</w:t>
      </w:r>
      <w:r>
        <w:rPr>
          <w:rFonts w:ascii="Times New Roman" w:cs="Times New Roman" w:eastAsia="Times New Roman" w:hAnsi="Times New Roman"/>
          <w:sz w:val="20"/>
          <w:szCs w:val="20"/>
          <w:color w:val="auto"/>
        </w:rPr>
        <w:t>, as it may be amended, supplemented or otherwise modified from time to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Percentage</w:t>
      </w:r>
      <w:r>
        <w:rPr>
          <w:rFonts w:ascii="Times New Roman" w:cs="Times New Roman" w:eastAsia="Times New Roman" w:hAnsi="Times New Roman"/>
          <w:sz w:val="20"/>
          <w:szCs w:val="20"/>
          <w:color w:val="auto"/>
        </w:rPr>
        <w:t xml:space="preserve">”: as to any Revolving Lender at any time, the percentage which such Lender’s Revolving Commitment then constitutes of the Total Revolving Commitments or, at any time after the Revolving Commitments of all Lenders shall have expired or terminated, the percentage which the aggregate principal amount of such Lender’s Revolving Loans then outstanding constitutes of the aggregate principal amount of all Revolving Loans then outstanding;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Termination Date</w:t>
      </w:r>
      <w:r>
        <w:rPr>
          <w:rFonts w:ascii="Times New Roman" w:cs="Times New Roman" w:eastAsia="Times New Roman" w:hAnsi="Times New Roman"/>
          <w:sz w:val="20"/>
          <w:szCs w:val="20"/>
          <w:color w:val="auto"/>
        </w:rPr>
        <w:t>”: is December 2, 2023.</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S&amp;P</w:t>
      </w:r>
      <w:r>
        <w:rPr>
          <w:rFonts w:ascii="Times New Roman" w:cs="Times New Roman" w:eastAsia="Times New Roman" w:hAnsi="Times New Roman"/>
          <w:sz w:val="20"/>
          <w:szCs w:val="20"/>
          <w:color w:val="auto"/>
        </w:rPr>
        <w:t>”: Standard &amp; Poor’s Ratings Services.</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Sale Leaseback Transaction</w:t>
      </w:r>
      <w:r>
        <w:rPr>
          <w:rFonts w:ascii="Times New Roman" w:cs="Times New Roman" w:eastAsia="Times New Roman" w:hAnsi="Times New Roman"/>
          <w:sz w:val="20"/>
          <w:szCs w:val="20"/>
          <w:color w:val="auto"/>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Same Day Funds</w:t>
      </w:r>
      <w:r>
        <w:rPr>
          <w:rFonts w:ascii="Times New Roman" w:cs="Times New Roman" w:eastAsia="Times New Roman" w:hAnsi="Times New Roman"/>
          <w:sz w:val="20"/>
          <w:szCs w:val="20"/>
          <w:color w:val="auto"/>
        </w:rPr>
        <w:t>”: (a) with respect to disbursements and payments in Dollars, immediately available funds, and (b) with respect to disbursements and payments in an Alternative Currency, same day or other funds as may be determined by the Administrative Agent or the Issuing Lender,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20"/>
          <w:szCs w:val="20"/>
          <w:color w:val="auto"/>
        </w:rPr>
        <w:t>be, to be customary in the place of disbursement or payment for the settlement of international banking transactions in the relevant Alternative Currency.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any international economic sanction administered or enforced by the United States Government (including OFAC), the United Nations Security Council, the European Union, Her Majesty’s Treasury or other relevant sanctions authority.</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Parties</w:t>
      </w:r>
      <w:r>
        <w:rPr>
          <w:rFonts w:ascii="Times New Roman" w:cs="Times New Roman" w:eastAsia="Times New Roman" w:hAnsi="Times New Roman"/>
          <w:sz w:val="20"/>
          <w:szCs w:val="20"/>
          <w:color w:val="auto"/>
        </w:rPr>
        <w:t>”: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Account</w:t>
      </w:r>
      <w:r>
        <w:rPr>
          <w:rFonts w:ascii="Times New Roman" w:cs="Times New Roman" w:eastAsia="Times New Roman" w:hAnsi="Times New Roman"/>
          <w:sz w:val="20"/>
          <w:szCs w:val="20"/>
          <w:color w:val="auto"/>
        </w:rPr>
        <w:t>”: any “securities account” as defined in the UCC with such additions to such term as may hereafter be made.</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Account Control Agreement</w:t>
      </w:r>
      <w:r>
        <w:rPr>
          <w:rFonts w:ascii="Times New Roman" w:cs="Times New Roman" w:eastAsia="Times New Roman" w:hAnsi="Times New Roman"/>
          <w:sz w:val="20"/>
          <w:szCs w:val="20"/>
          <w:color w:val="auto"/>
        </w:rPr>
        <w:t>”: any Control Agreement entered into by the Administrative Agent, a Loan Party and a securities intermediary holding a Securities Account of such Loan Party pursuant to which the Administrative Agent is granted “control” (for purposes of the UCC) over such Securities Account.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the Securities Act of 1933, as amended from time to time and any successor statute.</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Documents</w:t>
      </w:r>
      <w:r>
        <w:rPr>
          <w:rFonts w:ascii="Times New Roman" w:cs="Times New Roman" w:eastAsia="Times New Roman" w:hAnsi="Times New Roman"/>
          <w:sz w:val="20"/>
          <w:szCs w:val="20"/>
          <w:color w:val="auto"/>
        </w:rPr>
        <w:t>”: the collective reference to (a) the Guarantee and Collateral Agreement, (b) the Mortgages (if any), (c) each Deposit Account Control Agreement, (d) each Securities Account Control Agreement, (e) all other security documents hereafter delivered to the Administrative Agent granting a Lien on any property of any Person to secure the Obligations of any Loan Party arising under any Loan Document, (f) each Pledge Supplement, (g) each Assumption Agreement, (h) all other security documents hereafter delivered to any applicable Cash Management Bank granting a Lien on any property of any Person to secure the Obligations of any Group Member arising under any Cash Management Agreement and (i) all financing statements, fixture filings, assignments, acknowledgments and other filings, documents and agreements made or delivered pursuant to any of the foregoing.</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Solvency Certificate</w:t>
      </w:r>
      <w:r>
        <w:rPr>
          <w:rFonts w:ascii="Times New Roman" w:cs="Times New Roman" w:eastAsia="Times New Roman" w:hAnsi="Times New Roman"/>
          <w:sz w:val="20"/>
          <w:szCs w:val="20"/>
          <w:color w:val="auto"/>
        </w:rPr>
        <w:t xml:space="preserve">”: the Solvency Certificate, dated the Closing Date, delivered to the Administrative Agent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5.1(o)</w:t>
      </w:r>
      <w:r>
        <w:rPr>
          <w:rFonts w:ascii="Times New Roman" w:cs="Times New Roman" w:eastAsia="Times New Roman" w:hAnsi="Times New Roman"/>
          <w:sz w:val="20"/>
          <w:szCs w:val="20"/>
          <w:color w:val="auto"/>
        </w:rPr>
        <w:t xml:space="preserve">, which Solvency Certificate shall be in substantially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w:t>
      </w:r>
      <w:r>
        <w:rPr>
          <w:rFonts w:ascii="Times New Roman" w:cs="Times New Roman" w:eastAsia="Times New Roman" w:hAnsi="Times New Roman"/>
          <w:sz w:val="20"/>
          <w:szCs w:val="20"/>
          <w:color w:val="auto"/>
        </w:rPr>
        <w:t>”: a rate equal to the secured overnight financing rate as administered by the SOFR Administrator.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Adjustment</w:t>
      </w:r>
      <w:r>
        <w:rPr>
          <w:rFonts w:ascii="Times New Roman" w:cs="Times New Roman" w:eastAsia="Times New Roman" w:hAnsi="Times New Roman"/>
          <w:sz w:val="19"/>
          <w:szCs w:val="19"/>
          <w:color w:val="auto"/>
        </w:rPr>
        <w:t>”: for any calculation with respect to a SOFR Loan, a percentage per annum as set forth below for the applicable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Period therefor:</w:t>
      </w:r>
    </w:p>
    <w:p>
      <w:pPr>
        <w:spacing w:after="0" w:line="200" w:lineRule="exact"/>
        <w:rPr>
          <w:sz w:val="20"/>
          <w:szCs w:val="20"/>
          <w:color w:val="auto"/>
        </w:rPr>
      </w:pPr>
    </w:p>
    <w:p>
      <w:pPr>
        <w:spacing w:after="0" w:line="253" w:lineRule="exact"/>
        <w:rPr>
          <w:sz w:val="20"/>
          <w:szCs w:val="20"/>
          <w:color w:val="auto"/>
        </w:rPr>
      </w:pPr>
    </w:p>
    <w:tbl>
      <w:tblPr>
        <w:tblLayout w:type="fixed"/>
        <w:tblInd w:w="1230" w:type="dxa"/>
        <w:tblCellMar>
          <w:top w:w="0" w:type="dxa"/>
          <w:left w:w="0" w:type="dxa"/>
          <w:bottom w:w="0" w:type="dxa"/>
          <w:right w:w="0" w:type="dxa"/>
        </w:tblCellMar>
      </w:tblPr>
      <w:tr>
        <w:trPr>
          <w:trHeight w:val="203"/>
        </w:trPr>
        <w:tc>
          <w:tcPr>
            <w:tcW w:w="3380" w:type="dxa"/>
            <w:vAlign w:val="bottom"/>
            <w:tcBorders>
              <w:top w:val="single" w:sz="8" w:color="auto"/>
              <w:left w:val="single" w:sz="8" w:color="auto"/>
              <w:right w:val="single" w:sz="8" w:color="auto"/>
            </w:tcBorders>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b w:val="1"/>
                <w:bCs w:val="1"/>
                <w:color w:val="auto"/>
              </w:rPr>
              <w:t>Interest Period</w:t>
            </w:r>
          </w:p>
        </w:tc>
        <w:tc>
          <w:tcPr>
            <w:tcW w:w="348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0"/>
        </w:trPr>
        <w:tc>
          <w:tcPr>
            <w:tcW w:w="11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One (1) month</w:t>
            </w:r>
          </w:p>
        </w:tc>
        <w:tc>
          <w:tcPr>
            <w:tcW w:w="21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0.10000%</w:t>
            </w: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338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Three (3) months</w:t>
            </w:r>
          </w:p>
        </w:tc>
        <w:tc>
          <w:tcPr>
            <w:tcW w:w="21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0.15000%</w:t>
            </w: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color w:val="auto"/>
              </w:rPr>
              <w:t>Six (6) months</w:t>
            </w:r>
          </w:p>
        </w:tc>
        <w:tc>
          <w:tcPr>
            <w:tcW w:w="21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rPr>
              <w:t>0.25000%</w:t>
            </w:r>
          </w:p>
        </w:tc>
        <w:tc>
          <w:tcPr>
            <w:tcW w:w="13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w:t>
      </w:r>
      <w:r>
        <w:rPr>
          <w:rFonts w:ascii="Times New Roman" w:cs="Times New Roman" w:eastAsia="Times New Roman" w:hAnsi="Times New Roman"/>
          <w:sz w:val="20"/>
          <w:szCs w:val="20"/>
          <w:color w:val="auto"/>
        </w:rPr>
        <w:t>”: the Federal Reserve Bank of New York (or a successor administrator of the secured overnight financing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Administrator’s Website</w:t>
      </w:r>
      <w:r>
        <w:rPr>
          <w:rFonts w:ascii="Times New Roman" w:cs="Times New Roman" w:eastAsia="Times New Roman" w:hAnsi="Times New Roman"/>
          <w:sz w:val="20"/>
          <w:szCs w:val="20"/>
          <w:color w:val="auto"/>
        </w:rPr>
        <w:t>”: the website of the Federal Reserve Bank of New York, currently at http://www.newyorkfed.org, or any successor source for the secured overnight financing rate identified as such by the SOFR Administrator from time to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Borrowing</w:t>
      </w:r>
      <w:r>
        <w:rPr>
          <w:rFonts w:ascii="Times New Roman" w:cs="Times New Roman" w:eastAsia="Times New Roman" w:hAnsi="Times New Roman"/>
          <w:sz w:val="20"/>
          <w:szCs w:val="20"/>
          <w:color w:val="auto"/>
        </w:rPr>
        <w:t>”: as to any Borrowing, the SOFR Loans comprising such Borrowing.</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Determination Day</w:t>
      </w:r>
      <w:r>
        <w:rPr>
          <w:rFonts w:ascii="Times New Roman" w:cs="Times New Roman" w:eastAsia="Times New Roman" w:hAnsi="Times New Roman"/>
          <w:sz w:val="20"/>
          <w:szCs w:val="20"/>
          <w:color w:val="auto"/>
        </w:rPr>
        <w:t>”: as defined in the definition of “Daily Simple SOFR”.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Loan</w:t>
      </w:r>
      <w:r>
        <w:rPr>
          <w:rFonts w:ascii="Times New Roman" w:cs="Times New Roman" w:eastAsia="Times New Roman" w:hAnsi="Times New Roman"/>
          <w:sz w:val="20"/>
          <w:szCs w:val="20"/>
          <w:color w:val="auto"/>
        </w:rPr>
        <w:t>”: a Loan that bears interest at a rate based on Adjusted Term SOFR.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as defined in the definition of “Daily Simple SOFR”.</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Tranche</w:t>
      </w:r>
      <w:r>
        <w:rPr>
          <w:rFonts w:ascii="Times New Roman" w:cs="Times New Roman" w:eastAsia="Times New Roman" w:hAnsi="Times New Roman"/>
          <w:sz w:val="20"/>
          <w:szCs w:val="20"/>
          <w:color w:val="auto"/>
        </w:rPr>
        <w:t>”: the collective reference to SOFR Loans under a particular Facility (other than the L/C Facility), the then current Interest Periods with respect to all of which begin on the same date and end on the same later date (whether or not such Loans shall originally have been made on the same day).</w:t>
      </w:r>
    </w:p>
    <w:p>
      <w:pPr>
        <w:spacing w:after="0" w:line="168"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Solvent</w:t>
      </w:r>
      <w:r>
        <w:rPr>
          <w:rFonts w:ascii="Times New Roman" w:cs="Times New Roman" w:eastAsia="Times New Roman" w:hAnsi="Times New Roman"/>
          <w:sz w:val="20"/>
          <w:szCs w:val="20"/>
          <w:color w:val="auto"/>
        </w:rPr>
        <w:t>”: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generally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7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Acquisition Agreement Representations</w:t>
      </w:r>
      <w:r>
        <w:rPr>
          <w:rFonts w:ascii="Times New Roman" w:cs="Times New Roman" w:eastAsia="Times New Roman" w:hAnsi="Times New Roman"/>
          <w:sz w:val="20"/>
          <w:szCs w:val="20"/>
          <w:color w:val="auto"/>
        </w:rPr>
        <w:t>”: such of the representations and warranties made by the sellers and their Affiliates in the Limited Condition Acquisition Agreement as are material to the interests of the Lenders, but only to the extent that the Borrower (or its applicable Affiliates) has the right (taking into account any applicable cure provisions) to terminate its (or such Affiliates’) obligations under the Limited Condition Acquisition Agreement, or decline to consummate the acquisition (in each case, in accordance with the terms thereof), as a result of a breach of such representations and warranties.</w:t>
      </w:r>
    </w:p>
    <w:p>
      <w:pPr>
        <w:spacing w:after="0" w:line="19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Representations</w:t>
      </w:r>
      <w:r>
        <w:rPr>
          <w:rFonts w:ascii="Times New Roman" w:cs="Times New Roman" w:eastAsia="Times New Roman" w:hAnsi="Times New Roman"/>
          <w:sz w:val="20"/>
          <w:szCs w:val="20"/>
          <w:color w:val="auto"/>
        </w:rPr>
        <w:t xml:space="preserve">”: those representations and warranties made in </w:t>
      </w:r>
      <w:r>
        <w:rPr>
          <w:rFonts w:ascii="Times New Roman" w:cs="Times New Roman" w:eastAsia="Times New Roman" w:hAnsi="Times New Roman"/>
          <w:sz w:val="20"/>
          <w:szCs w:val="20"/>
          <w:u w:val="single" w:color="auto"/>
          <w:color w:val="auto"/>
        </w:rPr>
        <w:t>Sections 4.3(a)</w:t>
      </w:r>
      <w:r>
        <w:rPr>
          <w:rFonts w:ascii="Times New Roman" w:cs="Times New Roman" w:eastAsia="Times New Roman" w:hAnsi="Times New Roman"/>
          <w:sz w:val="20"/>
          <w:szCs w:val="20"/>
          <w:color w:val="auto"/>
        </w:rPr>
        <w:t xml:space="preserve"> (with respect to the organizational existence of the Loan Parties only after giving effect to the Limited Condition Acquisition), </w:t>
      </w:r>
      <w:r>
        <w:rPr>
          <w:rFonts w:ascii="Times New Roman" w:cs="Times New Roman" w:eastAsia="Times New Roman" w:hAnsi="Times New Roman"/>
          <w:sz w:val="20"/>
          <w:szCs w:val="20"/>
          <w:u w:val="single" w:color="auto"/>
          <w:color w:val="auto"/>
        </w:rPr>
        <w:t>4.4</w:t>
      </w:r>
      <w:r>
        <w:rPr>
          <w:rFonts w:ascii="Times New Roman" w:cs="Times New Roman" w:eastAsia="Times New Roman" w:hAnsi="Times New Roman"/>
          <w:sz w:val="20"/>
          <w:szCs w:val="20"/>
          <w:color w:val="auto"/>
        </w:rPr>
        <w:t xml:space="preserve"> (excluding the third sentence thereof), </w:t>
      </w:r>
      <w:r>
        <w:rPr>
          <w:rFonts w:ascii="Times New Roman" w:cs="Times New Roman" w:eastAsia="Times New Roman" w:hAnsi="Times New Roman"/>
          <w:sz w:val="20"/>
          <w:szCs w:val="20"/>
          <w:u w:val="single" w:color="auto"/>
          <w:color w:val="auto"/>
        </w:rPr>
        <w:t>4.5</w:t>
      </w:r>
      <w:r>
        <w:rPr>
          <w:rFonts w:ascii="Times New Roman" w:cs="Times New Roman" w:eastAsia="Times New Roman" w:hAnsi="Times New Roman"/>
          <w:sz w:val="20"/>
          <w:szCs w:val="20"/>
          <w:color w:val="auto"/>
        </w:rPr>
        <w:t xml:space="preserve"> (solely with respect to the first sentence and with respect to Operating Documents), </w:t>
      </w:r>
      <w:r>
        <w:rPr>
          <w:rFonts w:ascii="Times New Roman" w:cs="Times New Roman" w:eastAsia="Times New Roman" w:hAnsi="Times New Roman"/>
          <w:sz w:val="20"/>
          <w:szCs w:val="20"/>
          <w:u w:val="single" w:color="auto"/>
          <w:color w:val="auto"/>
        </w:rPr>
        <w:t>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4.20</w:t>
      </w:r>
      <w:r>
        <w:rPr>
          <w:rFonts w:ascii="Times New Roman" w:cs="Times New Roman" w:eastAsia="Times New Roman" w:hAnsi="Times New Roman"/>
          <w:sz w:val="20"/>
          <w:szCs w:val="20"/>
          <w:color w:val="auto"/>
        </w:rPr>
        <w:t xml:space="preserve"> (giving effect to the Limited Condition Acquisition and the incurrence of the Increase loans in connection therewith), </w:t>
      </w:r>
      <w:r>
        <w:rPr>
          <w:rFonts w:ascii="Times New Roman" w:cs="Times New Roman" w:eastAsia="Times New Roman" w:hAnsi="Times New Roman"/>
          <w:sz w:val="20"/>
          <w:szCs w:val="20"/>
          <w:u w:val="single" w:color="auto"/>
          <w:color w:val="auto"/>
        </w:rPr>
        <w:t>4.28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4.29</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Swap Agreement</w:t>
      </w:r>
      <w:r>
        <w:rPr>
          <w:rFonts w:ascii="Times New Roman" w:cs="Times New Roman" w:eastAsia="Times New Roman" w:hAnsi="Times New Roman"/>
          <w:sz w:val="20"/>
          <w:szCs w:val="20"/>
          <w:color w:val="auto"/>
        </w:rPr>
        <w:t>”: any Swap Agreement entered into by a Loan Party (or in the sole discretion of the Administrative Agent, any other Group Member) and any Qualified Counterparty (or any Person who was a Qualified Counterparty as of the Closing Date or as of the date such Swap Agreement was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09" w:right="339" w:bottom="1440" w:gutter="0" w:footer="0" w:header="0"/>
        </w:sectPr>
      </w:pPr>
    </w:p>
    <w:bookmarkStart w:id="73" w:name="page74"/>
    <w:bookmarkEnd w:id="73"/>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Spot Rate</w:t>
      </w:r>
      <w:r>
        <w:rPr>
          <w:rFonts w:ascii="Times New Roman" w:cs="Times New Roman" w:eastAsia="Times New Roman" w:hAnsi="Times New Roman"/>
          <w:sz w:val="20"/>
          <w:szCs w:val="20"/>
          <w:color w:val="auto"/>
        </w:rPr>
        <w:t xml:space="preserve">”: for any currency, the rate determined by the Administrative Agent to be the rate quoted by the Administrative Agent as the spot rate for the purchase of such currency with another currency through its principal foreign exchange trading office at approximately 11:00 a.m. on the date two (2) Business Days prior to the date as of which the foreign exchange computation is made;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Administrative Agent may obtain such spot rate from another financial institution designated by it if the Administrative Agent does not have as of the date of determination a spot buying rate for any such currency.</w:t>
      </w:r>
    </w:p>
    <w:p>
      <w:pPr>
        <w:spacing w:after="0" w:line="17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Debt Document</w:t>
      </w:r>
      <w:r>
        <w:rPr>
          <w:rFonts w:ascii="Times New Roman" w:cs="Times New Roman" w:eastAsia="Times New Roman" w:hAnsi="Times New Roman"/>
          <w:sz w:val="20"/>
          <w:szCs w:val="20"/>
          <w:color w:val="auto"/>
        </w:rPr>
        <w:t>”: any agreement, certificate, document or instrument executed or delivered by any Group Member and evidencing Indebtedness of any Group Member which is subordinated to the Obligations (including payment, lien and remedies subordination terms, as applicable) in a manner approved in writing by the Administrative Agent, and any renewals, modifications, or amendments thereof which are not prohibited by this Agreement or the applicable subordination agreement or are otherwise approved in writing by the Administrative Agent.</w:t>
      </w:r>
    </w:p>
    <w:p>
      <w:pPr>
        <w:spacing w:after="0" w:line="1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Indebtedness</w:t>
      </w:r>
      <w:r>
        <w:rPr>
          <w:rFonts w:ascii="Times New Roman" w:cs="Times New Roman" w:eastAsia="Times New Roman" w:hAnsi="Times New Roman"/>
          <w:sz w:val="20"/>
          <w:szCs w:val="20"/>
          <w:color w:val="auto"/>
        </w:rPr>
        <w:t>”: Indebtedness of a Loan Party subordinated to the Obligations pursuant to subordination terms (including payment, lien and remedies subordination terms, as applicable) reasonably acceptable to the Administrative Agent.</w:t>
      </w:r>
    </w:p>
    <w:p>
      <w:pPr>
        <w:spacing w:after="0" w:line="16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b w:val="1"/>
          <w:bCs w:val="1"/>
          <w:i w:val="1"/>
          <w:iCs w:val="1"/>
          <w:color w:val="auto"/>
        </w:rPr>
        <w:t>Subsidiaries</w:t>
      </w:r>
      <w:r>
        <w:rPr>
          <w:rFonts w:ascii="Times New Roman" w:cs="Times New Roman" w:eastAsia="Times New Roman" w:hAnsi="Times New Roman"/>
          <w:sz w:val="20"/>
          <w:szCs w:val="20"/>
          <w:color w:val="auto"/>
        </w:rPr>
        <w:t>” in this Agreement shall refer to a Subsidiary or Subsidiaries of NerdWallet.</w:t>
      </w:r>
    </w:p>
    <w:p>
      <w:pPr>
        <w:spacing w:after="0" w:line="172"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Surety Indebtedness</w:t>
      </w:r>
      <w:r>
        <w:rPr>
          <w:rFonts w:ascii="Times New Roman" w:cs="Times New Roman" w:eastAsia="Times New Roman" w:hAnsi="Times New Roman"/>
          <w:sz w:val="20"/>
          <w:szCs w:val="20"/>
          <w:color w:val="auto"/>
        </w:rPr>
        <w:t>”: as of any date of determination, indebtedness (contingent or otherwise) owing to sureties arising from surety bonds issued on behalf of any Group Member as support for, among other things, their contracts with customers, whether such indebtedness is owing directly or indirectly by such Group Member.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SVB</w:t>
      </w:r>
      <w:r>
        <w:rPr>
          <w:rFonts w:ascii="Times New Roman" w:cs="Times New Roman" w:eastAsia="Times New Roman" w:hAnsi="Times New Roman"/>
          <w:sz w:val="20"/>
          <w:szCs w:val="20"/>
          <w:color w:val="auto"/>
        </w:rPr>
        <w:t>”: as defined in the preamble hereto.</w:t>
      </w:r>
    </w:p>
    <w:p>
      <w:pPr>
        <w:spacing w:after="0" w:line="20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Agreement</w:t>
      </w:r>
      <w:r>
        <w:rPr>
          <w:rFonts w:ascii="Times New Roman" w:cs="Times New Roman" w:eastAsia="Times New Roman" w:hAnsi="Times New Roman"/>
          <w:sz w:val="20"/>
          <w:szCs w:val="20"/>
          <w:color w:val="auto"/>
        </w:rPr>
        <w:t xml:space="preserve">”: any agreement with respect to any swap, hedge, forward, future or derivative transaction or option or similar agreement (including without limitation, any Interest Rate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following shall not constitute “Swap Agreements”: (a) any phantom stock or similar plan providing for payments only on account of services provided by current or former directors, officers, employees or consultants of the Group Members, (b) any stock option or warrant agreement for the purchase of Capital Stock of the Borrower, (c) the purchase of Capital Stock or Indebtedness (including securities convertible into Capital Stock) of the Borrower pursuant to delayed delivery contracts, accelerated stock repurchase agreements, forward contracts or other similar agreements and (d) any of the items specified in the foregoing clauses (a) through (c), to the extent the same constitutes a derivative embedded in a convertible security issued by the Borrower.</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Obligation</w:t>
      </w:r>
      <w:r>
        <w:rPr>
          <w:rFonts w:ascii="Times New Roman" w:cs="Times New Roman" w:eastAsia="Times New Roman" w:hAnsi="Times New Roman"/>
          <w:sz w:val="20"/>
          <w:szCs w:val="20"/>
          <w:color w:val="auto"/>
        </w:rPr>
        <w:t>”: with respect to any Guarantor, any obligation of such Guarantor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09" w:right="339" w:bottom="1440" w:gutter="0" w:footer="0" w:header="0"/>
        </w:sectPr>
      </w:pPr>
    </w:p>
    <w:bookmarkStart w:id="74" w:name="page75"/>
    <w:bookmarkEnd w:id="74"/>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Termination Value</w:t>
      </w:r>
      <w:r>
        <w:rPr>
          <w:rFonts w:ascii="Times New Roman" w:cs="Times New Roman" w:eastAsia="Times New Roman" w:hAnsi="Times New Roman"/>
          <w:sz w:val="20"/>
          <w:szCs w:val="20"/>
          <w:color w:val="auto"/>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Commitment</w:t>
      </w:r>
      <w:r>
        <w:rPr>
          <w:rFonts w:ascii="Times New Roman" w:cs="Times New Roman" w:eastAsia="Times New Roman" w:hAnsi="Times New Roman"/>
          <w:sz w:val="20"/>
          <w:szCs w:val="20"/>
          <w:color w:val="auto"/>
        </w:rPr>
        <w:t xml:space="preserve">”: the obligation of the Swingline Lender to make Swingline Loans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in an aggregate principal amount at any one time outstanding not to exceed $10,000,000.</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Lender</w:t>
      </w:r>
      <w:r>
        <w:rPr>
          <w:rFonts w:ascii="Times New Roman" w:cs="Times New Roman" w:eastAsia="Times New Roman" w:hAnsi="Times New Roman"/>
          <w:sz w:val="20"/>
          <w:szCs w:val="20"/>
          <w:color w:val="auto"/>
        </w:rPr>
        <w:t xml:space="preserve">”: SVB, in its capacity as the lender of Swingline Loans or such other Lender as the Borrower may from time to time select as the Swingline Lender hereunder pursuant to </w:t>
      </w:r>
      <w:r>
        <w:rPr>
          <w:rFonts w:ascii="Times New Roman" w:cs="Times New Roman" w:eastAsia="Times New Roman" w:hAnsi="Times New Roman"/>
          <w:sz w:val="20"/>
          <w:szCs w:val="20"/>
          <w:u w:val="single" w:color="auto"/>
          <w:color w:val="auto"/>
        </w:rPr>
        <w:t>Section 2.7(f)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Lender has agreed to be a Swingline Lender.</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H-2</w:t>
      </w:r>
      <w:r>
        <w:rPr>
          <w:rFonts w:ascii="Times New Roman" w:cs="Times New Roman" w:eastAsia="Times New Roman" w:hAnsi="Times New Roman"/>
          <w:sz w:val="20"/>
          <w:szCs w:val="20"/>
          <w:color w:val="auto"/>
        </w:rPr>
        <w:t>, as it may be amended, supplemented or otherwise modified from time to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Participation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Synthetic Lease Obligation</w:t>
      </w:r>
      <w:r>
        <w:rPr>
          <w:rFonts w:ascii="Times New Roman" w:cs="Times New Roman" w:eastAsia="Times New Roman" w:hAnsi="Times New Roman"/>
          <w:sz w:val="20"/>
          <w:szCs w:val="20"/>
          <w:color w:val="auto"/>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w:t>
      </w:r>
      <w:r>
        <w:rPr>
          <w:rFonts w:ascii="Times New Roman" w:cs="Times New Roman" w:eastAsia="Times New Roman" w:hAnsi="Times New Roman"/>
          <w:sz w:val="20"/>
          <w:szCs w:val="20"/>
          <w:color w:val="auto"/>
        </w:rPr>
        <w:t>”: 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Administrator</w:t>
      </w:r>
      <w:r>
        <w:rPr>
          <w:rFonts w:ascii="Times New Roman" w:cs="Times New Roman" w:eastAsia="Times New Roman" w:hAnsi="Times New Roman"/>
          <w:sz w:val="20"/>
          <w:szCs w:val="20"/>
          <w:color w:val="auto"/>
        </w:rPr>
        <w:t>”: the CME Group Benchmark Administration Limited (CBA) (or a successor administrator of the Term SOFR Reference Rate selected by the Administrative Agent in its reasonable discretion).</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Borrowing</w:t>
      </w:r>
      <w:r>
        <w:rPr>
          <w:rFonts w:ascii="Times New Roman" w:cs="Times New Roman" w:eastAsia="Times New Roman" w:hAnsi="Times New Roman"/>
          <w:sz w:val="20"/>
          <w:szCs w:val="20"/>
          <w:color w:val="auto"/>
        </w:rPr>
        <w:t>”: as to any Borrowing, the Loans bearing interest at a rate based on Adjusted Term SOFR comprising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09"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Reference Rate</w:t>
      </w:r>
      <w:r>
        <w:rPr>
          <w:rFonts w:ascii="Times New Roman" w:cs="Times New Roman" w:eastAsia="Times New Roman" w:hAnsi="Times New Roman"/>
          <w:sz w:val="20"/>
          <w:szCs w:val="20"/>
          <w:color w:val="auto"/>
        </w:rPr>
        <w:t>”: the forward-looking term rate based on SOFR.</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L/C Commitments</w:t>
      </w:r>
      <w:r>
        <w:rPr>
          <w:rFonts w:ascii="Times New Roman" w:cs="Times New Roman" w:eastAsia="Times New Roman" w:hAnsi="Times New Roman"/>
          <w:sz w:val="20"/>
          <w:szCs w:val="20"/>
          <w:color w:val="auto"/>
        </w:rPr>
        <w:t xml:space="preserve">”: at any time, the sum of all L/C Commitments at such time, as the same may be reduced from time to time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3.5(b)</w:t>
      </w:r>
      <w:r>
        <w:rPr>
          <w:rFonts w:ascii="Times New Roman" w:cs="Times New Roman" w:eastAsia="Times New Roman" w:hAnsi="Times New Roman"/>
          <w:sz w:val="20"/>
          <w:szCs w:val="20"/>
          <w:color w:val="auto"/>
        </w:rPr>
        <w:t>. The initial amount of the Total L/C Commitments on the Closing Date is $10,000,000.</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Liabilities</w:t>
      </w:r>
      <w:r>
        <w:rPr>
          <w:rFonts w:ascii="Times New Roman" w:cs="Times New Roman" w:eastAsia="Times New Roman" w:hAnsi="Times New Roman"/>
          <w:sz w:val="20"/>
          <w:szCs w:val="20"/>
          <w:color w:val="auto"/>
        </w:rPr>
        <w:t>”: on any date of determination, obligations that should, under GAAP, be classified as liabilities on the Borrower’s consolidated balance sheet, including all Indebtedness.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Commitments</w:t>
      </w:r>
      <w:r>
        <w:rPr>
          <w:rFonts w:ascii="Times New Roman" w:cs="Times New Roman" w:eastAsia="Times New Roman" w:hAnsi="Times New Roman"/>
          <w:sz w:val="20"/>
          <w:szCs w:val="20"/>
          <w:color w:val="auto"/>
        </w:rPr>
        <w:t>”: at any time, the aggregate amount of the Revolving Commitments then in effect.</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Extensions of Credit</w:t>
      </w:r>
      <w:r>
        <w:rPr>
          <w:rFonts w:ascii="Times New Roman" w:cs="Times New Roman" w:eastAsia="Times New Roman" w:hAnsi="Times New Roman"/>
          <w:sz w:val="20"/>
          <w:szCs w:val="20"/>
          <w:color w:val="auto"/>
        </w:rPr>
        <w:t>”: at any time, the aggregate amount of the Revolving Extensions of Credit outstanding at such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10.6(b)(i)(B)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Transferee</w:t>
      </w:r>
      <w:r>
        <w:rPr>
          <w:rFonts w:ascii="Times New Roman" w:cs="Times New Roman" w:eastAsia="Times New Roman" w:hAnsi="Times New Roman"/>
          <w:sz w:val="20"/>
          <w:szCs w:val="20"/>
          <w:color w:val="auto"/>
        </w:rPr>
        <w:t>”: any Eligible Assignee or Participant.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Type</w:t>
      </w:r>
      <w:r>
        <w:rPr>
          <w:rFonts w:ascii="Times New Roman" w:cs="Times New Roman" w:eastAsia="Times New Roman" w:hAnsi="Times New Roman"/>
          <w:sz w:val="20"/>
          <w:szCs w:val="20"/>
          <w:color w:val="auto"/>
        </w:rPr>
        <w:t>”: as to any Loan, its nature as an ABR Loan or a SOFR Loan.</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Financial Institution</w:t>
      </w:r>
      <w:r>
        <w:rPr>
          <w:rFonts w:ascii="Times New Roman" w:cs="Times New Roman" w:eastAsia="Times New Roman" w:hAnsi="Times New Roman"/>
          <w:sz w:val="20"/>
          <w:szCs w:val="20"/>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Unadjusted Benchmark Replacement</w:t>
      </w:r>
      <w:r>
        <w:rPr>
          <w:rFonts w:ascii="Times New Roman" w:cs="Times New Roman" w:eastAsia="Times New Roman" w:hAnsi="Times New Roman"/>
          <w:sz w:val="20"/>
          <w:szCs w:val="20"/>
          <w:color w:val="auto"/>
        </w:rPr>
        <w:t>”: the applicable Benchmark Replacement excluding the related Benchmark Replacement Adjustment.</w:t>
      </w:r>
    </w:p>
    <w:p>
      <w:pPr>
        <w:spacing w:after="0" w:line="15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Unbilled Accounts Receivable</w:t>
      </w:r>
      <w:r>
        <w:rPr>
          <w:rFonts w:ascii="Times New Roman" w:cs="Times New Roman" w:eastAsia="Times New Roman" w:hAnsi="Times New Roman"/>
          <w:sz w:val="20"/>
          <w:szCs w:val="20"/>
          <w:color w:val="auto"/>
        </w:rPr>
        <w:t>”: Accounts of the Loan Parties with respect to which the invoice and other necessary billing documentation have not been submitted to the applicable Account Debtor in connection with a completed (or contracted) sale of goods, rendition of services or licensing of software, that are fully earned and are verifiable by the Administrative Agent and that will be collected under standard commercial terms acceptable to the Administrative Agent.</w:t>
      </w:r>
    </w:p>
    <w:p>
      <w:pPr>
        <w:spacing w:after="0" w:line="17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Unfriendly Acquisition</w:t>
      </w:r>
      <w:r>
        <w:rPr>
          <w:rFonts w:ascii="Times New Roman" w:cs="Times New Roman" w:eastAsia="Times New Roman" w:hAnsi="Times New Roman"/>
          <w:sz w:val="20"/>
          <w:szCs w:val="20"/>
          <w:color w:val="auto"/>
        </w:rPr>
        <w:t>”: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7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the Uniform Commercial Code (or any similar or equivalent legislation) as in effect from time to time in the State of New York, or as the context may require, any other applicable jurisdiction.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the United States of America.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USCRO</w:t>
      </w:r>
      <w:r>
        <w:rPr>
          <w:rFonts w:ascii="Times New Roman" w:cs="Times New Roman" w:eastAsia="Times New Roman" w:hAnsi="Times New Roman"/>
          <w:sz w:val="20"/>
          <w:szCs w:val="20"/>
          <w:color w:val="auto"/>
        </w:rPr>
        <w:t>”: the U.S. Copyright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09"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USPTO</w:t>
      </w:r>
      <w:r>
        <w:rPr>
          <w:rFonts w:ascii="Times New Roman" w:cs="Times New Roman" w:eastAsia="Times New Roman" w:hAnsi="Times New Roman"/>
          <w:sz w:val="20"/>
          <w:szCs w:val="20"/>
          <w:color w:val="auto"/>
        </w:rPr>
        <w:t>”: the U.S. Patent and Trademark Office.</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Government Securities Business Day</w:t>
      </w:r>
      <w:r>
        <w:rPr>
          <w:rFonts w:ascii="Times New Roman" w:cs="Times New Roman" w:eastAsia="Times New Roman" w:hAnsi="Times New Roman"/>
          <w:sz w:val="20"/>
          <w:szCs w:val="20"/>
          <w:color w:val="auto"/>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any Person that is a “United States person” as defined in Section 7701(a)(30) of the Code.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Tax Compliance Certificate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Withholding Agent</w:t>
      </w:r>
      <w:r>
        <w:rPr>
          <w:rFonts w:ascii="Times New Roman" w:cs="Times New Roman" w:eastAsia="Times New Roman" w:hAnsi="Times New Roman"/>
          <w:sz w:val="20"/>
          <w:szCs w:val="20"/>
          <w:color w:val="auto"/>
        </w:rPr>
        <w:t>”: as applicable, any of any applicable Loan Party and the Administrative Agent, as the context may require.</w:t>
      </w:r>
    </w:p>
    <w:p>
      <w:pPr>
        <w:spacing w:after="0" w:line="20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Write-Down and Conversion Powers</w:t>
      </w:r>
      <w:r>
        <w:rPr>
          <w:rFonts w:ascii="Times New Roman" w:cs="Times New Roman" w:eastAsia="Times New Roman" w:hAnsi="Times New Roman"/>
          <w:sz w:val="20"/>
          <w:szCs w:val="20"/>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Other Definitional Provisions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firstLine="1304"/>
        <w:spacing w:after="0" w:line="255" w:lineRule="auto"/>
        <w:tabs>
          <w:tab w:leader="none" w:pos="175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5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744"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used herein and in the other Loan Documents, and in any certificate or other document made or delivered pursuant hereto or thereto, (i) accounting terms relating to any Group Member not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and accounting terms partly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w:t>
      </w:r>
    </w:p>
    <w:p>
      <w:pPr>
        <w:jc w:val="both"/>
        <w:ind w:firstLine="8"/>
        <w:spacing w:after="0" w:line="225" w:lineRule="auto"/>
        <w:tabs>
          <w:tab w:leader="none" w:pos="36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“asset” and “property” shall be construed to have the same meaning and effect and to refer to any and all tangible and intangible assets and properties, including cash, Capital Stock, securities, revenues, accounts, leasehold interests and contract rights,</w:t>
      </w:r>
    </w:p>
    <w:p>
      <w:pPr>
        <w:jc w:val="both"/>
        <w:ind w:firstLine="8"/>
        <w:spacing w:after="0" w:line="232" w:lineRule="auto"/>
        <w:tabs>
          <w:tab w:leader="none" w:pos="29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09" w:right="339" w:bottom="1440" w:gutter="0" w:footer="0" w:header="0"/>
        </w:sectPr>
      </w:pPr>
    </w:p>
    <w:bookmarkStart w:id="77" w:name="page78"/>
    <w:bookmarkEnd w:id="77"/>
    <w:p>
      <w:pPr>
        <w:jc w:val="both"/>
        <w:ind w:firstLine="1304"/>
        <w:spacing w:after="0" w:line="234" w:lineRule="auto"/>
        <w:tabs>
          <w:tab w:leader="none" w:pos="173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w:t>
      </w:r>
      <w:r>
        <w:rPr>
          <w:rFonts w:ascii="Times New Roman" w:cs="Times New Roman" w:eastAsia="Times New Roman" w:hAnsi="Times New Roman"/>
          <w:sz w:val="20"/>
          <w:szCs w:val="20"/>
          <w:b w:val="1"/>
          <w:bCs w:val="1"/>
          <w:i w:val="1"/>
          <w:iCs w:val="1"/>
          <w:color w:val="auto"/>
        </w:rPr>
        <w:t>hereof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herein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hereunder</w:t>
      </w:r>
      <w:r>
        <w:rPr>
          <w:rFonts w:ascii="Times New Roman" w:cs="Times New Roman" w:eastAsia="Times New Roman" w:hAnsi="Times New Roman"/>
          <w:sz w:val="20"/>
          <w:szCs w:val="20"/>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spacing w:after="0" w:line="175" w:lineRule="exact"/>
        <w:rPr>
          <w:rFonts w:ascii="Times New Roman" w:cs="Times New Roman" w:eastAsia="Times New Roman" w:hAnsi="Times New Roman"/>
          <w:sz w:val="20"/>
          <w:szCs w:val="20"/>
          <w:color w:val="auto"/>
        </w:rPr>
      </w:pPr>
    </w:p>
    <w:p>
      <w:pPr>
        <w:ind w:right="20" w:firstLine="1304"/>
        <w:spacing w:after="0" w:line="255" w:lineRule="auto"/>
        <w:tabs>
          <w:tab w:leader="none" w:pos="177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59"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7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1.3 Rounding</w:t>
      </w:r>
      <w:r>
        <w:rPr>
          <w:rFonts w:ascii="Times New Roman" w:cs="Times New Roman" w:eastAsia="Times New Roman" w:hAnsi="Times New Roman"/>
          <w:sz w:val="20"/>
          <w:szCs w:val="20"/>
          <w:color w:val="auto"/>
        </w:rPr>
        <w:t>. Any financial ratios required to be maintained by the Borrower pursuant to this Agreement shall be calculated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Exchange Rates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1" w:lineRule="auto"/>
        <w:tabs>
          <w:tab w:leader="none" w:pos="175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Issuing Lender, as applicable, shall determine the Spot Rates as of each Revaluation Date to be used for calculating Dollar Equivalent amounts of Revolving Extensions of Credit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Issuing Lender, as applicable.</w:t>
      </w:r>
    </w:p>
    <w:p>
      <w:pPr>
        <w:spacing w:after="0" w:line="192"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4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the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Issuing Lender,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09" w:right="339" w:bottom="1440" w:gutter="0" w:footer="0" w:header="0"/>
        </w:sectPr>
      </w:pPr>
    </w:p>
    <w:bookmarkStart w:id="78" w:name="page79"/>
    <w:bookmarkEnd w:id="78"/>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Alternative Currencies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9" w:lineRule="auto"/>
        <w:tabs>
          <w:tab w:leader="none" w:pos="172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from time to time request that Letters of Credit be issued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requested currency is a lawful currency that is readily available and freely transferable and convertible into Dollars, Any such request shall be subject to the approval of the Administrative Agent and the Issuing Lender.</w:t>
      </w:r>
    </w:p>
    <w:p>
      <w:pPr>
        <w:spacing w:after="0" w:line="177" w:lineRule="exact"/>
        <w:rPr>
          <w:rFonts w:ascii="Times New Roman" w:cs="Times New Roman" w:eastAsia="Times New Roman" w:hAnsi="Times New Roman"/>
          <w:sz w:val="20"/>
          <w:szCs w:val="20"/>
          <w:color w:val="auto"/>
        </w:rPr>
      </w:pPr>
    </w:p>
    <w:p>
      <w:pPr>
        <w:jc w:val="both"/>
        <w:ind w:firstLine="1304"/>
        <w:spacing w:after="0" w:line="234" w:lineRule="auto"/>
        <w:tabs>
          <w:tab w:leader="none" w:pos="173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twenty (20) Business Days prior to the date of the desired Credit Extension (or such other time or date as may be agreed by the Administrative Agent and Issuing Lender, in their sole discretion). After receipt of such request, the Administrative Agent shall promptly notify the Issuing Lender thereof. The Issuing Lender shall notify the Administrative Agent, not later than ten (10) Business Days after receipt of such request whether it consents, in its sole discretion, to the issuance of Letters of Credit in such requested currency.</w:t>
      </w:r>
    </w:p>
    <w:p>
      <w:pPr>
        <w:spacing w:after="0" w:line="174"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21"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the Issuing Lender to respond to such request within the time period specified in the preceding sentence shall be deemed to be a refusal by the Issuing Lender of Letters of Credit to be issued in such requested currency. If the Administrative Agent and the Issuing Lender consent to the issuance of Letters of Credit in such requested currency, the Administrative Agent shall so notify the Borrower and such currency shall thereupon be deemed for all purposes to be an Alternative Currency. If the Administrative Agent shall fail to obtain consent to any request for an additional currency under this Section 1.5, the Administrative Agent shall promptly so notify the Borrower.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167" w:lineRule="exact"/>
        <w:rPr>
          <w:rFonts w:ascii="Times New Roman" w:cs="Times New Roman" w:eastAsia="Times New Roman" w:hAnsi="Times New Roman"/>
          <w:sz w:val="19"/>
          <w:szCs w:val="19"/>
          <w:color w:val="auto"/>
        </w:rPr>
      </w:pPr>
    </w:p>
    <w:p>
      <w:pPr>
        <w:jc w:val="both"/>
        <w:ind w:firstLine="1304"/>
        <w:spacing w:after="0"/>
        <w:tabs>
          <w:tab w:leader="none" w:pos="175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obligation of the Borrower to make a payment denominated in the national currency unit of any member state of the European Union that adopts the Euro as its lawful currency after the Original Closing Date shall be redenominated into Euro at the time of such adoption.</w:t>
      </w:r>
    </w:p>
    <w:p>
      <w:pPr>
        <w:spacing w:after="0" w:line="187" w:lineRule="exact"/>
        <w:rPr>
          <w:rFonts w:ascii="Times New Roman" w:cs="Times New Roman" w:eastAsia="Times New Roman" w:hAnsi="Times New Roman"/>
          <w:sz w:val="20"/>
          <w:szCs w:val="20"/>
          <w:color w:val="auto"/>
        </w:rPr>
      </w:pPr>
    </w:p>
    <w:p>
      <w:pPr>
        <w:jc w:val="both"/>
        <w:ind w:firstLine="1304"/>
        <w:spacing w:after="0"/>
        <w:tabs>
          <w:tab w:leader="none" w:pos="179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4" w:lineRule="exact"/>
        <w:rPr>
          <w:rFonts w:ascii="Times New Roman" w:cs="Times New Roman" w:eastAsia="Times New Roman" w:hAnsi="Times New Roman"/>
          <w:sz w:val="20"/>
          <w:szCs w:val="20"/>
          <w:color w:val="auto"/>
        </w:rPr>
      </w:pPr>
    </w:p>
    <w:p>
      <w:pPr>
        <w:jc w:val="both"/>
        <w:ind w:firstLine="1304"/>
        <w:spacing w:after="0"/>
        <w:tabs>
          <w:tab w:leader="none" w:pos="169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1.6 Limited Condition Acquisitions</w:t>
      </w:r>
      <w:r>
        <w:rPr>
          <w:rFonts w:ascii="Times New Roman" w:cs="Times New Roman" w:eastAsia="Times New Roman" w:hAnsi="Times New Roman"/>
          <w:sz w:val="20"/>
          <w:szCs w:val="20"/>
          <w:color w:val="auto"/>
        </w:rPr>
        <w:t>. In connection with any action being taken in connection with a Limited Condition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for purposes of determining compliance with any provision of this Agreement which requires the calculation of any financial ratio or metric, at the option of the Borrower (and, if the Borrower elects to exercise such option, such option shall be exercised on or prior to the date on which the definitive agreement for such Limited Condition Acquisition is executed) (the Borrower’s election to exercise such option in connection with any Limited Condition Acquisition, an “</w:t>
      </w:r>
      <w:r>
        <w:rPr>
          <w:rFonts w:ascii="Times New Roman" w:cs="Times New Roman" w:eastAsia="Times New Roman" w:hAnsi="Times New Roman"/>
          <w:sz w:val="20"/>
          <w:szCs w:val="20"/>
          <w:b w:val="1"/>
          <w:bCs w:val="1"/>
          <w:i w:val="1"/>
          <w:iCs w:val="1"/>
          <w:color w:val="auto"/>
        </w:rPr>
        <w:t>LCA Election</w:t>
      </w:r>
      <w:r>
        <w:rPr>
          <w:rFonts w:ascii="Times New Roman" w:cs="Times New Roman" w:eastAsia="Times New Roman" w:hAnsi="Times New Roman"/>
          <w:sz w:val="20"/>
          <w:szCs w:val="20"/>
          <w:color w:val="auto"/>
        </w:rPr>
        <w:t>”), then notwithstanding anything else to the contrary contained in this Agreement, the date of determination of whether any such action is permitted hereunder, shall be deemed to be the date the definitive agreements for such Limited Condition Acquisition are entered into (the “</w:t>
      </w:r>
      <w:r>
        <w:rPr>
          <w:rFonts w:ascii="Times New Roman" w:cs="Times New Roman" w:eastAsia="Times New Roman" w:hAnsi="Times New Roman"/>
          <w:sz w:val="20"/>
          <w:szCs w:val="20"/>
          <w:b w:val="1"/>
          <w:bCs w:val="1"/>
          <w:i w:val="1"/>
          <w:iCs w:val="1"/>
          <w:color w:val="auto"/>
        </w:rPr>
        <w:t>LCA Test Date</w:t>
      </w:r>
      <w:r>
        <w:rPr>
          <w:rFonts w:ascii="Times New Roman" w:cs="Times New Roman" w:eastAsia="Times New Roman" w:hAnsi="Times New Roman"/>
          <w:sz w:val="20"/>
          <w:szCs w:val="20"/>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 period of four fiscal quarters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09" w:right="339" w:bottom="1440" w:gutter="0" w:footer="0" w:header="0"/>
        </w:sectPr>
      </w:pPr>
    </w:p>
    <w:bookmarkStart w:id="79" w:name="page80"/>
    <w:bookmarkEnd w:id="79"/>
    <w:p>
      <w:pPr>
        <w:jc w:val="both"/>
        <w:spacing w:after="0" w:line="231" w:lineRule="auto"/>
        <w:rPr>
          <w:sz w:val="20"/>
          <w:szCs w:val="20"/>
          <w:color w:val="auto"/>
        </w:rPr>
      </w:pPr>
      <w:r>
        <w:rPr>
          <w:rFonts w:ascii="Times New Roman" w:cs="Times New Roman" w:eastAsia="Times New Roman" w:hAnsi="Times New Roman"/>
          <w:sz w:val="20"/>
          <w:szCs w:val="20"/>
          <w:color w:val="auto"/>
        </w:rPr>
        <w:t>ended prior to the LCA Test Date for which consolidated financial statements of the Borrower are available, the Borrower could have taken such action on the relevant LCA Test Date in compliance with such ratio or basket, such ratio or basket shall be deemed to have been complied with. If the Borrower has made an LCA Election for any Limited Condition Acquisition, then in connection with any subsequent calculation of any basket availability with respect to the incurrence of Indebtedness, the grant of Liens, or the making of Investments, Restricted Payments, Dispositions, mergers and consolidations or other transfer of all or substantially all of the assets of any Group Member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both that such Limited Condition Acquisition and other transactions in connection therewith (including any incurrence of Indebtedness and the use of proceeds thereof) have been consummated and have not been consummated.</w:t>
      </w:r>
    </w:p>
    <w:p>
      <w:pPr>
        <w:spacing w:after="0" w:line="172"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1.7</w:t>
        <w:tab/>
        <w:t>Rates</w:t>
      </w:r>
      <w:r>
        <w:rPr>
          <w:rFonts w:ascii="Times New Roman" w:cs="Times New Roman" w:eastAsia="Times New Roman" w:hAnsi="Times New Roman"/>
          <w:sz w:val="20"/>
          <w:szCs w:val="20"/>
          <w:color w:val="auto"/>
        </w:rPr>
        <w:t>. The Administrative Agent does not warrant or accept responsibility for, and shall not have any liability with respect to,</w:t>
      </w:r>
    </w:p>
    <w:p>
      <w:pPr>
        <w:spacing w:after="0" w:line="12" w:lineRule="exact"/>
        <w:rPr>
          <w:sz w:val="20"/>
          <w:szCs w:val="20"/>
          <w:color w:val="auto"/>
        </w:rPr>
      </w:pPr>
    </w:p>
    <w:p>
      <w:pPr>
        <w:jc w:val="both"/>
        <w:ind w:firstLine="8"/>
        <w:spacing w:after="0" w:line="228" w:lineRule="auto"/>
        <w:tabs>
          <w:tab w:leader="none" w:pos="30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continuation of, administration of, submission of, calculation of or any other matter related to the Term SOFR Reference Rate, Adjusted Term SOFR,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Adjusted Term SOFR, Term SOFR ,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Adjusted Term SOFR,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 AND TERMS OF COMMITMENTS</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Revolving Commitments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5" w:lineRule="auto"/>
        <w:tabs>
          <w:tab w:leader="none" w:pos="180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each Revolving Lender severally agrees to make revolving credit loans (each, a “</w:t>
      </w:r>
      <w:r>
        <w:rPr>
          <w:rFonts w:ascii="Times New Roman" w:cs="Times New Roman" w:eastAsia="Times New Roman" w:hAnsi="Times New Roman"/>
          <w:sz w:val="20"/>
          <w:szCs w:val="20"/>
          <w:b w:val="1"/>
          <w:bCs w:val="1"/>
          <w:i w:val="1"/>
          <w:iCs w:val="1"/>
          <w:color w:val="auto"/>
        </w:rPr>
        <w:t>Revolving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Revolving Loans</w:t>
      </w:r>
      <w:r>
        <w:rPr>
          <w:rFonts w:ascii="Times New Roman" w:cs="Times New Roman" w:eastAsia="Times New Roman" w:hAnsi="Times New Roman"/>
          <w:sz w:val="20"/>
          <w:szCs w:val="20"/>
          <w:color w:val="auto"/>
        </w:rPr>
        <w:t>”) to the Borrower from time to time during the Revolving Commitment Period in an aggregate principal amount at any one time outstanding which, when added to the aggregate outstanding amount of the Swingline Loans, the Dollar Equivalent of the aggregate undrawn amount of all outstanding Letters of Credit, and the Dollar Equivalent of the aggregate amount of all L/C Disbursements that have not yet been reimbursed or converted into Revolving Loans or Swingline Loans, incurred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80" w:name="page81"/>
    <w:bookmarkEnd w:id="80"/>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Borrower and owing to such Lender, does not exceed the amount of such Lender’s Revolving Commitment. In addition, such aggregate obligations shall not at any time exceed the Total Revolving Commitments in effect at such time. During the Revolving Commitment Period the Borrower may use the Revolving Commitments by borrowing, prepaying the Revolving Loans in whole or in part, and reborrowing, all in accordance with the terms and conditions hereof. The Revolving Loans may from time to time be SOFR Loans or ABR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1304"/>
        <w:spacing w:after="0"/>
        <w:tabs>
          <w:tab w:leader="none" w:pos="183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repay all outstanding Revolving Loans (including, without limitation, all Overadvances to the extent not previously repaid) on the Revolving Termination Date. All accrued and unpaid interest as well as the accrued and unpaid Letter of Credit Fees shall be repaid on the Closing Date.</w:t>
      </w:r>
    </w:p>
    <w:p>
      <w:pPr>
        <w:spacing w:after="0" w:line="17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b w:val="1"/>
          <w:bCs w:val="1"/>
          <w:color w:val="auto"/>
        </w:rPr>
        <w:t>2.5 Procedure for Revolving Loan Borrowing</w:t>
      </w:r>
      <w:r>
        <w:rPr>
          <w:rFonts w:ascii="Times New Roman" w:cs="Times New Roman" w:eastAsia="Times New Roman" w:hAnsi="Times New Roman"/>
          <w:sz w:val="20"/>
          <w:szCs w:val="20"/>
          <w:color w:val="auto"/>
        </w:rPr>
        <w:t>. The Borrower may borrow under the Revolving Commitments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Revolving Commitment Period on any Business Day;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Borrower shall give the Administrative Agent an irrevocable Notice of Borrowing (which must be received by the Administrative Agent prior to 10:00 A.M. (a) 3 U.S. Government Securities Business Days prior to the requested Borrowing Date, in the case of SOFR Loans, or (b) 1 Business Day prior to the requested Borrowing Date, in the case of ABR Loans)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any such Notice of Borrowing of ABR Loans under the Revolving Facility to finance payments under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may be given not later than 10:00 A.M. on the date of the proposed borrowing), in each such case specifying (i) the amount and Type of Revolving Loans to be borrowed, (ii) the requested Borrowing Date, (iii) the respective amounts of each such Type of Loan, (iv) in the case of SOFR Loans, the respective lengths of the initial Interest Period therefor, and (v) instructions for remittance of the proceeds of the applicable Loans to be borrowed. If no Interest Period is specified with respect to any requested SOFR Loan, the Borrower shall be deemed to have selected an Interest Period of 1 month’s duration. Except as provided in </w:t>
      </w:r>
      <w:r>
        <w:rPr>
          <w:rFonts w:ascii="Times New Roman" w:cs="Times New Roman" w:eastAsia="Times New Roman" w:hAnsi="Times New Roman"/>
          <w:sz w:val="20"/>
          <w:szCs w:val="20"/>
          <w:u w:val="single" w:color="auto"/>
          <w:color w:val="auto"/>
        </w:rPr>
        <w:t>Sections 3.5(b)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2.7(b)</w:t>
      </w:r>
      <w:r>
        <w:rPr>
          <w:rFonts w:ascii="Times New Roman" w:cs="Times New Roman" w:eastAsia="Times New Roman" w:hAnsi="Times New Roman"/>
          <w:sz w:val="20"/>
          <w:szCs w:val="20"/>
          <w:color w:val="auto"/>
        </w:rPr>
        <w:t xml:space="preserve">, each borrowing of or conversion to ABR Loans shall be in an amount equal to $1,000,000 or a whole multiple of $100,000 in excess thereof (or, if the then Available Revolving Commitments are less than $1,000,000, such lesser amount);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Swingline Lender may request, on behalf of the Borrower, borrowings under the Revolving Commitments that are ABR Loans in other amounts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Upon receipt of any such Notice of Borrowing from the Borrower, the Administrative Agent shall promptly notify each Revolving Lender thereof. Each Revolving Lender will make the amount of its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each such borrowing available to the Administrative Agent for the account of the Borrower at the Revolving Loan Funding Office prior to 10:00 A.M. on the Borrowing Date requested by the Borrower in Same Day Funds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w:t>
      </w:r>
    </w:p>
    <w:p>
      <w:pPr>
        <w:spacing w:after="0" w:line="17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auto"/>
        </w:rPr>
        <w:t>2.6 Swingline Commitment</w:t>
      </w:r>
      <w:r>
        <w:rPr>
          <w:rFonts w:ascii="Times New Roman" w:cs="Times New Roman" w:eastAsia="Times New Roman" w:hAnsi="Times New Roman"/>
          <w:sz w:val="20"/>
          <w:szCs w:val="20"/>
          <w:color w:val="auto"/>
        </w:rPr>
        <w:t>. Subject to the terms and conditions hereof, the Swingline Lender agrees to make available a portion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 accommodations otherwise available to the Borrower under the Revolving Commitments from time to time during the Revolving Commitment Period by making swing line loans (each a “</w:t>
      </w:r>
      <w:r>
        <w:rPr>
          <w:rFonts w:ascii="Times New Roman" w:cs="Times New Roman" w:eastAsia="Times New Roman" w:hAnsi="Times New Roman"/>
          <w:sz w:val="20"/>
          <w:szCs w:val="20"/>
          <w:b w:val="1"/>
          <w:bCs w:val="1"/>
          <w:i w:val="1"/>
          <w:iCs w:val="1"/>
          <w:color w:val="auto"/>
        </w:rPr>
        <w:t>Swingline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Swingline Loans</w:t>
      </w:r>
      <w:r>
        <w:rPr>
          <w:rFonts w:ascii="Times New Roman" w:cs="Times New Roman" w:eastAsia="Times New Roman" w:hAnsi="Times New Roman"/>
          <w:sz w:val="20"/>
          <w:szCs w:val="20"/>
          <w:color w:val="auto"/>
        </w:rPr>
        <w:t xml:space="preserve">”) to the Borrower;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amount of the Available Revolving Commitments would be less than zero, and (c) 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Revolving Termination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Swingline Lender shall not make a Swingline Loan during the period commencing at the time it has received notice (by telephone or in writing) from the Administrative Agent at the request of any Lender, acting in good faith, that one or more of the applicable conditions specified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5.2(c)</w:t>
      </w:r>
      <w:r>
        <w:rPr>
          <w:rFonts w:ascii="Times New Roman" w:cs="Times New Roman" w:eastAsia="Times New Roman" w:hAnsi="Times New Roman"/>
          <w:sz w:val="20"/>
          <w:szCs w:val="20"/>
          <w:color w:val="auto"/>
        </w:rPr>
        <w:t>) is not then satisfied and has had a reasonable opportunity to react to such notice and ending when such conditions are satisfied or duly waived.</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Procedure for Swingline Borrowing; Refunding of Swingline Loans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1" w:lineRule="auto"/>
        <w:tabs>
          <w:tab w:leader="none" w:pos="188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the Borrower desires that the Swingline Lender make Swingline Loans the Borrower shall give the Swingline Lender irrevocable telephonic notice (which telephonic notice must be received by the Swingline Lender not later than 12:00 P.M.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$500,000 or a whole multiple of $100,000 in excess thereof. Promptly thereafter, on the Borrowing Date specified in a notice in respect of Swingline Loans, the Swingline Lender shall make available to the Borrower an amount in Same Day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such Swingline Loan shall be repaid by the Borrower no later than 5 Business Days after the advance of such Swingline Loan.</w:t>
      </w:r>
    </w:p>
    <w:p>
      <w:pPr>
        <w:spacing w:after="0" w:line="17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814"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Swingline Lender, at any time and from time to time in its sole and absolute discretion may, on behalf of the Borrower (which hereby irrevocably directs the Swingline Lender to act on its behalf), on 1 Business Day’s telephonic notice given by the Swingline Lender no later than 12:00 P.M.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Times New Roman" w:cs="Times New Roman" w:eastAsia="Times New Roman" w:hAnsi="Times New Roman"/>
          <w:sz w:val="19"/>
          <w:szCs w:val="19"/>
          <w:b w:val="1"/>
          <w:bCs w:val="1"/>
          <w:i w:val="1"/>
          <w:iCs w:val="1"/>
          <w:color w:val="auto"/>
        </w:rPr>
        <w:t>Refunded Swingline Loan</w:t>
      </w:r>
      <w:r>
        <w:rPr>
          <w:rFonts w:ascii="Times New Roman" w:cs="Times New Roman" w:eastAsia="Times New Roman" w:hAnsi="Times New Roman"/>
          <w:sz w:val="19"/>
          <w:szCs w:val="19"/>
          <w:color w:val="auto"/>
        </w:rPr>
        <w:t>”) outstanding on the date of such notice, to repay the Swingline Lender. Each Revolving Lender shall make the amount of such Revolving Loan available to the Administrative Agent at the Revolving Loan Funding Office in Same Day Funds, not later than 10:00 A.M. 1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spacing w:after="0" w:line="172" w:lineRule="exact"/>
        <w:rPr>
          <w:rFonts w:ascii="Times New Roman" w:cs="Times New Roman" w:eastAsia="Times New Roman" w:hAnsi="Times New Roman"/>
          <w:sz w:val="19"/>
          <w:szCs w:val="19"/>
          <w:color w:val="auto"/>
        </w:rPr>
      </w:pPr>
    </w:p>
    <w:p>
      <w:pPr>
        <w:jc w:val="both"/>
        <w:ind w:firstLine="1304"/>
        <w:spacing w:after="0" w:line="232" w:lineRule="auto"/>
        <w:tabs>
          <w:tab w:leader="none" w:pos="176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prior to the time that the Borrower has repaid the Swingline Loans pursuant to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or a Revolving Loan has been made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one of the events described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shall have occurred or if for any other reason, as determined by the Swingline Lender in its sole discretion, Revolving Loans may not be made as contemplated by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each Revolving Lender shall, on the date such Revolving Loan was to have been made pursuant to the notice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or on the date requested by the Swingline Lender (with at least 1 Business Day notice to the Revolving Lenders), purchase for cash an undivided participating interest in the then outstanding Swingline Loans by paying to the Swingline Lender an amount (the “</w:t>
      </w:r>
      <w:r>
        <w:rPr>
          <w:rFonts w:ascii="Times New Roman" w:cs="Times New Roman" w:eastAsia="Times New Roman" w:hAnsi="Times New Roman"/>
          <w:sz w:val="20"/>
          <w:szCs w:val="20"/>
          <w:b w:val="1"/>
          <w:bCs w:val="1"/>
          <w:i w:val="1"/>
          <w:iCs w:val="1"/>
          <w:color w:val="auto"/>
        </w:rPr>
        <w:t>Swingline Participation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Amount</w:t>
      </w:r>
      <w:r>
        <w:rPr>
          <w:rFonts w:ascii="Times New Roman" w:cs="Times New Roman" w:eastAsia="Times New Roman" w:hAnsi="Times New Roman"/>
          <w:sz w:val="20"/>
          <w:szCs w:val="20"/>
          <w:color w:val="auto"/>
        </w:rPr>
        <w:t>”) equal to (i) such Revolving Lender’s Revolving Percentage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(ii) the sum of the aggregate principal amount of the outstanding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Swingline Loans that were to have been repaid with such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82" w:name="page83"/>
    <w:bookmarkEnd w:id="82"/>
    <w:p>
      <w:pPr>
        <w:jc w:val="both"/>
        <w:ind w:firstLine="1304"/>
        <w:spacing w:after="0" w:line="233" w:lineRule="auto"/>
        <w:tabs>
          <w:tab w:leader="none" w:pos="177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in the event that such payment received by the Swingline Lender is required to be returned, such Revolving Lender will return to the Swingline Lender any portion thereof previously distributed to it by the Swingline Lender.</w:t>
      </w:r>
    </w:p>
    <w:p>
      <w:pPr>
        <w:spacing w:after="0" w:line="178" w:lineRule="exact"/>
        <w:rPr>
          <w:rFonts w:ascii="Times New Roman" w:cs="Times New Roman" w:eastAsia="Times New Roman" w:hAnsi="Times New Roman"/>
          <w:sz w:val="20"/>
          <w:szCs w:val="20"/>
          <w:color w:val="auto"/>
        </w:rPr>
      </w:pPr>
    </w:p>
    <w:p>
      <w:pPr>
        <w:jc w:val="both"/>
        <w:ind w:firstLine="1304"/>
        <w:spacing w:after="0" w:line="233" w:lineRule="auto"/>
        <w:tabs>
          <w:tab w:leader="none" w:pos="182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the Loans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and to purchase participating interests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78" w:lineRule="exact"/>
        <w:rPr>
          <w:rFonts w:ascii="Times New Roman" w:cs="Times New Roman" w:eastAsia="Times New Roman" w:hAnsi="Times New Roman"/>
          <w:sz w:val="20"/>
          <w:szCs w:val="20"/>
          <w:color w:val="auto"/>
        </w:rPr>
      </w:pPr>
    </w:p>
    <w:p>
      <w:pPr>
        <w:jc w:val="both"/>
        <w:ind w:firstLine="1304"/>
        <w:spacing w:after="0" w:line="246" w:lineRule="auto"/>
        <w:tabs>
          <w:tab w:leader="none" w:pos="171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Swingline Lender may resign at any time by giving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spacing w:after="0" w:line="17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2.8</w:t>
      </w:r>
      <w:r>
        <w:rPr>
          <w:sz w:val="20"/>
          <w:szCs w:val="20"/>
          <w:color w:val="auto"/>
        </w:rPr>
        <w:tab/>
      </w:r>
      <w:r>
        <w:rPr>
          <w:rFonts w:ascii="Times New Roman" w:cs="Times New Roman" w:eastAsia="Times New Roman" w:hAnsi="Times New Roman"/>
          <w:sz w:val="19"/>
          <w:szCs w:val="19"/>
          <w:b w:val="1"/>
          <w:bCs w:val="1"/>
          <w:color w:val="auto"/>
        </w:rPr>
        <w:t>Overadvances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0"/>
          <w:szCs w:val="20"/>
          <w:color w:val="auto"/>
        </w:rPr>
        <w:t>If at any time or for any reason the aggregate amount of the Total Revolving Extensions of Credit exceeds the amount of the Total Revolving Commitments then in effect (any such excess, an “</w:t>
      </w:r>
      <w:r>
        <w:rPr>
          <w:rFonts w:ascii="Times New Roman" w:cs="Times New Roman" w:eastAsia="Times New Roman" w:hAnsi="Times New Roman"/>
          <w:sz w:val="20"/>
          <w:szCs w:val="20"/>
          <w:b w:val="1"/>
          <w:bCs w:val="1"/>
          <w:i w:val="1"/>
          <w:iCs w:val="1"/>
          <w:color w:val="auto"/>
        </w:rPr>
        <w:t>Overadvance</w:t>
      </w:r>
      <w:r>
        <w:rPr>
          <w:rFonts w:ascii="Times New Roman" w:cs="Times New Roman" w:eastAsia="Times New Roman" w:hAnsi="Times New Roman"/>
          <w:sz w:val="20"/>
          <w:szCs w:val="20"/>
          <w:color w:val="auto"/>
        </w:rPr>
        <w:t xml:space="preserve">”), the Borrower shall immediately pay the full amount of such Overadvance to the Administrative Agent, without notice or demand. Any prepayment of any Revolving Loan that is a SOFR Loan hereunder shall be subject to Borrower’s obligation to pay any amounts owing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2.9</w:t>
      </w:r>
      <w:r>
        <w:rPr>
          <w:sz w:val="20"/>
          <w:szCs w:val="20"/>
          <w:color w:val="auto"/>
        </w:rPr>
        <w:tab/>
      </w: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47" w:lineRule="auto"/>
        <w:tabs>
          <w:tab w:leader="none" w:pos="171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The Borrower agrees to pay to the Administrative Agent for the benefit of (x) the Administrative Agent for its own account, the fees in the amounts and on the dates as set forth in the Existing Fee Letter and (y) the Lenders, the fees in the amounts and on the dates as set forth in the Fee Letter, and, in each case, to perform any other obligations contained therein.</w:t>
      </w:r>
    </w:p>
    <w:p>
      <w:pPr>
        <w:spacing w:after="0" w:line="167" w:lineRule="exact"/>
        <w:rPr>
          <w:rFonts w:ascii="Times New Roman" w:cs="Times New Roman" w:eastAsia="Times New Roman" w:hAnsi="Times New Roman"/>
          <w:sz w:val="20"/>
          <w:szCs w:val="20"/>
          <w:color w:val="auto"/>
        </w:rPr>
      </w:pPr>
    </w:p>
    <w:p>
      <w:pPr>
        <w:jc w:val="both"/>
        <w:ind w:firstLine="1304"/>
        <w:spacing w:after="0" w:line="236" w:lineRule="auto"/>
        <w:tabs>
          <w:tab w:leader="none" w:pos="1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As additional compensation for the Revolving Commitments, the Borrower shall pay to the Administrative Agent for the account of the Lenders, in arrears, on the last day of each calendar quarter prior to the Revolving Termination Date and on the Revolving Termination Date, a fee for the Borrower’s non-use of available funds in an amount equal to the Commitment Fee Rate per annum multiplied by the </w:t>
      </w:r>
      <w:r>
        <w:rPr>
          <w:rFonts w:ascii="Times New Roman" w:cs="Times New Roman" w:eastAsia="Times New Roman" w:hAnsi="Times New Roman"/>
          <w:sz w:val="20"/>
          <w:szCs w:val="20"/>
          <w:u w:val="single" w:color="auto"/>
          <w:color w:val="auto"/>
        </w:rPr>
        <w:t>difference</w:t>
      </w:r>
      <w:r>
        <w:rPr>
          <w:rFonts w:ascii="Times New Roman" w:cs="Times New Roman" w:eastAsia="Times New Roman" w:hAnsi="Times New Roman"/>
          <w:sz w:val="20"/>
          <w:szCs w:val="20"/>
          <w:color w:val="auto"/>
        </w:rPr>
        <w:t xml:space="preserve"> between (x) the Total Revolving Commitments (as they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83" w:name="page84"/>
    <w:bookmarkEnd w:id="83"/>
    <w:p>
      <w:pPr>
        <w:jc w:val="both"/>
        <w:spacing w:after="0" w:line="237" w:lineRule="auto"/>
        <w:rPr>
          <w:sz w:val="20"/>
          <w:szCs w:val="20"/>
          <w:color w:val="auto"/>
        </w:rPr>
      </w:pPr>
      <w:r>
        <w:rPr>
          <w:rFonts w:ascii="Times New Roman" w:cs="Times New Roman" w:eastAsia="Times New Roman" w:hAnsi="Times New Roman"/>
          <w:sz w:val="20"/>
          <w:szCs w:val="20"/>
          <w:color w:val="auto"/>
        </w:rPr>
        <w:t>reduced or increased from time to time) and (y) the sum of (A) the average for the period of the daily closing balance of the Revolving Loans outstanding excluding the aggregate principal amount of Swingline Loans which shall be deemed to be zero for purposes hereof, (B) the Dollar Equivalent of the aggregate undrawn amount of all Letters of Credit outstanding at such time and (C) the Dollar Equivalent of the aggregate amount of all L/C Disbursements that have not yet been reimbursed or converted into Revolving Loans or Swingline Loans at such time.</w:t>
      </w:r>
    </w:p>
    <w:p>
      <w:pPr>
        <w:spacing w:after="0" w:line="174" w:lineRule="exact"/>
        <w:rPr>
          <w:sz w:val="20"/>
          <w:szCs w:val="20"/>
          <w:color w:val="auto"/>
        </w:rPr>
      </w:pPr>
    </w:p>
    <w:p>
      <w:pPr>
        <w:ind w:left="1720" w:hanging="416"/>
        <w:spacing w:after="0"/>
        <w:tabs>
          <w:tab w:leader="none" w:pos="1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Nonrefundable</w:t>
      </w:r>
      <w:r>
        <w:rPr>
          <w:rFonts w:ascii="Times New Roman" w:cs="Times New Roman" w:eastAsia="Times New Roman" w:hAnsi="Times New Roman"/>
          <w:sz w:val="20"/>
          <w:szCs w:val="20"/>
          <w:color w:val="auto"/>
        </w:rPr>
        <w:t xml:space="preserve">. All fees payable under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shall be fully earned on the date paid and nonrefundable.</w:t>
      </w:r>
    </w:p>
    <w:p>
      <w:pPr>
        <w:spacing w:after="0" w:line="202" w:lineRule="exact"/>
        <w:rPr>
          <w:rFonts w:ascii="Times New Roman" w:cs="Times New Roman" w:eastAsia="Times New Roman" w:hAnsi="Times New Roman"/>
          <w:sz w:val="20"/>
          <w:szCs w:val="20"/>
          <w:color w:val="auto"/>
        </w:rPr>
      </w:pPr>
    </w:p>
    <w:p>
      <w:pPr>
        <w:ind w:firstLine="1304"/>
        <w:spacing w:after="0" w:line="255" w:lineRule="auto"/>
        <w:tabs>
          <w:tab w:leader="none" w:pos="175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in Fees</w:t>
      </w:r>
      <w:r>
        <w:rPr>
          <w:rFonts w:ascii="Times New Roman" w:cs="Times New Roman" w:eastAsia="Times New Roman" w:hAnsi="Times New Roman"/>
          <w:sz w:val="20"/>
          <w:szCs w:val="20"/>
          <w:color w:val="auto"/>
        </w:rPr>
        <w:t>. At any time that an Event of Default exists, upon the request of the Required Lenders, the amount of any of the foregoing fees due under subsection (b) shall be increased by adding 2.0% per annum thereto.</w:t>
      </w:r>
    </w:p>
    <w:p>
      <w:pPr>
        <w:spacing w:after="0" w:line="15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2.10</w:t>
      </w:r>
      <w:r>
        <w:rPr>
          <w:sz w:val="20"/>
          <w:szCs w:val="20"/>
          <w:color w:val="auto"/>
        </w:rPr>
        <w:tab/>
      </w:r>
      <w:r>
        <w:rPr>
          <w:rFonts w:ascii="Times New Roman" w:cs="Times New Roman" w:eastAsia="Times New Roman" w:hAnsi="Times New Roman"/>
          <w:sz w:val="19"/>
          <w:szCs w:val="19"/>
          <w:b w:val="1"/>
          <w:bCs w:val="1"/>
          <w:color w:val="auto"/>
        </w:rPr>
        <w:t>Termination or Reduction of Revolving Commitments; Prepayments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296"/>
        <w:spacing w:after="0" w:line="229" w:lineRule="auto"/>
        <w:rPr>
          <w:sz w:val="20"/>
          <w:szCs w:val="20"/>
          <w:color w:val="auto"/>
        </w:rPr>
      </w:pPr>
      <w:r>
        <w:rPr>
          <w:rFonts w:ascii="Times New Roman" w:cs="Times New Roman" w:eastAsia="Times New Roman" w:hAnsi="Times New Roman"/>
          <w:sz w:val="20"/>
          <w:szCs w:val="20"/>
          <w:color w:val="auto"/>
        </w:rPr>
        <w:t>The Borrower shall have the right, upon not less than 3 Business Days’ notice to the Administrative Agent, to terminate the Revolving Commitments or, from time to time, to reduce the amount of the Revolving Commitments; provided that no such termination or reduction of the Revolving Commitments shall be permitted if, after giving effect thereto and to any prepayments of the Revolving Loans and Swingline Loans made on the effective date thereof, the Total Revolving Extensions of Credit then outstanding would exceed the Total Revolving Commitments then in effect. Any such reduction shall be in an amount equal to $1,000,000, or a whole multiple thereof (or, if the then Total Revolving Commitments are less than $1,000,000, such lesser amount), and shall reduce permanently the Revolving Commitments then in effect; provided further, if in connection with any such reduction or termination of the Revolving Commitments a SOFR Loan is prepaid on any day other than the last day of the Interest Period applicable thereto, the Borrower shall also pay any amounts owing (if any) pursuant to Section 2.21. The Borrower shall have the right, without penalty or premium, upon not less than 3 Business Days’ notice to the Administrative Agent, to terminate the L/C Commitments or, from time to time, to reduce the amount of the L/C Commitments; provided that no such termination or reduction of L/C Commitments shall be permitted if, after giving effect thereto, the Total L/C Commitments shall be reduced to an amount that would result in the aggregate L/C Exposure exceeding the Total L/C Commitments (as so reduced). Any such reduction shall be in an amount equal to $1,000,000, or a whole multiple thereof (or, if the then Total L/C Commitments are less than $1,000,000, such lesser amount), and shall reduce permanently the L/C Commitments then in effect. The Borrower shall have the right, at any time and from time to time to prepay any Loan in whole or in part, upon not less than 3 Business Days’ notice to the Administrative Agent.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Revolving Loans shall be in an aggregate principal amount of $100,000 or a whole multiple thereof. Partial prepayments of Swingline Loans shall be in an aggregate principal amount of $100,000 or a whole multiple thereof.</w:t>
      </w:r>
    </w:p>
    <w:p>
      <w:pPr>
        <w:spacing w:after="0" w:line="184"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2.11</w:t>
        <w:tab/>
        <w:t>[Reserved]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19"/>
          <w:szCs w:val="19"/>
          <w:b w:val="1"/>
          <w:bCs w:val="1"/>
          <w:color w:val="auto"/>
        </w:rPr>
        <w:t>Conversion and Continuation Options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right="20" w:firstLine="1304"/>
        <w:spacing w:after="0"/>
        <w:tabs>
          <w:tab w:leader="none" w:pos="173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elect from time to time to convert SOFR Loans to ABR Loans by giving the Administrative Agent prior irrevocable notice in a Notice of Conversion/Continuation of such election no later than 10:00 A.M. on the Business Day preceding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44" w:lineRule="auto"/>
        <w:rPr>
          <w:sz w:val="20"/>
          <w:szCs w:val="20"/>
          <w:color w:val="auto"/>
        </w:rPr>
      </w:pPr>
      <w:r>
        <w:rPr>
          <w:rFonts w:ascii="Times New Roman" w:cs="Times New Roman" w:eastAsia="Times New Roman" w:hAnsi="Times New Roman"/>
          <w:sz w:val="19"/>
          <w:szCs w:val="19"/>
          <w:color w:val="auto"/>
        </w:rPr>
        <w:t xml:space="preserve">conversion date (or such later time as agreed to by the Administrative Agent in its sole discretion);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conversion of SOFR Loans may only be made on the last day of an Interest Period with respect thereto. Subject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the Borrower may elect from time to time to convert ABR Loans to SOFR Loans by giving the Administrative Agent prior irrevocable notice in a Notice of Conversion/Continuation of such election no later than 10:00 A.M. on the third U.S. Government Securities Business Day preceding the proposed conversion date (or such later time as agreed to by the Administrative Agent in its sole discretion) (which notice shall specify the length of the initial Interest Period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ABR Loan may be converted into a SOFR Loan when any Event of Default has occurred and is continuing. Upon receipt of any such notice, the Administrative Agent shall promptly notify each relevant Lender thereof. Subject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if no Interest Period is specified with respect to any SOFR Loan in a Notice of Conversion/Continuation delivered by the Borrower to the Administrative Agent, the Borrower shall be deemed to have selected an Interest Period of one month’s duration.</w:t>
      </w:r>
    </w:p>
    <w:p>
      <w:pPr>
        <w:spacing w:after="0" w:line="174" w:lineRule="exact"/>
        <w:rPr>
          <w:sz w:val="20"/>
          <w:szCs w:val="20"/>
          <w:color w:val="auto"/>
        </w:rPr>
      </w:pPr>
    </w:p>
    <w:p>
      <w:pPr>
        <w:jc w:val="both"/>
        <w:ind w:firstLine="1304"/>
        <w:spacing w:after="0" w:line="231" w:lineRule="auto"/>
        <w:tabs>
          <w:tab w:leader="none" w:pos="172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elect from time to time to continue any SOFR Loan by giving the Administrative Agent prior notice of such election in a Notice of Conversion/Continuation, in accordance with the applicable provisions of the term “Interest Period”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length of the next Interest Period to be applicable to such SOFR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SOFR Loan may be continued as such when any Event of Default has occurred and is continuing;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(x) if the Borrower shall fail to give any required notice as described above in this paragraph, upon the expiration of the then current Interest Period, such SOFR Loans shall be automatically continued as SOFR Loans bearing interest at a rate based upon Adjusted Term SOFR and with an Interest Period of the same length as then expiring Interest Period or (y) if such continuation is not permitted pursuant to preceding proviso, such SOFR Loans shall be automatically converted to ABR Loans on the last day of such then expiring Interest Period. Upon receipt of any such notice the Administrative Agent shall promptly notify each relevant Lender thereof.</w:t>
      </w:r>
    </w:p>
    <w:p>
      <w:pPr>
        <w:spacing w:after="0" w:line="181"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2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occurrence and during the continuance of an Event of Default, (i) the Borrower may not elect to have a Loan be made or continued as, or converted to, a SOFR Loan after the expiration of any Interest Period then in effect for such Loan and (ii), any Notice of Conversion/Continuation given by the Borrower with respect to a requested conversion/continuation that has not yet occurred shall, at the Administrative Agent’s option, be deemed to be rescinded by the Borrower and be deemed a request to convert or continue Loans referred to therein as ABR Loans.</w:t>
      </w:r>
    </w:p>
    <w:p>
      <w:pPr>
        <w:spacing w:after="0" w:line="17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2.14 Limitations on SOFR Tranches</w:t>
      </w:r>
      <w:r>
        <w:rPr>
          <w:rFonts w:ascii="Times New Roman" w:cs="Times New Roman" w:eastAsia="Times New Roman" w:hAnsi="Times New Roman"/>
          <w:sz w:val="20"/>
          <w:szCs w:val="20"/>
          <w:color w:val="auto"/>
        </w:rPr>
        <w:t>. Notwithstanding anything to the contrary in this Agreement, all borrowings, conversions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continuations of SOFR Loans and all selections of Interest Periods shall be in such amounts and be made pursuant to such elections so that (a) after giving effect thereto, the aggregate principal amount of the SOFR Loans comprising each SOFR Tranche shall be equal to $1,000,000 or a whole multiple of $100,000 in excess thereof, and (b) no more than seven (7) SOFR Tranches shall be outstanding at any one time.</w:t>
      </w:r>
    </w:p>
    <w:p>
      <w:pPr>
        <w:spacing w:after="0" w:line="18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19"/>
          <w:szCs w:val="19"/>
          <w:b w:val="1"/>
          <w:bCs w:val="1"/>
          <w:color w:val="auto"/>
        </w:rPr>
        <w:t>Interest Rates and Payment Dates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firstLine="1304"/>
        <w:spacing w:after="0" w:line="255" w:lineRule="auto"/>
        <w:tabs>
          <w:tab w:leader="none" w:pos="174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SOFR Loan shall bear interest at a rate per annum equal to Adjusted Term SOFR for the Interest Period therefor plus the Applicable Margin.</w:t>
      </w:r>
    </w:p>
    <w:p>
      <w:pPr>
        <w:spacing w:after="0" w:line="159" w:lineRule="exact"/>
        <w:rPr>
          <w:rFonts w:ascii="Times New Roman" w:cs="Times New Roman" w:eastAsia="Times New Roman" w:hAnsi="Times New Roman"/>
          <w:sz w:val="20"/>
          <w:szCs w:val="20"/>
          <w:color w:val="auto"/>
        </w:rPr>
      </w:pPr>
    </w:p>
    <w:p>
      <w:pPr>
        <w:ind w:right="20" w:firstLine="1304"/>
        <w:spacing w:after="0" w:line="255" w:lineRule="auto"/>
        <w:tabs>
          <w:tab w:leader="none" w:pos="177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ABR Loan (including any Swingline Loan) shall bear interest at a rate per annum equal to (i) the ABR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Margin.</w:t>
      </w:r>
    </w:p>
    <w:p>
      <w:pPr>
        <w:spacing w:after="0" w:line="159" w:lineRule="exact"/>
        <w:rPr>
          <w:rFonts w:ascii="Times New Roman" w:cs="Times New Roman" w:eastAsia="Times New Roman" w:hAnsi="Times New Roman"/>
          <w:sz w:val="20"/>
          <w:szCs w:val="20"/>
          <w:color w:val="auto"/>
        </w:rPr>
      </w:pPr>
    </w:p>
    <w:p>
      <w:pPr>
        <w:jc w:val="both"/>
        <w:ind w:firstLine="1304"/>
        <w:spacing w:after="0"/>
        <w:tabs>
          <w:tab w:leader="none" w:pos="177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existence of an Event of Default, upon notice to the Borrower at the request of the Required Lenders, all outstanding Loans shall bear interest at a rate per annum equal to the rate that would otherwise be applicable thereto pursuant to the foregoing provisions of this Section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2.00% (the “</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Default Rate shall apply to all outstanding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85" w:name="page86"/>
    <w:bookmarkEnd w:id="85"/>
    <w:p>
      <w:pPr>
        <w:spacing w:after="0" w:line="255" w:lineRule="auto"/>
        <w:rPr>
          <w:sz w:val="20"/>
          <w:szCs w:val="20"/>
          <w:color w:val="auto"/>
        </w:rPr>
      </w:pPr>
      <w:r>
        <w:rPr>
          <w:rFonts w:ascii="Times New Roman" w:cs="Times New Roman" w:eastAsia="Times New Roman" w:hAnsi="Times New Roman"/>
          <w:sz w:val="20"/>
          <w:szCs w:val="20"/>
          <w:color w:val="auto"/>
        </w:rPr>
        <w:t xml:space="preserve">automatically and without any Required Lender consent therefor upon the occurrence of any Event of Default arising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304"/>
        <w:spacing w:after="0" w:line="239" w:lineRule="auto"/>
        <w:tabs>
          <w:tab w:leader="none" w:pos="177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the outstanding principal amount of each Loan shall be payable in arrears on each Interest Payment Date; provided that (x) interest accruing pursuant to Section 2.15(c) shall be payable from time to time on demand and (y) in the event of any conversion of any SOFR Loan prior to the end of the Interest Period therefor, accrued interest on such SOFR Loan and any amounts owing pursuant to Section 2.21 shall be payable on the effective date of such conversion.</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19"/>
          <w:szCs w:val="19"/>
          <w:b w:val="1"/>
          <w:bCs w:val="1"/>
          <w:color w:val="auto"/>
        </w:rPr>
        <w:t>Computation of Interest and Fees; Conforming Changes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4" w:lineRule="auto"/>
        <w:tabs>
          <w:tab w:leader="none" w:pos="173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and fees payable pursuant hereto shall be calculated on the basis of a 360-day year for the actual days elapsed. The Administrative Agent shall as soon as practicable notify the Borrower and the relevant Lenders of each determination of a SOFR Rate.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88"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2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304"/>
        <w:spacing w:after="0" w:line="237" w:lineRule="auto"/>
        <w:tabs>
          <w:tab w:leader="none" w:pos="182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any Benchmark, the Administrative Agent shall have the right, in consultation with the Borrower,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such Benchmark.</w:t>
      </w:r>
    </w:p>
    <w:p>
      <w:pPr>
        <w:spacing w:after="0" w:line="170" w:lineRule="exact"/>
        <w:rPr>
          <w:sz w:val="20"/>
          <w:szCs w:val="20"/>
          <w:color w:val="auto"/>
        </w:rPr>
      </w:pPr>
    </w:p>
    <w:p>
      <w:pPr>
        <w:ind w:left="660"/>
        <w:spacing w:after="0"/>
        <w:tabs>
          <w:tab w:leader="none" w:pos="1180" w:val="left"/>
          <w:tab w:leader="none" w:pos="7520" w:val="left"/>
        </w:tabs>
        <w:rPr>
          <w:sz w:val="20"/>
          <w:szCs w:val="20"/>
          <w:color w:val="auto"/>
        </w:rPr>
      </w:pPr>
      <w:r>
        <w:rPr>
          <w:rFonts w:ascii="Times New Roman" w:cs="Times New Roman" w:eastAsia="Times New Roman" w:hAnsi="Times New Roman"/>
          <w:sz w:val="20"/>
          <w:szCs w:val="20"/>
          <w:b w:val="1"/>
          <w:bCs w:val="1"/>
          <w:color w:val="auto"/>
        </w:rPr>
        <w:t>2.17</w:t>
        <w:tab/>
        <w:t>Inability to Determine Interest Rate; Benchmark Replacement Setting</w:t>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1720" w:hanging="416"/>
        <w:spacing w:after="0"/>
        <w:tabs>
          <w:tab w:leader="none" w:pos="1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Interest Rate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if, as of any date:</w:t>
      </w:r>
    </w:p>
    <w:p>
      <w:pPr>
        <w:spacing w:after="0" w:line="202" w:lineRule="exact"/>
        <w:rPr>
          <w:rFonts w:ascii="Times New Roman" w:cs="Times New Roman" w:eastAsia="Times New Roman" w:hAnsi="Times New Roman"/>
          <w:sz w:val="20"/>
          <w:szCs w:val="20"/>
          <w:color w:val="auto"/>
        </w:rPr>
      </w:pPr>
    </w:p>
    <w:p>
      <w:pPr>
        <w:ind w:firstLine="1952"/>
        <w:spacing w:after="0" w:line="255" w:lineRule="auto"/>
        <w:tabs>
          <w:tab w:leader="none" w:pos="242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“Adjusted Term SOFR” cannot be determined pursuant to the definition thereof, or</w:t>
      </w:r>
    </w:p>
    <w:p>
      <w:pPr>
        <w:spacing w:after="0" w:line="159" w:lineRule="exact"/>
        <w:rPr>
          <w:rFonts w:ascii="Times New Roman" w:cs="Times New Roman" w:eastAsia="Times New Roman" w:hAnsi="Times New Roman"/>
          <w:sz w:val="20"/>
          <w:szCs w:val="20"/>
          <w:color w:val="auto"/>
        </w:rPr>
      </w:pPr>
    </w:p>
    <w:p>
      <w:pPr>
        <w:jc w:val="both"/>
        <w:ind w:firstLine="1952"/>
        <w:spacing w:after="0" w:line="239" w:lineRule="auto"/>
        <w:tabs>
          <w:tab w:leader="none" w:pos="246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7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0"/>
          <w:szCs w:val="20"/>
          <w:color w:val="auto"/>
        </w:rPr>
        <w:t>the Administrative Agent will promptly so notify the Borrower and each Lender. Upon notice thereof by the Administrative Agent to the Borrower, any obligation of the Lenders to make and any right of the Borrower to continue SOFR Loans or to convert ABR Loans to SOFR Loans shall be suspended (to the extent of the affected SOFR Loans or, in the case of a Term SOFR Borrowing, the affected Interest Periods) until the Administrative Agent (with respect to clause (ii), at the instruction of the Required Lenders) revokes such notice. Upon receipt of such notice, (i) the Borrower may revoke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37" w:lineRule="auto"/>
        <w:rPr>
          <w:sz w:val="20"/>
          <w:szCs w:val="20"/>
          <w:color w:val="auto"/>
        </w:rPr>
      </w:pPr>
      <w:r>
        <w:rPr>
          <w:rFonts w:ascii="Times New Roman" w:cs="Times New Roman" w:eastAsia="Times New Roman" w:hAnsi="Times New Roman"/>
          <w:sz w:val="20"/>
          <w:szCs w:val="20"/>
          <w:color w:val="auto"/>
        </w:rPr>
        <w:t>pending request for a borrowing of, conversion to or continuation of SOFR Loans (to the extent of the affected SOFR Loans or, in the case of a Term SOFR Borrowing, the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immediately or, in the case of a Term SOFR Borrowing, at the end of the applicable Interest Period. Upon any such conversion, the Borrower shall also pay accrued interest on the amount so converted.</w:t>
      </w:r>
    </w:p>
    <w:p>
      <w:pPr>
        <w:spacing w:after="0" w:line="174" w:lineRule="exact"/>
        <w:rPr>
          <w:sz w:val="20"/>
          <w:szCs w:val="20"/>
          <w:color w:val="auto"/>
        </w:rPr>
      </w:pPr>
    </w:p>
    <w:p>
      <w:pPr>
        <w:ind w:left="1740" w:hanging="436"/>
        <w:spacing w:after="0"/>
        <w:tabs>
          <w:tab w:leader="none" w:pos="17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p>
    <w:p>
      <w:pPr>
        <w:spacing w:after="0" w:line="202" w:lineRule="exact"/>
        <w:rPr>
          <w:rFonts w:ascii="Times New Roman" w:cs="Times New Roman" w:eastAsia="Times New Roman" w:hAnsi="Times New Roman"/>
          <w:sz w:val="20"/>
          <w:szCs w:val="20"/>
          <w:color w:val="auto"/>
        </w:rPr>
      </w:pPr>
    </w:p>
    <w:p>
      <w:pPr>
        <w:jc w:val="both"/>
        <w:ind w:firstLine="1952"/>
        <w:spacing w:after="0" w:line="242" w:lineRule="auto"/>
        <w:tabs>
          <w:tab w:leader="none" w:pos="2342"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Notwithstanding anything to the contrary herein or in any other Loan Document, if a Benchmark Transition Event and its related Benchmark Replacement Date have occurred prior any setting of the then-current Benchmark, then (1) if a Benchmark Replacement is determined in accordance with clause (a)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(2)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77" w:lineRule="exact"/>
        <w:rPr>
          <w:rFonts w:ascii="Times New Roman" w:cs="Times New Roman" w:eastAsia="Times New Roman" w:hAnsi="Times New Roman"/>
          <w:sz w:val="19"/>
          <w:szCs w:val="19"/>
          <w:color w:val="auto"/>
        </w:rPr>
      </w:pPr>
    </w:p>
    <w:p>
      <w:pPr>
        <w:jc w:val="both"/>
        <w:ind w:firstLine="1952"/>
        <w:spacing w:after="0" w:line="237" w:lineRule="auto"/>
        <w:tabs>
          <w:tab w:leader="none" w:pos="255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3" w:lineRule="exact"/>
        <w:rPr>
          <w:rFonts w:ascii="Times New Roman" w:cs="Times New Roman" w:eastAsia="Times New Roman" w:hAnsi="Times New Roman"/>
          <w:sz w:val="20"/>
          <w:szCs w:val="20"/>
          <w:color w:val="auto"/>
        </w:rPr>
      </w:pPr>
    </w:p>
    <w:p>
      <w:pPr>
        <w:jc w:val="both"/>
        <w:ind w:firstLine="1952"/>
        <w:spacing w:after="0" w:line="231" w:lineRule="auto"/>
        <w:tabs>
          <w:tab w:leader="none" w:pos="254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0"/>
          <w:szCs w:val="20"/>
          <w:u w:val="single" w:color="auto"/>
          <w:color w:val="auto"/>
        </w:rPr>
        <w:t>Section 2.17(b)(iv)</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(or the definitions used herein).</w:t>
      </w:r>
    </w:p>
    <w:p>
      <w:pPr>
        <w:spacing w:after="0" w:line="175" w:lineRule="exact"/>
        <w:rPr>
          <w:rFonts w:ascii="Times New Roman" w:cs="Times New Roman" w:eastAsia="Times New Roman" w:hAnsi="Times New Roman"/>
          <w:sz w:val="20"/>
          <w:szCs w:val="20"/>
          <w:color w:val="auto"/>
        </w:rPr>
      </w:pPr>
    </w:p>
    <w:p>
      <w:pPr>
        <w:jc w:val="both"/>
        <w:ind w:firstLine="1952"/>
        <w:spacing w:after="0"/>
        <w:tabs>
          <w:tab w:leader="none" w:pos="246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color w:val="auto"/>
        </w:rPr>
        <w:t>other information service that publishes such rate from time to time as selected by the Administrative Agent in its reasonable discretion or</w:t>
      </w:r>
    </w:p>
    <w:p>
      <w:pPr>
        <w:spacing w:after="0" w:line="8" w:lineRule="exact"/>
        <w:rPr>
          <w:sz w:val="20"/>
          <w:szCs w:val="20"/>
          <w:color w:val="auto"/>
        </w:rPr>
      </w:pPr>
    </w:p>
    <w:p>
      <w:pPr>
        <w:jc w:val="both"/>
        <w:ind w:firstLine="8"/>
        <w:spacing w:after="0" w:line="229" w:lineRule="auto"/>
        <w:tabs>
          <w:tab w:leader="none" w:pos="35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0" w:lineRule="exact"/>
        <w:rPr>
          <w:rFonts w:ascii="Times New Roman" w:cs="Times New Roman" w:eastAsia="Times New Roman" w:hAnsi="Times New Roman"/>
          <w:sz w:val="20"/>
          <w:szCs w:val="20"/>
          <w:color w:val="auto"/>
        </w:rPr>
      </w:pPr>
    </w:p>
    <w:p>
      <w:pPr>
        <w:jc w:val="both"/>
        <w:ind w:firstLine="1304"/>
        <w:spacing w:after="0" w:line="237" w:lineRule="auto"/>
        <w:tabs>
          <w:tab w:leader="none" w:pos="1848"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(x) the Borrower will be deemed to have converted any such request into a request for a Borrowing of or conversion to ABR Loans and (y) any outstanding affected SOFR Loans will be deemed to have been converted into ABR Loans at the end of the applicable Interest Period.</w:t>
      </w:r>
    </w:p>
    <w:p>
      <w:pPr>
        <w:spacing w:after="0" w:line="17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2.18</w:t>
      </w:r>
      <w:r>
        <w:rPr>
          <w:sz w:val="20"/>
          <w:szCs w:val="20"/>
          <w:color w:val="auto"/>
        </w:rPr>
        <w:tab/>
      </w:r>
      <w:r>
        <w:rPr>
          <w:rFonts w:ascii="Times New Roman" w:cs="Times New Roman" w:eastAsia="Times New Roman" w:hAnsi="Times New Roman"/>
          <w:sz w:val="19"/>
          <w:szCs w:val="19"/>
          <w:b w:val="1"/>
          <w:bCs w:val="1"/>
          <w:color w:val="auto"/>
        </w:rPr>
        <w:t>Pro Rata Treatment and Payments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right="20" w:firstLine="1304"/>
        <w:spacing w:after="0"/>
        <w:tabs>
          <w:tab w:leader="none" w:pos="183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by the Borrower from the Lenders hereunder, each payment by the Borrower on account of any commitment fee and any reduction of the Commitments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L/C Percentages or Revolving Percentages, as the case may be, of the relevant Lenders.</w:t>
      </w:r>
    </w:p>
    <w:p>
      <w:pPr>
        <w:spacing w:after="0" w:line="17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payment (including each prepayment) by the Borrower on account of principal of and interest on the Revolving Loans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outstanding principal amounts of the Revolving Loans then held by the Revolving Lenders.</w:t>
      </w:r>
    </w:p>
    <w:p>
      <w:pPr>
        <w:spacing w:after="0" w:line="16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1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(except as otherwise provided herein with respect to Letters of Credit denominated in an Alternative Currency) and in Same Day Funds. If, for any reason, the Borrower is prohibited by any Law from making any required payment hereunder in an Alternative Currency, the Borrower shall make such payment in Dollars in the Dollar Equivalent of the Alternative Currency payment amount. The Administrative Agent shall distribute such payments to the Lenders promptly upon receipt in like funds as received. Any payment in Dollars received by the Administrative Agent after 10:00 A.M. shall be deemed received on the next succeeding Business Day and any applicable interest or fee shall continue to accrue. All payments received by the Administrative Agent after the Applicable Time specified by the Administrative Agent, in the case of payments in an Alternative Currency, shall in each case be deemed received on the next succeeding Business Day and any applicable interest or fee shall continue to accrue.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88" w:name="page89"/>
    <w:bookmarkEnd w:id="88"/>
    <w:p>
      <w:pPr>
        <w:spacing w:after="0" w:line="255" w:lineRule="auto"/>
        <w:rPr>
          <w:sz w:val="20"/>
          <w:szCs w:val="20"/>
          <w:color w:val="auto"/>
        </w:rPr>
      </w:pPr>
      <w:r>
        <w:rPr>
          <w:rFonts w:ascii="Times New Roman" w:cs="Times New Roman" w:eastAsia="Times New Roman" w:hAnsi="Times New Roman"/>
          <w:sz w:val="20"/>
          <w:szCs w:val="20"/>
          <w:color w:val="auto"/>
        </w:rPr>
        <w:t>the immediately preceding Business Day. In the case of any extension of any payment of principal pursuant to the preceding two sentences, interest thereon shall be payable at the then applicable rate during such extension.</w:t>
      </w:r>
    </w:p>
    <w:p>
      <w:pPr>
        <w:spacing w:after="0" w:line="159" w:lineRule="exact"/>
        <w:rPr>
          <w:sz w:val="20"/>
          <w:szCs w:val="20"/>
          <w:color w:val="auto"/>
        </w:rPr>
      </w:pPr>
    </w:p>
    <w:p>
      <w:pPr>
        <w:jc w:val="both"/>
        <w:ind w:firstLine="1304"/>
        <w:spacing w:after="0" w:line="230" w:lineRule="auto"/>
        <w:tabs>
          <w:tab w:leader="none" w:pos="177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7" w:lineRule="exact"/>
        <w:rPr>
          <w:rFonts w:ascii="Times New Roman" w:cs="Times New Roman" w:eastAsia="Times New Roman" w:hAnsi="Times New Roman"/>
          <w:sz w:val="20"/>
          <w:szCs w:val="20"/>
          <w:color w:val="auto"/>
        </w:rPr>
      </w:pPr>
    </w:p>
    <w:p>
      <w:pPr>
        <w:jc w:val="both"/>
        <w:ind w:firstLine="1304"/>
        <w:spacing w:after="0" w:line="231" w:lineRule="auto"/>
        <w:tabs>
          <w:tab w:leader="none" w:pos="171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spacing w:after="0" w:line="181" w:lineRule="exact"/>
        <w:rPr>
          <w:rFonts w:ascii="Times New Roman" w:cs="Times New Roman" w:eastAsia="Times New Roman" w:hAnsi="Times New Roman"/>
          <w:sz w:val="20"/>
          <w:szCs w:val="20"/>
          <w:color w:val="auto"/>
        </w:rPr>
      </w:pPr>
    </w:p>
    <w:p>
      <w:pPr>
        <w:jc w:val="both"/>
        <w:ind w:firstLine="1304"/>
        <w:spacing w:after="0" w:line="256" w:lineRule="auto"/>
        <w:tabs>
          <w:tab w:leader="none" w:pos="1745"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and such funds are not made available to the Borrower by the Administrative Agent because the conditions to the applicable extension of credit set forth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are not satisfied or waived in accordance with the terms hereof, the Administrative Agent shall return such funds (in like funds as received from such Lender) to such Lender, without interest.</w:t>
      </w:r>
    </w:p>
    <w:p>
      <w:pPr>
        <w:spacing w:after="0" w:line="161" w:lineRule="exact"/>
        <w:rPr>
          <w:rFonts w:ascii="Times New Roman" w:cs="Times New Roman" w:eastAsia="Times New Roman" w:hAnsi="Times New Roman"/>
          <w:sz w:val="19"/>
          <w:szCs w:val="19"/>
          <w:color w:val="auto"/>
        </w:rPr>
      </w:pPr>
    </w:p>
    <w:p>
      <w:pPr>
        <w:jc w:val="both"/>
        <w:ind w:firstLine="1304"/>
        <w:spacing w:after="0" w:line="232" w:lineRule="auto"/>
        <w:tabs>
          <w:tab w:leader="none" w:pos="172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Lenders hereunder to (i) make Revolving Loans, (ii) fund its participations in L/C Disbursements in accordance with its respective L/C Percentage, (iii) fund its respective Swingline Participation Amount of any Swingline Loan, and (iv) make payments pursuant to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as applicable, are several and not joint. The failure of any Lender to make any such Loan, to fund any such participation or to make any such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89" w:name="page90"/>
    <w:bookmarkEnd w:id="89"/>
    <w:p>
      <w:pPr>
        <w:jc w:val="both"/>
        <w:ind w:firstLine="1304"/>
        <w:spacing w:after="0"/>
        <w:tabs>
          <w:tab w:leader="none" w:pos="1775"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4"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2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toward payment of interest and fees and Overadvances then due hereunder, ratably among the parties entitled thereto in accordance with the amounts of interest and fees and Overadvances then due to such parties,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 payment of principal then due hereunder, ratably among the parties entitled thereto in accordance with the amounts of principal then due to such parties.</w:t>
      </w:r>
    </w:p>
    <w:p>
      <w:pPr>
        <w:spacing w:after="0" w:line="173" w:lineRule="exact"/>
        <w:rPr>
          <w:rFonts w:ascii="Times New Roman" w:cs="Times New Roman" w:eastAsia="Times New Roman" w:hAnsi="Times New Roman"/>
          <w:sz w:val="20"/>
          <w:szCs w:val="20"/>
          <w:color w:val="auto"/>
        </w:rPr>
      </w:pPr>
    </w:p>
    <w:p>
      <w:pPr>
        <w:jc w:val="both"/>
        <w:ind w:firstLine="1304"/>
        <w:spacing w:after="0"/>
        <w:tabs>
          <w:tab w:leader="none" w:pos="1749"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Revolving Percentage or L/C Percentage, as applicable, of such payment on account of the Loans or participations obtained by all of the Lenders, such Lender shall (a) notify the Administrative Agent of the receipt of such payment, and (b) within 5 Business Days of such receipt purchase (for cash at face value) from the other Revolving Lenders or L/C Lenders, as applicable (through the Administrative Agent), without recourse, such participations in the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Revolving Percentages or L/C Percentages,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clause (k)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of its Affiliates (as to which the provisions of this clause (k) shall apply). The Borrower agrees that any Lender so purchasing a participation from another Lender pursuant to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shall be required to implement the terms of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The Administrative Agent shall keep records (which shall be conclusive and binding in the absence of manifest error) of participations purchased pursuant to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and shall in each case notify the Revolving Lenders or the L/C Lenders, as applicable, following any such purchase. The provisions of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or</w:t>
      </w:r>
    </w:p>
    <w:p>
      <w:pPr>
        <w:spacing w:after="0" w:line="224" w:lineRule="exact"/>
        <w:rPr>
          <w:rFonts w:ascii="Times New Roman" w:cs="Times New Roman" w:eastAsia="Times New Roman" w:hAnsi="Times New Roman"/>
          <w:sz w:val="19"/>
          <w:szCs w:val="19"/>
          <w:color w:val="auto"/>
        </w:rPr>
      </w:pPr>
    </w:p>
    <w:p>
      <w:pPr>
        <w:jc w:val="both"/>
        <w:ind w:firstLine="8"/>
        <w:spacing w:after="0" w:line="229" w:lineRule="auto"/>
        <w:tabs>
          <w:tab w:leader="none" w:pos="38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obtained by a Lender as consideration for the assignment of or sale of a participation in any of its Loans or sub-participations in any L/C Exposure to any assignee or participant, other than an assignment to the Borrower or any Affiliate thereof (as to which the provisions of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90" w:name="page91"/>
    <w:bookmarkEnd w:id="90"/>
    <w:p>
      <w:pPr>
        <w:jc w:val="both"/>
        <w:ind w:firstLine="1304"/>
        <w:spacing w:after="0" w:line="235" w:lineRule="auto"/>
        <w:tabs>
          <w:tab w:leader="none" w:pos="16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the Administrative Agent may, in its discretion at any time or from time to time, without the Borrower’s request and even if the conditions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after giving effect to any such Revolving Loan, the aggregate outstanding Revolving Loans will not exceed the Total Revolving Commitments then in effect.</w:t>
      </w:r>
    </w:p>
    <w:p>
      <w:pPr>
        <w:spacing w:after="0" w:line="17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2.19</w:t>
      </w:r>
      <w:r>
        <w:rPr>
          <w:sz w:val="20"/>
          <w:szCs w:val="20"/>
          <w:color w:val="auto"/>
        </w:rPr>
        <w:tab/>
      </w:r>
      <w:r>
        <w:rPr>
          <w:rFonts w:ascii="Times New Roman" w:cs="Times New Roman" w:eastAsia="Times New Roman" w:hAnsi="Times New Roman"/>
          <w:sz w:val="19"/>
          <w:szCs w:val="19"/>
          <w:b w:val="1"/>
          <w:bCs w:val="1"/>
          <w:color w:val="auto"/>
        </w:rPr>
        <w:t>Illegality; Requirements of Law</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0" w:lineRule="auto"/>
        <w:tabs>
          <w:tab w:leader="none" w:pos="186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reasonably determines that any Requirement of Law has made it unlawful, or that any Governmental Authority has asserted that it is unlawful, for such Lender or its applicable lending office to make, maintain or fund Loans whose interest is determined by reference to SOFR, Adjusted Term SOFR, Term SOFR or the Term SOFR Reference Rate, or to determine or charge interest rates based upon SOFR, Adjusted Term SOFR, Term SOFR or Term SOFR Reference Rate, then, on notice thereof by such Lender to the Borrower through the Administrative Agent (an “</w:t>
      </w:r>
      <w:r>
        <w:rPr>
          <w:rFonts w:ascii="Times New Roman" w:cs="Times New Roman" w:eastAsia="Times New Roman" w:hAnsi="Times New Roman"/>
          <w:sz w:val="20"/>
          <w:szCs w:val="20"/>
          <w:b w:val="1"/>
          <w:bCs w:val="1"/>
          <w:i w:val="1"/>
          <w:iCs w:val="1"/>
          <w:color w:val="auto"/>
        </w:rPr>
        <w:t>Illegality Notice</w:t>
      </w:r>
      <w:r>
        <w:rPr>
          <w:rFonts w:ascii="Times New Roman" w:cs="Times New Roman" w:eastAsia="Times New Roman" w:hAnsi="Times New Roman"/>
          <w:sz w:val="20"/>
          <w:szCs w:val="20"/>
          <w:color w:val="auto"/>
        </w:rPr>
        <w:t xml:space="preserve">”), any obligation of the Lenders to make, and the right of the Borrower to continue, SOFR Loans or convert ABR Loans to SOFR Loans shall be suspended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either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Adjusted Term SOFR, Term SOFR or the Term SOFR Reference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1304"/>
        <w:spacing w:after="0" w:line="236" w:lineRule="auto"/>
        <w:tabs>
          <w:tab w:leader="none" w:pos="19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Original Closing Date:</w:t>
      </w:r>
    </w:p>
    <w:p>
      <w:pPr>
        <w:spacing w:after="0" w:line="175"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subject any Recipient to any Taxes (other than (A) Indemnified Taxes, (B) Taxes described in clauses</w:t>
      </w:r>
    </w:p>
    <w:p>
      <w:pPr>
        <w:spacing w:after="0" w:line="8" w:lineRule="exact"/>
        <w:rPr>
          <w:rFonts w:ascii="Times New Roman" w:cs="Times New Roman" w:eastAsia="Times New Roman" w:hAnsi="Times New Roman"/>
          <w:sz w:val="20"/>
          <w:szCs w:val="20"/>
          <w:color w:val="auto"/>
        </w:rPr>
      </w:pPr>
    </w:p>
    <w:p>
      <w:pPr>
        <w:ind w:right="20" w:firstLine="8"/>
        <w:spacing w:after="0" w:line="236" w:lineRule="auto"/>
        <w:tabs>
          <w:tab w:leader="none" w:pos="31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(d) of the definition of Excluded Taxes, and (C) Connection Income Taxes) on its Loans, loan principal, letters of credit, commitments, or other obligations, or its deposits, reserves, other liabilities or capital attributable thereto;</w:t>
      </w:r>
    </w:p>
    <w:p>
      <w:pPr>
        <w:spacing w:after="0" w:line="187" w:lineRule="exact"/>
        <w:rPr>
          <w:rFonts w:ascii="Times New Roman" w:cs="Times New Roman" w:eastAsia="Times New Roman" w:hAnsi="Times New Roman"/>
          <w:sz w:val="20"/>
          <w:szCs w:val="20"/>
          <w:color w:val="auto"/>
        </w:rPr>
      </w:pPr>
    </w:p>
    <w:p>
      <w:pPr>
        <w:jc w:val="both"/>
        <w:ind w:firstLine="1952"/>
        <w:spacing w:after="0"/>
        <w:tabs>
          <w:tab w:leader="none" w:pos="2456"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modify or deem applicable any reserve, special deposit, compulsory loan, insurance charge or similar requirement against assets of, deposits with or for the account of or credit extended or participated in by, any Lender (except any reserve requirement reflected in the Term SOFR Reference Rate); or</w:t>
      </w:r>
    </w:p>
    <w:p>
      <w:pPr>
        <w:spacing w:after="0" w:line="174" w:lineRule="exact"/>
        <w:rPr>
          <w:sz w:val="20"/>
          <w:szCs w:val="20"/>
          <w:color w:val="auto"/>
        </w:rPr>
      </w:pPr>
    </w:p>
    <w:p>
      <w:pPr>
        <w:ind w:firstLine="1952"/>
        <w:spacing w:after="0" w:line="255" w:lineRule="auto"/>
        <w:tabs>
          <w:tab w:leader="none" w:pos="245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London interbank market any other condition, cost or expense (other than Taxes) affecting this Agreement or Loans made by such Lender or any Letter of Credit or participation therein;</w:t>
      </w:r>
    </w:p>
    <w:p>
      <w:pPr>
        <w:spacing w:after="0" w:line="1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converting to, continuing or maintaining Loans determined with reference to the Term SOFR Reference Rate or of maintaining its obligation to make such Loans, or to increase the cost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33" w:lineRule="auto"/>
        <w:rPr>
          <w:sz w:val="20"/>
          <w:szCs w:val="20"/>
          <w:color w:val="auto"/>
        </w:rPr>
      </w:pPr>
      <w:r>
        <w:rPr>
          <w:rFonts w:ascii="Times New Roman" w:cs="Times New Roman" w:eastAsia="Times New Roman" w:hAnsi="Times New Roman"/>
          <w:sz w:val="20"/>
          <w:szCs w:val="20"/>
          <w:color w:val="auto"/>
        </w:rPr>
        <w:t>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spacing w:after="0" w:line="179" w:lineRule="exact"/>
        <w:rPr>
          <w:sz w:val="20"/>
          <w:szCs w:val="20"/>
          <w:color w:val="auto"/>
        </w:rPr>
      </w:pPr>
    </w:p>
    <w:p>
      <w:pPr>
        <w:jc w:val="both"/>
        <w:ind w:firstLine="1304"/>
        <w:spacing w:after="0" w:line="231" w:lineRule="auto"/>
        <w:tabs>
          <w:tab w:leader="none" w:pos="176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81"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4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73" w:lineRule="exact"/>
        <w:rPr>
          <w:rFonts w:ascii="Times New Roman" w:cs="Times New Roman" w:eastAsia="Times New Roman" w:hAnsi="Times New Roman"/>
          <w:sz w:val="20"/>
          <w:szCs w:val="20"/>
          <w:color w:val="auto"/>
        </w:rPr>
      </w:pPr>
    </w:p>
    <w:p>
      <w:pPr>
        <w:jc w:val="both"/>
        <w:ind w:firstLine="1304"/>
        <w:spacing w:after="0" w:line="231" w:lineRule="auto"/>
        <w:tabs>
          <w:tab w:leader="none" w:pos="175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 Borrower shall not be required to compensate a Lender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for any amounts incurred more than 9 months prior to the date that such Lender notifies the Borrower of the change in the Requirement of Law giving rise to such increased costs or reductions, and of such Lender’s intention to claim compensation therefor;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the circumstances giving rise to such claim have a retroactive effect, then such 9-month period shall be extended to include the period of such retroactive effect. The obligations of the Borrower arising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survive the Discharge of Obligations and the resignation of the Administrative Agent.</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2.20</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term “Lender” includes the Issuing Lender and the term “applicable law” includes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92" w:name="page93"/>
    <w:bookmarkEnd w:id="92"/>
    <w:p>
      <w:pPr>
        <w:jc w:val="both"/>
        <w:ind w:firstLine="1304"/>
        <w:spacing w:after="0" w:line="231" w:lineRule="auto"/>
        <w:tabs>
          <w:tab w:leader="none" w:pos="175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and all payments by or on account of any obligation of any Loan Party under any Loan Document shall be made without deduction or withholding for any Taxes, except as required by applicable Requirements of Law, and the Borrower shall, and shall cause each other Loan Party, to comply with the requirements set forth in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If any applicable Requirements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75" w:lineRule="exact"/>
        <w:rPr>
          <w:rFonts w:ascii="Times New Roman" w:cs="Times New Roman" w:eastAsia="Times New Roman" w:hAnsi="Times New Roman"/>
          <w:sz w:val="20"/>
          <w:szCs w:val="20"/>
          <w:color w:val="auto"/>
        </w:rPr>
      </w:pPr>
    </w:p>
    <w:p>
      <w:pPr>
        <w:jc w:val="both"/>
        <w:ind w:right="20" w:firstLine="1304"/>
        <w:spacing w:after="0" w:line="247" w:lineRule="auto"/>
        <w:tabs>
          <w:tab w:leader="none" w:pos="181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w:t>
      </w:r>
      <w:r>
        <w:rPr>
          <w:rFonts w:ascii="Times New Roman" w:cs="Times New Roman" w:eastAsia="Times New Roman" w:hAnsi="Times New Roman"/>
          <w:sz w:val="20"/>
          <w:szCs w:val="20"/>
          <w:color w:val="auto"/>
        </w:rPr>
        <w:t>. The Borrower shall and shall cause each other Loan Party to, timely pay to the relevant Governmental Authority in accordance with applicable law, or at the option of the Administrative Agent timely reimburse it for the payment of, any Other Taxes applicable to such Loan Party.</w:t>
      </w:r>
    </w:p>
    <w:p>
      <w:pPr>
        <w:spacing w:after="0" w:line="167" w:lineRule="exact"/>
        <w:rPr>
          <w:rFonts w:ascii="Times New Roman" w:cs="Times New Roman" w:eastAsia="Times New Roman" w:hAnsi="Times New Roman"/>
          <w:sz w:val="20"/>
          <w:szCs w:val="20"/>
          <w:color w:val="auto"/>
        </w:rPr>
      </w:pPr>
    </w:p>
    <w:p>
      <w:pPr>
        <w:jc w:val="both"/>
        <w:ind w:firstLine="1304"/>
        <w:spacing w:after="0" w:line="236" w:lineRule="auto"/>
        <w:tabs>
          <w:tab w:leader="none" w:pos="182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5" w:lineRule="exact"/>
        <w:rPr>
          <w:rFonts w:ascii="Times New Roman" w:cs="Times New Roman" w:eastAsia="Times New Roman" w:hAnsi="Times New Roman"/>
          <w:sz w:val="20"/>
          <w:szCs w:val="20"/>
          <w:color w:val="auto"/>
        </w:rPr>
      </w:pPr>
    </w:p>
    <w:p>
      <w:pPr>
        <w:jc w:val="both"/>
        <w:ind w:firstLine="1304"/>
        <w:spacing w:after="0" w:line="233" w:lineRule="auto"/>
        <w:tabs>
          <w:tab w:leader="none" w:pos="177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Loan Parties</w:t>
      </w:r>
      <w:r>
        <w:rPr>
          <w:rFonts w:ascii="Times New Roman" w:cs="Times New Roman" w:eastAsia="Times New Roman" w:hAnsi="Times New Roman"/>
          <w:sz w:val="20"/>
          <w:szCs w:val="20"/>
          <w:color w:val="auto"/>
        </w:rPr>
        <w:t xml:space="preserve">. The Borrower shall, and shall cause each other Loan Party to, jointly and severally indemnify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8" w:lineRule="exact"/>
        <w:rPr>
          <w:rFonts w:ascii="Times New Roman" w:cs="Times New Roman" w:eastAsia="Times New Roman" w:hAnsi="Times New Roman"/>
          <w:sz w:val="20"/>
          <w:szCs w:val="20"/>
          <w:color w:val="auto"/>
        </w:rPr>
      </w:pPr>
    </w:p>
    <w:p>
      <w:pPr>
        <w:jc w:val="both"/>
        <w:ind w:firstLine="1304"/>
        <w:spacing w:after="0" w:line="243" w:lineRule="auto"/>
        <w:tabs>
          <w:tab w:leader="none" w:pos="1808"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Lenders</w:t>
      </w:r>
      <w:r>
        <w:rPr>
          <w:rFonts w:ascii="Times New Roman" w:cs="Times New Roman" w:eastAsia="Times New Roman" w:hAnsi="Times New Roman"/>
          <w:sz w:val="19"/>
          <w:szCs w:val="19"/>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Section 2.20(e)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93" w:name="page94"/>
    <w:bookmarkEnd w:id="93"/>
    <w:p>
      <w:pPr>
        <w:ind w:left="1700" w:hanging="396"/>
        <w:spacing w:after="0"/>
        <w:tabs>
          <w:tab w:leader="none" w:pos="17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1952"/>
        <w:spacing w:after="0" w:line="230" w:lineRule="auto"/>
        <w:tabs>
          <w:tab w:leader="none" w:pos="24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Sections 2.20(f)(ii)(A)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202" w:lineRule="exact"/>
        <w:rPr>
          <w:rFonts w:ascii="Times New Roman" w:cs="Times New Roman" w:eastAsia="Times New Roman" w:hAnsi="Times New Roman"/>
          <w:sz w:val="20"/>
          <w:szCs w:val="20"/>
          <w:color w:val="auto"/>
        </w:rPr>
      </w:pPr>
    </w:p>
    <w:p>
      <w:pPr>
        <w:jc w:val="both"/>
        <w:ind w:firstLine="2600"/>
        <w:spacing w:after="0" w:line="236" w:lineRule="auto"/>
        <w:tabs>
          <w:tab w:leader="none" w:pos="3065"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5" w:lineRule="exact"/>
        <w:rPr>
          <w:rFonts w:ascii="Times New Roman" w:cs="Times New Roman" w:eastAsia="Times New Roman" w:hAnsi="Times New Roman"/>
          <w:sz w:val="20"/>
          <w:szCs w:val="20"/>
          <w:color w:val="auto"/>
        </w:rPr>
      </w:pPr>
    </w:p>
    <w:p>
      <w:pPr>
        <w:jc w:val="both"/>
        <w:ind w:firstLine="2600"/>
        <w:spacing w:after="0" w:line="239" w:lineRule="auto"/>
        <w:tabs>
          <w:tab w:leader="none" w:pos="3103"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7" w:lineRule="exact"/>
        <w:rPr>
          <w:rFonts w:ascii="Times New Roman" w:cs="Times New Roman" w:eastAsia="Times New Roman" w:hAnsi="Times New Roman"/>
          <w:sz w:val="20"/>
          <w:szCs w:val="20"/>
          <w:color w:val="auto"/>
        </w:rPr>
      </w:pPr>
    </w:p>
    <w:p>
      <w:pPr>
        <w:jc w:val="both"/>
        <w:ind w:firstLine="3248"/>
        <w:spacing w:after="0" w:line="232" w:lineRule="auto"/>
        <w:tabs>
          <w:tab w:leader="none" w:pos="3761" w:val="left"/>
        </w:tabs>
        <w:numPr>
          <w:ilvl w:val="3"/>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78" w:lineRule="exact"/>
        <w:rPr>
          <w:rFonts w:ascii="Times New Roman" w:cs="Times New Roman" w:eastAsia="Times New Roman" w:hAnsi="Times New Roman"/>
          <w:sz w:val="20"/>
          <w:szCs w:val="20"/>
          <w:color w:val="auto"/>
        </w:rPr>
      </w:pPr>
    </w:p>
    <w:p>
      <w:pPr>
        <w:ind w:left="3680" w:hanging="432"/>
        <w:spacing w:after="0"/>
        <w:tabs>
          <w:tab w:leader="none" w:pos="3680" w:val="left"/>
        </w:tabs>
        <w:numPr>
          <w:ilvl w:val="3"/>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firstLine="3248"/>
        <w:spacing w:after="0" w:line="234" w:lineRule="auto"/>
        <w:tabs>
          <w:tab w:leader="none" w:pos="3740" w:val="left"/>
        </w:tabs>
        <w:numPr>
          <w:ilvl w:val="3"/>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(y) executed copies of IRS Form W-8BEN or IRS Form W-8BEN-E, as applicable (or any successor form);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94" w:name="page95"/>
    <w:bookmarkEnd w:id="94"/>
    <w:p>
      <w:pPr>
        <w:jc w:val="both"/>
        <w:ind w:firstLine="3248"/>
        <w:spacing w:after="0" w:line="235" w:lineRule="auto"/>
        <w:tabs>
          <w:tab w:leader="none" w:pos="3733" w:val="left"/>
        </w:tabs>
        <w:numPr>
          <w:ilvl w:val="3"/>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74" w:lineRule="exact"/>
        <w:rPr>
          <w:rFonts w:ascii="Times New Roman" w:cs="Times New Roman" w:eastAsia="Times New Roman" w:hAnsi="Times New Roman"/>
          <w:sz w:val="20"/>
          <w:szCs w:val="20"/>
          <w:color w:val="auto"/>
        </w:rPr>
      </w:pPr>
    </w:p>
    <w:p>
      <w:pPr>
        <w:jc w:val="both"/>
        <w:ind w:firstLine="2600"/>
        <w:spacing w:after="0" w:line="232" w:lineRule="auto"/>
        <w:tabs>
          <w:tab w:leader="none" w:pos="3103"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1" w:lineRule="exact"/>
        <w:rPr>
          <w:rFonts w:ascii="Times New Roman" w:cs="Times New Roman" w:eastAsia="Times New Roman" w:hAnsi="Times New Roman"/>
          <w:sz w:val="20"/>
          <w:szCs w:val="20"/>
          <w:color w:val="auto"/>
        </w:rPr>
      </w:pPr>
    </w:p>
    <w:p>
      <w:pPr>
        <w:jc w:val="both"/>
        <w:ind w:firstLine="2600"/>
        <w:spacing w:after="0" w:line="231" w:lineRule="auto"/>
        <w:tabs>
          <w:tab w:leader="none" w:pos="326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including IRS Form W-8BEN-E)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1" w:lineRule="exact"/>
        <w:rPr>
          <w:rFonts w:ascii="Times New Roman" w:cs="Times New Roman" w:eastAsia="Times New Roman" w:hAnsi="Times New Roman"/>
          <w:sz w:val="20"/>
          <w:szCs w:val="20"/>
          <w:color w:val="auto"/>
        </w:rPr>
      </w:pPr>
    </w:p>
    <w:p>
      <w:pPr>
        <w:jc w:val="both"/>
        <w:ind w:firstLine="1952"/>
        <w:spacing w:after="0"/>
        <w:tabs>
          <w:tab w:leader="none" w:pos="251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4"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2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color w:val="auto"/>
        </w:rPr>
        <w:t>any other information relating to its Taxes that it deems confidential) to the indemnifying party or any other Person.</w:t>
      </w:r>
    </w:p>
    <w:p>
      <w:pPr>
        <w:spacing w:after="0" w:line="202" w:lineRule="exact"/>
        <w:rPr>
          <w:sz w:val="20"/>
          <w:szCs w:val="20"/>
          <w:color w:val="auto"/>
        </w:rPr>
      </w:pPr>
    </w:p>
    <w:p>
      <w:pPr>
        <w:ind w:firstLine="1304"/>
        <w:spacing w:after="0" w:line="255" w:lineRule="auto"/>
        <w:tabs>
          <w:tab w:leader="none" w:pos="191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and the Discharge of Obligations.</w:t>
      </w:r>
    </w:p>
    <w:p>
      <w:pPr>
        <w:spacing w:after="0" w:line="15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b w:val="1"/>
          <w:bCs w:val="1"/>
          <w:color w:val="auto"/>
        </w:rPr>
        <w:t>2.21 Indemnity</w:t>
      </w:r>
      <w:r>
        <w:rPr>
          <w:rFonts w:ascii="Times New Roman" w:cs="Times New Roman" w:eastAsia="Times New Roman" w:hAnsi="Times New Roman"/>
          <w:sz w:val="20"/>
          <w:szCs w:val="20"/>
          <w:color w:val="auto"/>
        </w:rPr>
        <w:t>. In the event of (a) the payment of any principal of any SOFR Loan on a day that is prior to the last day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Interest Period applicable thereto (including as a result of an Event of Default), (b) the conversion of any SOFR Loan on a day that is prior to the last day of the Interest Period applicable thereto (including as a result of an Event of Default), (c) the failure to borrow, convert, continue or prepay any SOFR Loan on the date specified in any notice delivered to the Administrative Agent in accordance with the provisions of this Agreement, or (d) the assignment of any SOFR Loan on a day that is prior to the last day of the Interest Period applicable thereto as a result of a request by the Borrower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then, in any such event, the Borrower shall compensate each Lender for any losses and expenses attributable to such event, in an amount equal to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or other return for such Loans provided for herein (excluding, however, the Applicable Margin included therein, if any). This covenant shall survive the Discharge of Obligations. A certificate of any Lender setting forth any amount or amounts that such Lender is entitled to receive pursuant to this Section submitted to the Borrower and shall be conclusive in the absence of manifest error. The Borrower shall pay such Lender the amount shown as due on any such certificate within ten (10) days after receipt thereof.</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b w:val="1"/>
          <w:bCs w:val="1"/>
          <w:color w:val="auto"/>
        </w:rPr>
        <w:t>2.22 Change of Lending Office</w:t>
      </w:r>
      <w:r>
        <w:rPr>
          <w:rFonts w:ascii="Times New Roman" w:cs="Times New Roman" w:eastAsia="Times New Roman" w:hAnsi="Times New Roman"/>
          <w:sz w:val="19"/>
          <w:szCs w:val="19"/>
          <w:color w:val="auto"/>
        </w:rPr>
        <w:t>. Each Lender agrees that, upon the occurrence of any event giving rise to the operation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2.20(d)</w:t>
      </w:r>
      <w:r>
        <w:rPr>
          <w:rFonts w:ascii="Times New Roman" w:cs="Times New Roman" w:eastAsia="Times New Roman" w:hAnsi="Times New Roman"/>
          <w:sz w:val="19"/>
          <w:szCs w:val="19"/>
          <w:color w:val="auto"/>
        </w:rPr>
        <w:t xml:space="preserve"> with respect to such Lender or that would require any Loan Party to pay any Indemnified Taxes or additional amounts to any Lender or Governmental Authority for the account of such Lender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it will, if requested by the 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if, in the judgment of such Lender, such designation or assignment</w:t>
      </w:r>
    </w:p>
    <w:p>
      <w:pPr>
        <w:spacing w:after="0" w:line="3" w:lineRule="exact"/>
        <w:rPr>
          <w:sz w:val="20"/>
          <w:szCs w:val="20"/>
          <w:color w:val="auto"/>
        </w:rPr>
      </w:pPr>
    </w:p>
    <w:p>
      <w:pPr>
        <w:jc w:val="both"/>
        <w:ind w:firstLine="8"/>
        <w:spacing w:after="0" w:line="229" w:lineRule="auto"/>
        <w:tabs>
          <w:tab w:leader="none" w:pos="2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would eliminate or reduce amounts payable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as the case may be, in the future, and (ii) would not subject such Lender to any unreimbursed cost or expense and would not otherwise be disadvantageous to such Lender;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nothing in this Section shall affect or postpone any of the obligations of the Borrower or the rights of any Lender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The Borrower hereby agrees to pay all reasonable and documented costs and expenses incurred by any Lender in connection with any such designation or assignment made at the request of the Borrower.</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2.23 Substitution of Lenders</w:t>
      </w:r>
      <w:r>
        <w:rPr>
          <w:rFonts w:ascii="Times New Roman" w:cs="Times New Roman" w:eastAsia="Times New Roman" w:hAnsi="Times New Roman"/>
          <w:sz w:val="20"/>
          <w:szCs w:val="20"/>
          <w:color w:val="auto"/>
        </w:rPr>
        <w:t>. Upon the receipt by the Borrower of any of the following (or in the case of clause (a) below,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is required to pay any such amount), with respect to any Lender (any such Lender described in clauses (a) through (c) below being referred to as an “</w:t>
      </w:r>
      <w:r>
        <w:rPr>
          <w:rFonts w:ascii="Times New Roman" w:cs="Times New Roman" w:eastAsia="Times New Roman" w:hAnsi="Times New Roman"/>
          <w:sz w:val="20"/>
          <w:szCs w:val="20"/>
          <w:b w:val="1"/>
          <w:bCs w:val="1"/>
          <w:i w:val="1"/>
          <w:iCs w:val="1"/>
          <w:color w:val="auto"/>
        </w:rPr>
        <w:t>Affected Lender</w:t>
      </w:r>
      <w:r>
        <w:rPr>
          <w:rFonts w:ascii="Times New Roman" w:cs="Times New Roman" w:eastAsia="Times New Roman" w:hAnsi="Times New Roman"/>
          <w:sz w:val="20"/>
          <w:szCs w:val="20"/>
          <w:color w:val="auto"/>
        </w:rPr>
        <w:t>” hereunder):</w:t>
      </w:r>
    </w:p>
    <w:p>
      <w:pPr>
        <w:spacing w:after="0" w:line="172" w:lineRule="exact"/>
        <w:rPr>
          <w:sz w:val="20"/>
          <w:szCs w:val="20"/>
          <w:color w:val="auto"/>
        </w:rPr>
      </w:pPr>
    </w:p>
    <w:p>
      <w:pPr>
        <w:jc w:val="both"/>
        <w:ind w:firstLine="1304"/>
        <w:spacing w:after="0"/>
        <w:tabs>
          <w:tab w:leader="none" w:pos="177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request from a Lender for payment of Indemnified Taxes or additional amounts under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of increased costs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(and, in any such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or is a Non-Consenting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96" w:name="page97"/>
    <w:bookmarkEnd w:id="96"/>
    <w:p>
      <w:pPr>
        <w:ind w:right="20" w:firstLine="1304"/>
        <w:spacing w:after="0" w:line="255" w:lineRule="auto"/>
        <w:tabs>
          <w:tab w:leader="none" w:pos="172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notice from the Administrative Agent under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that one or more Minority Lenders are unwilling to agree to an amendment or other modification approved by the Required Lenders and the Administrative Agent; or</w:t>
      </w:r>
    </w:p>
    <w:p>
      <w:pPr>
        <w:spacing w:after="0" w:line="15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from the Administrative Agent that a Lender is a Defaulting Lender;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the Borrower may, at its sole expense and effort, upon notice to such Lender and the Administrative Agent and such Affected Lender:</w:t>
      </w:r>
    </w:p>
    <w:p>
      <w:pPr>
        <w:spacing w:after="0" w:line="8" w:lineRule="exact"/>
        <w:rPr>
          <w:sz w:val="20"/>
          <w:szCs w:val="20"/>
          <w:color w:val="auto"/>
        </w:rPr>
      </w:pPr>
    </w:p>
    <w:p>
      <w:pPr>
        <w:ind w:left="280" w:hanging="272"/>
        <w:spacing w:after="0"/>
        <w:tabs>
          <w:tab w:leader="none" w:pos="2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that one or more of the other Lenders acquire and assume all or part of such Affected Lender’s Loans and Commitment; or</w:t>
      </w:r>
    </w:p>
    <w:p>
      <w:pPr>
        <w:jc w:val="both"/>
        <w:ind w:firstLine="8"/>
        <w:spacing w:after="0" w:line="239" w:lineRule="auto"/>
        <w:tabs>
          <w:tab w:leader="none" w:pos="316"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designate a replacement lending institution (which shall be an Eligible Assignee) to acquire and assume all or a ratable part of such Affected Lender’s Loans and Commitment (the replacing Lender or lender in (i) or (ii) being a “</w:t>
      </w:r>
      <w:r>
        <w:rPr>
          <w:rFonts w:ascii="Times New Roman" w:cs="Times New Roman" w:eastAsia="Times New Roman" w:hAnsi="Times New Roman"/>
          <w:sz w:val="19"/>
          <w:szCs w:val="19"/>
          <w:b w:val="1"/>
          <w:bCs w:val="1"/>
          <w:i w:val="1"/>
          <w:iCs w:val="1"/>
          <w:color w:val="auto"/>
        </w:rPr>
        <w:t>Replacement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Borrower shall be liable for the payment upon demand of all costs and other amounts arising under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that result from the acquisition of any Affected Lender’s Loan and/or Commitment (or any portion thereof) by a Lender or Replacement Lender, as the case may be, on a date other than the last day of the applicable Interest Period with respect to any SOFR Loans then outstanding;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the Borrower elects to exercise such right with respect to any Affected Lender under clause (a) or (b) of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then the Borrower shall be obligated to replace all Affected Lenders under such clauses. The Affected Lender replaced pursuant to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hereof). Any such designation of a Replacement Lender shall be effected in accordance with, and subject to the terms and conditions of, the assignment provisions contained in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w:t>
      </w:r>
    </w:p>
    <w:p>
      <w:pPr>
        <w:jc w:val="both"/>
        <w:spacing w:after="0" w:line="22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(a) in the case of any such assignment resulting from a claim for compensation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2.24</w:t>
      </w:r>
      <w:r>
        <w:rPr>
          <w:sz w:val="20"/>
          <w:szCs w:val="20"/>
          <w:color w:val="auto"/>
        </w:rPr>
        <w:tab/>
      </w:r>
      <w:r>
        <w:rPr>
          <w:rFonts w:ascii="Times New Roman" w:cs="Times New Roman" w:eastAsia="Times New Roman" w:hAnsi="Times New Roman"/>
          <w:sz w:val="19"/>
          <w:szCs w:val="19"/>
          <w:b w:val="1"/>
          <w:bCs w:val="1"/>
          <w:color w:val="auto"/>
        </w:rPr>
        <w:t>Defaulting Lenders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tabs>
          <w:tab w:leader="none" w:pos="175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4" w:lineRule="exact"/>
        <w:rPr>
          <w:rFonts w:ascii="Times New Roman" w:cs="Times New Roman" w:eastAsia="Times New Roman" w:hAnsi="Times New Roman"/>
          <w:sz w:val="20"/>
          <w:szCs w:val="20"/>
          <w:color w:val="auto"/>
        </w:rPr>
      </w:pPr>
    </w:p>
    <w:p>
      <w:pPr>
        <w:ind w:firstLine="1952"/>
        <w:spacing w:after="0" w:line="255" w:lineRule="auto"/>
        <w:tabs>
          <w:tab w:leader="none" w:pos="234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in the definition of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97" w:name="page98"/>
    <w:bookmarkEnd w:id="97"/>
    <w:p>
      <w:pPr>
        <w:jc w:val="both"/>
        <w:ind w:firstLine="1952"/>
        <w:spacing w:after="0" w:line="228" w:lineRule="auto"/>
        <w:tabs>
          <w:tab w:leader="none" w:pos="25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of any amounts owing by such Defaulting Lender to the Issuing Lender or to the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be held as Cash Collateral for the funding obligations of such Defaulting Lender of any participation in any Letter of Credit;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were satisfied or waived, such payment shall be applied solely to pay the Loans of, and L/C Advances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92"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2600"/>
        <w:spacing w:after="0" w:line="247" w:lineRule="auto"/>
        <w:tabs>
          <w:tab w:leader="none" w:pos="3142"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pursuant to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67" w:lineRule="exact"/>
        <w:rPr>
          <w:rFonts w:ascii="Times New Roman" w:cs="Times New Roman" w:eastAsia="Times New Roman" w:hAnsi="Times New Roman"/>
          <w:sz w:val="20"/>
          <w:szCs w:val="20"/>
          <w:color w:val="auto"/>
        </w:rPr>
      </w:pPr>
    </w:p>
    <w:p>
      <w:pPr>
        <w:ind w:left="3140" w:hanging="540"/>
        <w:spacing w:after="0"/>
        <w:tabs>
          <w:tab w:leader="none" w:pos="314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Defaulting Lender shall be limited in its right to receive Letter of Credit Fees as provided in</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3.3(d)</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firstLine="2600"/>
        <w:spacing w:after="0" w:line="235" w:lineRule="auto"/>
        <w:tabs>
          <w:tab w:leader="none" w:pos="308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98" w:name="page99"/>
    <w:bookmarkEnd w:id="98"/>
    <w:p>
      <w:pPr>
        <w:jc w:val="both"/>
        <w:ind w:firstLine="1952"/>
        <w:spacing w:after="0" w:line="230" w:lineRule="auto"/>
        <w:tabs>
          <w:tab w:leader="none" w:pos="2427"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Pro Rata Share to Reduce Fronting Exposure</w:t>
      </w:r>
      <w:r>
        <w:rPr>
          <w:rFonts w:ascii="Times New Roman" w:cs="Times New Roman" w:eastAsia="Times New Roman" w:hAnsi="Times New Roman"/>
          <w:sz w:val="20"/>
          <w:szCs w:val="20"/>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or in Swingline Loans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aggregate obligations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(2) the aggregate outstanding amount of the Revolving Loans of that Lender plus the aggregate amount of that Lender’s L/C Percentage of the Dollar Equivalent of the then outstanding Letters of Credit. Subject to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1" w:lineRule="exact"/>
        <w:rPr>
          <w:rFonts w:ascii="Times New Roman" w:cs="Times New Roman" w:eastAsia="Times New Roman" w:hAnsi="Times New Roman"/>
          <w:sz w:val="20"/>
          <w:szCs w:val="20"/>
          <w:color w:val="auto"/>
        </w:rPr>
      </w:pPr>
    </w:p>
    <w:p>
      <w:pPr>
        <w:jc w:val="both"/>
        <w:ind w:firstLine="1952"/>
        <w:spacing w:after="0" w:line="239" w:lineRule="auto"/>
        <w:tabs>
          <w:tab w:leader="none" w:pos="2426"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clause (iv) above cannot, or can only partially, be effected, the Borrower shall, without prejudice to any right or remedy available to it hereunder or under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by the Lenders in accordance with their respective Revolving Percentages and L/C Percentages, as applicable (without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81" w:lineRule="exact"/>
        <w:rPr>
          <w:rFonts w:ascii="Times New Roman" w:cs="Times New Roman" w:eastAsia="Times New Roman" w:hAnsi="Times New Roman"/>
          <w:sz w:val="20"/>
          <w:szCs w:val="20"/>
          <w:color w:val="auto"/>
        </w:rPr>
      </w:pPr>
    </w:p>
    <w:p>
      <w:pPr>
        <w:jc w:val="both"/>
        <w:ind w:firstLine="1304"/>
        <w:spacing w:after="0" w:line="239" w:lineRule="auto"/>
        <w:tabs>
          <w:tab w:leader="none" w:pos="175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177" w:lineRule="exact"/>
        <w:rPr>
          <w:rFonts w:ascii="Times New Roman" w:cs="Times New Roman" w:eastAsia="Times New Roman" w:hAnsi="Times New Roman"/>
          <w:sz w:val="20"/>
          <w:szCs w:val="20"/>
          <w:color w:val="auto"/>
        </w:rPr>
      </w:pPr>
    </w:p>
    <w:p>
      <w:pPr>
        <w:jc w:val="both"/>
        <w:ind w:firstLine="1304"/>
        <w:spacing w:after="0" w:line="233" w:lineRule="auto"/>
        <w:tabs>
          <w:tab w:leader="none" w:pos="175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Defaulting Lender</w:t>
      </w:r>
      <w:r>
        <w:rPr>
          <w:rFonts w:ascii="Times New Roman" w:cs="Times New Roman" w:eastAsia="Times New Roman" w:hAnsi="Times New Roman"/>
          <w:sz w:val="20"/>
          <w:szCs w:val="20"/>
          <w:color w:val="auto"/>
        </w:rPr>
        <w:t xml:space="preserve">. The Borrower may terminate the unused amount of the Revolving Commitment of any Revolving Lender that is a Defaulting Lender upon not less than 10 Business Days’ prior notice to the Administrative Agent (which shall promptly notify the Lenders thereof), and in such event the provisions of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99" w:name="page100"/>
    <w:bookmarkEnd w:id="99"/>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2.25</w:t>
      </w:r>
      <w:r>
        <w:rPr>
          <w:sz w:val="20"/>
          <w:szCs w:val="20"/>
          <w:color w:val="auto"/>
        </w:rPr>
        <w:tab/>
      </w:r>
      <w:r>
        <w:rPr>
          <w:rFonts w:ascii="Times New Roman" w:cs="Times New Roman" w:eastAsia="Times New Roman" w:hAnsi="Times New Roman"/>
          <w:sz w:val="19"/>
          <w:szCs w:val="19"/>
          <w:b w:val="1"/>
          <w:bCs w:val="1"/>
          <w:color w:val="auto"/>
        </w:rPr>
        <w:t>Joint and Several Liability of the Borrowers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tabs>
          <w:tab w:leader="none" w:pos="17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187"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it being the intention of the parties hereto that all the Obligations shall be the joint and several obligations of each Borrower without preferences or distinction among them.</w:t>
      </w:r>
    </w:p>
    <w:p>
      <w:pPr>
        <w:spacing w:after="0" w:line="175" w:lineRule="exact"/>
        <w:rPr>
          <w:rFonts w:ascii="Times New Roman" w:cs="Times New Roman" w:eastAsia="Times New Roman" w:hAnsi="Times New Roman"/>
          <w:sz w:val="20"/>
          <w:szCs w:val="20"/>
          <w:color w:val="auto"/>
        </w:rPr>
      </w:pPr>
    </w:p>
    <w:p>
      <w:pPr>
        <w:jc w:val="both"/>
        <w:ind w:firstLine="1304"/>
        <w:spacing w:after="0"/>
        <w:tabs>
          <w:tab w:leader="none" w:pos="178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74"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each Borrower under the 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67" w:lineRule="exact"/>
        <w:rPr>
          <w:rFonts w:ascii="Times New Roman" w:cs="Times New Roman" w:eastAsia="Times New Roman" w:hAnsi="Times New Roman"/>
          <w:sz w:val="20"/>
          <w:szCs w:val="20"/>
          <w:color w:val="auto"/>
        </w:rPr>
      </w:pPr>
    </w:p>
    <w:p>
      <w:pPr>
        <w:jc w:val="both"/>
        <w:ind w:firstLine="1304"/>
        <w:spacing w:after="0" w:line="241" w:lineRule="auto"/>
        <w:tabs>
          <w:tab w:leader="none" w:pos="1781"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the Administrative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Administrative Agent or Lenders at any time or times in respect of any default by any Borrower in the performance or satisfaction of any term, covenant, condition or provision of this Agreement, any and all other indulgences whatsoever by the Administrative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Administrative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afford grounds for terminating, discharging or relieving any Borrower, in whole or in part, from any of its Obligations under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it being the intention of each Borrower that, so long as any of the Obligations hereunder remain unsatisfied, the Obligations of each Borrower under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shall not be discharged except by performance and then only to the extent of such performance. The Obligations of each Borrower under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shall not be diminished or rendered unenforceable by any winding up, reorganization, arrangement, liquidation, reconstruction or similar proceeding with respect to any Borrower, the Administrative Agent or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09" w:right="339" w:bottom="1440" w:gutter="0" w:footer="0" w:header="0"/>
        </w:sectPr>
      </w:pPr>
    </w:p>
    <w:bookmarkStart w:id="100" w:name="page101"/>
    <w:bookmarkEnd w:id="100"/>
    <w:p>
      <w:pPr>
        <w:jc w:val="both"/>
        <w:ind w:firstLine="1304"/>
        <w:spacing w:after="0" w:line="235" w:lineRule="auto"/>
        <w:tabs>
          <w:tab w:leader="none" w:pos="182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represents and warrants to the Administrative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the Administrative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74"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waives all rights and defenses (i) arising out of an election of remedies by the Administrative Agent or any Lender, even though that election of remedies, such as a nonjudicial foreclosure with respect to security for a guaranteed obligation, has destroyed such Borrower’s rights of subrogation and reimbursement against any applicable Loan Party by the operation of Section 580 or 726 of the California Code of Civil Procedure or otherwise, and (ii) relating to any suretyship defenses available to it under the Uniform Commercial Code or any other applicable law, including, without limitation, the benefit of California Civil Code Section 2815 permitting revocation as to future transactions and the benefit of California Civil Code Sections 1432, 2787 through 2855, 2899 and 3433.</w:t>
      </w:r>
    </w:p>
    <w:p>
      <w:pPr>
        <w:spacing w:after="0" w:line="191" w:lineRule="exact"/>
        <w:rPr>
          <w:rFonts w:ascii="Times New Roman" w:cs="Times New Roman" w:eastAsia="Times New Roman" w:hAnsi="Times New Roman"/>
          <w:sz w:val="20"/>
          <w:szCs w:val="20"/>
          <w:color w:val="auto"/>
        </w:rPr>
      </w:pPr>
    </w:p>
    <w:p>
      <w:pPr>
        <w:ind w:firstLine="1304"/>
        <w:spacing w:after="0" w:line="255" w:lineRule="auto"/>
        <w:tabs>
          <w:tab w:leader="none" w:pos="172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waives all rights and defenses that such Borrower may have because the Obligations are secured by real property at any time. This means, among other things:</w:t>
      </w:r>
    </w:p>
    <w:p>
      <w:pPr>
        <w:spacing w:after="0" w:line="159" w:lineRule="exact"/>
        <w:rPr>
          <w:rFonts w:ascii="Times New Roman" w:cs="Times New Roman" w:eastAsia="Times New Roman" w:hAnsi="Times New Roman"/>
          <w:sz w:val="20"/>
          <w:szCs w:val="20"/>
          <w:color w:val="auto"/>
        </w:rPr>
      </w:pPr>
    </w:p>
    <w:p>
      <w:pPr>
        <w:ind w:firstLine="1952"/>
        <w:spacing w:after="0" w:line="255" w:lineRule="auto"/>
        <w:tabs>
          <w:tab w:leader="none" w:pos="2341"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Lenders may collect from such Borrower without first foreclosing on any real or personal property Collateral pledged by the Borrowers.</w:t>
      </w:r>
    </w:p>
    <w:p>
      <w:pPr>
        <w:spacing w:after="0" w:line="159"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or any Lender forecloses on any Collateral consisting of real property pledged by</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w:t>
      </w:r>
    </w:p>
    <w:p>
      <w:pPr>
        <w:spacing w:after="0" w:line="180" w:lineRule="exact"/>
        <w:rPr>
          <w:rFonts w:ascii="Times New Roman" w:cs="Times New Roman" w:eastAsia="Times New Roman" w:hAnsi="Times New Roman"/>
          <w:sz w:val="20"/>
          <w:szCs w:val="20"/>
          <w:color w:val="auto"/>
        </w:rPr>
      </w:pPr>
    </w:p>
    <w:p>
      <w:pPr>
        <w:ind w:right="20" w:firstLine="2600"/>
        <w:spacing w:after="0" w:line="255" w:lineRule="auto"/>
        <w:tabs>
          <w:tab w:leader="none" w:pos="307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Obligations may be reduced only by the price for which that collateral is sold at the foreclosure sale, even if the collateral is worth more than the sale price.</w:t>
      </w:r>
    </w:p>
    <w:p>
      <w:pPr>
        <w:spacing w:after="0" w:line="172" w:lineRule="exact"/>
        <w:rPr>
          <w:rFonts w:ascii="Times New Roman" w:cs="Times New Roman" w:eastAsia="Times New Roman" w:hAnsi="Times New Roman"/>
          <w:sz w:val="20"/>
          <w:szCs w:val="20"/>
          <w:color w:val="auto"/>
        </w:rPr>
      </w:pPr>
    </w:p>
    <w:p>
      <w:pPr>
        <w:ind w:right="340" w:firstLine="2600"/>
        <w:spacing w:after="0" w:line="281" w:lineRule="auto"/>
        <w:tabs>
          <w:tab w:leader="none" w:pos="3050" w:val="left"/>
        </w:tabs>
        <w:numPr>
          <w:ilvl w:val="2"/>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Lenders may collect from such Borrower even if the Administrative Agent or Lenders, by foreclosing on real property, has destroyed any right such Borrower may have to collect from the other Borrowers.</w:t>
      </w:r>
    </w:p>
    <w:p>
      <w:pPr>
        <w:spacing w:after="0" w:line="13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This is an unconditional and irrevocable waiver of any rights and defenses such Borrower may have because the Obligations are secured by real property. These rights and defenses include, but are not limited to, any rights or defenses based upon Section 580a, 580b, 580d or 726 of the California Code of Civil Procedure.</w:t>
      </w:r>
    </w:p>
    <w:p>
      <w:pPr>
        <w:spacing w:after="0" w:line="174" w:lineRule="exact"/>
        <w:rPr>
          <w:sz w:val="20"/>
          <w:szCs w:val="20"/>
          <w:color w:val="auto"/>
        </w:rPr>
      </w:pPr>
    </w:p>
    <w:p>
      <w:pPr>
        <w:jc w:val="both"/>
        <w:ind w:firstLine="1304"/>
        <w:spacing w:after="0" w:line="231" w:lineRule="auto"/>
        <w:tabs>
          <w:tab w:leader="none" w:pos="181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are made for the benefit of the Administrative Agent, the Lenders, and their respective successors and assigns, and may be enforced by it or them from time to time against any or all the Borrowers as often as occasion therefor may arise and without requirement on the part of the Administrative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the Administrative Agent or any Lender upon the insolvency, bankruptcy or reorganization of any Borrower, or otherwise,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 xml:space="preserve">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will forthwith be reinstated in effect, as though such payment had not been made.</w:t>
      </w:r>
    </w:p>
    <w:p>
      <w:pPr>
        <w:spacing w:after="0" w:line="202" w:lineRule="exact"/>
        <w:rPr>
          <w:sz w:val="20"/>
          <w:szCs w:val="20"/>
          <w:color w:val="auto"/>
        </w:rPr>
      </w:pPr>
    </w:p>
    <w:p>
      <w:pPr>
        <w:jc w:val="both"/>
        <w:ind w:firstLine="1304"/>
        <w:spacing w:after="0" w:line="230" w:lineRule="auto"/>
        <w:tabs>
          <w:tab w:leader="none" w:pos="172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hereby agrees that it will not enforce any of its rights of contribution or subrogation against any other Borrower with respect to any liability incurred by it hereunder or under any of the other Loan Documents, any payments made by it to the Administrative Agent or Lenders with respect to any of the Obligations or any collateral security therefor until such time as all of the Obligations have been paid in full in cash. Any claim which any Borrower may have against any other Borrower with respect to any payments to the Administrative Agent or Lender hereunder or under any other Loan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Notwithstanding anything to the contrary contained in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no Borrower shall exercise any rights of subrogation, contribution, indemnity, reimbursement or other similar rights against, and shall not proceed or seek recourse against or with respect to any property or asset of, any other Borrower (the “</w:t>
      </w:r>
      <w:r>
        <w:rPr>
          <w:rFonts w:ascii="Times New Roman" w:cs="Times New Roman" w:eastAsia="Times New Roman" w:hAnsi="Times New Roman"/>
          <w:sz w:val="20"/>
          <w:szCs w:val="20"/>
          <w:b w:val="1"/>
          <w:bCs w:val="1"/>
          <w:i w:val="1"/>
          <w:iCs w:val="1"/>
          <w:color w:val="auto"/>
        </w:rPr>
        <w:t>Foreclosed Borrower</w:t>
      </w:r>
      <w:r>
        <w:rPr>
          <w:rFonts w:ascii="Times New Roman" w:cs="Times New Roman" w:eastAsia="Times New Roman" w:hAnsi="Times New Roman"/>
          <w:sz w:val="20"/>
          <w:szCs w:val="20"/>
          <w:color w:val="auto"/>
        </w:rPr>
        <w:t>”), including after payment in full of the Obligations, if all or any portion of the Obligations have been satisfied in connection with an exercise of remedies in respect of the Capital Stock of such Foreclosed Borrower whether pursuant to the Security Documents or otherwise.</w:t>
      </w:r>
    </w:p>
    <w:p>
      <w:pPr>
        <w:spacing w:after="0" w:line="181"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47"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the Administrative Agent, and such Borrower shall deliver any such amounts to the Administrative Agent for application to the Obligations in accordance with the terms of this Agreement.</w:t>
      </w:r>
    </w:p>
    <w:p>
      <w:pPr>
        <w:spacing w:after="0" w:line="179"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Times New Roman" w:cs="Times New Roman" w:eastAsia="Times New Roman" w:hAnsi="Times New Roman"/>
          <w:sz w:val="20"/>
          <w:szCs w:val="20"/>
          <w:b w:val="1"/>
          <w:bCs w:val="1"/>
          <w:i w:val="1"/>
          <w:iCs w:val="1"/>
          <w:color w:val="auto"/>
        </w:rPr>
        <w:t>Accommodation Payment</w:t>
      </w:r>
      <w:r>
        <w:rPr>
          <w:rFonts w:ascii="Times New Roman" w:cs="Times New Roman" w:eastAsia="Times New Roman" w:hAnsi="Times New Roman"/>
          <w:sz w:val="20"/>
          <w:szCs w:val="20"/>
          <w:color w:val="auto"/>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Times New Roman" w:cs="Times New Roman" w:eastAsia="Times New Roman" w:hAnsi="Times New Roman"/>
          <w:sz w:val="20"/>
          <w:szCs w:val="20"/>
          <w:b w:val="1"/>
          <w:bCs w:val="1"/>
          <w:i w:val="1"/>
          <w:iCs w:val="1"/>
          <w:color w:val="auto"/>
        </w:rPr>
        <w:t>Allocable Amount</w:t>
      </w:r>
      <w:r>
        <w:rPr>
          <w:rFonts w:ascii="Times New Roman" w:cs="Times New Roman" w:eastAsia="Times New Roman" w:hAnsi="Times New Roman"/>
          <w:sz w:val="20"/>
          <w:szCs w:val="20"/>
          <w:color w:val="auto"/>
        </w:rPr>
        <w:t>” of each Borrower shall be equal to the maximum amount of liability for Accommodation Payments which could be asserted against such Borrower hereunder without</w:t>
      </w:r>
    </w:p>
    <w:p>
      <w:pPr>
        <w:spacing w:after="0" w:line="4" w:lineRule="exact"/>
        <w:rPr>
          <w:rFonts w:ascii="Times New Roman" w:cs="Times New Roman" w:eastAsia="Times New Roman" w:hAnsi="Times New Roman"/>
          <w:sz w:val="20"/>
          <w:szCs w:val="20"/>
          <w:color w:val="auto"/>
        </w:rPr>
      </w:pPr>
    </w:p>
    <w:p>
      <w:pPr>
        <w:jc w:val="both"/>
        <w:ind w:firstLine="8"/>
        <w:spacing w:after="0" w:line="229" w:lineRule="auto"/>
        <w:tabs>
          <w:tab w:leader="none" w:pos="31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rendering such Borrower “insolvent” within the meaning of Section 101(31) of the Bankruptcy Code, Section 2 of the Uniform Fraudulent Transfer Act (“</w:t>
      </w:r>
      <w:r>
        <w:rPr>
          <w:rFonts w:ascii="Times New Roman" w:cs="Times New Roman" w:eastAsia="Times New Roman" w:hAnsi="Times New Roman"/>
          <w:sz w:val="20"/>
          <w:szCs w:val="20"/>
          <w:b w:val="1"/>
          <w:bCs w:val="1"/>
          <w:i w:val="1"/>
          <w:iCs w:val="1"/>
          <w:color w:val="auto"/>
        </w:rPr>
        <w:t>UFTA</w:t>
      </w:r>
      <w:r>
        <w:rPr>
          <w:rFonts w:ascii="Times New Roman" w:cs="Times New Roman" w:eastAsia="Times New Roman" w:hAnsi="Times New Roman"/>
          <w:sz w:val="20"/>
          <w:szCs w:val="20"/>
          <w:color w:val="auto"/>
        </w:rPr>
        <w:t>”) or Section 2 of the Uniform Fraudulent Conveyance Act (“</w:t>
      </w:r>
      <w:r>
        <w:rPr>
          <w:rFonts w:ascii="Times New Roman" w:cs="Times New Roman" w:eastAsia="Times New Roman" w:hAnsi="Times New Roman"/>
          <w:sz w:val="20"/>
          <w:szCs w:val="20"/>
          <w:b w:val="1"/>
          <w:bCs w:val="1"/>
          <w:i w:val="1"/>
          <w:iCs w:val="1"/>
          <w:color w:val="auto"/>
        </w:rPr>
        <w:t>UFCA</w:t>
      </w:r>
      <w:r>
        <w:rPr>
          <w:rFonts w:ascii="Times New Roman" w:cs="Times New Roman" w:eastAsia="Times New Roman" w:hAnsi="Times New Roman"/>
          <w:sz w:val="20"/>
          <w:szCs w:val="20"/>
          <w:color w:val="auto"/>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13" w:right="339" w:bottom="1440" w:gutter="0" w:footer="0" w:header="0"/>
        </w:sectPr>
      </w:pPr>
    </w:p>
    <w:bookmarkStart w:id="102" w:name="page103"/>
    <w:bookmarkEnd w:id="102"/>
    <w:p>
      <w:pPr>
        <w:jc w:val="both"/>
        <w:ind w:firstLine="1304"/>
        <w:spacing w:after="0" w:line="231" w:lineRule="auto"/>
        <w:tabs>
          <w:tab w:leader="none" w:pos="181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entity composing the Borrower hereby irrevocably appoints NerdWallet as the borrowing agent and attorney-in-fact for all entities composing the Borrower (the “</w:t>
      </w:r>
      <w:r>
        <w:rPr>
          <w:rFonts w:ascii="Times New Roman" w:cs="Times New Roman" w:eastAsia="Times New Roman" w:hAnsi="Times New Roman"/>
          <w:sz w:val="20"/>
          <w:szCs w:val="20"/>
          <w:b w:val="1"/>
          <w:bCs w:val="1"/>
          <w:i w:val="1"/>
          <w:iCs w:val="1"/>
          <w:color w:val="auto"/>
        </w:rPr>
        <w:t>Administrative Borrower</w:t>
      </w:r>
      <w:r>
        <w:rPr>
          <w:rFonts w:ascii="Times New Roman" w:cs="Times New Roman" w:eastAsia="Times New Roman" w:hAnsi="Times New Roman"/>
          <w:sz w:val="20"/>
          <w:szCs w:val="20"/>
          <w:color w:val="auto"/>
        </w:rPr>
        <w:t>”), which appointment shall remain in full force and effect unless and until the Administrative Agent shall have received prior written notice signed by each entity composing the Borrower that such appointment has been revoked and that another entity composing the Borrower has been appointed Administrative Borrower. Each entity composing the Borrower hereby irrevocably appoints and authorizes the Administrative Borrower (a) to provide Agent with all notices with respect to Loans and Letters of Credit obtained for the benefit of any entity composing the Borrower and all other notices and instructions under this Agreement and the other Loan Documents, and (b) to take such action as the Administrative Borrower deems appropriate on its behalf to obtain Loans and Letters of Credit and to exercise such other powers as are reasonably incidental thereto to carry out the purposes of this Agreement and the other Loan Documents.</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2.26 Notes</w:t>
      </w:r>
      <w:r>
        <w:rPr>
          <w:rFonts w:ascii="Times New Roman" w:cs="Times New Roman" w:eastAsia="Times New Roman" w:hAnsi="Times New Roman"/>
          <w:sz w:val="20"/>
          <w:szCs w:val="20"/>
          <w:color w:val="auto"/>
        </w:rPr>
        <w:t>. If so requested by any Lender by written notice to the Borrower (with a copy to the Administrative Agent),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shall execute and deliver to such Lender (and/or, if applicable and if so specified in such notice, to any Person who is an assignee of such Lender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(promptly after the Borrower’s receipt of such notice) a Note or Notes to evidence such Lender’s Loans.</w:t>
      </w:r>
    </w:p>
    <w:p>
      <w:pPr>
        <w:spacing w:after="0" w:line="17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2.27</w:t>
      </w:r>
      <w:r>
        <w:rPr>
          <w:sz w:val="20"/>
          <w:szCs w:val="20"/>
          <w:color w:val="auto"/>
        </w:rPr>
        <w:tab/>
      </w:r>
      <w:r>
        <w:rPr>
          <w:rFonts w:ascii="Times New Roman" w:cs="Times New Roman" w:eastAsia="Times New Roman" w:hAnsi="Times New Roman"/>
          <w:sz w:val="19"/>
          <w:szCs w:val="19"/>
          <w:b w:val="1"/>
          <w:bCs w:val="1"/>
          <w:color w:val="auto"/>
        </w:rPr>
        <w:t>Incremental Facility</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29" w:lineRule="auto"/>
        <w:tabs>
          <w:tab w:leader="none" w:pos="173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during the Revolving Commitment Period, the Borrower may request from time to time from one or more existing Lenders or from other Eligible Assignees reasonably acceptable to the Administrative Agent, the Issuing Lender, the Swingline Lender and the Borrower (but subject to the conditions set forth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that the Total Revolving Commitments be increased by an amount not to exceed the Available Revolving Increase Amount (each such increase, an “</w:t>
      </w:r>
      <w:r>
        <w:rPr>
          <w:rFonts w:ascii="Times New Roman" w:cs="Times New Roman" w:eastAsia="Times New Roman" w:hAnsi="Times New Roman"/>
          <w:sz w:val="20"/>
          <w:szCs w:val="20"/>
          <w:b w:val="1"/>
          <w:bCs w:val="1"/>
          <w:i w:val="1"/>
          <w:iCs w:val="1"/>
          <w:color w:val="auto"/>
        </w:rPr>
        <w:t>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Borrower may not request an Increase on more than three occasions during the Revolving Commitment Period. No Lender shall be obligated to increase its Revolving Commitments in connection with a proposed Increase. The Administrative Agent shall invite each Lender to provide a portion of the Increase ratably in accordance with its Revolving Percentage of each requested Increase (it being agreed that no Lender shall be obligated to provide an Increase and that any Lender may elect to participate in such Increase in an amount that is less than its Revolving Percentage of such requested Increase or more than its Revolving Percentage of such requested Increase if other Lenders have elected not to participate in any applicable requested Increase in accordance with their Revolving Percentage) and to the extent, 5 Business Days after receipt of invitation, sufficient Lenders do not agree to provide the full amount of such Increase, then the Administrative Agent may invite any prospective lender that satisfies the criteria of being an “Eligible Assignee” to become a Lender in connection with the proposed Increase. Any Increase shall be in an amount of at least $5,000,000 (or, if the Available Revolving Increase Amount is less than $5,000,000, such remaining Available Revolving Increase Amount) and integral multiples of $1,000,000 in excess thereof. Additionally, for the avoidance of doubt, it is understood and agreed that in no event shall the aggregate amount of the Increases to the Revolving Commitments exceed the Available Revolving Increase Amount during the term of the Agreement. Each request for an Increase delivered by the Borrower to the Administrative Agent shall set forth the amount and proposed terms of the Increase.</w:t>
      </w:r>
    </w:p>
    <w:p>
      <w:pPr>
        <w:spacing w:after="0" w:line="184"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following shall be conditions precedent to any Increase of the Revolving Commitments in connection</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therewith:</w:t>
      </w:r>
    </w:p>
    <w:p>
      <w:pPr>
        <w:spacing w:after="0" w:line="180" w:lineRule="exact"/>
        <w:rPr>
          <w:rFonts w:ascii="Times New Roman" w:cs="Times New Roman" w:eastAsia="Times New Roman" w:hAnsi="Times New Roman"/>
          <w:sz w:val="20"/>
          <w:szCs w:val="20"/>
          <w:color w:val="auto"/>
        </w:rPr>
      </w:pPr>
    </w:p>
    <w:p>
      <w:pPr>
        <w:jc w:val="both"/>
        <w:ind w:firstLine="1952"/>
        <w:spacing w:after="0" w:line="239" w:lineRule="auto"/>
        <w:tabs>
          <w:tab w:leader="none" w:pos="238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Increase shall be on the same terms (including the interest rate, and maturity date), as applicable, as, and pursuant to documentation applicable to, the Revolving Facility then in effect;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any such Increase may provide for terms (including interest rate) more favorable to such Increase lenders, if any existing Revolving Loans at the time of such Increase are also provided the benefit of such more favorable terms (and the consent of any existing Revolving Lender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103" w:name="page104"/>
    <w:bookmarkEnd w:id="103"/>
    <w:p>
      <w:pPr>
        <w:spacing w:after="0" w:line="255" w:lineRule="auto"/>
        <w:rPr>
          <w:sz w:val="20"/>
          <w:szCs w:val="20"/>
          <w:color w:val="auto"/>
        </w:rPr>
      </w:pPr>
      <w:r>
        <w:rPr>
          <w:rFonts w:ascii="Times New Roman" w:cs="Times New Roman" w:eastAsia="Times New Roman" w:hAnsi="Times New Roman"/>
          <w:sz w:val="20"/>
          <w:szCs w:val="20"/>
          <w:color w:val="auto"/>
        </w:rPr>
        <w:t xml:space="preserve">required to implement such terms);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any fees shall be agreed between the Borrower and the lenders providing such Increase;</w:t>
      </w:r>
    </w:p>
    <w:p>
      <w:pPr>
        <w:spacing w:after="0" w:line="159" w:lineRule="exact"/>
        <w:rPr>
          <w:sz w:val="20"/>
          <w:szCs w:val="20"/>
          <w:color w:val="auto"/>
        </w:rPr>
      </w:pPr>
    </w:p>
    <w:p>
      <w:pPr>
        <w:jc w:val="both"/>
        <w:ind w:firstLine="1952"/>
        <w:spacing w:after="0" w:line="247" w:lineRule="auto"/>
        <w:tabs>
          <w:tab w:leader="none" w:pos="245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a written request for such Increase at least 10 Business Days prior to the requested establishment of such Increase (or such later date as may be reasonably approved by the Administrative Agent), which request shall set forth the amount and proposed terms of the Increase;</w:t>
      </w:r>
    </w:p>
    <w:p>
      <w:pPr>
        <w:spacing w:after="0" w:line="167" w:lineRule="exact"/>
        <w:rPr>
          <w:rFonts w:ascii="Times New Roman" w:cs="Times New Roman" w:eastAsia="Times New Roman" w:hAnsi="Times New Roman"/>
          <w:sz w:val="20"/>
          <w:szCs w:val="20"/>
          <w:color w:val="auto"/>
        </w:rPr>
      </w:pPr>
    </w:p>
    <w:p>
      <w:pPr>
        <w:jc w:val="both"/>
        <w:ind w:firstLine="1952"/>
        <w:spacing w:after="0" w:line="231" w:lineRule="auto"/>
        <w:tabs>
          <w:tab w:leader="none" w:pos="257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agreeing to such Increase, the Borrower and the Administrative Agent shall have signed an Increase Joinder (any Increase Joinder may, with the consent of the Administrative Agent, the Borrower and the lenders agreeing to such Increase, effect such amendments to this Agreement and the other Loan Documents as may be necessary or appropriate to effectuate the provisions of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(including the preceding clause (ii))) and the Borrower shall have executed any Notes requested by any Lender in connection with the making of the Increase. Notwithstanding anything to the contrary in this Agreement or in any other Loan Document, an Increase Joinder reasonably satisfactory to the Administrative Agent, and the amendments to this Agreement effected thereby, shall not require the consent of any Lender other than the Lender(s) agreeing to establish such Increase;</w:t>
      </w:r>
    </w:p>
    <w:p>
      <w:pPr>
        <w:spacing w:after="0" w:line="188" w:lineRule="exact"/>
        <w:rPr>
          <w:rFonts w:ascii="Times New Roman" w:cs="Times New Roman" w:eastAsia="Times New Roman" w:hAnsi="Times New Roman"/>
          <w:sz w:val="20"/>
          <w:szCs w:val="20"/>
          <w:color w:val="auto"/>
        </w:rPr>
      </w:pPr>
    </w:p>
    <w:p>
      <w:pPr>
        <w:jc w:val="both"/>
        <w:ind w:firstLine="1952"/>
        <w:spacing w:after="0" w:line="232" w:lineRule="auto"/>
        <w:tabs>
          <w:tab w:leader="none" w:pos="255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Increase and the use of proceeds thereof, each of the conditions precedent in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xml:space="preserve"> are satisfied (other than in connection with Limited Condition Acquisitions, in which case (i)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5.2(a)</w:t>
      </w:r>
      <w:r>
        <w:rPr>
          <w:rFonts w:ascii="Times New Roman" w:cs="Times New Roman" w:eastAsia="Times New Roman" w:hAnsi="Times New Roman"/>
          <w:sz w:val="20"/>
          <w:szCs w:val="20"/>
          <w:color w:val="auto"/>
        </w:rPr>
        <w:t xml:space="preserve"> shall be satisfied only in connection with the Specified Representations and (ii) the Specified Acquisition Agreement Representations shall be true and correct on the date Loans are made under the Increase, but only to the extent that the Borrower (or any of its Affiliates) has the right (taking into account any applicable cure provisions) to terminate its (or such Affiliates’) obligations under the Limited Condition Acquisition, or to decline to consummate the Limited Condition Acquisition Agreement (in each case, in accordance with the terms thereof) as a result of a breach of such Specified Acquisition Agreement Representations);</w:t>
      </w:r>
    </w:p>
    <w:p>
      <w:pPr>
        <w:spacing w:after="0" w:line="171" w:lineRule="exact"/>
        <w:rPr>
          <w:rFonts w:ascii="Times New Roman" w:cs="Times New Roman" w:eastAsia="Times New Roman" w:hAnsi="Times New Roman"/>
          <w:sz w:val="20"/>
          <w:szCs w:val="20"/>
          <w:color w:val="auto"/>
        </w:rPr>
      </w:pPr>
    </w:p>
    <w:p>
      <w:pPr>
        <w:jc w:val="both"/>
        <w:ind w:firstLine="1952"/>
        <w:spacing w:after="0" w:line="233" w:lineRule="auto"/>
        <w:tabs>
          <w:tab w:leader="none" w:pos="241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Increase and the use of proceeds thereof, (A) no Default or Event of Default shall have occurred and be continuing at the time of such Increase (other than in connection with Limited Condition Acquisitions, in which case there shall be no Default or Event of Default as of the LCA Test Date and no Event of Default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immediately after giving effect to such Increase and the use of proceeds thereof) and (B) the Borrower shall be in compliance with the financial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hereof (regardless of whether a Covenant Testing Period is then in effect) as of the end of the most recently ended month and quarter for which financial statements are required to be delivered prior to such Increase, and the Borrower shall have delivered to the Administrative Agent a Compliance Certificate evidencing compliance with the requirements of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 Limited Condition Acquisition, such calculation shall be made in compliance with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952"/>
        <w:spacing w:after="0" w:line="247" w:lineRule="auto"/>
        <w:tabs>
          <w:tab w:leader="none" w:pos="248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such Increase, the Borrower shall pay to the Administrative Agent, for the benefit of the Administrative Agent or the Increase lenders, as applicable, all fees that the Borrower has agreed to pay in connection with such Increase (including pursuant to the Fee Letter and the Existing Fee Letter); and</w:t>
      </w:r>
    </w:p>
    <w:p>
      <w:pPr>
        <w:spacing w:after="0" w:line="167" w:lineRule="exact"/>
        <w:rPr>
          <w:rFonts w:ascii="Times New Roman" w:cs="Times New Roman" w:eastAsia="Times New Roman" w:hAnsi="Times New Roman"/>
          <w:sz w:val="20"/>
          <w:szCs w:val="20"/>
          <w:color w:val="auto"/>
        </w:rPr>
      </w:pPr>
    </w:p>
    <w:p>
      <w:pPr>
        <w:jc w:val="both"/>
        <w:ind w:firstLine="1952"/>
        <w:spacing w:after="0" w:line="236" w:lineRule="auto"/>
        <w:tabs>
          <w:tab w:leader="none" w:pos="254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each Increase in accordance with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all outstanding Loans, participations hereunder in Letters of Credit and participations hereunder in Swingline Loans held by each Lender shall be reallocated among the Lenders (including any newly added Lenders) in accordance with the Lenders’ respective revised Revolving Percentages and L/C Percentages, pursuant to procedures reasonably determined by the Administrative Agent in consultation with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104" w:name="page105"/>
    <w:bookmarkEnd w:id="104"/>
    <w:p>
      <w:pPr>
        <w:jc w:val="both"/>
        <w:ind w:firstLine="1304"/>
        <w:spacing w:after="0" w:line="237" w:lineRule="auto"/>
        <w:tabs>
          <w:tab w:leader="none" w:pos="182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effectiveness of any Increase, (i) all references in this Agreement and any other Loan Document to the Revolving Loans shall be deemed, unless the context otherwise requires, to include such Increase advanced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and any amendments effected through the Increase Joinder and (ii) all references in this Agreement and any other Loan Document to the Revolving Commitment shall be deemed, unless the context otherwise requires, to include the commitment to advance an amount equal to such Increase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3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Revolving Loans and Revolving Commitments established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shall constitute Revolving Loans and Revolving Commitments under, and shall be entitled to all the benefits afforded by, this Agreement and the other Loan Documents, and shall, without limiting the foregoing, benefit equally and ratably from any guarantees and the security interests created by the Loan Documents. The Borrower shall take any actions reasonably required by Administrative Agent to ensure and demonstrate that the Liens and security interests granted by the Loan Documents continue to be perfected under the UCC or otherwise after giving effect to the establishment of any such new Revolving Commitments.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L/C Commitment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1304"/>
        <w:spacing w:after="0" w:line="230" w:lineRule="auto"/>
        <w:tabs>
          <w:tab w:leader="none" w:pos="174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the Issuing Lender agrees to issue letters of credit (“</w:t>
      </w:r>
      <w:r>
        <w:rPr>
          <w:rFonts w:ascii="Times New Roman" w:cs="Times New Roman" w:eastAsia="Times New Roman" w:hAnsi="Times New Roman"/>
          <w:sz w:val="20"/>
          <w:szCs w:val="20"/>
          <w:b w:val="1"/>
          <w:bCs w:val="1"/>
          <w:i w:val="1"/>
          <w:iCs w:val="1"/>
          <w:color w:val="auto"/>
        </w:rPr>
        <w:t>Letters of Credit</w:t>
      </w:r>
      <w:r>
        <w:rPr>
          <w:rFonts w:ascii="Times New Roman" w:cs="Times New Roman" w:eastAsia="Times New Roman" w:hAnsi="Times New Roman"/>
          <w:sz w:val="20"/>
          <w:szCs w:val="20"/>
          <w:color w:val="auto"/>
        </w:rPr>
        <w:t xml:space="preserve">”) for the account of the Borrower (or any other Group Member so long as the Borrower is the applicant on the applicable Application and such Group Member has furnished any documentation required by the Issuing Lender pursuant to “know-your-customer” or any internal requirements) on any Business Day during the Letter of Credit Availability Period in such form as may reasonably be approved from time to time by the Issuing Lender;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Issuing Lender shall have no obligation to issue any Letter of Credit if, after giving effect to such issuance, the L/C Exposure would exceed either the Total L/C Commitments or the Available Revolving Commitment at such time. Each Letter of Credit shall (i) be denominated in Dollars or in an Alternative Currency (it being agreed that the Issuing Lender shall have no obligation to issue, renew or extend a Letter of Credit in an Alternative Currency if the Issuing Lender as of any date of determination does not issue Letters of Credit in such Alternative Currency), and (ii) unless otherwise agreed to by the Issuing Lender, expire no later than the earlier of (x) the first anniversary of its date of issuance and (y) the Letter of Credit Maturity Date,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any Letter of Credit with a one-year term may provide for the renewal thereof for additional one-year periods (which shall in no event extend beyond the date referred to in clause (y) above unless the Issuing Lender otherwise agrees).</w:t>
      </w:r>
    </w:p>
    <w:p>
      <w:pPr>
        <w:spacing w:after="0" w:line="18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Issuing Lender shall not at any time be obligated to issue any Letter of Credit if:</w:t>
      </w:r>
    </w:p>
    <w:p>
      <w:pPr>
        <w:spacing w:after="0" w:line="202" w:lineRule="exact"/>
        <w:rPr>
          <w:rFonts w:ascii="Times New Roman" w:cs="Times New Roman" w:eastAsia="Times New Roman" w:hAnsi="Times New Roman"/>
          <w:sz w:val="20"/>
          <w:szCs w:val="20"/>
          <w:color w:val="auto"/>
        </w:rPr>
      </w:pPr>
    </w:p>
    <w:p>
      <w:pPr>
        <w:ind w:firstLine="1952"/>
        <w:spacing w:after="0" w:line="269" w:lineRule="auto"/>
        <w:tabs>
          <w:tab w:leader="none" w:pos="2341"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issuance would conflict with, or cause the Issuing Lender or any L/C Lender to exceed any limits imposed by, any applicable Requirement of Law;</w:t>
      </w:r>
    </w:p>
    <w:p>
      <w:pPr>
        <w:spacing w:after="0" w:line="145" w:lineRule="exact"/>
        <w:rPr>
          <w:rFonts w:ascii="Times New Roman" w:cs="Times New Roman" w:eastAsia="Times New Roman" w:hAnsi="Times New Roman"/>
          <w:sz w:val="20"/>
          <w:szCs w:val="20"/>
          <w:color w:val="auto"/>
        </w:rPr>
      </w:pPr>
    </w:p>
    <w:p>
      <w:pPr>
        <w:jc w:val="both"/>
        <w:ind w:firstLine="1952"/>
        <w:spacing w:after="0" w:line="231" w:lineRule="auto"/>
        <w:tabs>
          <w:tab w:leader="none" w:pos="2412"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1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which was not applicable on the Closing Date and which the Issuing Lender in good faith deems material to it;</w:t>
      </w:r>
    </w:p>
    <w:p>
      <w:pPr>
        <w:spacing w:after="0" w:line="202" w:lineRule="exact"/>
        <w:rPr>
          <w:sz w:val="20"/>
          <w:szCs w:val="20"/>
          <w:color w:val="auto"/>
        </w:rPr>
      </w:pPr>
    </w:p>
    <w:p>
      <w:pPr>
        <w:jc w:val="both"/>
        <w:ind w:firstLine="1952"/>
        <w:spacing w:after="0"/>
        <w:tabs>
          <w:tab w:leader="none" w:pos="24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Issuing Lender has received written notice from any Lender, the Administrative Agent or the Borrower, at least 1 Business Day prior to the requested date of issuance, amendment, renewal or reinstatement of such Letter of Credit, that one or more of the applicable conditions contained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not then be satisfied;</w:t>
      </w:r>
    </w:p>
    <w:p>
      <w:pPr>
        <w:spacing w:after="0" w:line="187" w:lineRule="exact"/>
        <w:rPr>
          <w:rFonts w:ascii="Times New Roman" w:cs="Times New Roman" w:eastAsia="Times New Roman" w:hAnsi="Times New Roman"/>
          <w:sz w:val="20"/>
          <w:szCs w:val="20"/>
          <w:color w:val="auto"/>
        </w:rPr>
      </w:pPr>
    </w:p>
    <w:p>
      <w:pPr>
        <w:ind w:firstLine="1952"/>
        <w:spacing w:after="0" w:line="255" w:lineRule="auto"/>
        <w:tabs>
          <w:tab w:leader="none" w:pos="246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159"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providing for automatic reinstatement of the stated amount after</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drawing thereunder;</w:t>
      </w:r>
    </w:p>
    <w:p>
      <w:pPr>
        <w:spacing w:after="0" w:line="180"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is not denominated in Dollars or an Alternative Currency;</w:t>
      </w:r>
    </w:p>
    <w:p>
      <w:pPr>
        <w:spacing w:after="0" w:line="202" w:lineRule="exact"/>
        <w:rPr>
          <w:rFonts w:ascii="Times New Roman" w:cs="Times New Roman" w:eastAsia="Times New Roman" w:hAnsi="Times New Roman"/>
          <w:sz w:val="20"/>
          <w:szCs w:val="20"/>
          <w:color w:val="auto"/>
        </w:rPr>
      </w:pPr>
    </w:p>
    <w:p>
      <w:pPr>
        <w:ind w:firstLine="1952"/>
        <w:spacing w:after="0" w:line="255" w:lineRule="auto"/>
        <w:tabs>
          <w:tab w:leader="none" w:pos="25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Issuing Lender, such Letter of Credit is in an initial face amount less than $250,000; or</w:t>
      </w:r>
    </w:p>
    <w:p>
      <w:pPr>
        <w:spacing w:after="0" w:line="159" w:lineRule="exact"/>
        <w:rPr>
          <w:rFonts w:ascii="Times New Roman" w:cs="Times New Roman" w:eastAsia="Times New Roman" w:hAnsi="Times New Roman"/>
          <w:sz w:val="20"/>
          <w:szCs w:val="20"/>
          <w:color w:val="auto"/>
        </w:rPr>
      </w:pPr>
    </w:p>
    <w:p>
      <w:pPr>
        <w:jc w:val="both"/>
        <w:ind w:firstLine="1952"/>
        <w:spacing w:after="0" w:line="237" w:lineRule="auto"/>
        <w:tabs>
          <w:tab w:leader="none" w:pos="262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Issuing Lender has entered into arrangements, including the delivery of Cash Collateral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satisfactory to the Issuing Lender (in its sole discretion) with the Borrower or such Defaulting Lender to eliminate the Issuing Lender’s actual or potential Fronting Exposure (after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7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b w:val="1"/>
          <w:bCs w:val="1"/>
          <w:color w:val="auto"/>
        </w:rPr>
        <w:t>3.2 Procedure for Issuance of Letters of Credit</w:t>
      </w:r>
      <w:r>
        <w:rPr>
          <w:rFonts w:ascii="Times New Roman" w:cs="Times New Roman" w:eastAsia="Times New Roman" w:hAnsi="Times New Roman"/>
          <w:sz w:val="20"/>
          <w:szCs w:val="20"/>
          <w:color w:val="auto"/>
        </w:rPr>
        <w:t>. The Borrower may from time to time request that the Issuing Lender issue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Letter of Credit for the account of the Borrower by 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3 Business Days (or such longer period as is required by the Issuing Lender in the case of a Letter of Credit denominated in an Alternative Currency)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13" w:right="339" w:bottom="1440" w:gutter="0" w:footer="0" w:header="0"/>
        </w:sectPr>
      </w:pPr>
    </w:p>
    <w:bookmarkStart w:id="106" w:name="page107"/>
    <w:bookmarkEnd w:id="106"/>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19"/>
          <w:szCs w:val="19"/>
          <w:b w:val="1"/>
          <w:bCs w:val="1"/>
          <w:color w:val="auto"/>
        </w:rPr>
        <w:t>Fees and Other Charges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50" w:lineRule="auto"/>
        <w:tabs>
          <w:tab w:leader="none" w:pos="1729"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with respect to each Existing Letter of Credit and each outstanding Letter of Credit issued for the account of (or at the request of) the Borrower, (i) a fronting fee of 0.125% per annum on the Dollar Equivalent of the daily amount available to be drawn under each such Letter of Credit to the Issuing Lender for its own account (a “</w:t>
      </w:r>
      <w:r>
        <w:rPr>
          <w:rFonts w:ascii="Times New Roman" w:cs="Times New Roman" w:eastAsia="Times New Roman" w:hAnsi="Times New Roman"/>
          <w:sz w:val="19"/>
          <w:szCs w:val="19"/>
          <w:b w:val="1"/>
          <w:bCs w:val="1"/>
          <w:i w:val="1"/>
          <w:iCs w:val="1"/>
          <w:color w:val="auto"/>
        </w:rPr>
        <w:t>Letter of Credit Fronting Fee</w:t>
      </w:r>
      <w:r>
        <w:rPr>
          <w:rFonts w:ascii="Times New Roman" w:cs="Times New Roman" w:eastAsia="Times New Roman" w:hAnsi="Times New Roman"/>
          <w:sz w:val="19"/>
          <w:szCs w:val="19"/>
          <w:color w:val="auto"/>
        </w:rPr>
        <w:t>”), and</w:t>
      </w:r>
    </w:p>
    <w:p>
      <w:pPr>
        <w:jc w:val="both"/>
        <w:ind w:firstLine="8"/>
        <w:spacing w:after="0" w:line="228" w:lineRule="auto"/>
        <w:tabs>
          <w:tab w:leader="none" w:pos="29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letter of credit fee equal to (A) (I) at any time there is only one (1) Lender, 2.00% per annum, and (II) at all other times, the Applicable Margin for SOFR Loans;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(B) the Dollar Equivalent of the daily amount available to be drawn under each such Letter of Credit on the drawable amount of such Letter of Credit to the Administrative Agent for the ratable account of the L/C Lenders (determined in accordance with their respective L/C Percentages) (a “</w:t>
      </w:r>
      <w:r>
        <w:rPr>
          <w:rFonts w:ascii="Times New Roman" w:cs="Times New Roman" w:eastAsia="Times New Roman" w:hAnsi="Times New Roman"/>
          <w:sz w:val="20"/>
          <w:szCs w:val="20"/>
          <w:b w:val="1"/>
          <w:bCs w:val="1"/>
          <w:i w:val="1"/>
          <w:iCs w:val="1"/>
          <w:color w:val="auto"/>
        </w:rPr>
        <w:t>Letter of Credit Fee</w:t>
      </w:r>
      <w:r>
        <w:rPr>
          <w:rFonts w:ascii="Times New Roman" w:cs="Times New Roman" w:eastAsia="Times New Roman" w:hAnsi="Times New Roman"/>
          <w:sz w:val="20"/>
          <w:szCs w:val="20"/>
          <w:color w:val="auto"/>
        </w:rPr>
        <w:t>”), in each case payable quarterly in arrears on the last Business Day of each calendar quarter and on the Letter of Credit Maturity Date (each, an “</w:t>
      </w:r>
      <w:r>
        <w:rPr>
          <w:rFonts w:ascii="Times New Roman" w:cs="Times New Roman" w:eastAsia="Times New Roman" w:hAnsi="Times New Roman"/>
          <w:sz w:val="20"/>
          <w:szCs w:val="20"/>
          <w:b w:val="1"/>
          <w:bCs w:val="1"/>
          <w:i w:val="1"/>
          <w:iCs w:val="1"/>
          <w:color w:val="auto"/>
        </w:rPr>
        <w:t>L/C Fee Payment Date</w:t>
      </w:r>
      <w:r>
        <w:rPr>
          <w:rFonts w:ascii="Times New Roman" w:cs="Times New Roman" w:eastAsia="Times New Roman" w:hAnsi="Times New Roman"/>
          <w:sz w:val="20"/>
          <w:szCs w:val="20"/>
          <w:color w:val="auto"/>
        </w:rPr>
        <w:t>”)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clause (iii), collectively, the “</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All Letter of Credit Fronting Fees and Letter of Credit Fees shall be computed on the basis of the actual number of days elapsed in a year of 360 days.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firstLine="1304"/>
        <w:spacing w:after="0"/>
        <w:tabs>
          <w:tab w:leader="none" w:pos="1877"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74" w:lineRule="exact"/>
        <w:rPr>
          <w:rFonts w:ascii="Times New Roman" w:cs="Times New Roman" w:eastAsia="Times New Roman" w:hAnsi="Times New Roman"/>
          <w:sz w:val="20"/>
          <w:szCs w:val="20"/>
          <w:color w:val="auto"/>
        </w:rPr>
      </w:pPr>
    </w:p>
    <w:p>
      <w:pPr>
        <w:jc w:val="both"/>
        <w:ind w:firstLine="1304"/>
        <w:spacing w:after="0" w:line="239" w:lineRule="auto"/>
        <w:tabs>
          <w:tab w:leader="none" w:pos="17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reasonably require. This Agreement shall control in the event of any conflict with any L/C-Related Document (other than any Letter of Credit).</w:t>
      </w:r>
    </w:p>
    <w:p>
      <w:pPr>
        <w:spacing w:after="0" w:line="177" w:lineRule="exact"/>
        <w:rPr>
          <w:rFonts w:ascii="Times New Roman" w:cs="Times New Roman" w:eastAsia="Times New Roman" w:hAnsi="Times New Roman"/>
          <w:sz w:val="20"/>
          <w:szCs w:val="20"/>
          <w:color w:val="auto"/>
        </w:rPr>
      </w:pPr>
    </w:p>
    <w:p>
      <w:pPr>
        <w:jc w:val="both"/>
        <w:ind w:firstLine="1304"/>
        <w:spacing w:after="0" w:line="234" w:lineRule="auto"/>
        <w:tabs>
          <w:tab w:leader="none" w:pos="172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shall be payable, to the maximum extent permitted by applicable law, to the other L/C Lenders in accordance with the upward adjustments in their respective L/C Percentages allocable to such Letter of Credit pursuant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with the balance of such fee, if any, payable to the Issuing Lender for its own account.</w:t>
      </w:r>
    </w:p>
    <w:p>
      <w:pPr>
        <w:spacing w:after="0" w:line="174"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payable under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shall be fully earned on the date paid and nonrefundable.</w:t>
      </w:r>
    </w:p>
    <w:p>
      <w:pPr>
        <w:spacing w:after="0" w:line="19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3.4</w:t>
      </w:r>
      <w:r>
        <w:rPr>
          <w:sz w:val="20"/>
          <w:szCs w:val="20"/>
          <w:color w:val="auto"/>
        </w:rPr>
        <w:tab/>
      </w:r>
      <w:r>
        <w:rPr>
          <w:rFonts w:ascii="Times New Roman" w:cs="Times New Roman" w:eastAsia="Times New Roman" w:hAnsi="Times New Roman"/>
          <w:sz w:val="19"/>
          <w:szCs w:val="19"/>
          <w:b w:val="1"/>
          <w:bCs w:val="1"/>
          <w:color w:val="auto"/>
        </w:rPr>
        <w:t>L/C Participations; Existing Letters of Credit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32" w:lineRule="auto"/>
        <w:tabs>
          <w:tab w:leader="none" w:pos="179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L/C Participations</w:t>
      </w:r>
      <w:r>
        <w:rPr>
          <w:rFonts w:ascii="Times New Roman" w:cs="Times New Roman" w:eastAsia="Times New Roman" w:hAnsi="Times New Roman"/>
          <w:sz w:val="20"/>
          <w:szCs w:val="20"/>
          <w:color w:val="auto"/>
        </w:rPr>
        <w:t>. The Issuing Lender irrevocably agrees to grant and hereby grants to each L/C Lender, and,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such L/C Lender shall pay to the Issuing Lender upon demand at the Issuing Lender’s 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09" w:right="339" w:bottom="1440" w:gutter="0" w:footer="0" w:header="0"/>
        </w:sectPr>
      </w:pPr>
    </w:p>
    <w:bookmarkStart w:id="107" w:name="page108"/>
    <w:bookmarkEnd w:id="107"/>
    <w:p>
      <w:pPr>
        <w:jc w:val="both"/>
        <w:spacing w:after="0" w:line="245" w:lineRule="auto"/>
        <w:rPr>
          <w:sz w:val="20"/>
          <w:szCs w:val="20"/>
          <w:color w:val="auto"/>
        </w:rPr>
      </w:pPr>
      <w:r>
        <w:rPr>
          <w:rFonts w:ascii="Times New Roman" w:cs="Times New Roman" w:eastAsia="Times New Roman" w:hAnsi="Times New Roman"/>
          <w:sz w:val="19"/>
          <w:szCs w:val="19"/>
          <w:color w:val="auto"/>
        </w:rPr>
        <w:t xml:space="preserve">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(iii) any adverse change in the condition (financial or otherwise) of the Borrower,</w:t>
      </w:r>
    </w:p>
    <w:p>
      <w:pPr>
        <w:ind w:firstLine="8"/>
        <w:spacing w:after="0" w:line="236" w:lineRule="auto"/>
        <w:tabs>
          <w:tab w:leader="none" w:pos="34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this Agreement or any other Loan Document by the Borrower, any other Loan Party or any other L/C Lender, or (v) any other circumstance, happening or event whatsoever, whether or not similar to any of the foregoing.</w:t>
      </w:r>
    </w:p>
    <w:p>
      <w:pPr>
        <w:spacing w:after="0" w:line="169" w:lineRule="exact"/>
        <w:rPr>
          <w:rFonts w:ascii="Times New Roman" w:cs="Times New Roman" w:eastAsia="Times New Roman" w:hAnsi="Times New Roman"/>
          <w:sz w:val="20"/>
          <w:szCs w:val="20"/>
          <w:color w:val="auto"/>
        </w:rPr>
      </w:pPr>
    </w:p>
    <w:p>
      <w:pPr>
        <w:jc w:val="both"/>
        <w:ind w:firstLine="1304"/>
        <w:spacing w:after="0" w:line="235" w:lineRule="auto"/>
        <w:tabs>
          <w:tab w:leader="none" w:pos="1832"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Existing Letters of Credit. </w:t>
      </w:r>
      <w:r>
        <w:rPr>
          <w:rFonts w:ascii="Times New Roman" w:cs="Times New Roman" w:eastAsia="Times New Roman" w:hAnsi="Times New Roman"/>
          <w:sz w:val="20"/>
          <w:szCs w:val="20"/>
          <w:color w:val="auto"/>
        </w:rPr>
        <w:t>On and after the Closing Date, the Existing Letters of Credit shall be deemed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purposes, including for purposes of the fees to be collected pursuant to </w:t>
      </w:r>
      <w:r>
        <w:rPr>
          <w:rFonts w:ascii="Times New Roman" w:cs="Times New Roman" w:eastAsia="Times New Roman" w:hAnsi="Times New Roman"/>
          <w:sz w:val="20"/>
          <w:szCs w:val="20"/>
          <w:u w:val="single" w:color="auto"/>
          <w:color w:val="auto"/>
        </w:rPr>
        <w:t>Sections 3.3(a)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1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3.5</w:t>
      </w:r>
      <w:r>
        <w:rPr>
          <w:sz w:val="20"/>
          <w:szCs w:val="20"/>
          <w:color w:val="auto"/>
        </w:rPr>
        <w:tab/>
      </w:r>
      <w:r>
        <w:rPr>
          <w:rFonts w:ascii="Times New Roman" w:cs="Times New Roman" w:eastAsia="Times New Roman" w:hAnsi="Times New Roman"/>
          <w:sz w:val="19"/>
          <w:szCs w:val="19"/>
          <w:b w:val="1"/>
          <w:bCs w:val="1"/>
          <w:color w:val="auto"/>
        </w:rPr>
        <w:t>Reimbursement</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29" w:lineRule="auto"/>
        <w:tabs>
          <w:tab w:leader="none" w:pos="173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In the case of a Letter of Credit denominated in an Alternative Currency, the Borrower shall reimburse the Issuing Lender in such Alternative Currency, unless (A) the Issuing Lender (at its option) shall have specified in such notice that it will require reimbursement in Dollars, or (B) in the absence of any such requirement for reimbursement in Dollars, the Borrower shall have notified the Issuing Lender promptly following receipt of the notice of drawing that the Borrower will reimburse the Issuing Lender in Dollars. In the case of any such reimbursement in Dollars of a drawing under a Letter of Credit denominated in an Alternative Currency, the Issuing Lender shall notify the Borrower of the Dollar Equivalent of the amount of the drawing promptly following the determination thereof. In the event that a drawing denominated in an Alternative Currency is to be reimbursed in Dollars and the Dollar amount paid by the Borrower shall not be adequate on the date of that payment to purchase in accordance with normal banking procedures a sum denominated in the Alternative Currency equal to the drawing, the Borrower agrees, as a separate and independent obligation, to indemnify the Issuing Lender for the loss resulting from its inability on that date to purchase the Alternative Currency in the full amount of the drawing. Each such payment shall be made to the Issuing Lender at its address for notices referred to herein in Same Day Funds;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Borrower may, subject to the satisfaction of the conditions to borrowing set forth herein, request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794"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Issuing Lender shall not have received from the Borrower the payment that it is required to make pursuant to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(expressed in Dollars in the amount of the Dollar Equivalent thereof in the case of a Letter of Credit denominated in an Alternative Currency) (and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sectPr>
      </w:pPr>
    </w:p>
    <w:bookmarkStart w:id="108" w:name="page109"/>
    <w:bookmarkEnd w:id="108"/>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that are ABR Loans plus 2% per annum) on demand;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at the time of and after giving effect to such payment by the L/C Lenders, the conditions to borrowings and Revolving Loan Conversions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 the Borrower may, by written notice to the Administrative Agent certifying that such conditions are satisfied and that all interest owing under this paragraph has been paid, request that such payments by the L/C Lenders be converted into Revolving Loans (a “</w:t>
      </w:r>
      <w:r>
        <w:rPr>
          <w:rFonts w:ascii="Times New Roman" w:cs="Times New Roman" w:eastAsia="Times New Roman" w:hAnsi="Times New Roman"/>
          <w:sz w:val="20"/>
          <w:szCs w:val="20"/>
          <w:b w:val="1"/>
          <w:bCs w:val="1"/>
          <w:i w:val="1"/>
          <w:iCs w:val="1"/>
          <w:color w:val="auto"/>
        </w:rPr>
        <w:t>Revolving Loan Conversion</w:t>
      </w:r>
      <w:r>
        <w:rPr>
          <w:rFonts w:ascii="Times New Roman" w:cs="Times New Roman" w:eastAsia="Times New Roman" w:hAnsi="Times New Roman"/>
          <w:sz w:val="20"/>
          <w:szCs w:val="20"/>
          <w:color w:val="auto"/>
        </w:rPr>
        <w:t xml:space="preserve">”),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Issuing Lender, at its option, may effectuate a Revolving Loan Conversion regardless of whether the conditions to borrowings and Revolving Loan Conversions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w:t>
      </w:r>
    </w:p>
    <w:p>
      <w:pPr>
        <w:spacing w:after="0" w:line="18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b w:val="1"/>
          <w:bCs w:val="1"/>
          <w:color w:val="auto"/>
        </w:rPr>
        <w:t>3.6 Obligations Absolute</w:t>
      </w:r>
      <w:r>
        <w:rPr>
          <w:rFonts w:ascii="Times New Roman" w:cs="Times New Roman" w:eastAsia="Times New Roman" w:hAnsi="Times New Roman"/>
          <w:sz w:val="20"/>
          <w:szCs w:val="20"/>
          <w:color w:val="auto"/>
        </w:rPr>
        <w:t>. The Borrower’s obligations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absolute and unconditional under any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Borrower’s obligation under this Section 3 shall not be impacted by any adverse change in the relevant exchange rates or in the availability of the relevant Alternative Currency to the Borrower or any Subsidiary or in the relevant currency markets generally.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spacing w:after="0" w:line="182"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0"/>
          <w:szCs w:val="20"/>
          <w:color w:val="auto"/>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that the Issuing Lender may incur or be subject to as a consequence, direct or indirect, of (a) the issuance of any Letter of Credit, or (b) the failure of Issuing Lender or of any L/C Lender to honor a demand for payment under any Letter of Credit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3.7 Letter of Credit Payments</w:t>
      </w:r>
      <w:r>
        <w:rPr>
          <w:rFonts w:ascii="Times New Roman" w:cs="Times New Roman" w:eastAsia="Times New Roman" w:hAnsi="Times New Roman"/>
          <w:sz w:val="20"/>
          <w:szCs w:val="20"/>
          <w:color w:val="auto"/>
        </w:rPr>
        <w:t>. If any draft shall be presented for payment under any Letter of Credit, the Issuing Lender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promptly notify the Borrower and the Administrative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109" w:name="page110"/>
    <w:bookmarkEnd w:id="109"/>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each draft) delivered under such Letter of Credit in connection with such presentment are substantially in conformity with such Letter of Credit.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3.8 Applications</w:t>
      </w:r>
      <w:r>
        <w:rPr>
          <w:rFonts w:ascii="Times New Roman" w:cs="Times New Roman" w:eastAsia="Times New Roman" w:hAnsi="Times New Roman"/>
          <w:sz w:val="20"/>
          <w:szCs w:val="20"/>
          <w:color w:val="auto"/>
        </w:rPr>
        <w:t>. To the extent that any provision of any Application related to any Letter of Credit is inconsistent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shall apply.</w:t>
      </w:r>
    </w:p>
    <w:p>
      <w:pPr>
        <w:spacing w:after="0" w:line="16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3.9 Interim Interest</w:t>
      </w:r>
      <w:r>
        <w:rPr>
          <w:rFonts w:ascii="Times New Roman" w:cs="Times New Roman" w:eastAsia="Times New Roman" w:hAnsi="Times New Roman"/>
          <w:sz w:val="20"/>
          <w:szCs w:val="20"/>
          <w:color w:val="auto"/>
        </w:rPr>
        <w:t>. If the Issuing Lender shall make any L/C Disbursement in respect of a Letter of Credit, then, unless either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shall have reimbursed such L/C Disbursement in full within the time period specified in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or the L/C Lenders shall have reimbursed such L/C Disbursement in full on such date as provided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 xml:space="preserve">, in each case the Dollar Equivalent of the unpaid amount thereof shall bear interest for the account of the Issuing Lender, for each day from and including the date of such L/C Disbursement to but excluding the date of payment by the Borrower, at the rate per annum that would apply to such amount if such amount were a Revolving Loan that is an ABR Loan;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applicable to any such amounts not paid when due.</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3.10</w:t>
      </w:r>
      <w:r>
        <w:rPr>
          <w:sz w:val="20"/>
          <w:szCs w:val="20"/>
          <w:color w:val="auto"/>
        </w:rPr>
        <w:tab/>
      </w:r>
      <w:r>
        <w:rPr>
          <w:rFonts w:ascii="Times New Roman" w:cs="Times New Roman" w:eastAsia="Times New Roman" w:hAnsi="Times New Roman"/>
          <w:sz w:val="19"/>
          <w:szCs w:val="19"/>
          <w:b w:val="1"/>
          <w:bCs w:val="1"/>
          <w:color w:val="auto"/>
        </w:rPr>
        <w:t>Cash Collateral.</w:t>
      </w:r>
    </w:p>
    <w:p>
      <w:pPr>
        <w:spacing w:after="0" w:line="220" w:lineRule="exact"/>
        <w:rPr>
          <w:sz w:val="20"/>
          <w:szCs w:val="20"/>
          <w:color w:val="auto"/>
        </w:rPr>
      </w:pPr>
    </w:p>
    <w:p>
      <w:pPr>
        <w:jc w:val="both"/>
        <w:ind w:firstLine="1304"/>
        <w:spacing w:after="0" w:line="245" w:lineRule="auto"/>
        <w:tabs>
          <w:tab w:leader="none" w:pos="1767"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Credit Support Events</w:t>
      </w:r>
      <w:r>
        <w:rPr>
          <w:rFonts w:ascii="Times New Roman" w:cs="Times New Roman" w:eastAsia="Times New Roman" w:hAnsi="Times New Roman"/>
          <w:sz w:val="19"/>
          <w:szCs w:val="19"/>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Times New Roman" w:cs="Times New Roman" w:eastAsia="Times New Roman" w:hAnsi="Times New Roman"/>
          <w:sz w:val="19"/>
          <w:szCs w:val="19"/>
          <w:u w:val="single" w:color="auto"/>
          <w:color w:val="auto"/>
        </w:rPr>
        <w:t>Section 3.5(b)</w:t>
      </w:r>
      <w:r>
        <w:rPr>
          <w:rFonts w:ascii="Times New Roman" w:cs="Times New Roman" w:eastAsia="Times New Roman" w:hAnsi="Times New Roman"/>
          <w:sz w:val="19"/>
          <w:szCs w:val="19"/>
          <w:color w:val="auto"/>
        </w:rPr>
        <w:t>, or</w:t>
      </w:r>
    </w:p>
    <w:p>
      <w:pPr>
        <w:jc w:val="both"/>
        <w:ind w:firstLine="8"/>
        <w:spacing w:after="0" w:line="232" w:lineRule="auto"/>
        <w:tabs>
          <w:tab w:leader="none" w:pos="31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of the Letter of Credit Maturity Date, any L/C Exposure for any reason remains outstanding, the Borrower shall, in each case, immediately Cash Collateralize the then effective L/C Exposure in an amount equal to 105% (110% in the case of a Letter of Credit denominated in an Alternative Currency) of such L/C Exposure.</w:t>
      </w:r>
    </w:p>
    <w:p>
      <w:pPr>
        <w:spacing w:after="0" w:line="17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At any time that there shall exist a Defaulting Lender, within 1 Business Day following the request of the Administrative Agent or the Issuing Lender (with a copy to the Administrative Agent), the Borrower shall deliver to the Administrative Agent Cash Collateral in an amount sufficient to cover 105% (110% in the case of a Letter of Credit denominated in an Alternative Currency) of the Fronting Exposure relating to the Letters of Credit (after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and any Cash Collateral provided by such Defaulting Lender).</w:t>
      </w:r>
    </w:p>
    <w:p>
      <w:pPr>
        <w:spacing w:after="0" w:line="177" w:lineRule="exact"/>
        <w:rPr>
          <w:sz w:val="20"/>
          <w:szCs w:val="20"/>
          <w:color w:val="auto"/>
        </w:rPr>
      </w:pPr>
    </w:p>
    <w:p>
      <w:pPr>
        <w:jc w:val="both"/>
        <w:ind w:firstLine="1304"/>
        <w:spacing w:after="0" w:line="230" w:lineRule="auto"/>
        <w:tabs>
          <w:tab w:leader="none" w:pos="173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3.10(c)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105% (110% in the case of a Letter of Credit denominated in an Alternative Currency)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110" w:name="page111"/>
    <w:bookmarkEnd w:id="110"/>
    <w:p>
      <w:pPr>
        <w:jc w:val="both"/>
        <w:ind w:firstLine="1304"/>
        <w:spacing w:after="0" w:line="237" w:lineRule="auto"/>
        <w:tabs>
          <w:tab w:leader="none" w:pos="171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3" w:lineRule="exact"/>
        <w:rPr>
          <w:rFonts w:ascii="Times New Roman" w:cs="Times New Roman" w:eastAsia="Times New Roman" w:hAnsi="Times New Roman"/>
          <w:sz w:val="20"/>
          <w:szCs w:val="20"/>
          <w:color w:val="auto"/>
        </w:rPr>
      </w:pPr>
    </w:p>
    <w:p>
      <w:pPr>
        <w:jc w:val="both"/>
        <w:ind w:firstLine="1304"/>
        <w:spacing w:after="0" w:line="231" w:lineRule="auto"/>
        <w:tabs>
          <w:tab w:leader="none" w:pos="17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(A) that Cash Collateral furnished by or on behalf of a Loan Party shall not be released during the existence of an Event of Default, and (B) that, subject to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to the extent that such Cash Collateral was provided by the Borrower or any other Loan Party, such Cash Collateral shall remain subject to any security interest and Lien granted pursuant to the Loan Documents including any applicable Cash Management Agreement.</w:t>
      </w:r>
    </w:p>
    <w:p>
      <w:pPr>
        <w:spacing w:after="0" w:line="17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3.11 Additional Issuing Lenders</w:t>
      </w:r>
      <w:r>
        <w:rPr>
          <w:rFonts w:ascii="Times New Roman" w:cs="Times New Roman" w:eastAsia="Times New Roman" w:hAnsi="Times New Roman"/>
          <w:sz w:val="20"/>
          <w:szCs w:val="20"/>
          <w:color w:val="auto"/>
        </w:rPr>
        <w:t>. The Borrower may, at any time and from time to time with the consent of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(which consent shall not be unreasonably withheld) and such Lender, designate one or more additional Lenders to act as an issuing bank under the terms of this Agreement. Any Lender designated as an issuing bank pursuant to this paragraph shall be deemed to be an “</w:t>
      </w:r>
      <w:r>
        <w:rPr>
          <w:rFonts w:ascii="Times New Roman" w:cs="Times New Roman" w:eastAsia="Times New Roman" w:hAnsi="Times New Roman"/>
          <w:sz w:val="20"/>
          <w:szCs w:val="20"/>
          <w:b w:val="1"/>
          <w:bCs w:val="1"/>
          <w:i w:val="1"/>
          <w:iCs w:val="1"/>
          <w:color w:val="auto"/>
        </w:rPr>
        <w:t>Issuing Lender</w:t>
      </w:r>
      <w:r>
        <w:rPr>
          <w:rFonts w:ascii="Times New Roman" w:cs="Times New Roman" w:eastAsia="Times New Roman" w:hAnsi="Times New Roman"/>
          <w:sz w:val="20"/>
          <w:szCs w:val="20"/>
          <w:color w:val="auto"/>
        </w:rPr>
        <w:t>” (in addition to being a Lender) in respect of Letters of Credit issued or to be issued by such Lender, and, with respect to such Letters of Credit, such term shall thereafter apply to the other Issuing Lender and such Lender.</w:t>
      </w:r>
    </w:p>
    <w:p>
      <w:pPr>
        <w:spacing w:after="0" w:line="18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b w:val="1"/>
          <w:bCs w:val="1"/>
          <w:color w:val="auto"/>
        </w:rPr>
        <w:t>3.12 Resignation of the Issuing Lender</w:t>
      </w:r>
      <w:r>
        <w:rPr>
          <w:rFonts w:ascii="Times New Roman" w:cs="Times New Roman" w:eastAsia="Times New Roman" w:hAnsi="Times New Roman"/>
          <w:sz w:val="20"/>
          <w:szCs w:val="20"/>
          <w:color w:val="auto"/>
        </w:rPr>
        <w:t>. The Issuing Lender may resign at any time by giving at least 30 days’ prior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notice to the Administrative Agent, the Lenders and the Borrower. Subject to the next succeeding paragraph, upon the acceptance of any appointment as the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13" w:right="339" w:bottom="1440" w:gutter="0" w:footer="0" w:header="0"/>
        </w:sectPr>
      </w:pPr>
    </w:p>
    <w:bookmarkStart w:id="111" w:name="page112"/>
    <w:bookmarkEnd w:id="111"/>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3.13 Applicability of UCP and ISP</w:t>
      </w:r>
      <w:r>
        <w:rPr>
          <w:rFonts w:ascii="Times New Roman" w:cs="Times New Roman" w:eastAsia="Times New Roman" w:hAnsi="Times New Roman"/>
          <w:sz w:val="20"/>
          <w:szCs w:val="20"/>
          <w:color w:val="auto"/>
        </w:rPr>
        <w:t>. Unless otherwise expressly agreed by the Issuing Lender and the Borrower when a Letter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is issued and subject to applicable laws, the Letters of Credit shall be governed by and subject to (a) with respect to standby Letters of Credit, the rules of the ISP, and (b) with respect to commercial Letters of Credit, the rules of the Uniform Customs and Practice for Documentary Credits, as published in its most recent version by the International Chamber of Commerce on the date any commercial Letter of Credit is issued.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8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make the Loans and issue the Letters of Credit, the Borrower hereby represents and warrants to the Administrative Agent and each Lender, as to itself and each other Group Member, that:</w:t>
      </w:r>
    </w:p>
    <w:p>
      <w:pPr>
        <w:spacing w:after="0" w:line="17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Financial Condition</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1720" w:hanging="416"/>
        <w:spacing w:after="0"/>
        <w:tabs>
          <w:tab w:leader="none" w:pos="17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304"/>
        <w:spacing w:after="0" w:line="229" w:lineRule="auto"/>
        <w:tabs>
          <w:tab w:leader="none" w:pos="175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consolidated balance sheets of the Borrower and its Subsidiaries as of December 31, 2016, December 31, 2017, December 31, 2018 and December 31, 2019 and the related consolidated statements of income and of cash flows for the fiscal years ended on such dates, present fairly in all material respects the consolidated financial condition of the Borrower and its Subsidiaries as at such date, and the consolidated results of its operations and its consolidated cash flows for the respective fiscal years then ended. The unaudited consolidated balance sheets of the Borrower and its Subsidiaries as at June 30, 2020 and December 31, 2020, and the related unaudited consolidated statements of income and cash flows for the twelve and six month periods ended on such dates, respectively, present fairly in all material respects the consolidated financial condition of the Borrower and its Subsidiaries as at such dates, and the consolidated results of its operations and its consolidated cash flows for the trailing twelve and six month periods then ended (subject to normal year 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No Group Member has, as of the Closing Date, any material Guarantee Obligations, contingent liabilities or any long term leases or unusual forward or long term commitments, including any interest rate or foreign currency swap or exchange transaction or other obligation in respect of derivatives, that are not reflected in the most recent financial statements referred to in this paragraph. During the period from December 31, 2018 to and including the date hereof, there has been no Disposition by any Group Member of any material part of its business or property.</w:t>
      </w:r>
    </w:p>
    <w:p>
      <w:pPr>
        <w:spacing w:after="0" w:line="174"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4.2 No Change</w:t>
      </w:r>
      <w:r>
        <w:rPr>
          <w:rFonts w:ascii="Times New Roman" w:cs="Times New Roman" w:eastAsia="Times New Roman" w:hAnsi="Times New Roman"/>
          <w:sz w:val="20"/>
          <w:szCs w:val="20"/>
          <w:color w:val="auto"/>
        </w:rPr>
        <w:t>. Since July 31, 2020, there has been no development or event that has had or could reasonably be expected to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Material Adverse Effect.</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4.3 Existence; Compliance with Law</w:t>
      </w:r>
      <w:r>
        <w:rPr>
          <w:rFonts w:ascii="Times New Roman" w:cs="Times New Roman" w:eastAsia="Times New Roman" w:hAnsi="Times New Roman"/>
          <w:sz w:val="20"/>
          <w:szCs w:val="20"/>
          <w:color w:val="auto"/>
        </w:rPr>
        <w:t>. Each Group Member (a) is duly organized, validly existing and in good standing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(if applicable) under the laws of each jurisdiction where the failure to be so qualified or in good standing could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09" w:right="339" w:bottom="1440" w:gutter="0" w:footer="0" w:header="0"/>
        </w:sectPr>
      </w:pPr>
    </w:p>
    <w:bookmarkStart w:id="112" w:name="page113"/>
    <w:bookmarkEnd w:id="112"/>
    <w:p>
      <w:pPr>
        <w:jc w:val="both"/>
        <w:ind w:firstLine="648"/>
        <w:spacing w:after="0" w:line="230" w:lineRule="auto"/>
        <w:rPr>
          <w:sz w:val="20"/>
          <w:szCs w:val="20"/>
          <w:color w:val="auto"/>
        </w:rPr>
      </w:pPr>
      <w:r>
        <w:rPr>
          <w:rFonts w:ascii="Times New Roman" w:cs="Times New Roman" w:eastAsia="Times New Roman" w:hAnsi="Times New Roman"/>
          <w:sz w:val="20"/>
          <w:szCs w:val="20"/>
          <w:b w:val="1"/>
          <w:bCs w:val="1"/>
          <w:color w:val="auto"/>
        </w:rPr>
        <w:t>4.4 Power, Authorization; Enforceable Obligations</w:t>
      </w:r>
      <w:r>
        <w:rPr>
          <w:rFonts w:ascii="Times New Roman" w:cs="Times New Roman" w:eastAsia="Times New Roman" w:hAnsi="Times New Roman"/>
          <w:sz w:val="20"/>
          <w:szCs w:val="20"/>
          <w:color w:val="auto"/>
        </w:rPr>
        <w:t>. Each Loan Party has the power and authority, and the legal right,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material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described on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xml:space="preserve"> to the Disclosure Letter, which Governmental Approvals, consents, authorizations, filings and notices have been obtained or made and are in full force and effect, and (ii) the filings referred to in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auto"/>
        </w:rPr>
        <w:t>4.5 No Legal Bar</w:t>
      </w:r>
      <w:r>
        <w:rPr>
          <w:rFonts w:ascii="Times New Roman" w:cs="Times New Roman" w:eastAsia="Times New Roman" w:hAnsi="Times New Roman"/>
          <w:sz w:val="20"/>
          <w:szCs w:val="20"/>
          <w:color w:val="auto"/>
        </w:rPr>
        <w:t>. The execution, delivery and performance of this Agreement and the other Loan Documents, the issuance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Letters of Credit, the extensions of credit hereunder and the use of the proceeds thereof will not violate any Requirement of Law or any material Contractual Obligation of any Group Member and will not result in, or require, the creation or imposition of any Lien on any of their respective properties or revenues pursuant to any Requirement of Law or any such material Contractual Obligation (other than the Liens created by the Security Documents). No Group Member has violated any Requirement of Law or violated or failed to comply with any Contractual Obligation applicable to a Group Member that could reasonably be expected to have a Material Adverse Effect.</w:t>
      </w:r>
    </w:p>
    <w:p>
      <w:pPr>
        <w:spacing w:after="0" w:line="18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4.6 Litigation</w:t>
      </w:r>
      <w:r>
        <w:rPr>
          <w:rFonts w:ascii="Times New Roman" w:cs="Times New Roman" w:eastAsia="Times New Roman" w:hAnsi="Times New Roman"/>
          <w:sz w:val="20"/>
          <w:szCs w:val="20"/>
          <w:color w:val="auto"/>
        </w:rPr>
        <w:t>. Except as disclosed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Disclosure Letter, no litigation, investigation or proceeding of or before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arbitrator or Governmental Authority is pending or threatened in writing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4.7 No Default</w:t>
      </w:r>
      <w:r>
        <w:rPr>
          <w:rFonts w:ascii="Times New Roman" w:cs="Times New Roman" w:eastAsia="Times New Roman" w:hAnsi="Times New Roman"/>
          <w:sz w:val="20"/>
          <w:szCs w:val="20"/>
          <w:color w:val="auto"/>
        </w:rPr>
        <w:t>. No Group Member is in default under or with respect to any of its Contractual Obligations in any respect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could reasonably be expected to have a Material Adverse Effect. No Default or Event of Default has occurred and is continuing, nor shall either result from the making of a requested credit extension.</w:t>
      </w:r>
    </w:p>
    <w:p>
      <w:pPr>
        <w:spacing w:after="0" w:line="16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4.8 Ownership of Property; Liens; Investments</w:t>
      </w:r>
      <w:r>
        <w:rPr>
          <w:rFonts w:ascii="Times New Roman" w:cs="Times New Roman" w:eastAsia="Times New Roman" w:hAnsi="Times New Roman"/>
          <w:sz w:val="20"/>
          <w:szCs w:val="20"/>
          <w:color w:val="auto"/>
        </w:rPr>
        <w:t>. Each Group Member has title in fee simple to, or a valid leasehold interest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of its real property, and good title to, or a valid leasehold interest in, all of its other property, and none of such property is subject to any Lien except as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No Loan Party owns any Investment except as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of the Collateral Information Certificate sets forth a complete and accurate list of all real property owned by each Loan Party as of the Closing Date, if any. The Collateral Information Certificate sets forth a complete and accurate list of all leases of real property under which any Loan Party is the lessee as of the Closing Date.</w:t>
      </w:r>
    </w:p>
    <w:p>
      <w:pPr>
        <w:spacing w:after="0" w:line="17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4.9 Intellectual Property</w:t>
      </w:r>
      <w:r>
        <w:rPr>
          <w:rFonts w:ascii="Times New Roman" w:cs="Times New Roman" w:eastAsia="Times New Roman" w:hAnsi="Times New Roman"/>
          <w:sz w:val="20"/>
          <w:szCs w:val="20"/>
          <w:color w:val="auto"/>
        </w:rPr>
        <w:t>. Each Group Member owns, or is licensed to use, all Intellectual Property necessary for the conduct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business as currently conducted. To the Borrower’s knowledge, no claim has been asserted and is pending by any Person challenging or questioning any Group Member’s use of any Intellectual Property or the validity or effectiveness of any Group Member’s Intellectual Property, nor does any Group Member know of any valid basis for any such claim, unless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09" w:right="339" w:bottom="1440" w:gutter="0" w:footer="0" w:header="0"/>
        </w:sectPr>
      </w:pPr>
    </w:p>
    <w:bookmarkStart w:id="113" w:name="page114"/>
    <w:bookmarkEnd w:id="113"/>
    <w:p>
      <w:pPr>
        <w:jc w:val="both"/>
        <w:spacing w:after="0" w:line="236" w:lineRule="auto"/>
        <w:rPr>
          <w:sz w:val="20"/>
          <w:szCs w:val="20"/>
          <w:color w:val="auto"/>
        </w:rPr>
      </w:pPr>
      <w:r>
        <w:rPr>
          <w:rFonts w:ascii="Times New Roman" w:cs="Times New Roman" w:eastAsia="Times New Roman" w:hAnsi="Times New Roman"/>
          <w:sz w:val="20"/>
          <w:szCs w:val="20"/>
          <w:color w:val="auto"/>
        </w:rPr>
        <w:t>could not reasonably be expected to have a Material Adverse Effect. The use of Intellectual Property by each Group Member, and the conduct of such Group Member’s business, as currently conducted, does not infringe on or otherwise violate the rights of any Person, unless such infringement could not reasonably be expected to have a Material Adverse Effect, and there are no claims pending or, to the knowledge of any Group Member, threatened to such effect.</w:t>
      </w:r>
    </w:p>
    <w:p>
      <w:pPr>
        <w:spacing w:after="0" w:line="18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auto"/>
        </w:rPr>
        <w:t>4.10 Taxes</w:t>
      </w:r>
      <w:r>
        <w:rPr>
          <w:rFonts w:ascii="Times New Roman" w:cs="Times New Roman" w:eastAsia="Times New Roman" w:hAnsi="Times New Roman"/>
          <w:sz w:val="20"/>
          <w:szCs w:val="20"/>
          <w:color w:val="auto"/>
        </w:rPr>
        <w:t>. Each Group Member has (a) filed or caused to be filed all Federal, state and other material tax returns that are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filed (taking into account any extensions granted or grace periods in effect), excluding any failure to file a tax return or returns involving aggregate taxes in an amount less than $1,000,000; and (b) has paid all taxes shown to be due and payable on said returns or on any assessments made against it or any of its property and all other taxes, fees or other charges imposed on it or any of its property by any Governmental Authority (other than any taxes, charges or assessments the amount or validity of which are currently being contested in good faith by appropriate proceedings and with respect to which reserves in conformity with GAAP have been provided on the books of the relevant Group Member or where the amount is less than $1,000,000 (or such greater amount approved by the Administrative Agent in its sole discretion) in the aggregate); no tax Lien has been filed, other than Liens for Taxes not yet due and payable and Liens for Taxes the amount or validity of which are currently being contested in good faith by appropriate proceedings and with respect to which reserves in conformity with GAAP have been provided on the books of the relevant Group Member, and, to the knowledge of the Loan Parties, no claim is being asserted, with respect to any such tax, fee or other charge.</w:t>
      </w:r>
    </w:p>
    <w:p>
      <w:pPr>
        <w:spacing w:after="0" w:line="17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auto"/>
        </w:rPr>
        <w:t>4.11 Federal Regulations</w:t>
      </w:r>
      <w:r>
        <w:rPr>
          <w:rFonts w:ascii="Times New Roman" w:cs="Times New Roman" w:eastAsia="Times New Roman" w:hAnsi="Times New Roman"/>
          <w:sz w:val="20"/>
          <w:szCs w:val="20"/>
          <w:color w:val="auto"/>
        </w:rPr>
        <w:t>. The Borrower is not engaged and will not engage, principally or as one of its important activities,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of “buying” or “carrying” “margin stock” (within the respective meanings of each of the quoted terms under Regulation U as now and from time to time hereafter in effect) or extending credit for the purpose of purchasing or carrying margin stock. No part of the proceeds of any Loans, and no other extensions of credit hereunder, will be used for buying or carrying any such margin stock or for extending credit to others for the purpose of purchasing or carrying margin stock in violation of Regulations T, U or X of the Board. If any margin stock directly or indirectly constitutes Collateral securing the Obligations,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7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4.12 Labor Matters</w:t>
      </w:r>
      <w:r>
        <w:rPr>
          <w:rFonts w:ascii="Times New Roman" w:cs="Times New Roman" w:eastAsia="Times New Roman" w:hAnsi="Times New Roman"/>
          <w:sz w:val="20"/>
          <w:szCs w:val="20"/>
          <w:color w:val="auto"/>
        </w:rPr>
        <w:t>. Except as, in the aggregate, could not reasonably be expected to have a Material Adverse Effect: (a) there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strikes or other labor disputes against any Group Member pending or, to the knowledge of the Loan Parties,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w:t>
      </w:r>
    </w:p>
    <w:p>
      <w:pPr>
        <w:spacing w:after="0" w:line="18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4.13</w:t>
      </w:r>
      <w:r>
        <w:rPr>
          <w:sz w:val="20"/>
          <w:szCs w:val="20"/>
          <w:color w:val="auto"/>
        </w:rPr>
        <w:tab/>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right="20" w:firstLine="1304"/>
        <w:spacing w:after="0" w:line="255" w:lineRule="auto"/>
        <w:tabs>
          <w:tab w:leader="none" w:pos="17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4.13</w:t>
      </w:r>
      <w:r>
        <w:rPr>
          <w:rFonts w:ascii="Times New Roman" w:cs="Times New Roman" w:eastAsia="Times New Roman" w:hAnsi="Times New Roman"/>
          <w:sz w:val="20"/>
          <w:szCs w:val="20"/>
          <w:color w:val="auto"/>
        </w:rPr>
        <w:t xml:space="preserve"> to the Disclosure Letter is a complete and accurate list of all Pension Plans maintained or sponsored by the Borrower or any ERISA Affiliate or to which the Borrower or any ERISA Affiliate contributes as of the Closing Date;</w:t>
      </w:r>
    </w:p>
    <w:p>
      <w:pPr>
        <w:spacing w:after="0" w:line="159" w:lineRule="exact"/>
        <w:rPr>
          <w:rFonts w:ascii="Times New Roman" w:cs="Times New Roman" w:eastAsia="Times New Roman" w:hAnsi="Times New Roman"/>
          <w:sz w:val="20"/>
          <w:szCs w:val="20"/>
          <w:color w:val="auto"/>
        </w:rPr>
      </w:pPr>
    </w:p>
    <w:p>
      <w:pPr>
        <w:jc w:val="both"/>
        <w:ind w:firstLine="1304"/>
        <w:spacing w:after="0"/>
        <w:tabs>
          <w:tab w:leader="none" w:pos="186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 Material Adverse Effect, the Borrower and its ERISA Affiliates are in compliance with all applicable provisions and requirements of ERISA with respect to each Plan, and have performed all their obligations under each Plan;</w:t>
      </w:r>
    </w:p>
    <w:p>
      <w:pPr>
        <w:spacing w:after="0" w:line="174" w:lineRule="exact"/>
        <w:rPr>
          <w:rFonts w:ascii="Times New Roman" w:cs="Times New Roman" w:eastAsia="Times New Roman" w:hAnsi="Times New Roman"/>
          <w:sz w:val="20"/>
          <w:szCs w:val="20"/>
          <w:color w:val="auto"/>
        </w:rPr>
      </w:pPr>
    </w:p>
    <w:p>
      <w:pPr>
        <w:ind w:firstLine="1304"/>
        <w:spacing w:after="0" w:line="255" w:lineRule="auto"/>
        <w:tabs>
          <w:tab w:leader="none" w:pos="175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 Material Adverse Effect, no ERISA Event has occurred or is reasonably expected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114" w:name="page115"/>
    <w:bookmarkEnd w:id="114"/>
    <w:p>
      <w:pPr>
        <w:jc w:val="both"/>
        <w:ind w:firstLine="1304"/>
        <w:spacing w:after="0"/>
        <w:tabs>
          <w:tab w:leader="none" w:pos="1745"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 Material Adverse Effect, the 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174" w:lineRule="exact"/>
        <w:rPr>
          <w:rFonts w:ascii="Times New Roman" w:cs="Times New Roman" w:eastAsia="Times New Roman" w:hAnsi="Times New Roman"/>
          <w:sz w:val="20"/>
          <w:szCs w:val="20"/>
          <w:color w:val="auto"/>
        </w:rPr>
      </w:pPr>
    </w:p>
    <w:p>
      <w:pPr>
        <w:jc w:val="both"/>
        <w:ind w:firstLine="1304"/>
        <w:spacing w:after="0" w:line="266" w:lineRule="auto"/>
        <w:tabs>
          <w:tab w:leader="none" w:pos="1821"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w:t>
      </w:r>
    </w:p>
    <w:p>
      <w:pPr>
        <w:spacing w:after="0" w:line="151" w:lineRule="exact"/>
        <w:rPr>
          <w:rFonts w:ascii="Times New Roman" w:cs="Times New Roman" w:eastAsia="Times New Roman" w:hAnsi="Times New Roman"/>
          <w:sz w:val="19"/>
          <w:szCs w:val="19"/>
          <w:color w:val="auto"/>
        </w:rPr>
      </w:pPr>
    </w:p>
    <w:p>
      <w:pPr>
        <w:jc w:val="both"/>
        <w:ind w:firstLine="1304"/>
        <w:spacing w:after="0"/>
        <w:tabs>
          <w:tab w:leader="none" w:pos="173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Plan provides health or welfare benefits (through the purchase of insurance or otherwise) for any retired or former employee of the Borrower or any of its ERISA Affiliates except to the extent required under Section 4980B of the Code, and except to the extent such benefit could not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49"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the assets of the Lenders do not constitute “plan assets” within the meaning of the United States Department of Labor Regulations set forth in 29 C.F.R §2510.3-101 as modified by ERISA Section 3(42) (the “</w:t>
      </w:r>
      <w:r>
        <w:rPr>
          <w:rFonts w:ascii="Times New Roman" w:cs="Times New Roman" w:eastAsia="Times New Roman" w:hAnsi="Times New Roman"/>
          <w:sz w:val="20"/>
          <w:szCs w:val="20"/>
          <w:b w:val="1"/>
          <w:bCs w:val="1"/>
          <w:i w:val="1"/>
          <w:iCs w:val="1"/>
          <w:color w:val="auto"/>
        </w:rPr>
        <w:t>Plan Assets Regulation</w:t>
      </w:r>
      <w:r>
        <w:rPr>
          <w:rFonts w:ascii="Times New Roman" w:cs="Times New Roman" w:eastAsia="Times New Roman" w:hAnsi="Times New Roman"/>
          <w:sz w:val="20"/>
          <w:szCs w:val="20"/>
          <w:color w:val="auto"/>
        </w:rPr>
        <w:t>”) the execution and delivery of this Agreement and the consummation of the transactions contemplated hereunder will not involve any transaction that is subject to the prohibitions of Section 406 of ERISA (and not otherwise exempt therefrom) or in connection with which taxes could be imposed pursuant to Section 4975(c)(1)(A)-(D) of the Code;</w:t>
      </w:r>
    </w:p>
    <w:p>
      <w:pPr>
        <w:spacing w:after="0" w:line="173"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 Material Adverse Effect, all liabilities under each Plan are</w:t>
      </w:r>
    </w:p>
    <w:p>
      <w:pPr>
        <w:spacing w:after="0" w:line="8" w:lineRule="exact"/>
        <w:rPr>
          <w:rFonts w:ascii="Times New Roman" w:cs="Times New Roman" w:eastAsia="Times New Roman" w:hAnsi="Times New Roman"/>
          <w:sz w:val="20"/>
          <w:szCs w:val="20"/>
          <w:color w:val="auto"/>
        </w:rPr>
      </w:pPr>
    </w:p>
    <w:p>
      <w:pPr>
        <w:jc w:val="both"/>
        <w:ind w:firstLine="8"/>
        <w:spacing w:after="0" w:line="230" w:lineRule="auto"/>
        <w:tabs>
          <w:tab w:leader="none" w:pos="2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funded to at least the minimum level required by law or, if higher, to the level required by the terms governing the Plans, (ii) insured with a reputable insurance company, or (iii) (A) provided for or recognized in the financial statements most recently delivered to the Administrative Agent and the Lenders pursuant hereto or (B) estimated in the formal notes to the financial statements most recently delivered to the Administrative Agent and the Lenders pursuant hereto; and</w:t>
      </w:r>
    </w:p>
    <w:p>
      <w:pPr>
        <w:spacing w:after="0" w:line="176" w:lineRule="exact"/>
        <w:rPr>
          <w:rFonts w:ascii="Times New Roman" w:cs="Times New Roman" w:eastAsia="Times New Roman" w:hAnsi="Times New Roman"/>
          <w:sz w:val="20"/>
          <w:szCs w:val="20"/>
          <w:color w:val="auto"/>
        </w:rPr>
      </w:pPr>
    </w:p>
    <w:p>
      <w:pPr>
        <w:jc w:val="both"/>
        <w:ind w:firstLine="1304"/>
        <w:spacing w:after="0" w:line="239" w:lineRule="auto"/>
        <w:tabs>
          <w:tab w:leader="none" w:pos="1742"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Borrower is not and will not be a “plan” within the meaning of Section 4975(e) of the Code; (ii) the assets of the Borrower do not and will not constitute “plan assets” within the meaning of the Plan Assets Regulation; (iii) 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4.14 Investment Company Act; Other Regulations</w:t>
      </w:r>
      <w:r>
        <w:rPr>
          <w:rFonts w:ascii="Times New Roman" w:cs="Times New Roman" w:eastAsia="Times New Roman" w:hAnsi="Times New Roman"/>
          <w:sz w:val="20"/>
          <w:szCs w:val="20"/>
          <w:color w:val="auto"/>
        </w:rPr>
        <w:t>. No Loan Party is required to register as an “investment company” within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 of the Investment Company Act of 1940, as amended. No Loan Party is subject to regulation under any Requirement of Law (that limits its ability to incur Indebtedness or which may otherwise render all or any portion of the Obligations unenforceable.</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4.15</w:t>
      </w:r>
      <w:r>
        <w:rPr>
          <w:sz w:val="20"/>
          <w:szCs w:val="20"/>
          <w:color w:val="auto"/>
        </w:rPr>
        <w:tab/>
      </w:r>
      <w:r>
        <w:rPr>
          <w:rFonts w:ascii="Times New Roman" w:cs="Times New Roman" w:eastAsia="Times New Roman" w:hAnsi="Times New Roman"/>
          <w:sz w:val="19"/>
          <w:szCs w:val="19"/>
          <w:b w:val="1"/>
          <w:bCs w:val="1"/>
          <w:color w:val="auto"/>
        </w:rPr>
        <w:t>Subsidiaries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1760" w:hanging="456"/>
        <w:spacing w:after="0"/>
        <w:tabs>
          <w:tab w:leader="none" w:pos="176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disclosed to the Administrative Agent by the Borrower in writing from time to time after the Closing Date,</w:t>
      </w:r>
    </w:p>
    <w:p>
      <w:pPr>
        <w:spacing w:after="0" w:line="21" w:lineRule="exact"/>
        <w:rPr>
          <w:rFonts w:ascii="Times New Roman" w:cs="Times New Roman" w:eastAsia="Times New Roman" w:hAnsi="Times New Roman"/>
          <w:sz w:val="20"/>
          <w:szCs w:val="20"/>
          <w:color w:val="auto"/>
        </w:rPr>
      </w:pPr>
    </w:p>
    <w:p>
      <w:pPr>
        <w:jc w:val="both"/>
        <w:ind w:firstLine="8"/>
        <w:spacing w:after="0" w:line="229" w:lineRule="auto"/>
        <w:tabs>
          <w:tab w:leader="none" w:pos="28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to the Disclosure Letter sets forth the name and jurisdiction of organization of each Subsidiary of NerdWallet and, as to each such Subsidiary, the percentage of each class of Capital Stock owned by any Loan Party, and (b) there are no outstanding subscriptions, options, warrants, calls, rights or other agreements or commitments (other than equity awards granted to employees, officers, consultants or directors and directors’ qualifying shares) of any nature relating to any Capital Stock of any Group Member, except as may be created by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13" w:right="339" w:bottom="1440" w:gutter="0" w:footer="0" w:header="0"/>
        </w:sectPr>
      </w:pPr>
    </w:p>
    <w:bookmarkStart w:id="115" w:name="page116"/>
    <w:bookmarkEnd w:id="115"/>
    <w:p>
      <w:pPr>
        <w:ind w:left="1860" w:hanging="556"/>
        <w:spacing w:after="0"/>
        <w:tabs>
          <w:tab w:leader="none" w:pos="18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which has been designated as an Immaterial Subsidiary fails to satisfy the limitations set forth in the</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 thereof.</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4.16 Use of Proceeds</w:t>
      </w:r>
      <w:r>
        <w:rPr>
          <w:rFonts w:ascii="Times New Roman" w:cs="Times New Roman" w:eastAsia="Times New Roman" w:hAnsi="Times New Roman"/>
          <w:sz w:val="20"/>
          <w:szCs w:val="20"/>
          <w:color w:val="auto"/>
        </w:rPr>
        <w:t>. The proceeds of the Revolving Loans, Swingline Loans and Letters of Credit shall be used to pay fees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contemplated hereunder and for general corporate purposes (including Permitted Acquisitions).</w:t>
      </w:r>
    </w:p>
    <w:p>
      <w:pPr>
        <w:spacing w:after="0" w:line="16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4.17</w:t>
      </w:r>
      <w:r>
        <w:rPr>
          <w:sz w:val="20"/>
          <w:szCs w:val="20"/>
          <w:color w:val="auto"/>
        </w:rPr>
        <w:tab/>
      </w:r>
      <w:r>
        <w:rPr>
          <w:rFonts w:ascii="Times New Roman" w:cs="Times New Roman" w:eastAsia="Times New Roman" w:hAnsi="Times New Roman"/>
          <w:sz w:val="19"/>
          <w:szCs w:val="19"/>
          <w:b w:val="1"/>
          <w:bCs w:val="1"/>
          <w:color w:val="auto"/>
        </w:rPr>
        <w:t>Environmental Matters</w:t>
      </w:r>
      <w:r>
        <w:rPr>
          <w:rFonts w:ascii="Times New Roman" w:cs="Times New Roman" w:eastAsia="Times New Roman" w:hAnsi="Times New Roman"/>
          <w:sz w:val="19"/>
          <w:szCs w:val="19"/>
          <w:color w:val="auto"/>
        </w:rPr>
        <w:t>. Except as, in the aggregate, could not reasonably be expected to have a Material Adverse Effect:</w:t>
      </w:r>
    </w:p>
    <w:p>
      <w:pPr>
        <w:spacing w:after="0" w:line="202" w:lineRule="exact"/>
        <w:rPr>
          <w:sz w:val="20"/>
          <w:szCs w:val="20"/>
          <w:color w:val="auto"/>
        </w:rPr>
      </w:pPr>
    </w:p>
    <w:p>
      <w:pPr>
        <w:jc w:val="both"/>
        <w:ind w:firstLine="1304"/>
        <w:spacing w:after="0" w:line="242" w:lineRule="auto"/>
        <w:tabs>
          <w:tab w:leader="none" w:pos="177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facilities and properties owned, leased or operated by any Group Member (the “</w:t>
      </w:r>
      <w:r>
        <w:rPr>
          <w:rFonts w:ascii="Times New Roman" w:cs="Times New Roman" w:eastAsia="Times New Roman" w:hAnsi="Times New Roman"/>
          <w:sz w:val="20"/>
          <w:szCs w:val="20"/>
          <w:b w:val="1"/>
          <w:bCs w:val="1"/>
          <w:i w:val="1"/>
          <w:iCs w:val="1"/>
          <w:color w:val="auto"/>
        </w:rPr>
        <w:t>Properties</w:t>
      </w:r>
      <w:r>
        <w:rPr>
          <w:rFonts w:ascii="Times New Roman" w:cs="Times New Roman" w:eastAsia="Times New Roman" w:hAnsi="Times New Roman"/>
          <w:sz w:val="20"/>
          <w:szCs w:val="20"/>
          <w:color w:val="auto"/>
        </w:rPr>
        <w:t>”) do not contain, and have not previously contained, any Materials of Environmental Concern in amounts or concentrations or under circumstances that constitute or have constituted a violation of, or could give rise to liability under, any Environmental Law;</w:t>
      </w:r>
    </w:p>
    <w:p>
      <w:pPr>
        <w:spacing w:after="0" w:line="172"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8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nor does any Loan Party have knowledge or reason to believe that any such notice will be received or is being threatened;</w:t>
      </w:r>
    </w:p>
    <w:p>
      <w:pPr>
        <w:spacing w:after="0" w:line="188"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3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transported or disposed of Materials of Environmental Concern from the Properties in violation of, or in a manner or to a location that could give rise to liability under, any Environmental Law, nor has any Group Member generated, treated, stored or disposed of Materials of Environmental Concern at, on or under any of the Properties in violation of, or in a manner that could give rise to liability under, any applicable Environmental Law;</w:t>
      </w:r>
    </w:p>
    <w:p>
      <w:pPr>
        <w:spacing w:after="0" w:line="175"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3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judicial proceeding or governmental or administrative action is pending or, to the knowledge of any Group Member,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88" w:lineRule="exact"/>
        <w:rPr>
          <w:rFonts w:ascii="Times New Roman" w:cs="Times New Roman" w:eastAsia="Times New Roman" w:hAnsi="Times New Roman"/>
          <w:sz w:val="20"/>
          <w:szCs w:val="20"/>
          <w:color w:val="auto"/>
        </w:rPr>
      </w:pPr>
    </w:p>
    <w:p>
      <w:pPr>
        <w:jc w:val="both"/>
        <w:ind w:firstLine="1304"/>
        <w:spacing w:after="0"/>
        <w:tabs>
          <w:tab w:leader="none" w:pos="1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spacing w:after="0" w:line="174"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5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Properties and all operations of the Group Members at the Properties are in compliance, and have in the last five years been in compliance, with all applicable Environmental Laws, and except as set forth on </w:t>
      </w:r>
      <w:r>
        <w:rPr>
          <w:rFonts w:ascii="Times New Roman" w:cs="Times New Roman" w:eastAsia="Times New Roman" w:hAnsi="Times New Roman"/>
          <w:sz w:val="20"/>
          <w:szCs w:val="20"/>
          <w:u w:val="single" w:color="auto"/>
          <w:color w:val="auto"/>
        </w:rPr>
        <w:t>Schedule 4.17</w:t>
      </w:r>
      <w:r>
        <w:rPr>
          <w:rFonts w:ascii="Times New Roman" w:cs="Times New Roman" w:eastAsia="Times New Roman" w:hAnsi="Times New Roman"/>
          <w:sz w:val="20"/>
          <w:szCs w:val="20"/>
          <w:color w:val="auto"/>
        </w:rPr>
        <w:t xml:space="preserve"> to the Disclosure Letter, to the knowledge of the Borrower, there is no contamination at, under or about the Properties or violation of any Environmental Law with respect to the Properties or the Business; and</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assumed any liability of any other Person under Environmental Laws.</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4.18 Accuracy of Information, etc. </w:t>
      </w:r>
      <w:r>
        <w:rPr>
          <w:rFonts w:ascii="Times New Roman" w:cs="Times New Roman" w:eastAsia="Times New Roman" w:hAnsi="Times New Roman"/>
          <w:sz w:val="20"/>
          <w:szCs w:val="20"/>
          <w:color w:val="auto"/>
        </w:rPr>
        <w:t>No statement or information contained in this Agreement, any other Loan Document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any untrue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31" w:lineRule="auto"/>
        <w:rPr>
          <w:sz w:val="20"/>
          <w:szCs w:val="20"/>
          <w:color w:val="auto"/>
        </w:rPr>
      </w:pPr>
      <w:r>
        <w:rPr>
          <w:rFonts w:ascii="Times New Roman" w:cs="Times New Roman" w:eastAsia="Times New Roman" w:hAnsi="Times New Roman"/>
          <w:sz w:val="20"/>
          <w:szCs w:val="20"/>
          <w:color w:val="auto"/>
        </w:rPr>
        <w:t>of a material fact or omitted to state a material fact necessary to make the statements contained herein or therein not misleading in light of the circumstances under which such statement, information, document or certificate was furnished. The projections contained in the materials referenced above (including the Closing Date Projections)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4.19</w:t>
      </w:r>
      <w:r>
        <w:rPr>
          <w:sz w:val="20"/>
          <w:szCs w:val="20"/>
          <w:color w:val="auto"/>
        </w:rPr>
        <w:tab/>
      </w:r>
      <w:r>
        <w:rPr>
          <w:rFonts w:ascii="Times New Roman" w:cs="Times New Roman" w:eastAsia="Times New Roman" w:hAnsi="Times New Roman"/>
          <w:sz w:val="19"/>
          <w:szCs w:val="19"/>
          <w:b w:val="1"/>
          <w:bCs w:val="1"/>
          <w:color w:val="auto"/>
        </w:rPr>
        <w:t>Security Documents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0" w:lineRule="auto"/>
        <w:tabs>
          <w:tab w:leader="none" w:pos="175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and Collateral Agreement is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Times New Roman" w:cs="Times New Roman" w:eastAsia="Times New Roman" w:hAnsi="Times New Roman"/>
          <w:sz w:val="20"/>
          <w:szCs w:val="20"/>
          <w:b w:val="1"/>
          <w:bCs w:val="1"/>
          <w:i w:val="1"/>
          <w:iCs w:val="1"/>
          <w:color w:val="auto"/>
        </w:rPr>
        <w:t>Certificated Securities</w:t>
      </w:r>
      <w:r>
        <w:rPr>
          <w:rFonts w:ascii="Times New Roman" w:cs="Times New Roman" w:eastAsia="Times New Roman" w:hAnsi="Times New Roman"/>
          <w:sz w:val="20"/>
          <w:szCs w:val="20"/>
          <w:color w:val="auto"/>
        </w:rPr>
        <w:t xml:space="preserve">”), when certificates representing such Pledged Stock (which, in the case of a certificated securities in registered form, are indorsed to the Administrative Agent or in blank by an effective indorsement) are delivered to the Administrative Agent, and in the case of the other Collateral constituting personal property described in the Guarantee and Collateral Agreement, when financing statements and other filings specified on </w:t>
      </w:r>
      <w:r>
        <w:rPr>
          <w:rFonts w:ascii="Times New Roman" w:cs="Times New Roman" w:eastAsia="Times New Roman" w:hAnsi="Times New Roman"/>
          <w:sz w:val="20"/>
          <w:szCs w:val="20"/>
          <w:u w:val="single" w:color="auto"/>
          <w:color w:val="auto"/>
        </w:rPr>
        <w:t>Schedule 4.19(a)</w:t>
      </w:r>
      <w:r>
        <w:rPr>
          <w:rFonts w:ascii="Times New Roman" w:cs="Times New Roman" w:eastAsia="Times New Roman" w:hAnsi="Times New Roman"/>
          <w:sz w:val="20"/>
          <w:szCs w:val="20"/>
          <w:color w:val="auto"/>
        </w:rPr>
        <w:t xml:space="preserve"> to the Disclosure Letter in appropriate form are filed in the offices specified on </w:t>
      </w:r>
      <w:r>
        <w:rPr>
          <w:rFonts w:ascii="Times New Roman" w:cs="Times New Roman" w:eastAsia="Times New Roman" w:hAnsi="Times New Roman"/>
          <w:sz w:val="20"/>
          <w:szCs w:val="20"/>
          <w:u w:val="single" w:color="auto"/>
          <w:color w:val="auto"/>
        </w:rPr>
        <w:t>Schedule 4.19(a)</w:t>
      </w:r>
      <w:r>
        <w:rPr>
          <w:rFonts w:ascii="Times New Roman" w:cs="Times New Roman" w:eastAsia="Times New Roman" w:hAnsi="Times New Roman"/>
          <w:sz w:val="20"/>
          <w:szCs w:val="20"/>
          <w:color w:val="auto"/>
        </w:rPr>
        <w:t xml:space="preserve"> to the Disclosure Letter,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As of the Closing Date, none of the Capital Stock of any Group Member that is a limited liability company or partnership has any Capital Stock that is a Certificated Security.</w:t>
      </w:r>
    </w:p>
    <w:p>
      <w:pPr>
        <w:spacing w:after="0" w:line="185" w:lineRule="exact"/>
        <w:rPr>
          <w:rFonts w:ascii="Times New Roman" w:cs="Times New Roman" w:eastAsia="Times New Roman" w:hAnsi="Times New Roman"/>
          <w:sz w:val="20"/>
          <w:szCs w:val="20"/>
          <w:color w:val="auto"/>
        </w:rPr>
      </w:pPr>
    </w:p>
    <w:p>
      <w:pPr>
        <w:jc w:val="both"/>
        <w:ind w:firstLine="1304"/>
        <w:spacing w:after="0" w:line="235" w:lineRule="auto"/>
        <w:tabs>
          <w:tab w:leader="none" w:pos="181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Mortgages delivered after the Closing Date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(subject only to Liens 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4.20 Solvency; Voidable Transaction</w:t>
      </w:r>
      <w:r>
        <w:rPr>
          <w:rFonts w:ascii="Times New Roman" w:cs="Times New Roman" w:eastAsia="Times New Roman" w:hAnsi="Times New Roman"/>
          <w:sz w:val="20"/>
          <w:szCs w:val="20"/>
          <w:color w:val="auto"/>
        </w:rPr>
        <w:t>. Each Loan Party is, and after giving effect to the incurrence of all Indebtedness,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and obligations being incurred in connection herewith, will be and will continue to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4.21 Regulation H</w:t>
      </w:r>
      <w:r>
        <w:rPr>
          <w:rFonts w:ascii="Times New Roman" w:cs="Times New Roman" w:eastAsia="Times New Roman" w:hAnsi="Times New Roman"/>
          <w:sz w:val="20"/>
          <w:szCs w:val="20"/>
          <w:color w:val="auto"/>
        </w:rPr>
        <w:t>. No Mortgage encumbers improved real property that is located in an area that has been identified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Secretary of Housing and Urban Development as an area having special flood hazards and in which flood insurance has not been made available under the National Flood Insurance Act of 1968.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117" w:name="page118"/>
    <w:bookmarkEnd w:id="117"/>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4.22 Designated Senior Indebtedness</w:t>
      </w:r>
      <w:r>
        <w:rPr>
          <w:rFonts w:ascii="Times New Roman" w:cs="Times New Roman" w:eastAsia="Times New Roman" w:hAnsi="Times New Roman"/>
          <w:sz w:val="20"/>
          <w:szCs w:val="20"/>
          <w:color w:val="auto"/>
        </w:rPr>
        <w:t>. The Loan Documents and all of the Obligations have been deemed “Designated Senior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or a similar concept thereto, if applicable, for purposes of any other Indebtedness of the Loan Parties.</w:t>
      </w:r>
    </w:p>
    <w:p>
      <w:pPr>
        <w:spacing w:after="0" w:line="1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4.23</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4.24 Insurance</w:t>
      </w:r>
      <w:r>
        <w:rPr>
          <w:rFonts w:ascii="Times New Roman" w:cs="Times New Roman" w:eastAsia="Times New Roman" w:hAnsi="Times New Roman"/>
          <w:sz w:val="20"/>
          <w:szCs w:val="20"/>
          <w:color w:val="auto"/>
        </w:rPr>
        <w:t>. All insurance maintained by the Loan Parties is in full force and effect, all premiums have been duly paid,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Party has received notice of violation or cancellation thereof, and there exists no default under any requirement of such insurance. Each Loan Party maintains insurance with financially sound and reputable insurance companies on all its property 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174"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4.25 No Casualty</w:t>
      </w:r>
      <w:r>
        <w:rPr>
          <w:rFonts w:ascii="Times New Roman" w:cs="Times New Roman" w:eastAsia="Times New Roman" w:hAnsi="Times New Roman"/>
          <w:sz w:val="20"/>
          <w:szCs w:val="20"/>
          <w:color w:val="auto"/>
        </w:rPr>
        <w:t>. No Loan Party has received any notice of, nor does any Loan Party have any knowledge of, the occurrence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pendency or contemplation of any Casualty Event affecting all or any material portion of its property.</w:t>
      </w:r>
    </w:p>
    <w:p>
      <w:pPr>
        <w:spacing w:after="0" w:line="1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4.26</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4.27</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4.28 OFAC</w:t>
      </w:r>
      <w:r>
        <w:rPr>
          <w:rFonts w:ascii="Times New Roman" w:cs="Times New Roman" w:eastAsia="Times New Roman" w:hAnsi="Times New Roman"/>
          <w:sz w:val="20"/>
          <w:szCs w:val="20"/>
          <w:color w:val="auto"/>
        </w:rPr>
        <w:t>. No Group Member, nor, to the knowledge of any Group Member, any director, officer, employee, agent, affiliate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representative thereof, is an individual or an entity that is, or is owned or controlled by an individual or entity that is (a) currently the subject of any Sanctions, or (b) located, organized or resident in a Designated Jurisdiction.</w:t>
      </w:r>
    </w:p>
    <w:p>
      <w:pPr>
        <w:spacing w:after="0" w:line="16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4.29 Anti-Corruption Laws</w:t>
      </w:r>
      <w:r>
        <w:rPr>
          <w:rFonts w:ascii="Times New Roman" w:cs="Times New Roman" w:eastAsia="Times New Roman" w:hAnsi="Times New Roman"/>
          <w:sz w:val="20"/>
          <w:szCs w:val="20"/>
          <w:color w:val="auto"/>
        </w:rPr>
        <w:t>. Each Group Member has conducted its business in compliance in all material respects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anti-corruption laws and has instituted and maintained policies and procedures designed to promote and achieve compliance with such laws.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SECTION 5</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CONDITIONS PRECEDENT</w:t>
      </w:r>
    </w:p>
    <w:p>
      <w:pPr>
        <w:spacing w:after="0" w:line="19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5.1 Conditions to Initial Extension of Credit</w:t>
      </w:r>
      <w:r>
        <w:rPr>
          <w:rFonts w:ascii="Times New Roman" w:cs="Times New Roman" w:eastAsia="Times New Roman" w:hAnsi="Times New Roman"/>
          <w:sz w:val="20"/>
          <w:szCs w:val="20"/>
          <w:color w:val="auto"/>
        </w:rPr>
        <w:t>. The effectiveness of this Agreement and the obligation of each Lender to make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initial extension of credit hereunder shall be subject to the satisfaction or waiver, prior to or concurrently with the making of such extension of credit on the Closing Date, of the following conditions precedent:</w:t>
      </w:r>
    </w:p>
    <w:p>
      <w:pPr>
        <w:spacing w:after="0" w:line="172" w:lineRule="exact"/>
        <w:rPr>
          <w:sz w:val="20"/>
          <w:szCs w:val="20"/>
          <w:color w:val="auto"/>
        </w:rPr>
      </w:pPr>
    </w:p>
    <w:p>
      <w:pPr>
        <w:ind w:firstLine="1304"/>
        <w:spacing w:after="0" w:line="255" w:lineRule="auto"/>
        <w:tabs>
          <w:tab w:leader="none" w:pos="17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Administrative Agent shall have received each of the following, each of which shall be in form and substance satisfactory to the Administrative Agent:</w:t>
      </w:r>
    </w:p>
    <w:p>
      <w:pPr>
        <w:spacing w:after="0" w:line="159"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executed and delivered by the Administrative Agent, the Borrower and each Lender listed on</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Information Certificate and the Disclosure Letter, each executed by a Responsible Officer of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Borrower;</w:t>
      </w:r>
    </w:p>
    <w:p>
      <w:pPr>
        <w:spacing w:after="0" w:line="180" w:lineRule="exact"/>
        <w:rPr>
          <w:rFonts w:ascii="Times New Roman" w:cs="Times New Roman" w:eastAsia="Times New Roman" w:hAnsi="Times New Roman"/>
          <w:sz w:val="19"/>
          <w:szCs w:val="19"/>
          <w:color w:val="auto"/>
        </w:rPr>
      </w:pPr>
    </w:p>
    <w:p>
      <w:pPr>
        <w:ind w:left="2560" w:hanging="608"/>
        <w:spacing w:after="0"/>
        <w:tabs>
          <w:tab w:leader="none" w:pos="256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any Revolving Lender, a Revolving Loan Note executed by the Borrower in favor of such</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Revolving Lender; and</w:t>
      </w:r>
    </w:p>
    <w:p>
      <w:pPr>
        <w:spacing w:after="0" w:line="180" w:lineRule="exact"/>
        <w:rPr>
          <w:rFonts w:ascii="Times New Roman" w:cs="Times New Roman" w:eastAsia="Times New Roman" w:hAnsi="Times New Roman"/>
          <w:sz w:val="20"/>
          <w:szCs w:val="20"/>
          <w:color w:val="auto"/>
        </w:rPr>
      </w:pPr>
    </w:p>
    <w:p>
      <w:pPr>
        <w:ind w:left="2540" w:hanging="588"/>
        <w:spacing w:after="0"/>
        <w:tabs>
          <w:tab w:leader="none" w:pos="25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the Swingline Lender, the Swingline Loan Note executed by the Borrower in favor of such</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09" w:right="339" w:bottom="1440" w:gutter="0" w:footer="0" w:header="0"/>
        </w:sectPr>
      </w:pPr>
    </w:p>
    <w:bookmarkStart w:id="118" w:name="page119"/>
    <w:bookmarkEnd w:id="118"/>
    <w:p>
      <w:pPr>
        <w:ind w:firstLine="1304"/>
        <w:spacing w:after="0" w:line="255" w:lineRule="auto"/>
        <w:tabs>
          <w:tab w:leader="none" w:pos="1873"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Projections; Financial Statements.</w:t>
      </w:r>
      <w:r>
        <w:rPr>
          <w:rFonts w:ascii="Times New Roman" w:cs="Times New Roman" w:eastAsia="Times New Roman" w:hAnsi="Times New Roman"/>
          <w:sz w:val="20"/>
          <w:szCs w:val="20"/>
          <w:color w:val="auto"/>
        </w:rPr>
        <w:t xml:space="preserve"> The Administrative Agent shall have received the Closing Date Projections and the financial statements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304"/>
        <w:spacing w:after="0" w:line="239" w:lineRule="auto"/>
        <w:tabs>
          <w:tab w:leader="none" w:pos="1943"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Approvals.</w:t>
      </w:r>
      <w:r>
        <w:rPr>
          <w:rFonts w:ascii="Times New Roman" w:cs="Times New Roman" w:eastAsia="Times New Roman" w:hAnsi="Times New Roman"/>
          <w:sz w:val="20"/>
          <w:szCs w:val="20"/>
          <w:color w:val="auto"/>
        </w:rPr>
        <w:t xml:space="preserve"> Except for the Governmental Approvals described on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xml:space="preserve"> to the Disclosure Letter, all Governmental Approvals and consents and approvals of, or notices to, any other Person (including the holders of any Capital Stock issued by any Loan Party) required in connection with the execution and performance of the Loan Documents, and the consummation of the transactions contemplated hereby, shall have been obtained and be in full force and effect.</w:t>
      </w:r>
    </w:p>
    <w:p>
      <w:pPr>
        <w:spacing w:after="0" w:line="177" w:lineRule="exact"/>
        <w:rPr>
          <w:rFonts w:ascii="Times New Roman" w:cs="Times New Roman" w:eastAsia="Times New Roman" w:hAnsi="Times New Roman"/>
          <w:sz w:val="20"/>
          <w:szCs w:val="20"/>
          <w:color w:val="auto"/>
        </w:rPr>
      </w:pPr>
    </w:p>
    <w:p>
      <w:pPr>
        <w:jc w:val="both"/>
        <w:ind w:firstLine="1304"/>
        <w:spacing w:after="0" w:line="229" w:lineRule="auto"/>
        <w:tabs>
          <w:tab w:leader="none" w:pos="184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Secretary’s or Managing Member’s Certificates; Certified Operating Documents; Good Standing Certificates.</w:t>
      </w:r>
      <w:r>
        <w:rPr>
          <w:rFonts w:ascii="Times New Roman" w:cs="Times New Roman" w:eastAsia="Times New Roman" w:hAnsi="Times New Roman"/>
          <w:sz w:val="20"/>
          <w:szCs w:val="20"/>
          <w:color w:val="auto"/>
        </w:rPr>
        <w:t xml:space="preserve"> The Administrative Agent shall have received (i) a certificate of each Loan Party, dated the Closing Date and executed by the Secretary, Managing Member or equivalent officer of such Loan Party,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(ii) a long form good standing certificate for each Loan Party from its respective jurisdiction of organization, and</w:t>
      </w:r>
    </w:p>
    <w:p>
      <w:pPr>
        <w:spacing w:after="0" w:line="4" w:lineRule="exact"/>
        <w:rPr>
          <w:rFonts w:ascii="Times New Roman" w:cs="Times New Roman" w:eastAsia="Times New Roman" w:hAnsi="Times New Roman"/>
          <w:sz w:val="20"/>
          <w:szCs w:val="20"/>
          <w:color w:val="auto"/>
        </w:rPr>
      </w:pPr>
    </w:p>
    <w:p>
      <w:pPr>
        <w:ind w:firstLine="8"/>
        <w:spacing w:after="0" w:line="236" w:lineRule="auto"/>
        <w:tabs>
          <w:tab w:leader="none" w:pos="34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foreign qualification from each jurisdiction where the failure of a Loan Party to be qualified would reasonably be expected to have a Material Adverse Effect.</w:t>
      </w:r>
    </w:p>
    <w:p>
      <w:pPr>
        <w:spacing w:after="0" w:line="173"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Responsible Officer’s Certificates.</w:t>
      </w:r>
    </w:p>
    <w:p>
      <w:pPr>
        <w:spacing w:after="0" w:line="202" w:lineRule="exact"/>
        <w:rPr>
          <w:rFonts w:ascii="Times New Roman" w:cs="Times New Roman" w:eastAsia="Times New Roman" w:hAnsi="Times New Roman"/>
          <w:sz w:val="20"/>
          <w:szCs w:val="20"/>
          <w:color w:val="auto"/>
        </w:rPr>
      </w:pPr>
    </w:p>
    <w:p>
      <w:pPr>
        <w:jc w:val="both"/>
        <w:ind w:firstLine="1952"/>
        <w:spacing w:after="0" w:line="237" w:lineRule="auto"/>
        <w:tabs>
          <w:tab w:leader="none" w:pos="2352"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signed by a Responsible Officer of the Borrower, in form and substance reasonably satisfactory to it, either (A) attaching copies of all consents, licenses and approvals required in connection with the execution, delivery and performance by such Loan Party and the validity against such Loan Party of the Loan Documents to which it is party, and such consents, licenses and approvals shall be in full force and effect, or (B) stating that no such consents, licenses or approvals are so required.</w:t>
      </w:r>
    </w:p>
    <w:p>
      <w:pPr>
        <w:spacing w:after="0" w:line="173" w:lineRule="exact"/>
        <w:rPr>
          <w:rFonts w:ascii="Times New Roman" w:cs="Times New Roman" w:eastAsia="Times New Roman" w:hAnsi="Times New Roman"/>
          <w:sz w:val="20"/>
          <w:szCs w:val="20"/>
          <w:color w:val="auto"/>
        </w:rPr>
      </w:pPr>
    </w:p>
    <w:p>
      <w:pPr>
        <w:jc w:val="both"/>
        <w:ind w:firstLine="1952"/>
        <w:spacing w:after="0" w:line="236" w:lineRule="auto"/>
        <w:tabs>
          <w:tab w:leader="none" w:pos="2440"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certificate signed by a Responsible Officer of the Borrower, dated as of the Closing Date and in form and substance reasonably satisfactory to it, certifying (A) that the conditions specified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have been satisfied, and (B) that there has been no event or circumstance since July 31, 2020, that has had or that could reasonably be expected to have, either individually or in the aggregate, a Material Adverse Effect.</w:t>
      </w:r>
    </w:p>
    <w:p>
      <w:pPr>
        <w:spacing w:after="0" w:line="175" w:lineRule="exact"/>
        <w:rPr>
          <w:rFonts w:ascii="Times New Roman" w:cs="Times New Roman" w:eastAsia="Times New Roman" w:hAnsi="Times New Roman"/>
          <w:sz w:val="20"/>
          <w:szCs w:val="20"/>
          <w:color w:val="auto"/>
        </w:rPr>
      </w:pPr>
    </w:p>
    <w:p>
      <w:pPr>
        <w:jc w:val="both"/>
        <w:ind w:firstLine="1304"/>
        <w:spacing w:after="0" w:line="239" w:lineRule="auto"/>
        <w:tabs>
          <w:tab w:leader="none" w:pos="185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xml:space="preserve"> The Administrative Agent and each Lender shall have received, prior to the Closing Date, all documentation and other information requested to comply with applicable “know your customer” and anti-money-laundering rules and regulations, including the Patriot Act and the Beneficial Ownership Regulation (including the Beneficial Ownership Certification), and a properly completed and signed IRS Form W-8 or W-9, as applicable, for each Loan Party.</w:t>
      </w:r>
    </w:p>
    <w:p>
      <w:pPr>
        <w:spacing w:after="0" w:line="17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02" w:lineRule="exact"/>
        <w:rPr>
          <w:rFonts w:ascii="Times New Roman" w:cs="Times New Roman" w:eastAsia="Times New Roman" w:hAnsi="Times New Roman"/>
          <w:sz w:val="20"/>
          <w:szCs w:val="20"/>
          <w:color w:val="auto"/>
        </w:rPr>
      </w:pPr>
    </w:p>
    <w:p>
      <w:pPr>
        <w:ind w:firstLine="1304"/>
        <w:spacing w:after="0" w:line="255" w:lineRule="auto"/>
        <w:tabs>
          <w:tab w:leader="none" w:pos="1721"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Obligations.</w:t>
      </w:r>
      <w:r>
        <w:rPr>
          <w:rFonts w:ascii="Times New Roman" w:cs="Times New Roman" w:eastAsia="Times New Roman" w:hAnsi="Times New Roman"/>
          <w:sz w:val="20"/>
          <w:szCs w:val="20"/>
          <w:color w:val="auto"/>
        </w:rPr>
        <w:t xml:space="preserve"> The Borrower shall have paid in respect any accrued fees and interest under the Existing Credit Agreement which are unpaid immediately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119" w:name="page120"/>
    <w:bookmarkEnd w:id="119"/>
    <w:p>
      <w:pPr>
        <w:ind w:left="1680" w:hanging="376"/>
        <w:spacing w:after="0"/>
        <w:tabs>
          <w:tab w:leader="none" w:pos="16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Matters.</w:t>
      </w:r>
    </w:p>
    <w:p>
      <w:pPr>
        <w:spacing w:after="0" w:line="202" w:lineRule="exact"/>
        <w:rPr>
          <w:rFonts w:ascii="Times New Roman" w:cs="Times New Roman" w:eastAsia="Times New Roman" w:hAnsi="Times New Roman"/>
          <w:sz w:val="20"/>
          <w:szCs w:val="20"/>
          <w:color w:val="auto"/>
        </w:rPr>
      </w:pPr>
    </w:p>
    <w:p>
      <w:pPr>
        <w:jc w:val="both"/>
        <w:ind w:firstLine="1952"/>
        <w:spacing w:after="0"/>
        <w:tabs>
          <w:tab w:leader="none" w:pos="2356"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xml:space="preserve">. The Administrative Agent shall have received the results of recent lien, judgment and litigation searches in each of the jurisdictions reasonably required by the Administrative Agent, and such searches shall reveal no Liens on any of the assets of the Loan Parties except for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1952"/>
        <w:spacing w:after="0" w:line="232" w:lineRule="auto"/>
        <w:tabs>
          <w:tab w:leader="none" w:pos="269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Filings, Registrations, Recordings, Agreements, Etc.</w:t>
      </w:r>
      <w:r>
        <w:rPr>
          <w:rFonts w:ascii="Times New Roman" w:cs="Times New Roman" w:eastAsia="Times New Roman" w:hAnsi="Times New Roman"/>
          <w:sz w:val="20"/>
          <w:szCs w:val="20"/>
          <w:color w:val="auto"/>
        </w:rPr>
        <w:t xml:space="preserve"> Each document (including any UCC financing statements, Control Agreements and landlord access agreements and/or bailee waivers)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shall have been executed and delivered to the Administrative Agent or, as applicable, be in proper form for filing, registration or recordation.</w:t>
      </w:r>
    </w:p>
    <w:p>
      <w:pPr>
        <w:spacing w:after="0" w:line="17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7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on or prior to the Closing Date (including pursuant to the Fee Letter and the Existing Fee Letter), and all reasonable and documented fees and expenses of the Administrative Agent for which invoices have been presented at least 1 Business Day prior to the Closing Date (including the reasonable and documented fees and expenses of legal counsel to the Administrative Agent) for payment on or before the Closing Date.</w:t>
      </w:r>
    </w:p>
    <w:p>
      <w:pPr>
        <w:spacing w:after="0" w:line="175" w:lineRule="exact"/>
        <w:rPr>
          <w:rFonts w:ascii="Times New Roman" w:cs="Times New Roman" w:eastAsia="Times New Roman" w:hAnsi="Times New Roman"/>
          <w:sz w:val="20"/>
          <w:szCs w:val="20"/>
          <w:color w:val="auto"/>
        </w:rPr>
      </w:pPr>
    </w:p>
    <w:p>
      <w:pPr>
        <w:ind w:firstLine="1304"/>
        <w:spacing w:after="0" w:line="255" w:lineRule="auto"/>
        <w:tabs>
          <w:tab w:leader="none" w:pos="18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the executed legal opinion of Cooley LLP, counsel to the Loan Parties, in form and substance reasonably satisfactory to the Administrative Agent.</w:t>
      </w:r>
    </w:p>
    <w:p>
      <w:pPr>
        <w:spacing w:after="0" w:line="15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b w:val="1"/>
          <w:bCs w:val="1"/>
          <w:color w:val="auto"/>
        </w:rPr>
        <w:t>.</w:t>
      </w:r>
    </w:p>
    <w:p>
      <w:pPr>
        <w:spacing w:after="0" w:line="206" w:lineRule="exact"/>
        <w:rPr>
          <w:rFonts w:ascii="Times New Roman" w:cs="Times New Roman" w:eastAsia="Times New Roman" w:hAnsi="Times New Roman"/>
          <w:sz w:val="20"/>
          <w:szCs w:val="20"/>
          <w:color w:val="auto"/>
        </w:rPr>
      </w:pPr>
    </w:p>
    <w:p>
      <w:pPr>
        <w:ind w:firstLine="1304"/>
        <w:spacing w:after="0" w:line="269" w:lineRule="auto"/>
        <w:tabs>
          <w:tab w:leader="none" w:pos="181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Solvency Certificate from the chief financial officer or treasurer of the Borrower.</w:t>
      </w:r>
    </w:p>
    <w:p>
      <w:pPr>
        <w:spacing w:after="0" w:line="145" w:lineRule="exact"/>
        <w:rPr>
          <w:rFonts w:ascii="Times New Roman" w:cs="Times New Roman" w:eastAsia="Times New Roman" w:hAnsi="Times New Roman"/>
          <w:sz w:val="20"/>
          <w:szCs w:val="20"/>
          <w:color w:val="auto"/>
        </w:rPr>
      </w:pPr>
    </w:p>
    <w:p>
      <w:pPr>
        <w:ind w:firstLine="1304"/>
        <w:spacing w:after="0" w:line="255" w:lineRule="auto"/>
        <w:tabs>
          <w:tab w:leader="none" w:pos="175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There shall not have occurred since July 31, 2020, any event or condition that has had or could be reasonably expected to have, individually or in the aggregate, a Material Adverse Effect.</w:t>
      </w:r>
    </w:p>
    <w:p>
      <w:pPr>
        <w:spacing w:after="0" w:line="159" w:lineRule="exact"/>
        <w:rPr>
          <w:rFonts w:ascii="Times New Roman" w:cs="Times New Roman" w:eastAsia="Times New Roman" w:hAnsi="Times New Roman"/>
          <w:sz w:val="20"/>
          <w:szCs w:val="20"/>
          <w:color w:val="auto"/>
        </w:rPr>
      </w:pPr>
    </w:p>
    <w:p>
      <w:pPr>
        <w:ind w:firstLine="1304"/>
        <w:spacing w:after="0" w:line="255" w:lineRule="auto"/>
        <w:tabs>
          <w:tab w:leader="none" w:pos="18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No litigation, investigation or proceeding of or before any arbitrator or Governmental Authority is pending or, to the knowledge of any Group Member, threatened, that could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ind w:right="20" w:firstLine="1304"/>
        <w:spacing w:after="0" w:line="255" w:lineRule="auto"/>
        <w:tabs>
          <w:tab w:leader="none" w:pos="169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The Administrative Agent shall have received a Compliance Certificate evidencing compliance with the requirements of </w:t>
      </w:r>
      <w:r>
        <w:rPr>
          <w:rFonts w:ascii="Times New Roman" w:cs="Times New Roman" w:eastAsia="Times New Roman" w:hAnsi="Times New Roman"/>
          <w:sz w:val="20"/>
          <w:szCs w:val="20"/>
          <w:u w:val="single" w:color="auto"/>
          <w:color w:val="auto"/>
        </w:rPr>
        <w:t>Section 2.27(b)(v)</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each Lender that has executed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36" w:lineRule="auto"/>
        <w:rPr>
          <w:sz w:val="20"/>
          <w:szCs w:val="20"/>
          <w:color w:val="auto"/>
        </w:rPr>
      </w:pPr>
      <w:r>
        <w:rPr>
          <w:rFonts w:ascii="Times New Roman" w:cs="Times New Roman" w:eastAsia="Times New Roman" w:hAnsi="Times New Roman"/>
          <w:sz w:val="20"/>
          <w:szCs w:val="20"/>
          <w:color w:val="auto"/>
        </w:rPr>
        <w:t>received notice from such Lender prior to the Closing Date specifying such Lender’s objection thereto and either such objection shall not have been withdrawn by notice to the Administrative Agent to that effect on or prior to the Closing Date or, if any extension of credit on the Closing Date has been requested, such Lender shall not have made available to the Administrative Agent on or prior to the Closing Date such Lender’s Revolving Percentage of such requested extension of credit.</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5.2 Conditions to Each Extension of Credit</w:t>
      </w:r>
      <w:r>
        <w:rPr>
          <w:rFonts w:ascii="Times New Roman" w:cs="Times New Roman" w:eastAsia="Times New Roman" w:hAnsi="Times New Roman"/>
          <w:sz w:val="20"/>
          <w:szCs w:val="20"/>
          <w:color w:val="auto"/>
        </w:rPr>
        <w:t>. The agreement of each Lender to make any extension of credit requested to be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it on any date (including its initial extension of credit but excluding any Revolving Loan Conversion and any conversion of Loans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is subject to the satisfaction of the following conditions precedent:</w:t>
      </w:r>
    </w:p>
    <w:p>
      <w:pPr>
        <w:spacing w:after="0" w:line="172" w:lineRule="exact"/>
        <w:rPr>
          <w:sz w:val="20"/>
          <w:szCs w:val="20"/>
          <w:color w:val="auto"/>
        </w:rPr>
      </w:pPr>
    </w:p>
    <w:p>
      <w:pPr>
        <w:jc w:val="both"/>
        <w:ind w:firstLine="1304"/>
        <w:spacing w:after="0" w:line="234" w:lineRule="auto"/>
        <w:tabs>
          <w:tab w:leader="none" w:pos="174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 subject to the limitations set forth in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304"/>
        <w:spacing w:after="0" w:line="255" w:lineRule="auto"/>
        <w:tabs>
          <w:tab w:leader="none" w:pos="173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With respect to any requests for any Revolving Extensions of Credit, after giving effect to such Revolving Extension of Credit, the availability and borrowing limitations specified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complied with.</w:t>
      </w:r>
    </w:p>
    <w:p>
      <w:pPr>
        <w:spacing w:after="0" w:line="159" w:lineRule="exact"/>
        <w:rPr>
          <w:rFonts w:ascii="Times New Roman" w:cs="Times New Roman" w:eastAsia="Times New Roman" w:hAnsi="Times New Roman"/>
          <w:sz w:val="20"/>
          <w:szCs w:val="20"/>
          <w:color w:val="auto"/>
        </w:rPr>
      </w:pPr>
    </w:p>
    <w:p>
      <w:pPr>
        <w:ind w:firstLine="1304"/>
        <w:spacing w:after="0" w:line="255" w:lineRule="auto"/>
        <w:tabs>
          <w:tab w:leader="none" w:pos="178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of Borrowing.</w:t>
      </w:r>
      <w:r>
        <w:rPr>
          <w:rFonts w:ascii="Times New Roman" w:cs="Times New Roman" w:eastAsia="Times New Roman" w:hAnsi="Times New Roman"/>
          <w:sz w:val="20"/>
          <w:szCs w:val="20"/>
          <w:color w:val="auto"/>
        </w:rPr>
        <w:t xml:space="preserve"> The Administrative Agent shall have received a Notice of Borrowing in connection with any such request for extension of credit which complies with the requirements hereof.</w:t>
      </w:r>
    </w:p>
    <w:p>
      <w:pPr>
        <w:spacing w:after="0" w:line="15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738"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 xml:space="preserve"> No Default or Event of Default shall have occurred and be continuing as of or on such date or after giving effect to the extensions of credit requested to be made on such date and the use of proceeds thereof (other than in connection with Limited Condition Acquisitions as set forth in </w:t>
      </w: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in which case there shall be (i) no Default or Event of Default as of the LCA Test Date and</w:t>
      </w:r>
    </w:p>
    <w:p>
      <w:pPr>
        <w:ind w:left="320" w:hanging="312"/>
        <w:spacing w:after="0"/>
        <w:tabs>
          <w:tab w:leader="none" w:pos="32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as of or on the date of such Revolving Extension of Credit or after giving effect to the</w:t>
      </w:r>
    </w:p>
    <w:p>
      <w:pPr>
        <w:spacing w:after="0"/>
        <w:rPr>
          <w:sz w:val="20"/>
          <w:szCs w:val="20"/>
          <w:color w:val="auto"/>
        </w:rPr>
      </w:pPr>
      <w:r>
        <w:rPr>
          <w:rFonts w:ascii="Times New Roman" w:cs="Times New Roman" w:eastAsia="Times New Roman" w:hAnsi="Times New Roman"/>
          <w:sz w:val="20"/>
          <w:szCs w:val="20"/>
          <w:color w:val="auto"/>
        </w:rPr>
        <w:t>extensions of credit requested to be made on such date and the use of proceeds thereof).</w:t>
      </w:r>
    </w:p>
    <w:p>
      <w:pPr>
        <w:spacing w:after="0" w:line="180" w:lineRule="exact"/>
        <w:rPr>
          <w:sz w:val="20"/>
          <w:szCs w:val="20"/>
          <w:color w:val="auto"/>
        </w:rPr>
      </w:pPr>
    </w:p>
    <w:p>
      <w:pPr>
        <w:jc w:val="both"/>
        <w:ind w:firstLine="1304"/>
        <w:spacing w:after="0" w:line="236" w:lineRule="auto"/>
        <w:tabs>
          <w:tab w:leader="none" w:pos="17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Currency</w:t>
      </w:r>
      <w:r>
        <w:rPr>
          <w:rFonts w:ascii="Times New Roman" w:cs="Times New Roman" w:eastAsia="Times New Roman" w:hAnsi="Times New Roman"/>
          <w:sz w:val="20"/>
          <w:szCs w:val="20"/>
          <w:color w:val="auto"/>
        </w:rPr>
        <w:t>. In the case of a Revolving Extension of Credit to be denominated in an Alternative Currency, there shall not have occurred any change in national or international financial, political or economic conditions or currency exchange rates or exchange controls which in the reasonable opinion of the Administrative Agent or the Issuing Lender would make it impracticable for such Revolving Extension of Credit to be denominated in the relevant Alternative Currency.</w:t>
      </w:r>
    </w:p>
    <w:p>
      <w:pPr>
        <w:spacing w:after="0" w:line="171" w:lineRule="exact"/>
        <w:rPr>
          <w:rFonts w:ascii="Times New Roman" w:cs="Times New Roman" w:eastAsia="Times New Roman" w:hAnsi="Times New Roman"/>
          <w:sz w:val="20"/>
          <w:szCs w:val="20"/>
          <w:color w:val="auto"/>
        </w:rPr>
      </w:pPr>
    </w:p>
    <w:p>
      <w:pPr>
        <w:jc w:val="both"/>
        <w:ind w:firstLine="1304"/>
        <w:spacing w:after="0" w:line="235" w:lineRule="auto"/>
        <w:tabs>
          <w:tab w:leader="none" w:pos="171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Forma Covenant Compliance</w:t>
      </w:r>
      <w:r>
        <w:rPr>
          <w:rFonts w:ascii="Times New Roman" w:cs="Times New Roman" w:eastAsia="Times New Roman" w:hAnsi="Times New Roman"/>
          <w:sz w:val="20"/>
          <w:szCs w:val="20"/>
          <w:color w:val="auto"/>
        </w:rPr>
        <w:t xml:space="preserve">. 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extension of credit and the use of proceeds thereof, the Borrower shall be in compliance with the financial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hereof (including for the avoidance of doubt the covenant set forth in </w:t>
      </w:r>
      <w:r>
        <w:rPr>
          <w:rFonts w:ascii="Times New Roman" w:cs="Times New Roman" w:eastAsia="Times New Roman" w:hAnsi="Times New Roman"/>
          <w:sz w:val="20"/>
          <w:szCs w:val="20"/>
          <w:u w:val="single" w:color="auto"/>
          <w:color w:val="auto"/>
        </w:rPr>
        <w:t>Section 7.1(b)</w:t>
      </w:r>
      <w:r>
        <w:rPr>
          <w:rFonts w:ascii="Times New Roman" w:cs="Times New Roman" w:eastAsia="Times New Roman" w:hAnsi="Times New Roman"/>
          <w:sz w:val="20"/>
          <w:szCs w:val="20"/>
          <w:color w:val="auto"/>
        </w:rPr>
        <w:t>, if the Borrower’s pro forma Adjusted Quick Ratio would have resulted in a Covenant Testing Period), as of the end of the most recently ended reporting period for which financial statements were required to be delivered prior to the date of such extension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 extension of credit to finance a Limited Condition Acquisition in accordance with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such calculation shall be made in compliance with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121" w:name="page122"/>
    <w:bookmarkEnd w:id="121"/>
    <w:p>
      <w:pPr>
        <w:jc w:val="both"/>
        <w:ind w:left="660"/>
        <w:spacing w:after="0"/>
        <w:rPr>
          <w:sz w:val="20"/>
          <w:szCs w:val="20"/>
          <w:color w:val="auto"/>
        </w:rPr>
      </w:pPr>
      <w:r>
        <w:rPr>
          <w:rFonts w:ascii="Times New Roman" w:cs="Times New Roman" w:eastAsia="Times New Roman" w:hAnsi="Times New Roman"/>
          <w:sz w:val="20"/>
          <w:szCs w:val="20"/>
          <w:color w:val="auto"/>
        </w:rPr>
        <w:t xml:space="preserve">Each borrowing by and issuance of a Letter of Credit on behalf of the Borrower hereunder and each Revolving Loan Conversion shall constitute a representation and warranty by the Borrower as of the date of such extension of credit, or Revolving Loan Conversion, as applicable, that the conditions contained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been satisfied.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The Borrower hereby agrees that, at all times prior to the Discharge of Obligations, each of the Loan Parties shall, and, where applicable, shall cause each of its Subsidiaries to:</w:t>
      </w:r>
    </w:p>
    <w:p>
      <w:pPr>
        <w:spacing w:after="0" w:line="15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Furnish to the Administrative Agent for distribution to each Lender:</w:t>
      </w:r>
    </w:p>
    <w:p>
      <w:pPr>
        <w:spacing w:after="0" w:line="206" w:lineRule="exact"/>
        <w:rPr>
          <w:sz w:val="20"/>
          <w:szCs w:val="20"/>
          <w:color w:val="auto"/>
        </w:rPr>
      </w:pPr>
    </w:p>
    <w:p>
      <w:pPr>
        <w:jc w:val="both"/>
        <w:ind w:firstLine="1304"/>
        <w:spacing w:after="0" w:line="232" w:lineRule="auto"/>
        <w:tabs>
          <w:tab w:leader="none" w:pos="173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150 days after the end of each fiscal year of the Borrower (from and after the occurrence of a Qualified IPO of NerdWallet’s common stock, 90 days after the end of each fiscal year of the Borrower), a copy of the audited consolidated balance sheet of the Borrower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(other than a “going concern” or like qualification or exception solely as a result of the final maturity date of any Loan being scheduled to occur within 12 months from the date of such opinion), or qualification arising out of the scope of the audit, by Deloitte or other independent certified public accountants of nationally recognized standing and reasonably acceptable to the Administrative Agent; and</w:t>
      </w:r>
    </w:p>
    <w:p>
      <w:pPr>
        <w:spacing w:after="0" w:line="179"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4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 Qualified IPO of NerdWallet’s common stock, as soon as available, but in any event within 30 days after the end of each month, the unaudited consolidated and consolidating balance sheet of NerdWallet and its consolidated Subsidiaries as at the end of such month and the related unaudited consolidated and consolidating statements of income and of cash flows for such month and the portion of the fiscal year through the end of such month, setting forth in each case in comparative form the figures for the previous year, certified by a Responsible Officer as being fairly stated in all material respects.</w:t>
      </w:r>
    </w:p>
    <w:p>
      <w:pPr>
        <w:spacing w:after="0" w:line="173"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6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a Qualified IPO of NerdWallet’s common stock, as soon as available, but in any event within 45 days after the end of each of the first three fiscal quarters of each fiscal year of NerdWallet, the unaudited consolidated and consolidating balance sheet of NerdWallet and its consolidated Subsidiaries as at the end of such fiscal quarter and the related unaudited consolidated and consolidating statements of income and of cash flows for such fiscal quarter and the portion of the fiscal year through the end of such quarter, setting forth in each case in comparative form the figures for the previous year, certified by a Responsible Officer as being fairly stated in all material respects.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All such financial statements shall be complete and correct in all material respects and shall be prepared in reasonable detail and in accordance with GAAP (except in the case of interim statements for the absence of footnotes and normal year-end adjustments) applied (except as approved by such accountants or officer, as the case may be, and disclosed in reasonable detail therein) consistently throughout the periods reflected therein and with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122" w:name="page123"/>
    <w:bookmarkEnd w:id="122"/>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Additionally, documents required to be delivered pursuant to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6.2(e)</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shall be deemed to have been delivered on the date on which NerdWallet posts such documents, or provides a link thereto, either: (i) on NerdWallet’s website on the Internet at the website address listed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(ii) when such documents are posted electronically on NerdWallet’s behalf on an internet or intranet website to which each Lender and the Administrative Agent have access (whether a commercial, third-party website or whether sponsored by the Administrative Agent), if any; or (iii) on which NerdWallet files such documents with the SEC and such documents are publicly available on the SEC’s EDGAR filing system or any successor thereto,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NerdWallet shall deliver paper copies of such documents to the Administrative Agent or any Lender upon its request to the Borrower to deliver such paper copies until written request to cease delivering paper copies is given by the Administrative Agent or such Lender and (B) NerdWallet shall notify (which may be by facsimile or electronic mail) the Administrative Agent and each Lender of the posting of any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8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19"/>
          <w:szCs w:val="19"/>
          <w:b w:val="1"/>
          <w:bCs w:val="1"/>
          <w:color w:val="auto"/>
        </w:rPr>
        <w:t>Certificates; Reports; Other Information</w:t>
      </w:r>
      <w:r>
        <w:rPr>
          <w:rFonts w:ascii="Times New Roman" w:cs="Times New Roman" w:eastAsia="Times New Roman" w:hAnsi="Times New Roman"/>
          <w:sz w:val="19"/>
          <w:szCs w:val="19"/>
          <w:color w:val="auto"/>
        </w:rPr>
        <w:t>. Furnish to the Administrative Agent, for distribution to each Lender:</w:t>
      </w:r>
    </w:p>
    <w:p>
      <w:pPr>
        <w:spacing w:after="0" w:line="206" w:lineRule="exact"/>
        <w:rPr>
          <w:sz w:val="20"/>
          <w:szCs w:val="20"/>
          <w:color w:val="auto"/>
        </w:rPr>
      </w:pPr>
    </w:p>
    <w:p>
      <w:pPr>
        <w:ind w:left="1720" w:hanging="416"/>
        <w:spacing w:after="0"/>
        <w:tabs>
          <w:tab w:leader="none" w:pos="17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firstLine="1304"/>
        <w:spacing w:after="0" w:line="231" w:lineRule="auto"/>
        <w:tabs>
          <w:tab w:leader="none" w:pos="180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any financial statements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(i) a certificate of a Responsible Officer of the Borrower stating that, to the best of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(ii) a Compliance Certificate containing all information and calculations necessary for determining compliance by each Loan Party with the provisions of this Agreement referred to therein as of the last day of the applicable period of the Borrower, and (y) to the extent not previously disclosed to the Administrative Agent, a description of any change in the jurisdiction of organization of any Loan Party, and (iii) in the case of financial statements delivered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updated insurance certificates evidencing the insurance coverage required to be maintained pursuant to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3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no later than 60 days after the end of each fiscal year of the Borrower, a detailed consolidated board of director approved operating budget for the following fiscal year (including a projected consolidated balance sheet of the Borrower and its Subsidiaries as of the end of each fiscal quarter of such fiscal year, the related consolidated statements of projected cash flow, projected changes in financial position and projected income and a description of the underlying assumptions applicable thereto), and, as soon as available, material revisions, if any, of such operating budget and projections with respect to such fiscal year (collectively, the “</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which Projections shall in each case be accompanied by a certificate of a Responsible Officer of the Borrower stating that such Projections are based on reasonable estimates, information and assumptions and that such Responsible Officer has no reason to believe that such Projections are incorrect or misleading in any material respect;</w:t>
      </w:r>
    </w:p>
    <w:p>
      <w:pPr>
        <w:spacing w:after="0" w:line="179"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3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5 Business Days after receipt thereof by any Group Member, copies of each notice or other correspondence received from the SEC (or comparable agency in any applicable non-U.S. jurisdiction) concerning any investigation or possible investigation by such agency regarding financial or other operational results of any Group Member (other than routine comment letters from the staff of the SEC relating to the Borrower’s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123" w:name="page124"/>
    <w:bookmarkEnd w:id="123"/>
    <w:p>
      <w:pPr>
        <w:jc w:val="both"/>
        <w:ind w:firstLine="1304"/>
        <w:spacing w:after="0" w:line="237" w:lineRule="auto"/>
        <w:tabs>
          <w:tab w:leader="none" w:pos="172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5 days after the same are sent, copies of each annual report, proxy or financial statement or other material report that any Group Member sends to the holders of any class of its Indebtedness or public equity securities and, within 5 days after the same are filed, copies of all annual, regular, periodic and special reports and registration statements which the Borrower may file with the SEC under Section 13 or 15(d) of the Exchange Act, or with any national securities exchange, and not otherwise required to be delivered to the Administrative Agent pursuant hereto;</w:t>
      </w:r>
    </w:p>
    <w:p>
      <w:pPr>
        <w:spacing w:after="0" w:line="173"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5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reasonable request by the Administrative Agent, within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the Group Members; and</w:t>
      </w:r>
    </w:p>
    <w:p>
      <w:pPr>
        <w:spacing w:after="0" w:line="175" w:lineRule="exact"/>
        <w:rPr>
          <w:rFonts w:ascii="Times New Roman" w:cs="Times New Roman" w:eastAsia="Times New Roman" w:hAnsi="Times New Roman"/>
          <w:sz w:val="20"/>
          <w:szCs w:val="20"/>
          <w:color w:val="auto"/>
        </w:rPr>
      </w:pPr>
    </w:p>
    <w:p>
      <w:pPr>
        <w:jc w:val="both"/>
        <w:ind w:firstLine="1304"/>
        <w:spacing w:after="0"/>
        <w:tabs>
          <w:tab w:leader="none" w:pos="180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other information regarding the operations, business affairs and financial condition of the Group Members, or compliance with the terms of the Loan Documents as the Administrative Agent or any Lender may from time to time reasonably request with respect to the Group Members.</w:t>
      </w:r>
    </w:p>
    <w:p>
      <w:pPr>
        <w:spacing w:after="0" w:line="1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6.4 Payment of Obligations</w:t>
      </w:r>
      <w:r>
        <w:rPr>
          <w:rFonts w:ascii="Times New Roman" w:cs="Times New Roman" w:eastAsia="Times New Roman" w:hAnsi="Times New Roman"/>
          <w:sz w:val="20"/>
          <w:szCs w:val="20"/>
          <w:color w:val="auto"/>
        </w:rPr>
        <w:t>. Pay, discharge or otherwise satisfy at or before maturity or before they become delinquent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effect to any extensions granted or grace periods in effect),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w:t>
      </w:r>
    </w:p>
    <w:p>
      <w:pPr>
        <w:spacing w:after="0" w:line="17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auto"/>
        </w:rPr>
        <w:t>6.5 Maintenance of Existence; Compliance</w:t>
      </w:r>
      <w:r>
        <w:rPr>
          <w:rFonts w:ascii="Times New Roman" w:cs="Times New Roman" w:eastAsia="Times New Roman" w:hAnsi="Times New Roman"/>
          <w:sz w:val="20"/>
          <w:szCs w:val="20"/>
          <w:color w:val="auto"/>
        </w:rPr>
        <w:t>. (a)(i) Preserve, renew and keep in full force and effect its organizational existence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(ii) take all reasonable action to maintain or obtain all Governmental Approvals and all other rights, privileges and franchises necessary or desirable in the normal conduct of its business or necessary for the performance by such Person of its Obligations under any Loan Document, except, in each case, as otherwise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except, in the case of clause (ii) above, to the extent that failure to do so could not reasonably be expected to have a Material Adverse Effect; (b) comply with all Contractual Obligations (including with respect to leasehold interests of the Borrower) and Requirements of Law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(1) maintain each Plan in compliance in all material respects with the applicable provisions of ERISA, the Code or other Federal or state law; (2) cause each Qualified Plan to maintain its qualified status under Section 401(a) of the Code; (3) make all required material contributions to any Plan; and (4) not become a party to any Multiemployer Plan.</w:t>
      </w:r>
    </w:p>
    <w:p>
      <w:pPr>
        <w:spacing w:after="0" w:line="17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auto"/>
        </w:rPr>
        <w:t>6.6 Maintenance of Property; Insurance</w:t>
      </w:r>
      <w:r>
        <w:rPr>
          <w:rFonts w:ascii="Times New Roman" w:cs="Times New Roman" w:eastAsia="Times New Roman" w:hAnsi="Times New Roman"/>
          <w:sz w:val="20"/>
          <w:szCs w:val="20"/>
          <w:color w:val="auto"/>
        </w:rPr>
        <w:t>. (a) Keep all property useful and necessary in its business in good working order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condition, ordinary wear and tear and casualty excepted, (b)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and shall provide to the Administrative Agent, insurance certificates and accompanying endorsements naming the Administrative Agent (for the benefit of the Secured Parties) as an “additional insured” or “lender loss payee,” as applicable, with respect to such insurance policies of the Loan Parties in form and substance reasonably satisfactory to the Administrative Agent, and (c) maintain flood insurance on all real property subject to a Mortgage as required under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124" w:name="page125"/>
    <w:bookmarkEnd w:id="124"/>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auto"/>
        </w:rPr>
        <w:t>6.7 Books and Records; Discussions</w:t>
      </w:r>
      <w:r>
        <w:rPr>
          <w:rFonts w:ascii="Times New Roman" w:cs="Times New Roman" w:eastAsia="Times New Roman" w:hAnsi="Times New Roman"/>
          <w:sz w:val="20"/>
          <w:szCs w:val="20"/>
          <w:color w:val="auto"/>
        </w:rPr>
        <w:t>. (a) Keep proper books of records and account in which full, true and correct entries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conformity with GAAP and all Requirements of Law shall be made of all dealings and transactions in relation to its business and activities and (b) permit representatives and independent contractors of the Administrative Agent (who may be accompanied by any Lender)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directors and employees of the Group Members and with their independent certified public accountants;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such inspections shall not be undertaken more frequently than once every 12 months unless an Event of Default has occurred and is continuing, and (ii) nothing in this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shall require any Group Member to take any action that would violate a confidentiality agreement (to the extent not created in contemplation of such Group Member’s obligations hereunder) or waive any attorney-client or similar privilege (to the extent not created in contemplation of such Group Member’s obligations hereunder) of such Group Member.</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6.8</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Give prompt written notice to the Administrative Agent of:</w:t>
      </w:r>
    </w:p>
    <w:p>
      <w:pPr>
        <w:spacing w:after="0" w:line="206" w:lineRule="exact"/>
        <w:rPr>
          <w:sz w:val="20"/>
          <w:szCs w:val="20"/>
          <w:color w:val="auto"/>
        </w:rPr>
      </w:pPr>
    </w:p>
    <w:p>
      <w:pPr>
        <w:ind w:left="1720" w:hanging="416"/>
        <w:spacing w:after="0"/>
        <w:tabs>
          <w:tab w:leader="none" w:pos="172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215" w:lineRule="exact"/>
        <w:rPr>
          <w:rFonts w:ascii="Times New Roman" w:cs="Times New Roman" w:eastAsia="Times New Roman" w:hAnsi="Times New Roman"/>
          <w:sz w:val="20"/>
          <w:szCs w:val="20"/>
          <w:color w:val="auto"/>
        </w:rPr>
      </w:pPr>
    </w:p>
    <w:p>
      <w:pPr>
        <w:jc w:val="both"/>
        <w:ind w:firstLine="1304"/>
        <w:spacing w:after="0"/>
        <w:tabs>
          <w:tab w:leader="none" w:pos="192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firstLine="1304"/>
        <w:spacing w:after="0"/>
        <w:tabs>
          <w:tab w:leader="none" w:pos="171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litigation or proceeding affecting any Group Member (i) in which the amount involved is $500,000 or more and not covered by insurance, (ii) in which injunctive or similar relief is sought against any Group Member which, if not cured or if adversely determined, could reasonably be expected to have a Material Adverse Effect, or (iii) which relates to any Loan Document;</w:t>
      </w:r>
    </w:p>
    <w:p>
      <w:pPr>
        <w:spacing w:after="0" w:line="174" w:lineRule="exact"/>
        <w:rPr>
          <w:rFonts w:ascii="Times New Roman" w:cs="Times New Roman" w:eastAsia="Times New Roman" w:hAnsi="Times New Roman"/>
          <w:sz w:val="20"/>
          <w:szCs w:val="20"/>
          <w:color w:val="auto"/>
        </w:rPr>
      </w:pPr>
    </w:p>
    <w:p>
      <w:pPr>
        <w:jc w:val="both"/>
        <w:ind w:firstLine="1304"/>
        <w:spacing w:after="0" w:line="231" w:lineRule="auto"/>
        <w:tabs>
          <w:tab w:leader="none" w:pos="1789"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promptly after the Borrower has knowledge or becomes aware of the occurrence of any of the following ERISA Events affecting the Borrower or any ERISA Affiliate (but in no event more than 10 days after such event (or such longer period as the Administrative Agent may agree in its reasonable discretion),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 (C) the adoption of any amendment to a Pension Plan, if such amendment will result in a material increase in contribution obligations or unfunded benefit liabilities (as defined in Section 4001(a)(18) of ERISA), or (D) the commencement of contributions by the Borrower or any ERISA Affiliate to any Plan that is subject to Title IV of ERISA or Section 412 of the Code; and</w:t>
      </w:r>
    </w:p>
    <w:p>
      <w:pPr>
        <w:spacing w:after="0" w:line="181" w:lineRule="exact"/>
        <w:rPr>
          <w:rFonts w:ascii="Times New Roman" w:cs="Times New Roman" w:eastAsia="Times New Roman" w:hAnsi="Times New Roman"/>
          <w:sz w:val="20"/>
          <w:szCs w:val="20"/>
          <w:color w:val="auto"/>
        </w:rPr>
      </w:pPr>
    </w:p>
    <w:p>
      <w:pPr>
        <w:jc w:val="both"/>
        <w:ind w:firstLine="764"/>
        <w:spacing w:after="0" w:line="237" w:lineRule="auto"/>
        <w:tabs>
          <w:tab w:leader="none" w:pos="124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promptly after request from the Administrative Agent, copies of each Schedule B (Actuarial Information) to the annual report (Form 5500 Series) filed by the Borrower or any of its ERISA Affiliates with the IRS with respect to each Pension Plan and such other documents or governmental reports or filings relating to any Pension Plan or Multiemployer Plan as the Administrative Agent shall reasonably request, and (B) promptly after the giving, sending or filing thereof, or the receipt thereof, copies of all notices received by the Borrower or any of its ERISA Affiliates from a Multiemployer Plan sponsor concerning an ERISA Event;</w:t>
      </w:r>
    </w:p>
    <w:p>
      <w:pPr>
        <w:spacing w:after="0" w:line="20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change in the information provided in the most recently delivered Beneficial Ownership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09" w:right="339" w:bottom="1440" w:gutter="0" w:footer="0" w:header="0"/>
        </w:sectPr>
      </w:pPr>
    </w:p>
    <w:bookmarkStart w:id="125" w:name="page126"/>
    <w:bookmarkEnd w:id="125"/>
    <w:p>
      <w:pPr>
        <w:ind w:left="1700" w:hanging="396"/>
        <w:spacing w:after="0"/>
        <w:tabs>
          <w:tab w:leader="none" w:pos="170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change in it accounting policies or financial reporting practices by any Loan Party;</w:t>
      </w:r>
    </w:p>
    <w:p>
      <w:pPr>
        <w:spacing w:after="0" w:line="202"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3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deferral of payment of any contested taxes in excess of $100,000, and the Borrower shall (i) within thirty (30) days (or such longer period as the Administrative Agent may agree in its reasonable discretion) notify the Administrative Agent in writing of the commencement of, and any material development in, the proceedings with respect to such contested taxes, and (ii) post bonds or take any other steps required to prevent the governmental authority levying such contested taxes from obtaining a Lien upon any of the Collateral that is not a Lien permitted pursuant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and</w:t>
      </w:r>
    </w:p>
    <w:p>
      <w:pPr>
        <w:spacing w:after="0" w:line="173"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development or event that has had or could reasonably be expected to have a Material Adverse Effect.</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shall be accompanied by a statement of a Responsible Officer of the Borrower setting forth details of the occurrence referred to therein and stating what action the relevant Group Member proposes to take with respect thereto.</w:t>
      </w:r>
    </w:p>
    <w:p>
      <w:pPr>
        <w:spacing w:after="0" w:line="15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6.9</w:t>
      </w:r>
      <w:r>
        <w:rPr>
          <w:sz w:val="20"/>
          <w:szCs w:val="20"/>
          <w:color w:val="auto"/>
        </w:rPr>
        <w:tab/>
      </w:r>
      <w:r>
        <w:rPr>
          <w:rFonts w:ascii="Times New Roman" w:cs="Times New Roman" w:eastAsia="Times New Roman" w:hAnsi="Times New Roman"/>
          <w:sz w:val="19"/>
          <w:szCs w:val="19"/>
          <w:b w:val="1"/>
          <w:bCs w:val="1"/>
          <w:color w:val="auto"/>
        </w:rPr>
        <w:t>Environmental Laws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9" w:lineRule="auto"/>
        <w:tabs>
          <w:tab w:leader="none" w:pos="172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 Material Adverse Effect, comply with, and ensure compliance by all tenants and subtenants, if any, with, all applicable Environmental Laws, and obtain and comply with and maintain, and ensure that all tenants and subtenants obtain and comply with and maintain, any and all licenses, approvals, notifications, registrations or permits required by applicable Environmental Laws.</w:t>
      </w:r>
    </w:p>
    <w:p>
      <w:pPr>
        <w:spacing w:after="0" w:line="177" w:lineRule="exact"/>
        <w:rPr>
          <w:rFonts w:ascii="Times New Roman" w:cs="Times New Roman" w:eastAsia="Times New Roman" w:hAnsi="Times New Roman"/>
          <w:sz w:val="20"/>
          <w:szCs w:val="20"/>
          <w:color w:val="auto"/>
        </w:rPr>
      </w:pPr>
    </w:p>
    <w:p>
      <w:pPr>
        <w:jc w:val="both"/>
        <w:ind w:firstLine="1304"/>
        <w:spacing w:after="0"/>
        <w:tabs>
          <w:tab w:leader="none" w:pos="191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 Material Adverse Effect, conduct and complete all investigations, studies, sampling and testing, and all remedial, removal and other actions required under Environmental Laws and promptly comply with all lawful orders and directives of all Governmental Authorities regarding Environmental Laws.</w:t>
      </w:r>
    </w:p>
    <w:p>
      <w:pPr>
        <w:spacing w:after="0" w:line="17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b w:val="1"/>
          <w:bCs w:val="1"/>
          <w:color w:val="auto"/>
        </w:rPr>
        <w:t>6.10 Operating Accounts</w:t>
      </w:r>
      <w:r>
        <w:rPr>
          <w:rFonts w:ascii="Times New Roman" w:cs="Times New Roman" w:eastAsia="Times New Roman" w:hAnsi="Times New Roman"/>
          <w:sz w:val="19"/>
          <w:szCs w:val="19"/>
          <w:color w:val="auto"/>
        </w:rPr>
        <w:t>. Unless the Borrower and the Administrative Agent otherwise agree, the Borrower shall maintain its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all of its Domestic Subsidiaries’ operating and other deposit accounts, and securities/investment accounts with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the Borrower shall be permitted to maintain an additional account or accounts at financial institutions other than the Lenders (the “</w:t>
      </w:r>
      <w:r>
        <w:rPr>
          <w:rFonts w:ascii="Times New Roman" w:cs="Times New Roman" w:eastAsia="Times New Roman" w:hAnsi="Times New Roman"/>
          <w:sz w:val="19"/>
          <w:szCs w:val="19"/>
          <w:b w:val="1"/>
          <w:bCs w:val="1"/>
          <w:color w:val="auto"/>
        </w:rPr>
        <w:t>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Accounts</w:t>
      </w:r>
      <w:r>
        <w:rPr>
          <w:rFonts w:ascii="Times New Roman" w:cs="Times New Roman" w:eastAsia="Times New Roman" w:hAnsi="Times New Roman"/>
          <w:sz w:val="19"/>
          <w:szCs w:val="19"/>
          <w:color w:val="auto"/>
        </w:rPr>
        <w:t>”), so long as (i) the aggregate principal balance in such Other Accounts does not exceed $10,000,000 at any time; and (ii)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Other Accounts are subject to a Control Agreement or Control Agreements in favor of the Administrative Agent. The Borrower and any other Loan Party shall (i) except as otherwise permitted pursuant to </w:t>
      </w:r>
      <w:r>
        <w:rPr>
          <w:rFonts w:ascii="Times New Roman" w:cs="Times New Roman" w:eastAsia="Times New Roman" w:hAnsi="Times New Roman"/>
          <w:sz w:val="19"/>
          <w:szCs w:val="19"/>
          <w:u w:val="single" w:color="auto"/>
          <w:color w:val="auto"/>
        </w:rPr>
        <w:t>Section 7.2(g)</w:t>
      </w:r>
      <w:r>
        <w:rPr>
          <w:rFonts w:ascii="Times New Roman" w:cs="Times New Roman" w:eastAsia="Times New Roman" w:hAnsi="Times New Roman"/>
          <w:sz w:val="19"/>
          <w:szCs w:val="19"/>
          <w:color w:val="auto"/>
        </w:rPr>
        <w:t>, obtain any Letters of Credit exclusively from the Lenders; and</w:t>
      </w:r>
    </w:p>
    <w:p>
      <w:pPr>
        <w:spacing w:after="0" w:line="3" w:lineRule="exact"/>
        <w:rPr>
          <w:sz w:val="20"/>
          <w:szCs w:val="20"/>
          <w:color w:val="auto"/>
        </w:rPr>
      </w:pPr>
    </w:p>
    <w:p>
      <w:pPr>
        <w:ind w:right="20" w:firstLine="8"/>
        <w:spacing w:after="0" w:line="236" w:lineRule="auto"/>
        <w:tabs>
          <w:tab w:leader="none" w:pos="31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jurisdictions where SVB does not offer business credit card services and as otherwise agreed by the Administrative Agent, obtain business credit cards exclusively from SVB.</w:t>
      </w:r>
    </w:p>
    <w:p>
      <w:pPr>
        <w:spacing w:after="0" w:line="17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auto"/>
        </w:rPr>
        <w:t>6.11 Audits</w:t>
      </w:r>
      <w:r>
        <w:rPr>
          <w:rFonts w:ascii="Times New Roman" w:cs="Times New Roman" w:eastAsia="Times New Roman" w:hAnsi="Times New Roman"/>
          <w:sz w:val="20"/>
          <w:szCs w:val="20"/>
          <w:color w:val="auto"/>
        </w:rPr>
        <w:t>. At reasonable times, on 5 Business Day’s’ notice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notice is required if an Event of Default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occurred and is continuing), the Administrative Agent, or its agents or independent contractors, shall have the right to inspect the Collateral and the right to audit and copy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and audits shall be at the Borrower’s expense, and the charge therefor shall be $1,000 per person per day (or such higher amount as shall represent the Administrative Agent’s then-current standard charge for the same), plus reasonable out-of-pocket expenses. Such inspections and audits shall not be undertaken more frequently than once every 12 months, unless an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126" w:name="page127"/>
    <w:bookmarkEnd w:id="126"/>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6.12</w:t>
      </w:r>
      <w:r>
        <w:rPr>
          <w:sz w:val="20"/>
          <w:szCs w:val="20"/>
          <w:color w:val="auto"/>
        </w:rPr>
        <w:tab/>
      </w:r>
      <w:r>
        <w:rPr>
          <w:rFonts w:ascii="Times New Roman" w:cs="Times New Roman" w:eastAsia="Times New Roman" w:hAnsi="Times New Roman"/>
          <w:sz w:val="19"/>
          <w:szCs w:val="19"/>
          <w:b w:val="1"/>
          <w:bCs w:val="1"/>
          <w:color w:val="auto"/>
        </w:rPr>
        <w:t>Additional Collateral, Etc.</w:t>
      </w:r>
    </w:p>
    <w:p>
      <w:pPr>
        <w:spacing w:after="0" w:line="206" w:lineRule="exact"/>
        <w:rPr>
          <w:sz w:val="20"/>
          <w:szCs w:val="20"/>
          <w:color w:val="auto"/>
        </w:rPr>
      </w:pPr>
    </w:p>
    <w:p>
      <w:pPr>
        <w:jc w:val="both"/>
        <w:ind w:firstLine="1304"/>
        <w:spacing w:after="0" w:line="232" w:lineRule="auto"/>
        <w:tabs>
          <w:tab w:leader="none" w:pos="175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property (to the extent included in the definition of Collateral) acquired after the Closing Date by any Loan Party (other than (x) any property described in paragraph (b), (c) or (d) below, and (y) any property subject to a Lien expressly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xml:space="preserve">) as to which the Administrative Agent, for the benefit of the Secured Parties, does not have a perfected Lien, promptly (and in any event within 10 Business Days or such later date as the Administrative Agent may agree in its sole discretion) take all actions necessary or advisable in the opinion of the Administrative Agent to grant to the Administrative Agent, for the benefit of the Secured Parties, a perfected first priority (except as 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security interest and Lien in such property, including the filing of Uniform Commercial Code financing statements in such jurisdictions as may be required by the Guarantee and Collateral Agreement or by law or as may be requested by the Administrative Agent.</w:t>
      </w:r>
    </w:p>
    <w:p>
      <w:pPr>
        <w:spacing w:after="0" w:line="179" w:lineRule="exact"/>
        <w:rPr>
          <w:rFonts w:ascii="Times New Roman" w:cs="Times New Roman" w:eastAsia="Times New Roman" w:hAnsi="Times New Roman"/>
          <w:sz w:val="20"/>
          <w:szCs w:val="20"/>
          <w:color w:val="auto"/>
        </w:rPr>
      </w:pPr>
    </w:p>
    <w:p>
      <w:pPr>
        <w:jc w:val="both"/>
        <w:ind w:firstLine="1304"/>
        <w:spacing w:after="0" w:line="228" w:lineRule="auto"/>
        <w:tabs>
          <w:tab w:leader="none" w:pos="173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fee interest in any real property having a fair market value (together with improvements thereof) of at least $1,000,000 (or such other amount as approved in writing by the Administrative Agent in its sole discretion) acquired after the Closing Date by any Loan Party (other than any such real property subject to a Lien expressly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xml:space="preserve">), promptly (and in any event within 60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5 Business Days prior to the date on which a Mortgage is executed and delivered pursuant to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in order to comply with the Flood Laws, the Administrative Agent (for delivery to each Lender) shall have received the following documents (collectively, the “</w:t>
      </w:r>
      <w:r>
        <w:rPr>
          <w:rFonts w:ascii="Times New Roman" w:cs="Times New Roman" w:eastAsia="Times New Roman" w:hAnsi="Times New Roman"/>
          <w:sz w:val="20"/>
          <w:szCs w:val="20"/>
          <w:b w:val="1"/>
          <w:bCs w:val="1"/>
          <w:i w:val="1"/>
          <w:iCs w:val="1"/>
          <w:color w:val="auto"/>
        </w:rPr>
        <w:t>Flood Documents</w:t>
      </w:r>
      <w:r>
        <w:rPr>
          <w:rFonts w:ascii="Times New Roman" w:cs="Times New Roman" w:eastAsia="Times New Roman" w:hAnsi="Times New Roman"/>
          <w:sz w:val="20"/>
          <w:szCs w:val="20"/>
          <w:color w:val="auto"/>
        </w:rPr>
        <w:t>”): (A) a completed standard “life of loan” flood hazard determination form (a “</w:t>
      </w:r>
      <w:r>
        <w:rPr>
          <w:rFonts w:ascii="Times New Roman" w:cs="Times New Roman" w:eastAsia="Times New Roman" w:hAnsi="Times New Roman"/>
          <w:sz w:val="20"/>
          <w:szCs w:val="20"/>
          <w:b w:val="1"/>
          <w:bCs w:val="1"/>
          <w:i w:val="1"/>
          <w:iCs w:val="1"/>
          <w:color w:val="auto"/>
        </w:rPr>
        <w:t>Flood Determination Form</w:t>
      </w:r>
      <w:r>
        <w:rPr>
          <w:rFonts w:ascii="Times New Roman" w:cs="Times New Roman" w:eastAsia="Times New Roman" w:hAnsi="Times New Roman"/>
          <w:sz w:val="20"/>
          <w:szCs w:val="20"/>
          <w:color w:val="auto"/>
        </w:rPr>
        <w:t>”) and such other documents as any Lender may reasonably request to complete its flood due diligence, (B) if the improvement(s) to the applicable improved real property is located in a special flood hazard area, a notification to the applicable Loan Party (if applicable) (“</w:t>
      </w:r>
      <w:r>
        <w:rPr>
          <w:rFonts w:ascii="Times New Roman" w:cs="Times New Roman" w:eastAsia="Times New Roman" w:hAnsi="Times New Roman"/>
          <w:sz w:val="20"/>
          <w:szCs w:val="20"/>
          <w:b w:val="1"/>
          <w:bCs w:val="1"/>
          <w:i w:val="1"/>
          <w:iCs w:val="1"/>
          <w:color w:val="auto"/>
        </w:rPr>
        <w:t>Loan Party Notice</w:t>
      </w:r>
      <w:r>
        <w:rPr>
          <w:rFonts w:ascii="Times New Roman" w:cs="Times New Roman" w:eastAsia="Times New Roman" w:hAnsi="Times New Roman"/>
          <w:sz w:val="20"/>
          <w:szCs w:val="20"/>
          <w:color w:val="auto"/>
        </w:rPr>
        <w:t>”) that flood insurance coverage under the National Flood Insurance Program (“</w:t>
      </w:r>
      <w:r>
        <w:rPr>
          <w:rFonts w:ascii="Times New Roman" w:cs="Times New Roman" w:eastAsia="Times New Roman" w:hAnsi="Times New Roman"/>
          <w:sz w:val="20"/>
          <w:szCs w:val="20"/>
          <w:b w:val="1"/>
          <w:bCs w:val="1"/>
          <w:i w:val="1"/>
          <w:iCs w:val="1"/>
          <w:color w:val="auto"/>
        </w:rPr>
        <w:t>NFIP</w:t>
      </w:r>
      <w:r>
        <w:rPr>
          <w:rFonts w:ascii="Times New Roman" w:cs="Times New Roman" w:eastAsia="Times New Roman" w:hAnsi="Times New Roman"/>
          <w:sz w:val="20"/>
          <w:szCs w:val="20"/>
          <w:color w:val="auto"/>
        </w:rPr>
        <w:t>”) is not available because the community does 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Times New Roman" w:cs="Times New Roman" w:eastAsia="Times New Roman" w:hAnsi="Times New Roman"/>
          <w:sz w:val="20"/>
          <w:szCs w:val="20"/>
          <w:b w:val="1"/>
          <w:bCs w:val="1"/>
          <w:i w:val="1"/>
          <w:iCs w:val="1"/>
          <w:color w:val="auto"/>
        </w:rPr>
        <w:t>Evidence of Flood Insurance</w:t>
      </w:r>
      <w:r>
        <w:rPr>
          <w:rFonts w:ascii="Times New Roman" w:cs="Times New Roman" w:eastAsia="Times New Roman" w:hAnsi="Times New Roman"/>
          <w:sz w:val="20"/>
          <w:szCs w:val="20"/>
          <w:color w:val="auto"/>
        </w:rPr>
        <w:t>”). Notwithstanding anything contained herein to the contrary, no Mortgage will be executed and delivered until each Lender has confirmed to the Administrative Agent that such Lender has satisfactorily completed its flood insurance due diligence and compliance requirements. Each of the parties hereto acknowledges and agrees that, if there are any Mortgaged Properties, any increase, extension or renewal of any of the Revolving Commitments (including the provision of any Increase or any other incremental credit facilities hereunder, but excluding (i) any continuation or conversion of borrowings, (ii) the making of any Revolving Loans or (iii) the issuance, renewal or extension of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09" w:right="339" w:bottom="1440" w:gutter="0" w:footer="0" w:header="0"/>
        </w:sectPr>
      </w:pPr>
    </w:p>
    <w:bookmarkStart w:id="127" w:name="page128"/>
    <w:bookmarkEnd w:id="127"/>
    <w:p>
      <w:pPr>
        <w:jc w:val="both"/>
        <w:spacing w:after="0"/>
        <w:rPr>
          <w:sz w:val="20"/>
          <w:szCs w:val="20"/>
          <w:color w:val="auto"/>
        </w:rPr>
      </w:pPr>
      <w:r>
        <w:rPr>
          <w:rFonts w:ascii="Times New Roman" w:cs="Times New Roman" w:eastAsia="Times New Roman" w:hAnsi="Times New Roman"/>
          <w:sz w:val="20"/>
          <w:szCs w:val="20"/>
          <w:color w:val="auto"/>
        </w:rPr>
        <w:t>of Credit) shall be subject to (and conditioned upon): (A) the prior delivery of all applicable Flood Documents with respect to such Mortgaged Properties as required by the Flood Laws and as otherwise reasonably required by the Lenders and (B) the Administrative Agent having received written confirmation from each Lenders.</w:t>
      </w:r>
    </w:p>
    <w:p>
      <w:pPr>
        <w:spacing w:after="0" w:line="174" w:lineRule="exact"/>
        <w:rPr>
          <w:sz w:val="20"/>
          <w:szCs w:val="20"/>
          <w:color w:val="auto"/>
        </w:rPr>
      </w:pPr>
    </w:p>
    <w:p>
      <w:pPr>
        <w:jc w:val="both"/>
        <w:ind w:firstLine="1304"/>
        <w:spacing w:after="0" w:line="229" w:lineRule="auto"/>
        <w:tabs>
          <w:tab w:leader="none" w:pos="173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Subsidiary (other than an Immaterial Subsidiary) created or acquired after the Closing Date by any Loan Party (including pursuant to a Permitted Acquisition), or any new Subsidiary formed by Division or if an Immaterial Subsidiary ceases to qualify as an Immaterial Subsidiary, except to the extent compliance with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is prohibited by existing Contractual Obligations (so long as such prohibition is not incurred in contemplation of such acquisition or the obligations hereunder) or Requirements of Law binding on such Subsidiary or its properties, or could reasonably be expected to result in material adverse tax consequences to NerdWallet or any of its Subsidiaries (as reasonably determined in good faith by NerdWallet), within 60 days (or such longer period as may be agreed to by the Administrative Agent, in its reasonable discretion) (i) execute and deliver to the Administrative Agent such amendments to the Guarantee and Collateral Agreement as the Administrative Agent reasonably deems necessary or advisable to grant to the Administrative Agent, for the benefit of the Secured Parties, a perfected first priority security interest in the Capital Stock of such Subsidiary that is owned directly by such Loan Party, (ii) deliver to the Administrative Agent such documents and instruments as may be required to grant, perfect, protect and ensure the priority of such security interest, including but not limited to, the certificates representing such Capital Stock (if applicable), together with undated stock powers, in blank, executed and delivered by a duly authorized officer of the relevant Loan Party, (iii) cause such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reasonably requested by the Administrative Agent and (C) to deliver to the Administrative Agent a certificate of such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it being agreed that if such new Subsidiary is formed by a Division, the foregoing requirements shall be satisfied concurrently with the formation of such Subsidiary.</w:t>
      </w:r>
    </w:p>
    <w:p>
      <w:pPr>
        <w:spacing w:after="0" w:line="180" w:lineRule="exact"/>
        <w:rPr>
          <w:rFonts w:ascii="Times New Roman" w:cs="Times New Roman" w:eastAsia="Times New Roman" w:hAnsi="Times New Roman"/>
          <w:sz w:val="20"/>
          <w:szCs w:val="20"/>
          <w:color w:val="auto"/>
        </w:rPr>
      </w:pPr>
    </w:p>
    <w:p>
      <w:pPr>
        <w:jc w:val="both"/>
        <w:ind w:firstLine="1304"/>
        <w:spacing w:after="0" w:line="230" w:lineRule="auto"/>
        <w:tabs>
          <w:tab w:leader="none" w:pos="181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Administrative Agent, each Loan Party shall use commercially reasonable efforts to obtain a landlord’s agreement or bailee letter, as applicable, from the lessor of each leased property or bailee with respect to any warehouse, processor or converter facility or other location where Collateral having a value in excess of $500,000 is stored or located, which agreement or letter shall contain a waiver or subordination of all Liens or claims that the landlord or bailee may assert against the Collateral at that location, and shall otherwise be reasonably satisfactory in form and substance to the Administrative Agent. After the Closing Date, no Collateral having a value in excess of $500,000 shall be stored at any location leased by any Loan Party and no Collateral having a value in excess of $500,000 shall be shipped to a processor or converter under arrangements established after the Closing Date without the prior written consent of the Administrative Agent unless and until the Borrower shall have used commercially reasonable efforts to obtain a reasonably satisfactory landlord agreement or bailee letter, as appropriate, with respect to such location. Each Loan Party shall pay and perform its material obligations under all leases and other agreements with respect to each leased location, warehouse or processing center where any Collateral is or may be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128" w:name="page129"/>
    <w:bookmarkEnd w:id="128"/>
    <w:p>
      <w:pPr>
        <w:jc w:val="both"/>
        <w:ind w:firstLine="1304"/>
        <w:spacing w:after="0" w:line="242" w:lineRule="auto"/>
        <w:tabs>
          <w:tab w:leader="none" w:pos="1713"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(i) in the case of Foreign Subsidiaries, all guarantees and security shall be subject to any applicable general mandatory statutory limitations, fraudulent preference, equitable subordination, foreign exchange laws or regulations (or analogous restrictions), transfer pricing or “thin capitalization” rules, earnings stripping, exchange control restrictions, applicable maintenance of capital, retention of title claims, employee consultation or approval requirements, corporate benefit, financial assistance, protection of liquidity, and similar laws, rules and regulations and customary guarantee limitation language in the relevant jurisdiction;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the relevant Group Member shall use commercially reasonable endeavors to overcome such limitations;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Group Member shall be required to take any action the cost or risk of which such Group Member determines in its reasonable discretion exceeds the benefit of overcoming the applicable limitations; and (ii) Subsidiaries may be excluded from the guarantee requirements in circumstances where (1) the Borrower and the Administrative Agent reasonably agree that the cost or other consequence of providing such a guarantee is excessive in relation to the value afforded thereby or (2) in the case of Foreign Subsidiaries, such requirements would contravene any legal prohibition, could reasonably be expected to result in any violation or breach of, or conflict with, fiduciary duties or result in a risk of personal or criminal liability on the part of any officer, director, member or manager of such Subsidiary;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the relevant Loan Party shall use commercially reasonable endeavors to overcome such limitations;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Group Member shall be required to take any action the cost or risk of which such Group Member determines in its reasonable discretion exceeds the benefit of overcoming the applicable limitations. As a result of the limitations in clause (i) above, the Administrative Agent may elect to waive the requirement to cause a Group Member to become a Guarantor hereunder and such Group Member shall not be a Loan Party for any purposes hereof.</w:t>
      </w:r>
    </w:p>
    <w:p>
      <w:pPr>
        <w:spacing w:after="0" w:line="17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6.13</w:t>
      </w:r>
      <w:r>
        <w:rPr>
          <w:sz w:val="20"/>
          <w:szCs w:val="20"/>
          <w:color w:val="auto"/>
        </w:rPr>
        <w:tab/>
      </w:r>
      <w:r>
        <w:rPr>
          <w:rFonts w:ascii="Times New Roman" w:cs="Times New Roman" w:eastAsia="Times New Roman" w:hAnsi="Times New Roman"/>
          <w:sz w:val="19"/>
          <w:szCs w:val="19"/>
          <w:b w:val="1"/>
          <w:bCs w:val="1"/>
          <w:color w:val="auto"/>
        </w:rPr>
        <w:t>Use of Proceeds</w:t>
      </w:r>
      <w:r>
        <w:rPr>
          <w:rFonts w:ascii="Times New Roman" w:cs="Times New Roman" w:eastAsia="Times New Roman" w:hAnsi="Times New Roman"/>
          <w:sz w:val="19"/>
          <w:szCs w:val="19"/>
          <w:color w:val="auto"/>
        </w:rPr>
        <w:t>. Use the proceeds of each credit extension only for the purposes specified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4.16</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6.14 Designated Senior Indebtedness</w:t>
      </w:r>
      <w:r>
        <w:rPr>
          <w:rFonts w:ascii="Times New Roman" w:cs="Times New Roman" w:eastAsia="Times New Roman" w:hAnsi="Times New Roman"/>
          <w:sz w:val="20"/>
          <w:szCs w:val="20"/>
          <w:color w:val="auto"/>
        </w:rPr>
        <w:t>. Cause the Loan Documents and all of the Obligations to be deemed “Designated Senior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or a similar concept thereto, if applicable, for purposes of any Indebtedness of the Loan Parties.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6.15 Anti-Corruption Laws</w:t>
      </w:r>
      <w:r>
        <w:rPr>
          <w:rFonts w:ascii="Times New Roman" w:cs="Times New Roman" w:eastAsia="Times New Roman" w:hAnsi="Times New Roman"/>
          <w:sz w:val="20"/>
          <w:szCs w:val="20"/>
          <w:color w:val="auto"/>
        </w:rPr>
        <w:t>. Conduct its business in compliance in all material respects with all applicable anti-corruption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maintain policies and procedures designed to promote and achieve compliance with such laws.</w:t>
      </w:r>
    </w:p>
    <w:p>
      <w:pPr>
        <w:spacing w:after="0" w:line="13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6.16 Further Assurances</w:t>
      </w:r>
      <w:r>
        <w:rPr>
          <w:rFonts w:ascii="Times New Roman" w:cs="Times New Roman" w:eastAsia="Times New Roman" w:hAnsi="Times New Roman"/>
          <w:sz w:val="20"/>
          <w:szCs w:val="20"/>
          <w:color w:val="auto"/>
        </w:rPr>
        <w:t>. Execute any further instruments and take such further action as the Administrative Agent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deems necessary to perfect, protect, ensure the priority of or continue the Administrative Agent’s Lien on the Collateral or to effect the purposes of this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7</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8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The Borrower hereby agrees that, at all times prior to the Discharge of Obligations, no Loan Party shall, nor shall any Loan Party permit any of its respective Subsidiaries to, directly or indirectly:</w:t>
      </w:r>
    </w:p>
    <w:p>
      <w:pPr>
        <w:spacing w:after="0" w:line="16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Financial Condition Covenants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48" w:lineRule="auto"/>
        <w:tabs>
          <w:tab w:leader="none" w:pos="1713"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Adjusted Quick Ratio</w:t>
      </w:r>
      <w:r>
        <w:rPr>
          <w:rFonts w:ascii="Times New Roman" w:cs="Times New Roman" w:eastAsia="Times New Roman" w:hAnsi="Times New Roman"/>
          <w:sz w:val="19"/>
          <w:szCs w:val="19"/>
          <w:color w:val="auto"/>
        </w:rPr>
        <w:t xml:space="preserve">. Permit the Adjusted Quick Ratio, tested as of the last day of each calendar month to be less than 1.25:1.00;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the foregoing financial covenant shall be tested quarterly as of the last day of each calendar quarter (i) from and after a Qualified IPO of NerdWallet’s common stock and (ii) prior to a Qualified IPO of NerdWallet’s common stock, if the there are no Revolving Extensions of Credit outstanding (other than undrawn Letters of Credit outstanding prior to the First Amendment Effective Date) at all times from the last day of any applicable month until financial statements for such month have been delivered as required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129" w:name="page130"/>
    <w:bookmarkEnd w:id="129"/>
    <w:p>
      <w:pPr>
        <w:jc w:val="both"/>
        <w:ind w:firstLine="1304"/>
        <w:spacing w:after="0"/>
        <w:tabs>
          <w:tab w:leader="none" w:pos="173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Adjusted EBITDA</w:t>
      </w:r>
      <w:r>
        <w:rPr>
          <w:rFonts w:ascii="Times New Roman" w:cs="Times New Roman" w:eastAsia="Times New Roman" w:hAnsi="Times New Roman"/>
          <w:sz w:val="20"/>
          <w:szCs w:val="20"/>
          <w:color w:val="auto"/>
        </w:rPr>
        <w:t>. During a Covenant Testing Period, permit the Consolidated Adjusted EBITDA of the Borrower and its consolidated Subsidiaries, as of the last day of any fiscal quarter of the Borrower, on a trailing twelve month basis, to be less than the following:</w:t>
      </w:r>
    </w:p>
    <w:p>
      <w:pPr>
        <w:spacing w:after="0" w:line="183"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432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Quarterly Period Ending</w:t>
            </w:r>
          </w:p>
        </w:tc>
        <w:tc>
          <w:tcPr>
            <w:tcW w:w="3040" w:type="dxa"/>
            <w:vAlign w:val="bottom"/>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Adjusted EBITDA</w:t>
            </w:r>
          </w:p>
        </w:tc>
        <w:tc>
          <w:tcPr>
            <w:tcW w:w="0" w:type="dxa"/>
            <w:vAlign w:val="bottom"/>
          </w:tcPr>
          <w:p>
            <w:pPr>
              <w:spacing w:after="0"/>
              <w:rPr>
                <w:sz w:val="1"/>
                <w:szCs w:val="1"/>
                <w:color w:val="auto"/>
              </w:rPr>
            </w:pPr>
          </w:p>
        </w:tc>
      </w:tr>
      <w:tr>
        <w:trPr>
          <w:trHeight w:val="247"/>
        </w:trPr>
        <w:tc>
          <w:tcPr>
            <w:tcW w:w="4320" w:type="dxa"/>
            <w:vAlign w:val="bottom"/>
          </w:tcPr>
          <w:p>
            <w:pPr>
              <w:spacing w:after="0"/>
              <w:rPr>
                <w:sz w:val="21"/>
                <w:szCs w:val="21"/>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(negative Adjusted EBITDA)</w:t>
            </w:r>
          </w:p>
        </w:tc>
        <w:tc>
          <w:tcPr>
            <w:tcW w:w="0" w:type="dxa"/>
            <w:vAlign w:val="bottom"/>
          </w:tcPr>
          <w:p>
            <w:pPr>
              <w:spacing w:after="0"/>
              <w:rPr>
                <w:sz w:val="1"/>
                <w:szCs w:val="1"/>
                <w:color w:val="auto"/>
              </w:rPr>
            </w:pPr>
          </w:p>
        </w:tc>
      </w:tr>
      <w:tr>
        <w:trPr>
          <w:trHeight w:val="258"/>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September 30, 2020</w:t>
            </w:r>
          </w:p>
        </w:tc>
        <w:tc>
          <w:tcPr>
            <w:tcW w:w="3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473"/>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December 31, 2020</w:t>
            </w:r>
          </w:p>
        </w:tc>
        <w:tc>
          <w:tcPr>
            <w:tcW w:w="3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473"/>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2021</w:t>
            </w:r>
          </w:p>
        </w:tc>
        <w:tc>
          <w:tcPr>
            <w:tcW w:w="3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($20,000,000)</w:t>
            </w:r>
          </w:p>
        </w:tc>
        <w:tc>
          <w:tcPr>
            <w:tcW w:w="0" w:type="dxa"/>
            <w:vAlign w:val="bottom"/>
          </w:tcPr>
          <w:p>
            <w:pPr>
              <w:spacing w:after="0"/>
              <w:rPr>
                <w:sz w:val="1"/>
                <w:szCs w:val="1"/>
                <w:color w:val="auto"/>
              </w:rPr>
            </w:pPr>
          </w:p>
        </w:tc>
      </w:tr>
      <w:tr>
        <w:trPr>
          <w:trHeight w:val="473"/>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June 30, 2021</w:t>
            </w:r>
          </w:p>
        </w:tc>
        <w:tc>
          <w:tcPr>
            <w:tcW w:w="3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($20,000,000)</w:t>
            </w:r>
          </w:p>
        </w:tc>
        <w:tc>
          <w:tcPr>
            <w:tcW w:w="0" w:type="dxa"/>
            <w:vAlign w:val="bottom"/>
          </w:tcPr>
          <w:p>
            <w:pPr>
              <w:spacing w:after="0"/>
              <w:rPr>
                <w:sz w:val="1"/>
                <w:szCs w:val="1"/>
                <w:color w:val="auto"/>
              </w:rPr>
            </w:pPr>
          </w:p>
        </w:tc>
      </w:tr>
      <w:tr>
        <w:trPr>
          <w:trHeight w:val="417"/>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September 30, 2021 through and including</w:t>
            </w:r>
          </w:p>
        </w:tc>
        <w:tc>
          <w:tcPr>
            <w:tcW w:w="30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($25,000,000)</w:t>
            </w:r>
          </w:p>
        </w:tc>
        <w:tc>
          <w:tcPr>
            <w:tcW w:w="0" w:type="dxa"/>
            <w:vAlign w:val="bottom"/>
          </w:tcPr>
          <w:p>
            <w:pPr>
              <w:spacing w:after="0"/>
              <w:rPr>
                <w:sz w:val="1"/>
                <w:szCs w:val="1"/>
                <w:color w:val="auto"/>
              </w:rPr>
            </w:pPr>
          </w:p>
        </w:tc>
      </w:tr>
      <w:tr>
        <w:trPr>
          <w:trHeight w:val="258"/>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2022</w:t>
            </w:r>
          </w:p>
        </w:tc>
        <w:tc>
          <w:tcPr>
            <w:tcW w:w="3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03"/>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June 30, 2022 through and including December</w:t>
            </w:r>
          </w:p>
        </w:tc>
        <w:tc>
          <w:tcPr>
            <w:tcW w:w="30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($15,000,000)</w:t>
            </w:r>
          </w:p>
        </w:tc>
        <w:tc>
          <w:tcPr>
            <w:tcW w:w="0" w:type="dxa"/>
            <w:vAlign w:val="bottom"/>
          </w:tcPr>
          <w:p>
            <w:pPr>
              <w:spacing w:after="0"/>
              <w:rPr>
                <w:sz w:val="1"/>
                <w:szCs w:val="1"/>
                <w:color w:val="auto"/>
              </w:rPr>
            </w:pPr>
          </w:p>
        </w:tc>
      </w:tr>
      <w:tr>
        <w:trPr>
          <w:trHeight w:val="258"/>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31, 2022</w:t>
            </w:r>
          </w:p>
        </w:tc>
        <w:tc>
          <w:tcPr>
            <w:tcW w:w="3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March 31, 2023</w:t>
            </w:r>
          </w:p>
        </w:tc>
        <w:tc>
          <w:tcPr>
            <w:tcW w:w="3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($10,000,000)</w:t>
            </w:r>
          </w:p>
        </w:tc>
        <w:tc>
          <w:tcPr>
            <w:tcW w:w="0" w:type="dxa"/>
            <w:vAlign w:val="bottom"/>
          </w:tcPr>
          <w:p>
            <w:pPr>
              <w:spacing w:after="0"/>
              <w:rPr>
                <w:sz w:val="1"/>
                <w:szCs w:val="1"/>
                <w:color w:val="auto"/>
              </w:rPr>
            </w:pPr>
          </w:p>
        </w:tc>
      </w:tr>
      <w:tr>
        <w:trPr>
          <w:trHeight w:val="417"/>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June 30, 2023 and each calendar quarter ending</w:t>
            </w:r>
          </w:p>
        </w:tc>
        <w:tc>
          <w:tcPr>
            <w:tcW w:w="304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8"/>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3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Create, issue, incur, assume, become liable in respect of or suffer to exist any Indebtedness, except:</w:t>
      </w:r>
    </w:p>
    <w:p>
      <w:pPr>
        <w:spacing w:after="0" w:line="206" w:lineRule="exact"/>
        <w:rPr>
          <w:sz w:val="20"/>
          <w:szCs w:val="20"/>
          <w:color w:val="auto"/>
        </w:rPr>
      </w:pPr>
    </w:p>
    <w:p>
      <w:pPr>
        <w:ind w:left="1720" w:hanging="416"/>
        <w:spacing w:after="0"/>
        <w:tabs>
          <w:tab w:leader="none" w:pos="172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pursuant to any Loan Document and under any Cash Management Agreement;</w:t>
      </w:r>
    </w:p>
    <w:p>
      <w:pPr>
        <w:spacing w:after="0" w:line="202" w:lineRule="exact"/>
        <w:rPr>
          <w:rFonts w:ascii="Times New Roman" w:cs="Times New Roman" w:eastAsia="Times New Roman" w:hAnsi="Times New Roman"/>
          <w:sz w:val="20"/>
          <w:szCs w:val="20"/>
          <w:color w:val="auto"/>
        </w:rPr>
      </w:pPr>
    </w:p>
    <w:p>
      <w:pPr>
        <w:jc w:val="both"/>
        <w:ind w:firstLine="1304"/>
        <w:spacing w:after="0" w:line="233" w:lineRule="auto"/>
        <w:tabs>
          <w:tab w:leader="none" w:pos="174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(i) any Loan Party owing to any other Loan Party; (ii) any Group Member (which is not a Loan Party) owing to any other Group Member (which is not a Loan Party); (iii) any Group Member (which is not a Loan Party) owing to any Loan Party, which constitutes an Investment permitted by </w:t>
      </w:r>
      <w:r>
        <w:rPr>
          <w:rFonts w:ascii="Times New Roman" w:cs="Times New Roman" w:eastAsia="Times New Roman" w:hAnsi="Times New Roman"/>
          <w:sz w:val="20"/>
          <w:szCs w:val="20"/>
          <w:u w:val="single" w:color="auto"/>
          <w:color w:val="auto"/>
        </w:rPr>
        <w:t>Section 7.8(f)(iii)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such Indebtedness is owing from any Group Member which is not a Loan Party to a Loan Party (other than to the extent such Indebtedness constitutes an Investment permitted by </w:t>
      </w:r>
      <w:r>
        <w:rPr>
          <w:rFonts w:ascii="Times New Roman" w:cs="Times New Roman" w:eastAsia="Times New Roman" w:hAnsi="Times New Roman"/>
          <w:sz w:val="20"/>
          <w:szCs w:val="20"/>
          <w:u w:val="single" w:color="auto"/>
          <w:color w:val="auto"/>
        </w:rPr>
        <w:t>Section 7.8(f)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(iii)(B)</w:t>
      </w:r>
      <w:r>
        <w:rPr>
          <w:rFonts w:ascii="Times New Roman" w:cs="Times New Roman" w:eastAsia="Times New Roman" w:hAnsi="Times New Roman"/>
          <w:sz w:val="20"/>
          <w:szCs w:val="20"/>
          <w:color w:val="auto"/>
        </w:rPr>
        <w:t xml:space="preserve">) greater than $5,000,000 shall be evidenced by a promissory note and such promissory note shall be pledged as Collateral; and (iv) any Loan Party owing to any Group Member (which is not a Loan Party);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Indebtedness is subordinated to the Obligations on terms and conditions reasonably acceptable to the Administrative Agent;</w:t>
      </w:r>
    </w:p>
    <w:p>
      <w:pPr>
        <w:spacing w:after="0" w:line="178" w:lineRule="exact"/>
        <w:rPr>
          <w:rFonts w:ascii="Times New Roman" w:cs="Times New Roman" w:eastAsia="Times New Roman" w:hAnsi="Times New Roman"/>
          <w:sz w:val="20"/>
          <w:szCs w:val="20"/>
          <w:color w:val="auto"/>
        </w:rPr>
      </w:pPr>
    </w:p>
    <w:p>
      <w:pPr>
        <w:jc w:val="both"/>
        <w:ind w:firstLine="1304"/>
        <w:spacing w:after="0" w:line="235" w:lineRule="auto"/>
        <w:tabs>
          <w:tab w:leader="none" w:pos="177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Times New Roman" w:cs="Times New Roman" w:eastAsia="Times New Roman" w:hAnsi="Times New Roman"/>
          <w:sz w:val="20"/>
          <w:szCs w:val="20"/>
          <w:u w:val="single" w:color="auto"/>
          <w:color w:val="auto"/>
        </w:rPr>
        <w:t>Section 7.8(f)(iii)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in any case of clauses (i), (ii), (iii), or (iv), the underlying Indebtedness so guaranteed is otherwise permitted by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13" w:right="339" w:bottom="1440" w:gutter="0" w:footer="0" w:header="0"/>
        </w:sectPr>
      </w:pPr>
    </w:p>
    <w:bookmarkStart w:id="130" w:name="page131"/>
    <w:bookmarkEnd w:id="130"/>
    <w:p>
      <w:pPr>
        <w:jc w:val="both"/>
        <w:ind w:firstLine="1304"/>
        <w:spacing w:after="0" w:line="236" w:lineRule="auto"/>
        <w:tabs>
          <w:tab w:leader="none" w:pos="179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outstanding on the Closing Date and listed on </w:t>
      </w:r>
      <w:r>
        <w:rPr>
          <w:rFonts w:ascii="Times New Roman" w:cs="Times New Roman" w:eastAsia="Times New Roman" w:hAnsi="Times New Roman"/>
          <w:sz w:val="20"/>
          <w:szCs w:val="20"/>
          <w:u w:val="single" w:color="auto"/>
          <w:color w:val="auto"/>
        </w:rPr>
        <w:t>Schedule 7.2(d)</w:t>
      </w:r>
      <w:r>
        <w:rPr>
          <w:rFonts w:ascii="Times New Roman" w:cs="Times New Roman" w:eastAsia="Times New Roman" w:hAnsi="Times New Roman"/>
          <w:sz w:val="20"/>
          <w:szCs w:val="20"/>
          <w:color w:val="auto"/>
        </w:rPr>
        <w:t xml:space="preserve"> of the Disclosure Letter and (ii) any refinancings, refundings, renewals or extensions thereof (which do not shorten the maturity thereof or increase the principal amount thereof, except by an amount equal to a reasonable premium and other fees and expenses reasonably incurred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underlying Indebtedness is otherwise permitted by the terms hereof;</w:t>
      </w:r>
    </w:p>
    <w:p>
      <w:pPr>
        <w:spacing w:after="0" w:line="188" w:lineRule="exact"/>
        <w:rPr>
          <w:rFonts w:ascii="Times New Roman" w:cs="Times New Roman" w:eastAsia="Times New Roman" w:hAnsi="Times New Roman"/>
          <w:sz w:val="20"/>
          <w:szCs w:val="20"/>
          <w:color w:val="auto"/>
        </w:rPr>
      </w:pPr>
    </w:p>
    <w:p>
      <w:pPr>
        <w:jc w:val="both"/>
        <w:ind w:firstLine="1304"/>
        <w:spacing w:after="0" w:line="234" w:lineRule="auto"/>
        <w:tabs>
          <w:tab w:leader="none" w:pos="17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(including, without limitation, Capital Lease Obligations and purchase money financing) secured by Liens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xml:space="preserve"> in an aggregate principal amount not to exceed $5,000,000 (or such greater amount as the Administrative Agent may agree in its sole discretion) at any one time outstanding and any refinancings, refundings, renewals or extensions thereof (which do not shorten the maturity thereof or increase the principal amount thereof, except by an amount equal to a reasonable premium and other fees and expenses reasonably incurred in connection therewith);</w:t>
      </w:r>
    </w:p>
    <w:p>
      <w:pPr>
        <w:spacing w:after="0" w:line="174"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Indebtedness (including the Investor Indebtedness);</w:t>
      </w:r>
    </w:p>
    <w:p>
      <w:pPr>
        <w:spacing w:after="0" w:line="202"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3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Surety Indebtedness and any other Indebtedness in respect of letters of credit, banker’s acceptances, bank guarantees or similar arrangements, provided that the aggregate principal amount of any such Indebtedness outstanding at any time shall not exceed $1,000,000;</w:t>
      </w:r>
    </w:p>
    <w:p>
      <w:pPr>
        <w:spacing w:after="0" w:line="16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to trade creditors in the ordinary course of business;</w:t>
      </w:r>
    </w:p>
    <w:p>
      <w:pPr>
        <w:spacing w:after="0" w:line="202" w:lineRule="exact"/>
        <w:rPr>
          <w:rFonts w:ascii="Times New Roman" w:cs="Times New Roman" w:eastAsia="Times New Roman" w:hAnsi="Times New Roman"/>
          <w:sz w:val="20"/>
          <w:szCs w:val="20"/>
          <w:color w:val="auto"/>
        </w:rPr>
      </w:pPr>
    </w:p>
    <w:p>
      <w:pPr>
        <w:jc w:val="both"/>
        <w:ind w:right="20" w:firstLine="1304"/>
        <w:spacing w:after="0" w:line="281" w:lineRule="auto"/>
        <w:tabs>
          <w:tab w:leader="none" w:pos="171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obligations (contingent or otherwise) of the Group Members existing or arising under any Specified Swap Agreement,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such obligations are (or were) entered into by such Person in accordance with </w:t>
      </w:r>
      <w:r>
        <w:rPr>
          <w:rFonts w:ascii="Times New Roman" w:cs="Times New Roman" w:eastAsia="Times New Roman" w:hAnsi="Times New Roman"/>
          <w:sz w:val="19"/>
          <w:szCs w:val="19"/>
          <w:u w:val="single" w:color="auto"/>
          <w:color w:val="auto"/>
        </w:rPr>
        <w:t>Section 7.13</w:t>
      </w:r>
      <w:r>
        <w:rPr>
          <w:rFonts w:ascii="Times New Roman" w:cs="Times New Roman" w:eastAsia="Times New Roman" w:hAnsi="Times New Roman"/>
          <w:sz w:val="19"/>
          <w:szCs w:val="19"/>
          <w:color w:val="auto"/>
        </w:rPr>
        <w:t xml:space="preserve"> and not for purposes of speculation;</w:t>
      </w:r>
    </w:p>
    <w:p>
      <w:pPr>
        <w:spacing w:after="0" w:line="136" w:lineRule="exact"/>
        <w:rPr>
          <w:rFonts w:ascii="Times New Roman" w:cs="Times New Roman" w:eastAsia="Times New Roman" w:hAnsi="Times New Roman"/>
          <w:sz w:val="19"/>
          <w:szCs w:val="19"/>
          <w:color w:val="auto"/>
        </w:rPr>
      </w:pPr>
    </w:p>
    <w:p>
      <w:pPr>
        <w:jc w:val="both"/>
        <w:ind w:firstLine="1304"/>
        <w:spacing w:after="0" w:line="233" w:lineRule="auto"/>
        <w:tabs>
          <w:tab w:leader="none" w:pos="170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Person (other than a Loan Party or an existing Subsidiary) existing at the time such Person is merged with or into a Loan Party or a Subsidiary or becomes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and any of its Subsidiaries are the only obligors in respect of such Indebtedness, and (B) to the extent such Indebtedness is permitted to be secured hereunder, only the assets of such Subsidiary and any of its Subsidiaries secure such Indebtedness, and (iv) the aggregate amount of such Indebtedness does not exceed $1,000,000 in the aggregate;</w:t>
      </w:r>
    </w:p>
    <w:p>
      <w:pPr>
        <w:spacing w:after="0" w:line="17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as a result of endorsing negotiable instruments received in the ordinary course of business;</w:t>
      </w:r>
    </w:p>
    <w:p>
      <w:pPr>
        <w:spacing w:after="0" w:line="202" w:lineRule="exact"/>
        <w:rPr>
          <w:rFonts w:ascii="Times New Roman" w:cs="Times New Roman" w:eastAsia="Times New Roman" w:hAnsi="Times New Roman"/>
          <w:sz w:val="20"/>
          <w:szCs w:val="20"/>
          <w:color w:val="auto"/>
        </w:rPr>
      </w:pPr>
    </w:p>
    <w:p>
      <w:pPr>
        <w:jc w:val="both"/>
        <w:ind w:firstLine="1304"/>
        <w:spacing w:after="0" w:line="236" w:lineRule="auto"/>
        <w:tabs>
          <w:tab w:leader="none" w:pos="181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the form of purchase price adjustments, earn outs, deferred compensation, or other arrangements representing acquisition consideration or deferred payments of a similar nature incurred in connection with Investments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amount of such obligation shall be deemed part of the cost of such Investment (the amount of which shall be deemed to be the amount required to be accrued as a liability in accordance with GAAP or the amount actually paid);</w:t>
      </w:r>
    </w:p>
    <w:p>
      <w:pPr>
        <w:spacing w:after="0" w:line="188"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w:t>
      </w:r>
    </w:p>
    <w:p>
      <w:pPr>
        <w:spacing w:after="0" w:line="202" w:lineRule="exact"/>
        <w:rPr>
          <w:rFonts w:ascii="Times New Roman" w:cs="Times New Roman" w:eastAsia="Times New Roman" w:hAnsi="Times New Roman"/>
          <w:sz w:val="20"/>
          <w:szCs w:val="20"/>
          <w:color w:val="auto"/>
        </w:rPr>
      </w:pPr>
    </w:p>
    <w:p>
      <w:pPr>
        <w:jc w:val="both"/>
        <w:ind w:firstLine="1304"/>
        <w:spacing w:after="0"/>
        <w:tabs>
          <w:tab w:leader="none" w:pos="181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Foreign Subsidiaries (i) in respect of business credit cards in an aggregate principal amount not to exceed $2,500,000 at any time outstanding; and (ii) otherwise in an aggregate principal amount not to exceed $5,000,000 at any time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31" w:name="page132"/>
    <w:bookmarkEnd w:id="131"/>
    <w:p>
      <w:pPr>
        <w:ind w:left="1760" w:hanging="456"/>
        <w:spacing w:after="0"/>
        <w:tabs>
          <w:tab w:leader="none" w:pos="176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not otherwise permitted by this Section in an aggregate principal amount not to exceed $5,000,000 at any</w:t>
      </w:r>
    </w:p>
    <w:p>
      <w:pPr>
        <w:spacing w:after="0" w:line="1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time outstanding.</w:t>
      </w:r>
    </w:p>
    <w:p>
      <w:pPr>
        <w:spacing w:after="0" w:line="17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7.3</w:t>
        <w:tab/>
        <w:t>Liens</w:t>
      </w:r>
      <w:r>
        <w:rPr>
          <w:rFonts w:ascii="Times New Roman" w:cs="Times New Roman" w:eastAsia="Times New Roman" w:hAnsi="Times New Roman"/>
          <w:sz w:val="20"/>
          <w:szCs w:val="20"/>
          <w:color w:val="auto"/>
        </w:rPr>
        <w:t>. Create, incur, assume or suffer to exist any Lien upon any of its property, whether now owned or hereafter acquired,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w:t>
      </w:r>
    </w:p>
    <w:p>
      <w:pPr>
        <w:spacing w:after="0" w:line="194" w:lineRule="exact"/>
        <w:rPr>
          <w:sz w:val="20"/>
          <w:szCs w:val="20"/>
          <w:color w:val="auto"/>
        </w:rPr>
      </w:pPr>
    </w:p>
    <w:p>
      <w:pPr>
        <w:ind w:right="20" w:firstLine="1304"/>
        <w:spacing w:after="0" w:line="255" w:lineRule="auto"/>
        <w:tabs>
          <w:tab w:leader="none" w:pos="173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not yet due or that are being contested in good faith by appropriate proceedings;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adequate reserves with respect thereto are maintained on the books of the applicable Group Member in conformity with GAAP;</w:t>
      </w:r>
    </w:p>
    <w:p>
      <w:pPr>
        <w:spacing w:after="0" w:line="159" w:lineRule="exact"/>
        <w:rPr>
          <w:rFonts w:ascii="Times New Roman" w:cs="Times New Roman" w:eastAsia="Times New Roman" w:hAnsi="Times New Roman"/>
          <w:sz w:val="20"/>
          <w:szCs w:val="20"/>
          <w:color w:val="auto"/>
        </w:rPr>
      </w:pPr>
    </w:p>
    <w:p>
      <w:pPr>
        <w:jc w:val="both"/>
        <w:ind w:firstLine="1304"/>
        <w:spacing w:after="0"/>
        <w:tabs>
          <w:tab w:leader="none" w:pos="182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landlord’s, mechanics’, materialmen’s, repairmen’s supplier’s, construction or other like Liens arising in the ordinary course of business that are not overdue for a period of more than 30 days or that are being contested in good faith by appropriate proceedings;</w:t>
      </w:r>
    </w:p>
    <w:p>
      <w:pPr>
        <w:spacing w:after="0" w:line="174"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connection with workers’ compensation, unemployment insurance and other social security</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legislation;</w:t>
      </w:r>
    </w:p>
    <w:p>
      <w:pPr>
        <w:spacing w:after="0" w:line="180"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1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 or deposits made in connection with Permitted Acquisitions;</w:t>
      </w:r>
    </w:p>
    <w:p>
      <w:pPr>
        <w:spacing w:after="0" w:line="167" w:lineRule="exact"/>
        <w:rPr>
          <w:rFonts w:ascii="Times New Roman" w:cs="Times New Roman" w:eastAsia="Times New Roman" w:hAnsi="Times New Roman"/>
          <w:sz w:val="20"/>
          <w:szCs w:val="20"/>
          <w:color w:val="auto"/>
        </w:rPr>
      </w:pPr>
    </w:p>
    <w:p>
      <w:pPr>
        <w:jc w:val="both"/>
        <w:ind w:right="20" w:firstLine="1304"/>
        <w:spacing w:after="0"/>
        <w:tabs>
          <w:tab w:leader="none" w:pos="174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spacing w:after="0" w:line="174" w:lineRule="exact"/>
        <w:rPr>
          <w:rFonts w:ascii="Times New Roman" w:cs="Times New Roman" w:eastAsia="Times New Roman" w:hAnsi="Times New Roman"/>
          <w:sz w:val="20"/>
          <w:szCs w:val="20"/>
          <w:color w:val="auto"/>
        </w:rPr>
      </w:pPr>
    </w:p>
    <w:p>
      <w:pPr>
        <w:jc w:val="both"/>
        <w:ind w:firstLine="1304"/>
        <w:spacing w:after="0" w:line="239" w:lineRule="auto"/>
        <w:tabs>
          <w:tab w:leader="none" w:pos="171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Closing Date and listed on </w:t>
      </w:r>
      <w:r>
        <w:rPr>
          <w:rFonts w:ascii="Times New Roman" w:cs="Times New Roman" w:eastAsia="Times New Roman" w:hAnsi="Times New Roman"/>
          <w:sz w:val="20"/>
          <w:szCs w:val="20"/>
          <w:u w:val="single" w:color="auto"/>
          <w:color w:val="auto"/>
        </w:rPr>
        <w:t>Schedule 7.3(f)</w:t>
      </w:r>
      <w:r>
        <w:rPr>
          <w:rFonts w:ascii="Times New Roman" w:cs="Times New Roman" w:eastAsia="Times New Roman" w:hAnsi="Times New Roman"/>
          <w:sz w:val="20"/>
          <w:szCs w:val="20"/>
          <w:color w:val="auto"/>
        </w:rPr>
        <w:t xml:space="preserve"> of the Disclosure Letter;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no such Lien is spread to cover any additional property after the Closing Date, (ii) the amount of Indebtedness or obligations secured or benefitted thereby is not increased, (iii) the direct or any contingent obligor with respect thereto is not changed, and (iv) any renewal or extension of the obligations secured thereby is permitted by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firstLine="1304"/>
        <w:spacing w:after="0" w:line="236" w:lineRule="auto"/>
        <w:tabs>
          <w:tab w:leader="none" w:pos="18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pursuant to </w:t>
      </w:r>
      <w:r>
        <w:rPr>
          <w:rFonts w:ascii="Times New Roman" w:cs="Times New Roman" w:eastAsia="Times New Roman" w:hAnsi="Times New Roman"/>
          <w:sz w:val="20"/>
          <w:szCs w:val="20"/>
          <w:u w:val="single" w:color="auto"/>
          <w:color w:val="auto"/>
        </w:rPr>
        <w:t>Section 7.2(e)</w:t>
      </w:r>
      <w:r>
        <w:rPr>
          <w:rFonts w:ascii="Times New Roman" w:cs="Times New Roman" w:eastAsia="Times New Roman" w:hAnsi="Times New Roman"/>
          <w:sz w:val="20"/>
          <w:szCs w:val="20"/>
          <w:color w:val="auto"/>
        </w:rPr>
        <w:t xml:space="preserve"> to finance the acquisition of fixed or capital assets;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such Liens shall be created substantially simultaneously with, or within 90 days after, the acquisition of such fixed or capital assets, (ii) such Liens do not at any time encumber any property other than the property financed by such Indebtedness and the proceeds thereof, and (iii) the amount of Indebtedness secured thereby is not increased;</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Security Documents;</w:t>
      </w:r>
    </w:p>
    <w:p>
      <w:pPr>
        <w:spacing w:after="0" w:line="202" w:lineRule="exact"/>
        <w:rPr>
          <w:rFonts w:ascii="Times New Roman" w:cs="Times New Roman" w:eastAsia="Times New Roman" w:hAnsi="Times New Roman"/>
          <w:sz w:val="20"/>
          <w:szCs w:val="20"/>
          <w:color w:val="auto"/>
        </w:rPr>
      </w:pPr>
    </w:p>
    <w:p>
      <w:pPr>
        <w:jc w:val="both"/>
        <w:ind w:firstLine="1304"/>
        <w:spacing w:after="0" w:line="235" w:lineRule="auto"/>
        <w:tabs>
          <w:tab w:leader="none" w:pos="169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any interest or title of a lessor or licensor under any lease or license entered into by a Group Member in the ordinary course of its business and covering only the assets so leased or licensed, (y) leases, licenses, subleases and sublicenses of real property granted to others in the ordinary course of business and (z) non-exclusive licenses of Intellectual Property in the ordinary course of business and other licenses and sublicenses that could not result in a legal transfer of title of the licensed property but that may be exclusive in respects other than territory and that may be exclusive as to territory only as to discreet geographical areas outside of the United States, in each case in the ordinary course of business;</w:t>
      </w:r>
    </w:p>
    <w:p>
      <w:pPr>
        <w:spacing w:after="0" w:line="174"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that do not constitute a Default or an Event of Default under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13" w:right="339" w:bottom="1440" w:gutter="0" w:footer="0" w:header="0"/>
        </w:sectPr>
      </w:pPr>
    </w:p>
    <w:bookmarkStart w:id="132" w:name="page133"/>
    <w:bookmarkEnd w:id="132"/>
    <w:p>
      <w:pPr>
        <w:jc w:val="both"/>
        <w:ind w:firstLine="1304"/>
        <w:spacing w:after="0" w:line="237" w:lineRule="auto"/>
        <w:tabs>
          <w:tab w:leader="none" w:pos="1725"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73"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cash deposits and liens on cash and Cash Equivalents pledged to secure Indebtedness permitted under </w:t>
      </w:r>
      <w:r>
        <w:rPr>
          <w:rFonts w:ascii="Times New Roman" w:cs="Times New Roman" w:eastAsia="Times New Roman" w:hAnsi="Times New Roman"/>
          <w:sz w:val="19"/>
          <w:szCs w:val="19"/>
          <w:u w:val="single" w:color="auto"/>
          <w:color w:val="auto"/>
        </w:rPr>
        <w:t>Section 7.2(g)</w:t>
      </w:r>
      <w:r>
        <w:rPr>
          <w:rFonts w:ascii="Times New Roman" w:cs="Times New Roman" w:eastAsia="Times New Roman" w:hAnsi="Times New Roman"/>
          <w:sz w:val="19"/>
          <w:szCs w:val="19"/>
          <w:color w:val="auto"/>
        </w:rPr>
        <w:t>,</w:t>
      </w:r>
    </w:p>
    <w:p>
      <w:pPr>
        <w:spacing w:after="0" w:line="19" w:lineRule="exact"/>
        <w:rPr>
          <w:rFonts w:ascii="Times New Roman" w:cs="Times New Roman" w:eastAsia="Times New Roman" w:hAnsi="Times New Roman"/>
          <w:sz w:val="19"/>
          <w:szCs w:val="19"/>
          <w:color w:val="auto"/>
        </w:rPr>
      </w:pPr>
    </w:p>
    <w:p>
      <w:pPr>
        <w:jc w:val="both"/>
        <w:ind w:firstLine="8"/>
        <w:spacing w:after="0" w:line="232" w:lineRule="auto"/>
        <w:tabs>
          <w:tab w:leader="none" w:pos="30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reimbursement obligations with respect to letters of credit, banker’s acceptances, bank guarantees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7.2(g)</w:t>
      </w:r>
      <w:r>
        <w:rPr>
          <w:rFonts w:ascii="Times New Roman" w:cs="Times New Roman" w:eastAsia="Times New Roman" w:hAnsi="Times New Roman"/>
          <w:sz w:val="20"/>
          <w:szCs w:val="20"/>
          <w:color w:val="auto"/>
        </w:rPr>
        <w:t xml:space="preserve"> that encumber documents and other property relating to such letters of credit, (iii) Liens securing Obligations under any Specified Swap Agreements permitted by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 and (iv) Liens on cash deposits securing minimum capitalization requirements;</w:t>
      </w:r>
    </w:p>
    <w:p>
      <w:pPr>
        <w:spacing w:after="0" w:line="175" w:lineRule="exact"/>
        <w:rPr>
          <w:rFonts w:ascii="Times New Roman" w:cs="Times New Roman" w:eastAsia="Times New Roman" w:hAnsi="Times New Roman"/>
          <w:sz w:val="20"/>
          <w:szCs w:val="20"/>
          <w:color w:val="auto"/>
        </w:rPr>
      </w:pPr>
    </w:p>
    <w:p>
      <w:pPr>
        <w:jc w:val="both"/>
        <w:ind w:firstLine="1304"/>
        <w:spacing w:after="0" w:line="239" w:lineRule="auto"/>
        <w:tabs>
          <w:tab w:leader="none" w:pos="187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of a Person existing at the time such Person is acquired by, merged into or consolidated with a Group Member or becomes a Subsidiary of a Group Member or acquired by a Group Member;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such Liens were not created in contemplation of such acquisition, merger, consolidation or Investment, (ii) such Liens do not extend to any assets other than those of such Person, and (iii) the applicable Indebtedness or obligation secured by such Lien is not prohibited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jc w:val="both"/>
        <w:ind w:firstLine="1304"/>
        <w:spacing w:after="0"/>
        <w:tabs>
          <w:tab w:leader="none" w:pos="186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spacing w:after="0" w:line="17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proceeds in favor of insurance companies granted solely to secured financed insurance premiums;</w:t>
      </w:r>
    </w:p>
    <w:p>
      <w:pPr>
        <w:spacing w:after="0" w:line="202" w:lineRule="exact"/>
        <w:rPr>
          <w:rFonts w:ascii="Times New Roman" w:cs="Times New Roman" w:eastAsia="Times New Roman" w:hAnsi="Times New Roman"/>
          <w:sz w:val="20"/>
          <w:szCs w:val="20"/>
          <w:color w:val="auto"/>
        </w:rPr>
      </w:pPr>
    </w:p>
    <w:p>
      <w:pPr>
        <w:ind w:right="20" w:firstLine="1304"/>
        <w:spacing w:after="0" w:line="255" w:lineRule="auto"/>
        <w:tabs>
          <w:tab w:leader="none" w:pos="176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 and revenue authorities arising as a matter of law to secure the payment of custom duties in connection with the importation of goods;</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833"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earnest money deposits required in connection with a Permitted Acquisition or consisting of earnest money deposits required in connection with an acquisition of property not otherwise prohibited hereunder;</w:t>
      </w:r>
    </w:p>
    <w:p>
      <w:pPr>
        <w:spacing w:after="0" w:line="145"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Subordinated Indebtedness permitted under </w:t>
      </w:r>
      <w:r>
        <w:rPr>
          <w:rFonts w:ascii="Times New Roman" w:cs="Times New Roman" w:eastAsia="Times New Roman" w:hAnsi="Times New Roman"/>
          <w:sz w:val="20"/>
          <w:szCs w:val="20"/>
          <w:u w:val="single" w:color="auto"/>
          <w:color w:val="auto"/>
        </w:rPr>
        <w:t>Section 7.2(f)</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firstLine="1304"/>
        <w:spacing w:after="0" w:line="255" w:lineRule="auto"/>
        <w:tabs>
          <w:tab w:leader="none" w:pos="1736"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relating to purchase orders and other agreements entered into with customers of such Person in the ordinary course of business;</w:t>
      </w:r>
    </w:p>
    <w:p>
      <w:pPr>
        <w:spacing w:after="0" w:line="159"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pursuant to </w:t>
      </w:r>
      <w:r>
        <w:rPr>
          <w:rFonts w:ascii="Times New Roman" w:cs="Times New Roman" w:eastAsia="Times New Roman" w:hAnsi="Times New Roman"/>
          <w:sz w:val="20"/>
          <w:szCs w:val="20"/>
          <w:u w:val="single" w:color="auto"/>
          <w:color w:val="auto"/>
        </w:rPr>
        <w:t>Section 7.2(o)</w:t>
      </w:r>
      <w:r>
        <w:rPr>
          <w:rFonts w:ascii="Times New Roman" w:cs="Times New Roman" w:eastAsia="Times New Roman" w:hAnsi="Times New Roman"/>
          <w:sz w:val="20"/>
          <w:szCs w:val="20"/>
          <w:color w:val="auto"/>
        </w:rPr>
        <w:t>; and</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obligations in an outstanding amount not to exceed $5,000,000 at any one time.</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Notwithstanding the foregoing, no Lien shall encumber any Group Member’s Intellectual Property except for Liens arising by operation of law and Liens described in clause (i)(z) above.</w:t>
      </w:r>
    </w:p>
    <w:p>
      <w:pPr>
        <w:spacing w:after="0" w:line="16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7.4 Fundamental Changes</w:t>
      </w:r>
      <w:r>
        <w:rPr>
          <w:rFonts w:ascii="Times New Roman" w:cs="Times New Roman" w:eastAsia="Times New Roman" w:hAnsi="Times New Roman"/>
          <w:sz w:val="20"/>
          <w:szCs w:val="20"/>
          <w:color w:val="auto"/>
        </w:rPr>
        <w:t>. Consummate any merger, consolidation or amalgamation, or liquidate, wind up or dissolve itself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suffer any liquidation or dissolution), or Dispose of all or substantially all of its property or business,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1304"/>
        <w:spacing w:after="0" w:line="235" w:lineRule="auto"/>
        <w:tabs>
          <w:tab w:leader="none" w:pos="1722"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that is not a Loan Party may be merged, amalgamated or consolidated with or into (A) any Loan Party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such merger, amalgamation or consolidation involves (x) NerdWallet, NerdWallet shall be the continuing or surviving Person or (y) NerdWallet Compare and not NerdWallet, NerdWallet Compare shall be the continuing or surviving Person);</w:t>
      </w:r>
    </w:p>
    <w:p>
      <w:pPr>
        <w:spacing w:after="0" w:line="174" w:lineRule="exact"/>
        <w:rPr>
          <w:rFonts w:ascii="Times New Roman" w:cs="Times New Roman" w:eastAsia="Times New Roman" w:hAnsi="Times New Roman"/>
          <w:sz w:val="20"/>
          <w:szCs w:val="20"/>
          <w:color w:val="auto"/>
        </w:rPr>
      </w:pPr>
    </w:p>
    <w:p>
      <w:pPr>
        <w:jc w:val="both"/>
        <w:ind w:firstLine="1304"/>
        <w:spacing w:after="0" w:line="233" w:lineRule="auto"/>
        <w:tabs>
          <w:tab w:leader="none" w:pos="182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Group Member that is not a Loan Party may Dispose of any or all of its assets (including upon voluntary liquidation, dissolution or otherwise) (A) to any other Group Member or (B) 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and (ii) any Loan Party (other than NerdWallet) may Dispose of any or all of its assets (including upon voluntary liquidation, dissolution or otherwise)</w:t>
      </w:r>
    </w:p>
    <w:p>
      <w:pPr>
        <w:ind w:left="340" w:hanging="332"/>
        <w:spacing w:after="0"/>
        <w:tabs>
          <w:tab w:leader="none" w:pos="3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any other Loan Party or (B) 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expressly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may be structured as a merger, consolidation or amalgamation; and</w:t>
      </w:r>
    </w:p>
    <w:p>
      <w:pPr>
        <w:spacing w:after="0" w:line="202" w:lineRule="exact"/>
        <w:rPr>
          <w:rFonts w:ascii="Times New Roman" w:cs="Times New Roman" w:eastAsia="Times New Roman" w:hAnsi="Times New Roman"/>
          <w:sz w:val="20"/>
          <w:szCs w:val="20"/>
          <w:color w:val="auto"/>
        </w:rPr>
      </w:pPr>
    </w:p>
    <w:p>
      <w:pPr>
        <w:ind w:right="20" w:firstLine="1304"/>
        <w:spacing w:after="0" w:line="269" w:lineRule="auto"/>
        <w:tabs>
          <w:tab w:leader="none" w:pos="1768"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a limited liability company may consummate a Division as the dividing Person if, immediately upon the consummation of the Division, the assets of the applicable dividing Person are held by one or more Guarantors.</w:t>
      </w:r>
    </w:p>
    <w:p>
      <w:pPr>
        <w:spacing w:after="0" w:line="14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7.5</w:t>
        <w:tab/>
        <w:t>Disposition of Property</w:t>
      </w:r>
      <w:r>
        <w:rPr>
          <w:rFonts w:ascii="Times New Roman" w:cs="Times New Roman" w:eastAsia="Times New Roman" w:hAnsi="Times New Roman"/>
          <w:sz w:val="20"/>
          <w:szCs w:val="20"/>
          <w:color w:val="auto"/>
        </w:rPr>
        <w:t>. Dispose of any of its property, whether now owned or hereafter acquired, or, in the case of any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of the Borrower, issue or sell any shares of such Subsidiary’s Capital Stock to any Person, except:</w:t>
      </w:r>
    </w:p>
    <w:p>
      <w:pPr>
        <w:spacing w:after="0" w:line="180" w:lineRule="exact"/>
        <w:rPr>
          <w:sz w:val="20"/>
          <w:szCs w:val="20"/>
          <w:color w:val="auto"/>
        </w:rPr>
      </w:pPr>
    </w:p>
    <w:p>
      <w:pPr>
        <w:ind w:left="1720" w:hanging="416"/>
        <w:spacing w:after="0"/>
        <w:tabs>
          <w:tab w:leader="none" w:pos="17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worn out or surplus property in the ordinary course of business;</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Sections 7.4(b)(i)(A)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(b)(ii)(A)</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or issuance of the Capital Stock of a Subsidiary of the Borrower (i) to the Borrower or any other Loan Party, or</w:t>
      </w:r>
    </w:p>
    <w:p>
      <w:pPr>
        <w:spacing w:after="0" w:line="19"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 Subsidiary that is not a Loan Party to another Subsidiary that is not a Loan Party or (iii) in connection with any transaction that does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result in a Change of Control;</w:t>
      </w:r>
    </w:p>
    <w:p>
      <w:pPr>
        <w:spacing w:after="0" w:line="180" w:lineRule="exact"/>
        <w:rPr>
          <w:sz w:val="20"/>
          <w:szCs w:val="20"/>
          <w:color w:val="auto"/>
        </w:rPr>
      </w:pPr>
    </w:p>
    <w:p>
      <w:pPr>
        <w:ind w:firstLine="1304"/>
        <w:spacing w:after="0" w:line="255" w:lineRule="auto"/>
        <w:tabs>
          <w:tab w:leader="none" w:pos="171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or transfer of money, cash or Cash Equivalents in a manner that is not prohibited by the terms of this Agreement or the other Loan Documents;</w:t>
      </w:r>
    </w:p>
    <w:p>
      <w:pPr>
        <w:spacing w:after="0" w:line="159"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non-exclusive licensing of patents, trademarks, copyrights, and other Intellectual Property rights in the ordinary</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course of business;</w:t>
      </w:r>
    </w:p>
    <w:p>
      <w:pPr>
        <w:spacing w:after="0" w:line="180" w:lineRule="exact"/>
        <w:rPr>
          <w:rFonts w:ascii="Times New Roman" w:cs="Times New Roman" w:eastAsia="Times New Roman" w:hAnsi="Times New Roman"/>
          <w:sz w:val="20"/>
          <w:szCs w:val="20"/>
          <w:color w:val="auto"/>
        </w:rPr>
      </w:pPr>
    </w:p>
    <w:p>
      <w:pPr>
        <w:jc w:val="both"/>
        <w:ind w:firstLine="1304"/>
        <w:spacing w:after="0" w:line="239" w:lineRule="auto"/>
        <w:tabs>
          <w:tab w:leader="none" w:pos="172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Disposition of property (i) from any Loan Party to any other Loan Party, and (ii) from any Group Member (which is not a Loan Party) to any other Group Member;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in each case in which there is a Lien over the relevant property in favor of the Administrative Agent in advance of the Disposition, an equivalent Lien will be granted to the Administrative Agent by the Group Member which acquires the property;</w:t>
      </w:r>
    </w:p>
    <w:p>
      <w:pPr>
        <w:spacing w:after="0" w:line="17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subject to a Casualty Event;</w:t>
      </w:r>
    </w:p>
    <w:p>
      <w:pPr>
        <w:spacing w:after="0" w:line="202"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34" w:name="page135"/>
    <w:bookmarkEnd w:id="134"/>
    <w:p>
      <w:pPr>
        <w:ind w:firstLine="1304"/>
        <w:spacing w:after="0" w:line="255" w:lineRule="auto"/>
        <w:tabs>
          <w:tab w:leader="none" w:pos="168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discount without recourse of accounts receivable arising in the ordinary course of business in connection with the compromise or collection thereof;</w:t>
      </w:r>
    </w:p>
    <w:p>
      <w:pPr>
        <w:spacing w:after="0" w:line="159"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37"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spacing w:after="0" w:line="167" w:lineRule="exact"/>
        <w:rPr>
          <w:rFonts w:ascii="Times New Roman" w:cs="Times New Roman" w:eastAsia="Times New Roman" w:hAnsi="Times New Roman"/>
          <w:sz w:val="20"/>
          <w:szCs w:val="20"/>
          <w:color w:val="auto"/>
        </w:rPr>
      </w:pPr>
    </w:p>
    <w:p>
      <w:pPr>
        <w:jc w:val="both"/>
        <w:ind w:firstLine="1304"/>
        <w:spacing w:after="0"/>
        <w:tabs>
          <w:tab w:leader="none" w:pos="171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other property having a fair market value not to exceed $1,000,000 in the aggregate for any fiscal year of the Borrower,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at the time of any such Disposition, no Event of Default shall have occurred and be continuing or would result from such Disposition; and</w:t>
      </w:r>
    </w:p>
    <w:p>
      <w:pPr>
        <w:spacing w:after="0" w:line="174"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permitted by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Investments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and Liens permitted by </w:t>
      </w:r>
      <w:r>
        <w:rPr>
          <w:rFonts w:ascii="Times New Roman" w:cs="Times New Roman" w:eastAsia="Times New Roman" w:hAnsi="Times New Roman"/>
          <w:sz w:val="20"/>
          <w:szCs w:val="20"/>
          <w:u w:val="single" w:color="auto"/>
          <w:color w:val="auto"/>
        </w:rPr>
        <w:t>Section</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any Disposition made pursuant to this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(other than Dispositions (x) solely between Loan Parties,</w:t>
      </w:r>
    </w:p>
    <w:p>
      <w:pPr>
        <w:spacing w:after="0" w:line="12" w:lineRule="exact"/>
        <w:rPr>
          <w:sz w:val="20"/>
          <w:szCs w:val="20"/>
          <w:color w:val="auto"/>
        </w:rPr>
      </w:pPr>
    </w:p>
    <w:p>
      <w:pPr>
        <w:jc w:val="both"/>
        <w:ind w:right="20" w:firstLine="8"/>
        <w:spacing w:after="0" w:line="237" w:lineRule="auto"/>
        <w:tabs>
          <w:tab w:leader="none" w:pos="2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solely between Group Members that are not Loan Parties or (z) Dispositions between a Loan Party and a Group Member that is not a Loan Party in which the terms thereof in favor of a Loan Party are at least arm’s length terms) shall be made in good faith on an arm’s length basis for fair value.</w:t>
      </w:r>
    </w:p>
    <w:p>
      <w:pPr>
        <w:spacing w:after="0" w:line="17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auto"/>
        </w:rPr>
        <w:t>7.6 Restricted Payments</w:t>
      </w:r>
      <w:r>
        <w:rPr>
          <w:rFonts w:ascii="Times New Roman" w:cs="Times New Roman" w:eastAsia="Times New Roman" w:hAnsi="Times New Roman"/>
          <w:sz w:val="20"/>
          <w:szCs w:val="20"/>
          <w:color w:val="auto"/>
        </w:rPr>
        <w:t>. Make any payment or prepayment of principal of, premium, if any, or interest on, or redemption,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retirement, defeasance (including in-substance or legal defeasance), sinking fund or similar payment with respect to, any Subordinated Indebtedness, pay any earn-out payment, seller debt or deferred purchase price payments, declare or pay any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20"/>
          <w:szCs w:val="20"/>
          <w:b w:val="1"/>
          <w:bCs w:val="1"/>
          <w:i w:val="1"/>
          <w:iCs w:val="1"/>
          <w:color w:val="auto"/>
        </w:rPr>
        <w:t>Restricted Payments</w:t>
      </w:r>
      <w:r>
        <w:rPr>
          <w:rFonts w:ascii="Times New Roman" w:cs="Times New Roman" w:eastAsia="Times New Roman" w:hAnsi="Times New Roman"/>
          <w:sz w:val="20"/>
          <w:szCs w:val="20"/>
          <w:color w:val="auto"/>
        </w:rPr>
        <w:t>”), except that, so long as no Event of Default shall have occurred and be continuing at the time of any action described below or would result therefrom;</w:t>
      </w:r>
    </w:p>
    <w:p>
      <w:pPr>
        <w:spacing w:after="0" w:line="175" w:lineRule="exact"/>
        <w:rPr>
          <w:sz w:val="20"/>
          <w:szCs w:val="20"/>
          <w:color w:val="auto"/>
        </w:rPr>
      </w:pPr>
    </w:p>
    <w:p>
      <w:pPr>
        <w:ind w:firstLine="1304"/>
        <w:spacing w:after="0" w:line="255" w:lineRule="auto"/>
        <w:tabs>
          <w:tab w:leader="none" w:pos="173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Group Member may make Restricted Payments to any Loan Party and any Group Member that is not a Loan Party may make Restricted Payments to any other Group Member;</w:t>
      </w:r>
    </w:p>
    <w:p>
      <w:pPr>
        <w:spacing w:after="0" w:line="159" w:lineRule="exact"/>
        <w:rPr>
          <w:rFonts w:ascii="Times New Roman" w:cs="Times New Roman" w:eastAsia="Times New Roman" w:hAnsi="Times New Roman"/>
          <w:sz w:val="20"/>
          <w:szCs w:val="20"/>
          <w:color w:val="auto"/>
        </w:rPr>
      </w:pPr>
    </w:p>
    <w:p>
      <w:pPr>
        <w:jc w:val="both"/>
        <w:ind w:firstLine="1304"/>
        <w:spacing w:after="0"/>
        <w:tabs>
          <w:tab w:leader="none" w:pos="1799"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may purchase Capital Stock from present or former officers, directors or employees, of any Group Member;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aggregate amount of payments made under this clause (b) shall not exceed $2,500,000 during any fiscal year of the Borrower;</w:t>
      </w:r>
    </w:p>
    <w:p>
      <w:pPr>
        <w:spacing w:after="0" w:line="174" w:lineRule="exact"/>
        <w:rPr>
          <w:rFonts w:ascii="Times New Roman" w:cs="Times New Roman" w:eastAsia="Times New Roman" w:hAnsi="Times New Roman"/>
          <w:sz w:val="20"/>
          <w:szCs w:val="20"/>
          <w:color w:val="auto"/>
        </w:rPr>
      </w:pPr>
    </w:p>
    <w:p>
      <w:pPr>
        <w:jc w:val="both"/>
        <w:ind w:firstLine="1304"/>
        <w:spacing w:after="0" w:line="232" w:lineRule="auto"/>
        <w:tabs>
          <w:tab w:leader="none" w:pos="183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may repurchase its Capital Stock and/or purchase Capital Stock from present or former officers, directors or employees, consultants, advisors, or other service providers of any Group Member (but excluding equity investment firms) (each a “</w:t>
      </w:r>
      <w:r>
        <w:rPr>
          <w:rFonts w:ascii="Times New Roman" w:cs="Times New Roman" w:eastAsia="Times New Roman" w:hAnsi="Times New Roman"/>
          <w:sz w:val="20"/>
          <w:szCs w:val="20"/>
          <w:b w:val="1"/>
          <w:bCs w:val="1"/>
          <w:color w:val="auto"/>
        </w:rPr>
        <w:t>Share Repurchase</w:t>
      </w:r>
      <w:r>
        <w:rPr>
          <w:rFonts w:ascii="Times New Roman" w:cs="Times New Roman" w:eastAsia="Times New Roman" w:hAnsi="Times New Roman"/>
          <w:sz w:val="20"/>
          <w:szCs w:val="20"/>
          <w:color w:val="auto"/>
        </w:rPr>
        <w:t xml:space="preserve">”) so long as (i) immediately after giving effect to any such Share Repurchase, the Borrower has an Adjusted Quick Ratio equal to or greater than 1.50:1.00, (ii) immediately after giving effect to any such Share Repurchase, the aggregate amount of the Borrower’s Qualified Cash is equal to or greater than $50,000,000, and (iii) immediately after giving effect to any such Share Repurchase, the Borrower is (A) in pro forma compliance with the Consolidated Adjusted EBITDA financial covenant contained in </w:t>
      </w:r>
      <w:r>
        <w:rPr>
          <w:rFonts w:ascii="Times New Roman" w:cs="Times New Roman" w:eastAsia="Times New Roman" w:hAnsi="Times New Roman"/>
          <w:sz w:val="20"/>
          <w:szCs w:val="20"/>
          <w:u w:val="single" w:color="auto"/>
          <w:color w:val="auto"/>
        </w:rPr>
        <w:t>Section 7.1(b)</w:t>
      </w:r>
      <w:r>
        <w:rPr>
          <w:rFonts w:ascii="Times New Roman" w:cs="Times New Roman" w:eastAsia="Times New Roman" w:hAnsi="Times New Roman"/>
          <w:sz w:val="20"/>
          <w:szCs w:val="20"/>
          <w:color w:val="auto"/>
        </w:rPr>
        <w:t xml:space="preserve"> (including for the avoidance of doubt the covenant set forth in </w:t>
      </w:r>
      <w:r>
        <w:rPr>
          <w:rFonts w:ascii="Times New Roman" w:cs="Times New Roman" w:eastAsia="Times New Roman" w:hAnsi="Times New Roman"/>
          <w:sz w:val="20"/>
          <w:szCs w:val="20"/>
          <w:u w:val="single" w:color="auto"/>
          <w:color w:val="auto"/>
        </w:rPr>
        <w:t>Section 7.1(b)</w:t>
      </w:r>
      <w:r>
        <w:rPr>
          <w:rFonts w:ascii="Times New Roman" w:cs="Times New Roman" w:eastAsia="Times New Roman" w:hAnsi="Times New Roman"/>
          <w:sz w:val="20"/>
          <w:szCs w:val="20"/>
          <w:color w:val="auto"/>
        </w:rPr>
        <w:t xml:space="preserve">, if the Borrower’s pro forma Adjusted Quick Ratio would have resulted in a Covenant Testing Period) as of the most recently ended fiscal quarter for which financial statements were required to be delivered, and (B) projected to be in compliance with the financial covenants contained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(including for the avoidance of doubt the covenant set forth in </w:t>
      </w:r>
      <w:r>
        <w:rPr>
          <w:rFonts w:ascii="Times New Roman" w:cs="Times New Roman" w:eastAsia="Times New Roman" w:hAnsi="Times New Roman"/>
          <w:sz w:val="20"/>
          <w:szCs w:val="20"/>
          <w:u w:val="single" w:color="auto"/>
          <w:color w:val="auto"/>
        </w:rPr>
        <w:t>Section 7.1(b)</w:t>
      </w:r>
      <w:r>
        <w:rPr>
          <w:rFonts w:ascii="Times New Roman" w:cs="Times New Roman" w:eastAsia="Times New Roman" w:hAnsi="Times New Roman"/>
          <w:sz w:val="20"/>
          <w:szCs w:val="20"/>
          <w:color w:val="auto"/>
        </w:rPr>
        <w:t>, if the Borrower’s pro forma Adjusted Quick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35" w:name="page136"/>
    <w:bookmarkEnd w:id="135"/>
    <w:p>
      <w:pPr>
        <w:spacing w:after="0" w:line="255" w:lineRule="auto"/>
        <w:rPr>
          <w:sz w:val="20"/>
          <w:szCs w:val="20"/>
          <w:color w:val="auto"/>
        </w:rPr>
      </w:pPr>
      <w:r>
        <w:rPr>
          <w:rFonts w:ascii="Times New Roman" w:cs="Times New Roman" w:eastAsia="Times New Roman" w:hAnsi="Times New Roman"/>
          <w:sz w:val="20"/>
          <w:szCs w:val="20"/>
          <w:color w:val="auto"/>
        </w:rPr>
        <w:t>Ratio would have resulted in a Covenant Testing Period) for the twelve (12) month period thereafter, in each case based on financial statements and projections delivered to the Administrative Agent which give effect, on a pro forma basis, to such Share Repurchase;</w:t>
      </w:r>
    </w:p>
    <w:p>
      <w:pPr>
        <w:spacing w:after="0" w:line="159" w:lineRule="exact"/>
        <w:rPr>
          <w:sz w:val="20"/>
          <w:szCs w:val="20"/>
          <w:color w:val="auto"/>
        </w:rPr>
      </w:pPr>
    </w:p>
    <w:p>
      <w:pPr>
        <w:jc w:val="both"/>
        <w:ind w:firstLine="1304"/>
        <w:spacing w:after="0" w:line="237" w:lineRule="auto"/>
        <w:tabs>
          <w:tab w:leader="none" w:pos="1857"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Group Members make payments in respect of any earn-out obligation, seller debt or deferred purchase price payments so long as immediately after giving effect to any such payment, the Borrower is in pro forma compliance with the financial covenants contained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(including for the avoidance of doubt the covenant set forth in </w:t>
      </w:r>
      <w:r>
        <w:rPr>
          <w:rFonts w:ascii="Times New Roman" w:cs="Times New Roman" w:eastAsia="Times New Roman" w:hAnsi="Times New Roman"/>
          <w:sz w:val="20"/>
          <w:szCs w:val="20"/>
          <w:u w:val="single" w:color="auto"/>
          <w:color w:val="auto"/>
        </w:rPr>
        <w:t>Section 7.1(b)</w:t>
      </w:r>
      <w:r>
        <w:rPr>
          <w:rFonts w:ascii="Times New Roman" w:cs="Times New Roman" w:eastAsia="Times New Roman" w:hAnsi="Times New Roman"/>
          <w:sz w:val="20"/>
          <w:szCs w:val="20"/>
          <w:color w:val="auto"/>
        </w:rPr>
        <w:t>, if the Borrower’s pro forma Adjusted Quick Ratio would have resulted in a Covenant Testing Period) as of the most recently ended fiscal quarter for which financial statements were required to be delivered;</w:t>
      </w:r>
    </w:p>
    <w:p>
      <w:pPr>
        <w:spacing w:after="0" w:line="173" w:lineRule="exact"/>
        <w:rPr>
          <w:rFonts w:ascii="Times New Roman" w:cs="Times New Roman" w:eastAsia="Times New Roman" w:hAnsi="Times New Roman"/>
          <w:sz w:val="20"/>
          <w:szCs w:val="20"/>
          <w:color w:val="auto"/>
        </w:rPr>
      </w:pPr>
    </w:p>
    <w:p>
      <w:pPr>
        <w:jc w:val="both"/>
        <w:ind w:firstLine="1304"/>
        <w:spacing w:after="0" w:line="234" w:lineRule="auto"/>
        <w:tabs>
          <w:tab w:leader="none" w:pos="179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Group Member may make repurchases of Capital Stock deemed to occur upon exercise of stock options or warrants if such repurchased Capital Stock represents a portion of the exercise price of such options or warrants, and (ii) each Group Member may make repurchases of Capital Stock deemed to occur upon the withholding of a portion of the Capital Stock issued, granted or awarded to a current or former officer, director, employee or consultant to pay for the taxes payable by such Person upon such issuance, grant or award (or upon vesting thereof);</w:t>
      </w:r>
    </w:p>
    <w:p>
      <w:pPr>
        <w:spacing w:after="0" w:line="188" w:lineRule="exact"/>
        <w:rPr>
          <w:rFonts w:ascii="Times New Roman" w:cs="Times New Roman" w:eastAsia="Times New Roman" w:hAnsi="Times New Roman"/>
          <w:sz w:val="20"/>
          <w:szCs w:val="20"/>
          <w:color w:val="auto"/>
        </w:rPr>
      </w:pPr>
    </w:p>
    <w:p>
      <w:pPr>
        <w:ind w:firstLine="1304"/>
        <w:spacing w:after="0" w:line="255" w:lineRule="auto"/>
        <w:tabs>
          <w:tab w:leader="none" w:pos="173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Group Member may make payments in respect of Subordinated Indebtedness solely to the extent such payment is made in accordance with </w:t>
      </w:r>
      <w:r>
        <w:rPr>
          <w:rFonts w:ascii="Times New Roman" w:cs="Times New Roman" w:eastAsia="Times New Roman" w:hAnsi="Times New Roman"/>
          <w:sz w:val="20"/>
          <w:szCs w:val="20"/>
          <w:u w:val="single" w:color="auto"/>
          <w:color w:val="auto"/>
        </w:rPr>
        <w:t>Section 7.22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304"/>
        <w:spacing w:after="0"/>
        <w:tabs>
          <w:tab w:leader="none" w:pos="178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Group Member may purchase, redeem or otherwise acquire Capital Stock issued by it solely with the proceeds received from the substantially concurrent issue of new shares of its Capital Stock (other than Disqualified Stock);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any such issuance is otherwise permitted hereunder;</w:t>
      </w:r>
    </w:p>
    <w:p>
      <w:pPr>
        <w:spacing w:after="0" w:line="174" w:lineRule="exact"/>
        <w:rPr>
          <w:rFonts w:ascii="Times New Roman" w:cs="Times New Roman" w:eastAsia="Times New Roman" w:hAnsi="Times New Roman"/>
          <w:sz w:val="20"/>
          <w:szCs w:val="20"/>
          <w:color w:val="auto"/>
        </w:rPr>
      </w:pPr>
    </w:p>
    <w:p>
      <w:pPr>
        <w:ind w:firstLine="1304"/>
        <w:spacing w:after="0" w:line="255" w:lineRule="auto"/>
        <w:tabs>
          <w:tab w:leader="none" w:pos="181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deliver its common Capital Stock upon conversion of any convertible Indebtedness having been issued by the Borrower;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Indebtedness is otherwise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83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deliver its common Capital Stock in connection with the exercise of stock options, warrants, restricted stock units or other equity awards by way of cashless exercise;</w:t>
      </w:r>
    </w:p>
    <w:p>
      <w:pPr>
        <w:spacing w:after="0" w:line="145" w:lineRule="exact"/>
        <w:rPr>
          <w:rFonts w:ascii="Times New Roman" w:cs="Times New Roman" w:eastAsia="Times New Roman" w:hAnsi="Times New Roman"/>
          <w:sz w:val="20"/>
          <w:szCs w:val="20"/>
          <w:color w:val="auto"/>
        </w:rPr>
      </w:pPr>
    </w:p>
    <w:p>
      <w:pPr>
        <w:jc w:val="both"/>
        <w:ind w:firstLine="1304"/>
        <w:spacing w:after="0" w:line="236" w:lineRule="auto"/>
        <w:tabs>
          <w:tab w:leader="none" w:pos="195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NerdWallet may pay the Investor Indebtedness in full with the proceeds of a Qualified IPO substantially contemporaneously with the receipt of such proceeds so long as such Qualified IPO results in at least $50,000,000 of proceeds, net of any underwriting discount and commissions, to the Borrower, to the extent required by the applicable Investor Indebtedness and in accordance with the terms of the Investor Subordination Agreement;</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make distributions or dividends consisting solely of its Capital Stock (other than Disqualified Stock);</w:t>
      </w:r>
    </w:p>
    <w:p>
      <w:pPr>
        <w:spacing w:after="0" w:line="1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w:t>
      </w:r>
    </w:p>
    <w:p>
      <w:pPr>
        <w:spacing w:after="0" w:line="180" w:lineRule="exact"/>
        <w:rPr>
          <w:rFonts w:ascii="Times New Roman" w:cs="Times New Roman" w:eastAsia="Times New Roman" w:hAnsi="Times New Roman"/>
          <w:sz w:val="19"/>
          <w:szCs w:val="19"/>
          <w:color w:val="auto"/>
        </w:rPr>
      </w:pPr>
    </w:p>
    <w:p>
      <w:pPr>
        <w:ind w:firstLine="1304"/>
        <w:spacing w:after="0" w:line="269" w:lineRule="auto"/>
        <w:tabs>
          <w:tab w:leader="none" w:pos="168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Group Members may make other Restricted Payments in an aggregate amount not to exceed $2,500,000 in any fiscal year of the Borrower.</w:t>
      </w:r>
    </w:p>
    <w:p>
      <w:pPr>
        <w:spacing w:after="0" w:line="14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7.7</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36" w:name="page137"/>
    <w:bookmarkEnd w:id="136"/>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7.8 Investments</w:t>
      </w:r>
      <w:r>
        <w:rPr>
          <w:rFonts w:ascii="Times New Roman" w:cs="Times New Roman" w:eastAsia="Times New Roman" w:hAnsi="Times New Roman"/>
          <w:sz w:val="20"/>
          <w:szCs w:val="20"/>
          <w:color w:val="auto"/>
        </w:rPr>
        <w:t>. Make any advance, loan, extension of credit (by way of guarantee or otherwise) or capital contribution to,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any Capital Stock, bonds, notes, debentures or other debt securities of, or any assets constituting a business unit of, or make any other investment in, any Person (all of the foregoing, “</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except:</w:t>
      </w:r>
    </w:p>
    <w:p>
      <w:pPr>
        <w:spacing w:after="0" w:line="172" w:lineRule="exact"/>
        <w:rPr>
          <w:sz w:val="20"/>
          <w:szCs w:val="20"/>
          <w:color w:val="auto"/>
        </w:rPr>
      </w:pPr>
    </w:p>
    <w:p>
      <w:pPr>
        <w:ind w:left="1720" w:hanging="416"/>
        <w:spacing w:after="0"/>
        <w:tabs>
          <w:tab w:leader="none" w:pos="172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in the ordinary course of business;</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02" w:lineRule="exact"/>
        <w:rPr>
          <w:rFonts w:ascii="Times New Roman" w:cs="Times New Roman" w:eastAsia="Times New Roman" w:hAnsi="Times New Roman"/>
          <w:sz w:val="20"/>
          <w:szCs w:val="20"/>
          <w:color w:val="auto"/>
        </w:rPr>
      </w:pPr>
    </w:p>
    <w:p>
      <w:pPr>
        <w:ind w:firstLine="1304"/>
        <w:spacing w:after="0" w:line="255" w:lineRule="auto"/>
        <w:tabs>
          <w:tab w:leader="none" w:pos="172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and Guarantee Obligations of obligations not constituting Indebtedness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1304"/>
        <w:spacing w:after="0"/>
        <w:tabs>
          <w:tab w:leader="none" w:pos="1749"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(i) travel advances and employee relocation loans and other employee loans and advances in the ordinary course of business, and (ii) loans to employees, officers or directors relating to the purchase of equity securities of the Group Members pursuant to employee stock purchase plans or agreements approved by the Borrower’s board of directors;</w:t>
      </w:r>
    </w:p>
    <w:p>
      <w:pPr>
        <w:spacing w:after="0" w:line="174"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Closing Date and set forth on </w:t>
      </w:r>
      <w:r>
        <w:rPr>
          <w:rFonts w:ascii="Times New Roman" w:cs="Times New Roman" w:eastAsia="Times New Roman" w:hAnsi="Times New Roman"/>
          <w:sz w:val="20"/>
          <w:szCs w:val="20"/>
          <w:u w:val="single" w:color="auto"/>
          <w:color w:val="auto"/>
        </w:rPr>
        <w:t>Schedule 7.8</w:t>
      </w:r>
      <w:r>
        <w:rPr>
          <w:rFonts w:ascii="Times New Roman" w:cs="Times New Roman" w:eastAsia="Times New Roman" w:hAnsi="Times New Roman"/>
          <w:sz w:val="20"/>
          <w:szCs w:val="20"/>
          <w:color w:val="auto"/>
        </w:rPr>
        <w:t xml:space="preserve"> of the Disclosure Letter;</w:t>
      </w:r>
    </w:p>
    <w:p>
      <w:pPr>
        <w:spacing w:after="0" w:line="202" w:lineRule="exact"/>
        <w:rPr>
          <w:rFonts w:ascii="Times New Roman" w:cs="Times New Roman" w:eastAsia="Times New Roman" w:hAnsi="Times New Roman"/>
          <w:sz w:val="20"/>
          <w:szCs w:val="20"/>
          <w:color w:val="auto"/>
        </w:rPr>
      </w:pPr>
    </w:p>
    <w:p>
      <w:pPr>
        <w:jc w:val="both"/>
        <w:ind w:firstLine="1304"/>
        <w:spacing w:after="0" w:line="245" w:lineRule="auto"/>
        <w:tabs>
          <w:tab w:leader="none" w:pos="1761"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intercompany Investments by (i) any Loan Party in any other Loan Party, (ii) any Group Member that is not a Loan Party in any other Group Member, (iii) any Loan Party in any Group Member that is not a Loan Party (A) to the extent (x) no Default or Event of Defaults exists or would result therefrom and (y) such Investments (valued at cost) do not exceed $5,000,000 in the aggregate for all such Investments in any fiscal year of the Borrower (or such greater amount as the Administrative Agent may agree to in its sole discretion) or (B) to the extent arising from customary cost-plus services agreements entered into in the ordinary course of business, or (iv) to the extent</w:t>
      </w:r>
    </w:p>
    <w:p>
      <w:pPr>
        <w:jc w:val="both"/>
        <w:ind w:firstLine="8"/>
        <w:spacing w:after="0" w:line="229" w:lineRule="auto"/>
        <w:tabs>
          <w:tab w:leader="none" w:pos="34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exists or would result therefrom and (B) the Borrower is in pro forma compliance with the financial covenants contained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(including for the avoidance of doubt the covenant set forth in </w:t>
      </w:r>
      <w:r>
        <w:rPr>
          <w:rFonts w:ascii="Times New Roman" w:cs="Times New Roman" w:eastAsia="Times New Roman" w:hAnsi="Times New Roman"/>
          <w:sz w:val="20"/>
          <w:szCs w:val="20"/>
          <w:u w:val="single" w:color="auto"/>
          <w:color w:val="auto"/>
        </w:rPr>
        <w:t>Section 7.1(b)</w:t>
      </w:r>
      <w:r>
        <w:rPr>
          <w:rFonts w:ascii="Times New Roman" w:cs="Times New Roman" w:eastAsia="Times New Roman" w:hAnsi="Times New Roman"/>
          <w:sz w:val="20"/>
          <w:szCs w:val="20"/>
          <w:color w:val="auto"/>
        </w:rPr>
        <w:t>, if the Borrower’s pro forma Adjusted Quick Ratio would have resulted in a Covenant Testing Period) as of the most recently ended reporting period for which financial statements were required to be delivered, any Group Member in NerdWallet Insurance Services, Inc. sufficient to ensure that NerdWallet Insurance Services, Inc. maintains sufficient funds to comply with the financial responsibility requirements applicable to it pursuant to applicable law and/or the rules and regulations of any Governmental Authority (including, for the avoidance of doubt, any amounts that the staff of such Governmental Authority indicates in writing as part of any examination or proceeding should be maintained by NerdWallet Insurance Services, Inc.);</w:t>
      </w:r>
    </w:p>
    <w:p>
      <w:pPr>
        <w:spacing w:after="0" w:line="180"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of negotiable instruments for collection or</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w:t>
      </w:r>
    </w:p>
    <w:p>
      <w:pPr>
        <w:spacing w:after="0" w:line="180"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37"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167"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7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held by any Person as of the date such Person is acquired in connection with a Permitted Acquisition,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09" w:right="339" w:bottom="1440" w:gutter="0" w:footer="0" w:header="0"/>
        </w:sectPr>
      </w:pPr>
    </w:p>
    <w:bookmarkStart w:id="137" w:name="page138"/>
    <w:bookmarkEnd w:id="137"/>
    <w:p>
      <w:pPr>
        <w:jc w:val="both"/>
        <w:ind w:firstLine="1304"/>
        <w:spacing w:after="0"/>
        <w:tabs>
          <w:tab w:leader="none" w:pos="175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exists immediately after giving effect to such Investment, in addition to Investments otherwise expressly permitted by this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any Investments in an aggregate amount not to exceed $5,000,000 in any fiscal year of NerdWallet;</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77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deposits made to secure the performance of leases, licenses or contracts in the ordinary course of business, and other deposits made in connection with the incurrence of Liens permitted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45" w:lineRule="exact"/>
        <w:rPr>
          <w:rFonts w:ascii="Times New Roman" w:cs="Times New Roman" w:eastAsia="Times New Roman" w:hAnsi="Times New Roman"/>
          <w:sz w:val="20"/>
          <w:szCs w:val="20"/>
          <w:color w:val="auto"/>
        </w:rPr>
      </w:pPr>
    </w:p>
    <w:p>
      <w:pPr>
        <w:ind w:firstLine="1304"/>
        <w:spacing w:after="0" w:line="255" w:lineRule="auto"/>
        <w:tabs>
          <w:tab w:leader="none" w:pos="177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licensing or contribution of Intellectual Property pursuant to joint marketing or joint venture arrangements with other Persons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1304"/>
        <w:spacing w:after="0"/>
        <w:tabs>
          <w:tab w:leader="none" w:pos="180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promissory notes and other non-cash consideration received in connection with Dispositions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to the extent not exceeding the limits specified therein with respect to the receipt of non-cash consideration in connection with such Dispositions; and</w:t>
      </w:r>
    </w:p>
    <w:p>
      <w:pPr>
        <w:spacing w:after="0" w:line="174"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4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exists immediately after giving effect to such Investment, Investments in joint ventures, corporate collaborations, or strategic alliances;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aggregate amount of all such Investments made in cash shall not exceed, together with Investments permitted by </w:t>
      </w:r>
      <w:r>
        <w:rPr>
          <w:rFonts w:ascii="Times New Roman" w:cs="Times New Roman" w:eastAsia="Times New Roman" w:hAnsi="Times New Roman"/>
          <w:sz w:val="20"/>
          <w:szCs w:val="20"/>
          <w:u w:val="single" w:color="auto"/>
          <w:color w:val="auto"/>
        </w:rPr>
        <w:t>Section 7.8(o)</w:t>
      </w:r>
      <w:r>
        <w:rPr>
          <w:rFonts w:ascii="Times New Roman" w:cs="Times New Roman" w:eastAsia="Times New Roman" w:hAnsi="Times New Roman"/>
          <w:sz w:val="20"/>
          <w:szCs w:val="20"/>
          <w:color w:val="auto"/>
        </w:rPr>
        <w:t>, $5,000,000 in any fiscal year of the Borrower; and</w:t>
      </w:r>
    </w:p>
    <w:p>
      <w:pPr>
        <w:spacing w:after="0" w:line="167" w:lineRule="exact"/>
        <w:rPr>
          <w:rFonts w:ascii="Times New Roman" w:cs="Times New Roman" w:eastAsia="Times New Roman" w:hAnsi="Times New Roman"/>
          <w:sz w:val="20"/>
          <w:szCs w:val="20"/>
          <w:color w:val="auto"/>
        </w:rPr>
      </w:pPr>
    </w:p>
    <w:p>
      <w:pPr>
        <w:jc w:val="both"/>
        <w:ind w:firstLine="1304"/>
        <w:spacing w:after="0"/>
        <w:tabs>
          <w:tab w:leader="none" w:pos="172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exists immediately after giving effect to such Investment, minority equity Investments in companies in similar line of business with non-U.S. operations in amounts not to exceed, together with Investments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7.8(n)</w:t>
      </w:r>
      <w:r>
        <w:rPr>
          <w:rFonts w:ascii="Times New Roman" w:cs="Times New Roman" w:eastAsia="Times New Roman" w:hAnsi="Times New Roman"/>
          <w:sz w:val="20"/>
          <w:szCs w:val="20"/>
          <w:color w:val="auto"/>
        </w:rPr>
        <w:t>, $2,500,000 in any fiscal year of the Borrower;</w:t>
      </w:r>
    </w:p>
    <w:p>
      <w:pPr>
        <w:spacing w:after="0" w:line="174"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7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with respect to each such purchase or other acquisition consummated pursuant to this </w:t>
      </w:r>
      <w:r>
        <w:rPr>
          <w:rFonts w:ascii="Times New Roman" w:cs="Times New Roman" w:eastAsia="Times New Roman" w:hAnsi="Times New Roman"/>
          <w:sz w:val="20"/>
          <w:szCs w:val="20"/>
          <w:u w:val="single" w:color="auto"/>
          <w:color w:val="auto"/>
        </w:rPr>
        <w:t>Section 7.8(p)</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952"/>
        <w:spacing w:after="0" w:line="255" w:lineRule="auto"/>
        <w:tabs>
          <w:tab w:leader="none" w:pos="2393"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newly-created or acquired Subsidiary (or assets acquired in connection with such asset sale) shall be in a business permitted by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1952"/>
        <w:spacing w:after="0" w:line="255" w:lineRule="auto"/>
        <w:tabs>
          <w:tab w:leader="none" w:pos="253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related to such purchase or acquisition shall be consummated in all material respects in accordance with all Requirements of Law;</w:t>
      </w:r>
    </w:p>
    <w:p>
      <w:pPr>
        <w:spacing w:after="0" w:line="159" w:lineRule="exact"/>
        <w:rPr>
          <w:rFonts w:ascii="Times New Roman" w:cs="Times New Roman" w:eastAsia="Times New Roman" w:hAnsi="Times New Roman"/>
          <w:sz w:val="20"/>
          <w:szCs w:val="20"/>
          <w:color w:val="auto"/>
        </w:rPr>
      </w:pPr>
    </w:p>
    <w:p>
      <w:pPr>
        <w:jc w:val="both"/>
        <w:ind w:firstLine="1952"/>
        <w:spacing w:after="0" w:line="236" w:lineRule="auto"/>
        <w:tabs>
          <w:tab w:leader="none" w:pos="245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shall, as a result of or in connection with any such purchase or acquisition, assume or incur any direct or contingent liabilities (whether relating to environmental, tax, litigation or other matters) that, as of the date of such purchase or acquisition (or in the case of a Limited Condition Acquisition, as of the LCA Test Date), could reasonably be expected to result in the existence or incurrence of a Material Adverse Effect;</w:t>
      </w:r>
    </w:p>
    <w:p>
      <w:pPr>
        <w:spacing w:after="0" w:line="188"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give the Administrative Agent at least 10 Business Days’ prior written notice of any such</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or acquisition;</w:t>
      </w:r>
    </w:p>
    <w:p>
      <w:pPr>
        <w:spacing w:after="0" w:line="180" w:lineRule="exact"/>
        <w:rPr>
          <w:rFonts w:ascii="Times New Roman" w:cs="Times New Roman" w:eastAsia="Times New Roman" w:hAnsi="Times New Roman"/>
          <w:sz w:val="20"/>
          <w:szCs w:val="20"/>
          <w:color w:val="auto"/>
        </w:rPr>
      </w:pPr>
    </w:p>
    <w:p>
      <w:pPr>
        <w:jc w:val="both"/>
        <w:ind w:firstLine="1952"/>
        <w:spacing w:after="0"/>
        <w:tabs>
          <w:tab w:leader="none" w:pos="242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provide to the Administrative Agent as soon as available but in any event not later than 5 Business Days after the execution thereof, a copy of any executed purchase agreement or similar agreement with respect to any such purchase or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13" w:right="339" w:bottom="1440" w:gutter="0" w:footer="0" w:header="0"/>
        </w:sectPr>
      </w:pPr>
    </w:p>
    <w:bookmarkStart w:id="138" w:name="page139"/>
    <w:bookmarkEnd w:id="138"/>
    <w:p>
      <w:pPr>
        <w:jc w:val="both"/>
        <w:ind w:right="20" w:firstLine="1952"/>
        <w:spacing w:after="0" w:line="259" w:lineRule="auto"/>
        <w:tabs>
          <w:tab w:leader="none" w:pos="2476"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such newly-created or acquired Subsidiary, or the Loan Party that is the acquirer of assets in connection with an asset acquisition, shall comply or be prepared to comply with the requirements of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except to the extent compliance with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is prohibited by pre-existing Contractual Obligations or Requirements of Law binding on such Subsidiary or its properties;</w:t>
      </w:r>
    </w:p>
    <w:p>
      <w:pPr>
        <w:spacing w:after="0" w:line="156" w:lineRule="exact"/>
        <w:rPr>
          <w:rFonts w:ascii="Times New Roman" w:cs="Times New Roman" w:eastAsia="Times New Roman" w:hAnsi="Times New Roman"/>
          <w:sz w:val="19"/>
          <w:szCs w:val="19"/>
          <w:color w:val="auto"/>
        </w:rPr>
      </w:pPr>
    </w:p>
    <w:p>
      <w:pPr>
        <w:jc w:val="both"/>
        <w:ind w:firstLine="1952"/>
        <w:spacing w:after="0" w:line="239" w:lineRule="auto"/>
        <w:tabs>
          <w:tab w:leader="none" w:pos="24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any such purchase or other acquisition, no Default or Event of Default shall have occurred and be continuing (other than in connection with a Limited Condition Acquisition, in which case there shall be (x) no Default or Event of Default as of the LCA Test Date and (y) no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immediately after giving effect to any such purchase or other acquisition);</w:t>
      </w:r>
    </w:p>
    <w:p>
      <w:pPr>
        <w:spacing w:after="0" w:line="177" w:lineRule="exact"/>
        <w:rPr>
          <w:rFonts w:ascii="Times New Roman" w:cs="Times New Roman" w:eastAsia="Times New Roman" w:hAnsi="Times New Roman"/>
          <w:sz w:val="20"/>
          <w:szCs w:val="20"/>
          <w:color w:val="auto"/>
        </w:rPr>
      </w:pPr>
    </w:p>
    <w:p>
      <w:pPr>
        <w:jc w:val="both"/>
        <w:ind w:firstLine="1952"/>
        <w:spacing w:after="0" w:line="231" w:lineRule="auto"/>
        <w:tabs>
          <w:tab w:leader="none" w:pos="255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immediately after giving effect to any such purchase or acquisition, the Borrower has an Adjusted Quick Ratio equal to or greater than 1.25:1.00; (B) immediately after giving effect to any such purchase or acquisition, the aggregate amount of the Borrower’s Qualified Cash is equal to or greater than $50,000,000; and (C) immediately after giving effect to any such purchase or acquisition the Borrower is (I) in pro forma compliance with the financial covenants contained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(including for the avoidance of doubt the covenant set forth in </w:t>
      </w:r>
      <w:r>
        <w:rPr>
          <w:rFonts w:ascii="Times New Roman" w:cs="Times New Roman" w:eastAsia="Times New Roman" w:hAnsi="Times New Roman"/>
          <w:sz w:val="20"/>
          <w:szCs w:val="20"/>
          <w:u w:val="single" w:color="auto"/>
          <w:color w:val="auto"/>
        </w:rPr>
        <w:t>Section 7.1(b)</w:t>
      </w:r>
      <w:r>
        <w:rPr>
          <w:rFonts w:ascii="Times New Roman" w:cs="Times New Roman" w:eastAsia="Times New Roman" w:hAnsi="Times New Roman"/>
          <w:sz w:val="20"/>
          <w:szCs w:val="20"/>
          <w:color w:val="auto"/>
        </w:rPr>
        <w:t>, if the Borrower’s pro forma Adjusted Quick Ratio would have resulted in a Covenant Testing Period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as of the most recently ended reporting period for which financial statements were required to be delivered, and (II) projected to be in compliance with the financial covenants contained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for the twelve (12) month period thereafter (including for the avoidance of doubt the covenant set forth in Section 7.1(b), if the Borrower’s pro forma Adjusted Quick Ratio would have resulted in a Covenant Testing Period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in each case, based on financial statements and projections delivered to the Administrative Agent which give effect, on a pro forma basis to such purchase or acquisition;</w:t>
      </w:r>
    </w:p>
    <w:p>
      <w:pPr>
        <w:spacing w:after="0" w:line="175" w:lineRule="exact"/>
        <w:rPr>
          <w:rFonts w:ascii="Times New Roman" w:cs="Times New Roman" w:eastAsia="Times New Roman" w:hAnsi="Times New Roman"/>
          <w:sz w:val="20"/>
          <w:szCs w:val="20"/>
          <w:color w:val="auto"/>
        </w:rPr>
      </w:pPr>
    </w:p>
    <w:p>
      <w:pPr>
        <w:jc w:val="both"/>
        <w:ind w:firstLine="1952"/>
        <w:spacing w:after="0"/>
        <w:tabs>
          <w:tab w:leader="none" w:pos="244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Permitted Acquisition with a purchase price in excess of $50,000,000, deliver at least 10 Business Days’ prior to the consummation of any such purchase or acquisition, a quality of earnings report, in form and substance acceptable to the Administrative Agent;</w:t>
      </w:r>
    </w:p>
    <w:p>
      <w:pPr>
        <w:spacing w:after="0" w:line="187" w:lineRule="exact"/>
        <w:rPr>
          <w:rFonts w:ascii="Times New Roman" w:cs="Times New Roman" w:eastAsia="Times New Roman" w:hAnsi="Times New Roman"/>
          <w:sz w:val="20"/>
          <w:szCs w:val="20"/>
          <w:color w:val="auto"/>
        </w:rPr>
      </w:pPr>
    </w:p>
    <w:p>
      <w:pPr>
        <w:ind w:firstLine="1952"/>
        <w:spacing w:after="0" w:line="255" w:lineRule="auto"/>
        <w:tabs>
          <w:tab w:leader="none" w:pos="252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Indebtedness is assumed or incurred in connection with any such purchase or acquisition other than Indebtedness permitted by the terms of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purchase or acquisition shall not constitute an Unfriendly Acquisition;</w:t>
      </w:r>
    </w:p>
    <w:p>
      <w:pPr>
        <w:spacing w:after="0" w:line="202" w:lineRule="exact"/>
        <w:rPr>
          <w:rFonts w:ascii="Times New Roman" w:cs="Times New Roman" w:eastAsia="Times New Roman" w:hAnsi="Times New Roman"/>
          <w:sz w:val="20"/>
          <w:szCs w:val="20"/>
          <w:color w:val="auto"/>
        </w:rPr>
      </w:pPr>
    </w:p>
    <w:p>
      <w:pPr>
        <w:ind w:right="20" w:firstLine="1952"/>
        <w:spacing w:after="0" w:line="255" w:lineRule="auto"/>
        <w:tabs>
          <w:tab w:leader="none" w:pos="253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required by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each such Permitted Acquisition is of a Person that becomes a Loan Party or of assets that become Collateral hereunder, except as otherwise agreed to in writing by the Administrative Agent;</w:t>
      </w:r>
    </w:p>
    <w:p>
      <w:pPr>
        <w:spacing w:after="0" w:line="159" w:lineRule="exact"/>
        <w:rPr>
          <w:rFonts w:ascii="Times New Roman" w:cs="Times New Roman" w:eastAsia="Times New Roman" w:hAnsi="Times New Roman"/>
          <w:sz w:val="20"/>
          <w:szCs w:val="20"/>
          <w:color w:val="auto"/>
        </w:rPr>
      </w:pPr>
    </w:p>
    <w:p>
      <w:pPr>
        <w:ind w:left="2540" w:hanging="588"/>
        <w:spacing w:after="0"/>
        <w:tabs>
          <w:tab w:leader="none" w:pos="25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merger involving the Borrower, the Borrower is the sole surviving entity;</w:t>
      </w:r>
    </w:p>
    <w:p>
      <w:pPr>
        <w:spacing w:after="0" w:line="202" w:lineRule="exact"/>
        <w:rPr>
          <w:rFonts w:ascii="Times New Roman" w:cs="Times New Roman" w:eastAsia="Times New Roman" w:hAnsi="Times New Roman"/>
          <w:sz w:val="20"/>
          <w:szCs w:val="20"/>
          <w:color w:val="auto"/>
        </w:rPr>
      </w:pPr>
    </w:p>
    <w:p>
      <w:pPr>
        <w:ind w:firstLine="1952"/>
        <w:spacing w:after="0" w:line="255" w:lineRule="auto"/>
        <w:tabs>
          <w:tab w:leader="none" w:pos="264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Permitted Acquisition shall only involve assets or entities located in the United States, the United Kingdom, Canada or Australia (unless the Administrative Agent otherwise consents, in its reasonable discretion); and</w:t>
      </w:r>
    </w:p>
    <w:p>
      <w:pPr>
        <w:spacing w:after="0" w:line="172" w:lineRule="exact"/>
        <w:rPr>
          <w:rFonts w:ascii="Times New Roman" w:cs="Times New Roman" w:eastAsia="Times New Roman" w:hAnsi="Times New Roman"/>
          <w:sz w:val="20"/>
          <w:szCs w:val="20"/>
          <w:color w:val="auto"/>
        </w:rPr>
      </w:pPr>
    </w:p>
    <w:p>
      <w:pPr>
        <w:jc w:val="both"/>
        <w:ind w:firstLine="1952"/>
        <w:spacing w:after="0" w:line="234" w:lineRule="auto"/>
        <w:tabs>
          <w:tab w:leader="none" w:pos="251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at least 5 Business Days prior to the date on which any such purchase or other acquisition is to be consummated (or such later date as is agreed by the Administrative Agent in its sole discretion), a certificate of a Responsible Officer of the Borrower, in form and substance reasonably satisfactory to the Administrative Agent, certifying that all of the requirements set forth in this definition have been satisfied or will be satisfied on or prior to the consummation of such purchase or other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13"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20"/>
          <w:szCs w:val="20"/>
          <w:color w:val="auto"/>
        </w:rPr>
        <w:t>Notwithstanding anything herein to the contrary, no Group Member shall consummate an Unfriendly Acquisition.</w:t>
      </w:r>
    </w:p>
    <w:p>
      <w:pPr>
        <w:spacing w:after="0" w:line="198"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auto"/>
        </w:rPr>
        <w:t>7.9 ERISA</w:t>
      </w:r>
      <w:r>
        <w:rPr>
          <w:rFonts w:ascii="Times New Roman" w:cs="Times New Roman" w:eastAsia="Times New Roman" w:hAnsi="Times New Roman"/>
          <w:sz w:val="20"/>
          <w:szCs w:val="20"/>
          <w:color w:val="auto"/>
        </w:rPr>
        <w:t>. The Borrower shall not, and shall not permit any of its ERISA Affiliates to: (a) terminate any Pension Plan so as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in any material liability to the Borrower or any ERISA Affiliate, (b) permit to exist any ERISA Event, or any other event or condition, which presents the risk of a material liability to any ERISA Affiliate, (c) make a complete or partial withdrawal (within the meaning of ERISA Section 4201) from any Multiemployer Plan so as to result in any material liability to the Borrower or any ERISA Affiliate, (d) enter into any new Pension Plan or Multiemployer Plan or modify any existing Pension Plan or Multiemployer Plan so as to increase its obligations thereunder which could be reasonably likely to result in material liability to any ERISA Affiliate or permit the present value of all nonforfeitable accrued benefits under any Pension Plan (using the actuarial assumptions utilized by the PBGC upon termination of a Plan) materially to exceed the fair market value of Pension Plan assets allocable to such benefits, all determined as of the most recent valuation date for each such Pension Plan, or (e)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Section 406 of ERISA or Section 4975 of the Code with respect to a Plan, except, in the case of each of the foregoing clauses, to the extent that failure to comply therewith could not reasonably be expected to have a Material Adverse Effect.</w:t>
      </w:r>
    </w:p>
    <w:p>
      <w:pPr>
        <w:spacing w:after="0" w:line="17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auto"/>
        </w:rPr>
        <w:t>7.10 Optional Payments and Modifications of Certain Preferred Stock</w:t>
      </w:r>
      <w:r>
        <w:rPr>
          <w:rFonts w:ascii="Times New Roman" w:cs="Times New Roman" w:eastAsia="Times New Roman" w:hAnsi="Times New Roman"/>
          <w:sz w:val="20"/>
          <w:szCs w:val="20"/>
          <w:color w:val="auto"/>
        </w:rPr>
        <w:t>. Amend, modify, waive or otherwise change, or consent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agree to any amendment, modification, waiver or other change to, any of the terms of the Preferred Stock (a) that would move to an earlier date the scheduled redemption date (but only to the extent that moving any such scheduled redemption date would result in the redemption to be prior to 91 days after the Revolving Termination Date) or increase the amount of any scheduled redemption payment or increase the rate or move to an earlier date any date for payment of dividends thereon or (b) that could reasonably be expected to be otherwise materially adverse to any Lender or any other Secured Party.</w:t>
      </w:r>
    </w:p>
    <w:p>
      <w:pPr>
        <w:spacing w:after="0" w:line="18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auto"/>
        </w:rPr>
        <w:t>7.11 Transactions with Affiliates</w:t>
      </w:r>
      <w:r>
        <w:rPr>
          <w:rFonts w:ascii="Times New Roman" w:cs="Times New Roman" w:eastAsia="Times New Roman" w:hAnsi="Times New Roman"/>
          <w:sz w:val="20"/>
          <w:szCs w:val="20"/>
          <w:color w:val="auto"/>
        </w:rPr>
        <w:t>. Directly or indirectly enter into or permit to exist any material transaction with any Affiliate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 Loan Party except for (a) transactions between Loan Parties not otherwise restricted hereunder, (b) transactions permitted by </w:t>
      </w:r>
      <w:r>
        <w:rPr>
          <w:rFonts w:ascii="Times New Roman" w:cs="Times New Roman" w:eastAsia="Times New Roman" w:hAnsi="Times New Roman"/>
          <w:sz w:val="20"/>
          <w:szCs w:val="20"/>
          <w:u w:val="single" w:color="auto"/>
          <w:color w:val="auto"/>
        </w:rPr>
        <w:t>Sections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7.8</w:t>
      </w:r>
      <w:r>
        <w:rPr>
          <w:rFonts w:ascii="Times New Roman" w:cs="Times New Roman" w:eastAsia="Times New Roman" w:hAnsi="Times New Roman"/>
          <w:sz w:val="20"/>
          <w:szCs w:val="20"/>
          <w:color w:val="auto"/>
        </w:rPr>
        <w:t xml:space="preserve"> hereof, (c) transactions that are in the ordinary course of such Loan Party’s business, upon fair and reasonable terms that are no less favorable to such Loan Party than would be obtained in an arm’s length transaction with a non-affiliated Person, (d) reasonable and customary indemnification arrangements, employee benefits, compensation arrangements (including equity-based compensation and bonuses), and reimbursement of expenses of employees, consultants, officers, and directors, in each case, approved by the board of directors or management of a Group Member, or (e) equity (other than Disqualified Stock) or debt financings with the Borrower’s investors so long as any such debt financings constitute Subordinated Indebtedness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7.12 Sale Leaseback Transactions</w:t>
      </w:r>
      <w:r>
        <w:rPr>
          <w:rFonts w:ascii="Times New Roman" w:cs="Times New Roman" w:eastAsia="Times New Roman" w:hAnsi="Times New Roman"/>
          <w:sz w:val="20"/>
          <w:szCs w:val="20"/>
          <w:color w:val="auto"/>
        </w:rPr>
        <w:t>. Enter into any Sale Leaseback Transaction, except in connection with transactions that would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permitted under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7.13 Swap Agreements</w:t>
      </w:r>
      <w:r>
        <w:rPr>
          <w:rFonts w:ascii="Times New Roman" w:cs="Times New Roman" w:eastAsia="Times New Roman" w:hAnsi="Times New Roman"/>
          <w:sz w:val="20"/>
          <w:szCs w:val="20"/>
          <w:color w:val="auto"/>
        </w:rPr>
        <w:t>. Enter into any Swap Agreement, except Specified Swap Agreements which are entered into by a Group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to (a) hedge or mitigate risks to which such Group Member has actual exposure, or (b) effectively cap, collar or exchange interest rates (from fixed to floating rates, from one floating rate to another floating rate or otherwise) with respect to any interest-bearing liability or investment of such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40" w:name="page141"/>
    <w:bookmarkEnd w:id="140"/>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7.14 Accounting Changes</w:t>
      </w:r>
      <w:r>
        <w:rPr>
          <w:rFonts w:ascii="Times New Roman" w:cs="Times New Roman" w:eastAsia="Times New Roman" w:hAnsi="Times New Roman"/>
          <w:sz w:val="20"/>
          <w:szCs w:val="20"/>
          <w:color w:val="auto"/>
        </w:rPr>
        <w:t>. Make any change in its (a) accounting policies or reporting practices, except as required or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GAAP, or (b) fiscal year, in each case, without the prior written consent of the Administrative Agent (such consent not to be unreasonably withheld or delayed).</w:t>
      </w:r>
    </w:p>
    <w:p>
      <w:pPr>
        <w:spacing w:after="0" w:line="16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b w:val="1"/>
          <w:bCs w:val="1"/>
          <w:color w:val="auto"/>
        </w:rPr>
        <w:t>7.15 Negative Pledge Clauses</w:t>
      </w:r>
      <w:r>
        <w:rPr>
          <w:rFonts w:ascii="Times New Roman" w:cs="Times New Roman" w:eastAsia="Times New Roman" w:hAnsi="Times New Roman"/>
          <w:sz w:val="20"/>
          <w:szCs w:val="20"/>
          <w:color w:val="auto"/>
        </w:rPr>
        <w:t>. Enter into or suffer to exist or become effective any agreement that prohibits or limits the ability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Loan Party to create, incur, assume or suffer to exist any Lien upon any of its property or revenues, whether now owned or hereafter acquired, to secure its Obligations under the Loan Documents to which it is a party, other than (a) this Agreement and the other Loan Documents, and (b) pursuant to agreements entered into in accordance with </w:t>
      </w:r>
      <w:r>
        <w:rPr>
          <w:rFonts w:ascii="Times New Roman" w:cs="Times New Roman" w:eastAsia="Times New Roman" w:hAnsi="Times New Roman"/>
          <w:sz w:val="20"/>
          <w:szCs w:val="20"/>
          <w:u w:val="single" w:color="auto"/>
          <w:color w:val="auto"/>
        </w:rPr>
        <w:t>Sections 7.2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9"/>
          <w:szCs w:val="19"/>
          <w:b w:val="1"/>
          <w:bCs w:val="1"/>
          <w:color w:val="auto"/>
        </w:rPr>
        <w:t>7.16 Clauses Restricting Subsidiary Distributions</w:t>
      </w:r>
      <w:r>
        <w:rPr>
          <w:rFonts w:ascii="Times New Roman" w:cs="Times New Roman" w:eastAsia="Times New Roman" w:hAnsi="Times New Roman"/>
          <w:sz w:val="19"/>
          <w:szCs w:val="19"/>
          <w:color w:val="auto"/>
        </w:rPr>
        <w:t>. Enter into or suffer to exist or become effective any consensual encumbrance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restriction on the ability of any Subsidiary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 (v) any agreement in effect at the time any Subsidiary becomes a Subsidiary of a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is not as a whole materially less favorable to such Subsidiary, (vi) restrictions under any Subordinated Debt Documents, (vii) restrictions on the transfer of any asset pending the close of the sale of such asset and customary restrictions contained in purchase agreements and acquisition agreements (including by way of merger, acquisition or consolidation), to the extent in effect pending the consummation of such transaction, (viii) customary net worth provisions or similar financial maintenance provisions contained in real property leases entered into by a Foreign Subsidiary, so long as the Borrower has determined in good faith that such net worth provisions could not reasonably be expected to impair the ability of the Group Members to meet their ongoing obligations under the Loan Documents,</w:t>
      </w:r>
    </w:p>
    <w:p>
      <w:pPr>
        <w:spacing w:after="0" w:line="8" w:lineRule="exact"/>
        <w:rPr>
          <w:sz w:val="20"/>
          <w:szCs w:val="20"/>
          <w:color w:val="auto"/>
        </w:rPr>
      </w:pPr>
    </w:p>
    <w:p>
      <w:pPr>
        <w:jc w:val="both"/>
        <w:ind w:firstLine="8"/>
        <w:spacing w:after="0" w:line="232" w:lineRule="auto"/>
        <w:tabs>
          <w:tab w:leader="none" w:pos="349"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applicable law, (x) restrictions on cash or other deposits or net worth imposed under agreements entered into in the ordinary course of business, (xi) provisions in joint venture agreements and other similar agreements (including equity holder agreements) relating to such joint venture or its members or entered into in the ordinary course of business, (xii) Requirements of Law applicable to a Foreign Subsidiary prohibiting or restricting the applicable Foreign Subsidiary from making Restricted Payments to the Borrower, or (xiii) any restriction pursuant to any document, agreement or instrument governing or relating to any Lien permitted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7.17 Lines of Business</w:t>
      </w:r>
      <w:r>
        <w:rPr>
          <w:rFonts w:ascii="Times New Roman" w:cs="Times New Roman" w:eastAsia="Times New Roman" w:hAnsi="Times New Roman"/>
          <w:sz w:val="20"/>
          <w:szCs w:val="20"/>
          <w:color w:val="auto"/>
        </w:rPr>
        <w:t>. Enter into any business, either directly or through any Subsidiary, except for those businesses in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Members are engaged on the date of this Agreement or that are reasonably related, ancillary or incidental thereto.</w:t>
      </w:r>
    </w:p>
    <w:p>
      <w:pPr>
        <w:spacing w:after="0" w:line="15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7.18 Designation of other Indebtedness</w:t>
      </w:r>
      <w:r>
        <w:rPr>
          <w:rFonts w:ascii="Times New Roman" w:cs="Times New Roman" w:eastAsia="Times New Roman" w:hAnsi="Times New Roman"/>
          <w:sz w:val="20"/>
          <w:szCs w:val="20"/>
          <w:color w:val="auto"/>
        </w:rPr>
        <w:t>. Designate any Indebtedness or indebtedness other than the Obligations as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Senior Indebtedness” or a similar concept thereto, if applicable.</w:t>
      </w:r>
    </w:p>
    <w:p>
      <w:pPr>
        <w:spacing w:after="0" w:line="1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7.19</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09" w:right="339" w:bottom="1440" w:gutter="0" w:footer="0" w:header="0"/>
        </w:sectPr>
      </w:pPr>
    </w:p>
    <w:bookmarkStart w:id="141" w:name="page142"/>
    <w:bookmarkEnd w:id="141"/>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7.20 Amendments to Operating Documents and Material Contracts</w:t>
      </w:r>
      <w:r>
        <w:rPr>
          <w:rFonts w:ascii="Times New Roman" w:cs="Times New Roman" w:eastAsia="Times New Roman" w:hAnsi="Times New Roman"/>
          <w:sz w:val="20"/>
          <w:szCs w:val="20"/>
          <w:color w:val="auto"/>
        </w:rPr>
        <w:t>. (a) Amend or permit any amendments to any Loan Party’s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organizational documents if such amendment, termination, or waiver would be adverse to the Administrative Agent or the Lenders in any material respect; or (b) amend or permit any amendments to, or terminate or waive any provision of, any material Contractual Obligation if such amendment, termination or waiver could reasonably be expected to result in a Material Adverse Effect.</w:t>
      </w:r>
    </w:p>
    <w:p>
      <w:pPr>
        <w:spacing w:after="0" w:line="18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auto"/>
        </w:rPr>
        <w:t>7.21 Use of Proceeds</w:t>
      </w:r>
      <w:r>
        <w:rPr>
          <w:rFonts w:ascii="Times New Roman" w:cs="Times New Roman" w:eastAsia="Times New Roman" w:hAnsi="Times New Roman"/>
          <w:sz w:val="20"/>
          <w:szCs w:val="20"/>
          <w:color w:val="auto"/>
        </w:rPr>
        <w:t>. Use the proceeds of any Loan or extension of credit hereunder, whether directly or indirectly, and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Unfriendly Acquisition;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Lender, Swingline Lender, or otherwise) of Sanctions (or lend, contribute or otherwise make available such proceeds to any Subsidiary, joint venture partner or other individual or entity in violation of the foregoing); or (d) for any purpose which would breach the United States Foreign Corrupt Practices Act of 1977, the UK Bribery Act 2010, or other similar legislation in other jurisdictions.</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7.22</w:t>
      </w:r>
      <w:r>
        <w:rPr>
          <w:sz w:val="20"/>
          <w:szCs w:val="20"/>
          <w:color w:val="auto"/>
        </w:rPr>
        <w:tab/>
      </w:r>
      <w:r>
        <w:rPr>
          <w:rFonts w:ascii="Times New Roman" w:cs="Times New Roman" w:eastAsia="Times New Roman" w:hAnsi="Times New Roman"/>
          <w:sz w:val="19"/>
          <w:szCs w:val="19"/>
          <w:b w:val="1"/>
          <w:bCs w:val="1"/>
          <w:color w:val="auto"/>
        </w:rPr>
        <w:t>Subordinated Indebtedness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tabs>
          <w:tab w:leader="none" w:pos="195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Amend, modify, supplement, waive compliance with, or consent to noncompliance with, any Subordinated Debt Document, unless the amendment, modification, supplement, waiver or consent is in compliance with the subordination provisions therein and any subordination agreement with respect thereto in favor of the Administrative Agent and the Lenders.</w:t>
      </w:r>
    </w:p>
    <w:p>
      <w:pPr>
        <w:spacing w:after="0" w:line="174" w:lineRule="exact"/>
        <w:rPr>
          <w:rFonts w:ascii="Times New Roman" w:cs="Times New Roman" w:eastAsia="Times New Roman" w:hAnsi="Times New Roman"/>
          <w:sz w:val="20"/>
          <w:szCs w:val="20"/>
          <w:color w:val="auto"/>
        </w:rPr>
      </w:pPr>
    </w:p>
    <w:p>
      <w:pPr>
        <w:jc w:val="both"/>
        <w:ind w:firstLine="1304"/>
        <w:spacing w:after="0" w:line="239" w:lineRule="auto"/>
        <w:tabs>
          <w:tab w:leader="none" w:pos="1886"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Make any payment (including any interest payment, other than paid-in-kind interest), prepayment or repayment on, redemption, exchange or acquisition for value of, any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w:t>
      </w:r>
    </w:p>
    <w:p>
      <w:pPr>
        <w:spacing w:after="0" w:line="17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b w:val="1"/>
          <w:bCs w:val="1"/>
          <w:color w:val="auto"/>
        </w:rPr>
        <w:t>7.23 Anti-Terrorism Laws</w:t>
      </w:r>
      <w:r>
        <w:rPr>
          <w:rFonts w:ascii="Times New Roman" w:cs="Times New Roman" w:eastAsia="Times New Roman" w:hAnsi="Times New Roman"/>
          <w:sz w:val="20"/>
          <w:szCs w:val="20"/>
          <w:color w:val="auto"/>
        </w:rPr>
        <w:t>. Conduct, deal in or engage in or permit any Affiliate or agent of any Loan Party within its control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 deal in or engage in any of the following activities: (a) conduct any business or engage in any transaction or dealing with any person blocked pursuant to Executive Order No. 13224 (a “</w:t>
      </w:r>
      <w:r>
        <w:rPr>
          <w:rFonts w:ascii="Times New Roman" w:cs="Times New Roman" w:eastAsia="Times New Roman" w:hAnsi="Times New Roman"/>
          <w:sz w:val="20"/>
          <w:szCs w:val="20"/>
          <w:b w:val="1"/>
          <w:bCs w:val="1"/>
          <w:i w:val="1"/>
          <w:iCs w:val="1"/>
          <w:color w:val="auto"/>
        </w:rPr>
        <w:t>Blocked Person</w:t>
      </w:r>
      <w:r>
        <w:rPr>
          <w:rFonts w:ascii="Times New Roman" w:cs="Times New Roman" w:eastAsia="Times New Roman" w:hAnsi="Times New Roman"/>
          <w:sz w:val="20"/>
          <w:szCs w:val="20"/>
          <w:color w:val="auto"/>
        </w:rPr>
        <w:t>”), including the making or receiving of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8</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 The occurrence of any of the following shall constitute an Event of Default:</w:t>
      </w:r>
    </w:p>
    <w:p>
      <w:pPr>
        <w:spacing w:after="0" w:line="206" w:lineRule="exact"/>
        <w:rPr>
          <w:sz w:val="20"/>
          <w:szCs w:val="20"/>
          <w:color w:val="auto"/>
        </w:rPr>
      </w:pPr>
    </w:p>
    <w:p>
      <w:pPr>
        <w:ind w:right="20" w:firstLine="1304"/>
        <w:spacing w:after="0" w:line="255" w:lineRule="auto"/>
        <w:tabs>
          <w:tab w:leader="none" w:pos="175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amount of principal of any Loan when due in accordance with the terms hereof; or the Borrower shall fail to pay any amount of interest on any Loan,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09" w:right="339" w:bottom="1440" w:gutter="0" w:footer="0" w:header="0"/>
        </w:sectPr>
      </w:pPr>
    </w:p>
    <w:bookmarkStart w:id="142" w:name="page143"/>
    <w:bookmarkEnd w:id="142"/>
    <w:p>
      <w:pPr>
        <w:spacing w:after="0" w:line="255" w:lineRule="auto"/>
        <w:rPr>
          <w:sz w:val="20"/>
          <w:szCs w:val="20"/>
          <w:color w:val="auto"/>
        </w:rPr>
      </w:pPr>
      <w:r>
        <w:rPr>
          <w:rFonts w:ascii="Times New Roman" w:cs="Times New Roman" w:eastAsia="Times New Roman" w:hAnsi="Times New Roman"/>
          <w:sz w:val="20"/>
          <w:szCs w:val="20"/>
          <w:color w:val="auto"/>
        </w:rPr>
        <w:t>any other amount payable hereunder or under any other Loan Document, within 3 Business Days after any such interest or other amount becomes due in accordance with the terms hereof; or</w:t>
      </w:r>
    </w:p>
    <w:p>
      <w:pPr>
        <w:spacing w:after="0" w:line="159" w:lineRule="exact"/>
        <w:rPr>
          <w:sz w:val="20"/>
          <w:szCs w:val="20"/>
          <w:color w:val="auto"/>
        </w:rPr>
      </w:pPr>
    </w:p>
    <w:p>
      <w:pPr>
        <w:jc w:val="both"/>
        <w:ind w:firstLine="1304"/>
        <w:spacing w:after="0" w:line="237" w:lineRule="auto"/>
        <w:tabs>
          <w:tab w:leader="none" w:pos="174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w:t>
      </w:r>
    </w:p>
    <w:p>
      <w:pPr>
        <w:spacing w:after="0" w:line="2"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 qualified by materiality, shall be incorrect or misleading in any material respect when made or deemed made; or</w:t>
      </w:r>
    </w:p>
    <w:p>
      <w:pPr>
        <w:spacing w:after="0" w:line="180" w:lineRule="exact"/>
        <w:rPr>
          <w:rFonts w:ascii="Times New Roman" w:cs="Times New Roman" w:eastAsia="Times New Roman" w:hAnsi="Times New Roman"/>
          <w:sz w:val="20"/>
          <w:szCs w:val="20"/>
          <w:color w:val="auto"/>
        </w:rPr>
      </w:pPr>
    </w:p>
    <w:p>
      <w:pPr>
        <w:jc w:val="both"/>
        <w:ind w:firstLine="1304"/>
        <w:spacing w:after="0"/>
        <w:tabs>
          <w:tab w:leader="none" w:pos="175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Loan Party shall default in the observance or performance of any agreement contained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 xml:space="preserve">, clause (i) or (ii) of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or (ii) an “Event of Default” under and as defined in any Security Document shall have occurred and be continuing; or</w:t>
      </w:r>
    </w:p>
    <w:p>
      <w:pPr>
        <w:spacing w:after="0" w:line="174" w:lineRule="exact"/>
        <w:rPr>
          <w:rFonts w:ascii="Times New Roman" w:cs="Times New Roman" w:eastAsia="Times New Roman" w:hAnsi="Times New Roman"/>
          <w:sz w:val="20"/>
          <w:szCs w:val="20"/>
          <w:color w:val="auto"/>
        </w:rPr>
      </w:pPr>
    </w:p>
    <w:p>
      <w:pPr>
        <w:jc w:val="both"/>
        <w:ind w:firstLine="1304"/>
        <w:spacing w:after="0" w:line="233" w:lineRule="auto"/>
        <w:tabs>
          <w:tab w:leader="none" w:pos="1759"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default in the observance or performance of any other agreement contained in this Agreement or any other Loan Document (other than as provided in paragraphs (a) through (c)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and such default shall continue unremedied for a period of 15 Business Days thereafter;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that if the default cannot by its nature be cured within the 15 Business Days or cannot after diligent attempts by the applicable Loan Party be cured within such 15 Business Days period, and such default is likely to be cured within a reasonable time, then such Loan Party shall have an additional period (which shall not in any case exceed 45 days) to attempt to cure such default), and within such reasonable time period the failure to cure the default shall not be deemed an Event of Default (but no Revolving Extensions of Credit shall be made during such cure period); or</w:t>
      </w:r>
    </w:p>
    <w:p>
      <w:pPr>
        <w:spacing w:after="0" w:line="178" w:lineRule="exact"/>
        <w:rPr>
          <w:rFonts w:ascii="Times New Roman" w:cs="Times New Roman" w:eastAsia="Times New Roman" w:hAnsi="Times New Roman"/>
          <w:sz w:val="20"/>
          <w:szCs w:val="20"/>
          <w:color w:val="auto"/>
        </w:rPr>
      </w:pPr>
    </w:p>
    <w:p>
      <w:pPr>
        <w:jc w:val="both"/>
        <w:ind w:firstLine="1304"/>
        <w:spacing w:after="0" w:line="229" w:lineRule="auto"/>
        <w:tabs>
          <w:tab w:leader="none" w:pos="1772"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Group Member shall (A) default in making any payment of any principal of any Indebtedness (including any Guarantee Obligation, but excluding the Loans) on the scheduled or original due date with respect thereto;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redeem, mandatorily prepay or make an offer to purchase, redeem or mandatorily prepay such Indebtedness prior to its stated maturity;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a default, event or condition described in clauses (i)(A), (B), (C), or (D) of this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shall not at any time constitute an Event of Default unless, at such time, one or more defaults, events or conditions of the type described in any of clauses (i)(A), (B), (C), or (D) of this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shall have occurred with respect to Indebtedness, the outstanding principal amount (and, in the case of Swap Agreements, the Swap Termination Value) of which, individually or in the aggregate for all such Indebtedness, exceeds $5,000,000; or (ii) any default or event of default (however designated) shall occur with respect to any Subordinated Indebtedness of any Group Member (after any applicable grace period (but excluding any standstill or similar period) and to the extent not waived); or</w:t>
      </w:r>
    </w:p>
    <w:p>
      <w:pPr>
        <w:spacing w:after="0" w:line="177" w:lineRule="exact"/>
        <w:rPr>
          <w:rFonts w:ascii="Times New Roman" w:cs="Times New Roman" w:eastAsia="Times New Roman" w:hAnsi="Times New Roman"/>
          <w:sz w:val="20"/>
          <w:szCs w:val="20"/>
          <w:color w:val="auto"/>
        </w:rPr>
      </w:pPr>
    </w:p>
    <w:p>
      <w:pPr>
        <w:ind w:firstLine="1304"/>
        <w:spacing w:after="0" w:line="269" w:lineRule="auto"/>
        <w:tabs>
          <w:tab w:leader="none" w:pos="1692"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shall commence any case, proceeding or other action (a) under any Debtor Relief Law seeking to have an order for relief entered with respect to it, or seeking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143" w:name="page144"/>
    <w:bookmarkEnd w:id="143"/>
    <w:p>
      <w:pPr>
        <w:jc w:val="both"/>
        <w:spacing w:after="0" w:line="245" w:lineRule="auto"/>
        <w:rPr>
          <w:sz w:val="20"/>
          <w:szCs w:val="20"/>
          <w:color w:val="auto"/>
        </w:rPr>
      </w:pPr>
      <w:r>
        <w:rPr>
          <w:rFonts w:ascii="Times New Roman" w:cs="Times New Roman" w:eastAsia="Times New Roman" w:hAnsi="Times New Roman"/>
          <w:sz w:val="19"/>
          <w:szCs w:val="19"/>
          <w:color w:val="auto"/>
        </w:rPr>
        <w:t>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shall make a general assignment for the benefit of its creditors; or</w:t>
      </w:r>
    </w:p>
    <w:p>
      <w:pPr>
        <w:ind w:left="300" w:hanging="292"/>
        <w:spacing w:after="0"/>
        <w:tabs>
          <w:tab w:leader="none" w:pos="30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commenced against any Group Member any case, proceeding or other action of a nature referred to in clause (i) above that</w:t>
      </w:r>
    </w:p>
    <w:p>
      <w:pPr>
        <w:jc w:val="both"/>
        <w:ind w:right="20" w:firstLine="8"/>
        <w:spacing w:after="0" w:line="225" w:lineRule="auto"/>
        <w:tabs>
          <w:tab w:leader="none" w:pos="28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in the entry of an order for relief or any such adjudication or appointment or (y) remains undismissed, undischarged or unbonded for a period of 60 days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during such 60 day period, no Loan shall be advanced or Letters of Credit issued hereunder); or</w:t>
      </w:r>
    </w:p>
    <w:p>
      <w:pPr>
        <w:jc w:val="both"/>
        <w:ind w:firstLine="8"/>
        <w:spacing w:after="0" w:line="241" w:lineRule="auto"/>
        <w:tabs>
          <w:tab w:leader="none" w:pos="353"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during such 60 day period, no Loan shall be advanced or Letters of Credit issued hereunder);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w:t>
      </w:r>
    </w:p>
    <w:p>
      <w:pPr>
        <w:spacing w:after="0" w:line="187" w:lineRule="exact"/>
        <w:rPr>
          <w:rFonts w:ascii="Times New Roman" w:cs="Times New Roman" w:eastAsia="Times New Roman" w:hAnsi="Times New Roman"/>
          <w:sz w:val="19"/>
          <w:szCs w:val="19"/>
          <w:color w:val="auto"/>
        </w:rPr>
      </w:pPr>
    </w:p>
    <w:p>
      <w:pPr>
        <w:jc w:val="both"/>
        <w:ind w:firstLine="1304"/>
        <w:spacing w:after="0" w:line="234" w:lineRule="auto"/>
        <w:tabs>
          <w:tab w:leader="none" w:pos="1736"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occur one or more ERISA Events which individually or in the aggregate results in or otherwise is associated with liability of any Loan Party or any ERISA Affiliate thereof in excess of $5,000,000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$5,000,000; or</w:t>
      </w:r>
    </w:p>
    <w:p>
      <w:pPr>
        <w:spacing w:after="0" w:line="174" w:lineRule="exact"/>
        <w:rPr>
          <w:rFonts w:ascii="Times New Roman" w:cs="Times New Roman" w:eastAsia="Times New Roman" w:hAnsi="Times New Roman"/>
          <w:sz w:val="20"/>
          <w:szCs w:val="20"/>
          <w:color w:val="auto"/>
        </w:rPr>
      </w:pPr>
    </w:p>
    <w:p>
      <w:pPr>
        <w:jc w:val="both"/>
        <w:ind w:firstLine="1304"/>
        <w:spacing w:after="0" w:line="235" w:lineRule="auto"/>
        <w:tabs>
          <w:tab w:leader="none" w:pos="1844"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entered against any Group Member (i) one or more final judgments or orders for the payment of money involving in the aggregate a liability (not paid or fully covered by insurance as to which the relevant insurance company has acknowledged coverage) of $5,000,000 or more, or (ii) one or more non-monetary final judgments that have, or would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60 days from the entry thereof; or</w:t>
      </w:r>
    </w:p>
    <w:p>
      <w:pPr>
        <w:spacing w:after="0" w:line="174" w:lineRule="exact"/>
        <w:rPr>
          <w:rFonts w:ascii="Times New Roman" w:cs="Times New Roman" w:eastAsia="Times New Roman" w:hAnsi="Times New Roman"/>
          <w:sz w:val="20"/>
          <w:szCs w:val="20"/>
          <w:color w:val="auto"/>
        </w:rPr>
      </w:pPr>
    </w:p>
    <w:p>
      <w:pPr>
        <w:jc w:val="both"/>
        <w:ind w:firstLine="1304"/>
        <w:spacing w:after="0"/>
        <w:tabs>
          <w:tab w:leader="none" w:pos="1699"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or</w:t>
      </w:r>
    </w:p>
    <w:p>
      <w:pPr>
        <w:spacing w:after="0" w:line="174" w:lineRule="exact"/>
        <w:rPr>
          <w:rFonts w:ascii="Times New Roman" w:cs="Times New Roman" w:eastAsia="Times New Roman" w:hAnsi="Times New Roman"/>
          <w:sz w:val="20"/>
          <w:szCs w:val="20"/>
          <w:color w:val="auto"/>
        </w:rPr>
      </w:pPr>
    </w:p>
    <w:p>
      <w:pPr>
        <w:ind w:firstLine="1952"/>
        <w:spacing w:after="0" w:line="255" w:lineRule="auto"/>
        <w:tabs>
          <w:tab w:leader="none" w:pos="2489" w:val="left"/>
        </w:tabs>
        <w:numPr>
          <w:ilvl w:val="2"/>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court order enjoins, restrains or prevents a Loan Party from conducting all or any material part of its business for more than seven consecutive Business Days; or</w:t>
      </w:r>
    </w:p>
    <w:p>
      <w:pPr>
        <w:spacing w:after="0" w:line="172" w:lineRule="exact"/>
        <w:rPr>
          <w:rFonts w:ascii="Times New Roman" w:cs="Times New Roman" w:eastAsia="Times New Roman" w:hAnsi="Times New Roman"/>
          <w:sz w:val="20"/>
          <w:szCs w:val="20"/>
          <w:color w:val="auto"/>
        </w:rPr>
      </w:pPr>
    </w:p>
    <w:p>
      <w:pPr>
        <w:ind w:firstLine="1304"/>
        <w:spacing w:after="0" w:line="255" w:lineRule="auto"/>
        <w:tabs>
          <w:tab w:leader="none" w:pos="1692"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in Section 2 of the Guarantee and Collateral Agreement shall cease, for any reason, to be in full force and effect or any Loan Party shall so assert; or</w:t>
      </w:r>
    </w:p>
    <w:p>
      <w:pPr>
        <w:spacing w:after="0" w:line="15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shall occur; or</w:t>
      </w:r>
    </w:p>
    <w:p>
      <w:pPr>
        <w:spacing w:after="0" w:line="202" w:lineRule="exact"/>
        <w:rPr>
          <w:rFonts w:ascii="Times New Roman" w:cs="Times New Roman" w:eastAsia="Times New Roman" w:hAnsi="Times New Roman"/>
          <w:sz w:val="20"/>
          <w:szCs w:val="20"/>
          <w:color w:val="auto"/>
        </w:rPr>
      </w:pPr>
    </w:p>
    <w:p>
      <w:pPr>
        <w:jc w:val="both"/>
        <w:ind w:firstLine="1304"/>
        <w:spacing w:after="0" w:line="234" w:lineRule="auto"/>
        <w:tabs>
          <w:tab w:leader="none" w:pos="1683"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Governmental Approvals necessary for an of the Group Members to operate its respective business shall have been (i) revoked, rescinded, suspended, modified in an adverse manner or not renewed in the ordinary course for a full term or (ii) subject to any decision by a Governmental Authority that designates a hearing with respect to any applications for renewal of any of the Governmental Approvals or that could result in the Governmental Authority taking any of the actions described in clause (i) above, and such decision or such revocation, rescission, suspension,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13" w:right="339" w:bottom="1440" w:gutter="0" w:footer="0" w:header="0"/>
        </w:sectPr>
      </w:pPr>
    </w:p>
    <w:bookmarkStart w:id="144" w:name="page145"/>
    <w:bookmarkEnd w:id="144"/>
    <w:p>
      <w:pPr>
        <w:jc w:val="both"/>
        <w:spacing w:after="0" w:line="236" w:lineRule="auto"/>
        <w:rPr>
          <w:sz w:val="20"/>
          <w:szCs w:val="20"/>
          <w:color w:val="auto"/>
        </w:rPr>
      </w:pPr>
      <w:r>
        <w:rPr>
          <w:rFonts w:ascii="Times New Roman" w:cs="Times New Roman" w:eastAsia="Times New Roman" w:hAnsi="Times New Roman"/>
          <w:sz w:val="20"/>
          <w:szCs w:val="20"/>
          <w:color w:val="auto"/>
        </w:rPr>
        <w:t>or nonrenewal (x) has, or could reasonably be expected to have, a Material Adverse Effect, or (y) adversely affects the legal qualifications of any Group Member to hold any material Governmental Approval in any applicable jurisdiction and such adverse effect on the legal qualifications of any such Group Member to hold any material Governmental Approval in any applicable jurisdiction could reasonably be expected to have a Material Adverse Effect; or</w:t>
      </w:r>
    </w:p>
    <w:p>
      <w:pPr>
        <w:spacing w:after="0" w:line="189" w:lineRule="exact"/>
        <w:rPr>
          <w:sz w:val="20"/>
          <w:szCs w:val="20"/>
          <w:color w:val="auto"/>
        </w:rPr>
      </w:pPr>
    </w:p>
    <w:p>
      <w:pPr>
        <w:jc w:val="both"/>
        <w:ind w:firstLine="1304"/>
        <w:spacing w:after="0" w:line="232" w:lineRule="auto"/>
        <w:tabs>
          <w:tab w:leader="none" w:pos="178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Document (including the subordination provisions of any subordination or intercreditor agreement governing Subordinated Indebtedness) not otherwise referenced in </w:t>
      </w:r>
      <w:r>
        <w:rPr>
          <w:rFonts w:ascii="Times New Roman" w:cs="Times New Roman" w:eastAsia="Times New Roman" w:hAnsi="Times New Roman"/>
          <w:sz w:val="20"/>
          <w:szCs w:val="20"/>
          <w:u w:val="single" w:color="auto"/>
          <w:color w:val="auto"/>
        </w:rPr>
        <w:t>Section 8.1(i)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Document; or any Loan Party denies that it has any liability or obligation under any Loan Document to which it is a party, or purports to revoke, terminate or rescind any such Loan Document; or</w:t>
      </w:r>
    </w:p>
    <w:p>
      <w:pPr>
        <w:spacing w:after="0" w:line="17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Deemed Liquidation Event (as defined in the Investor Indebtedness documents); or</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event or condition occurs or exists that has had a Material Adverse Effect.</w:t>
      </w:r>
    </w:p>
    <w:p>
      <w:pPr>
        <w:spacing w:after="0" w:line="212"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8.2 Remedies Upon Event of Default</w:t>
      </w:r>
      <w:r>
        <w:rPr>
          <w:rFonts w:ascii="Times New Roman" w:cs="Times New Roman" w:eastAsia="Times New Roman" w:hAnsi="Times New Roman"/>
          <w:sz w:val="20"/>
          <w:szCs w:val="20"/>
          <w:color w:val="auto"/>
        </w:rPr>
        <w:t>. If any Event of Default occurs and is continuing, the Administrative Agent shall,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or may, with the consent of, the Required Lenders, take any or all of the following actions:</w:t>
      </w:r>
    </w:p>
    <w:p>
      <w:pPr>
        <w:spacing w:after="0" w:line="156" w:lineRule="exact"/>
        <w:rPr>
          <w:sz w:val="20"/>
          <w:szCs w:val="20"/>
          <w:color w:val="auto"/>
        </w:rPr>
      </w:pPr>
    </w:p>
    <w:p>
      <w:pPr>
        <w:jc w:val="both"/>
        <w:ind w:firstLine="1304"/>
        <w:spacing w:after="0"/>
        <w:tabs>
          <w:tab w:leader="none" w:pos="178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event is an Event of Default specified in clause (i) or (ii) of paragraph (f) of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with respect to the Borrower, the Commitments shall immediately terminate automatically and the Loans (with accrued interest thereon) and all other amounts owing under this Agreement and the other Loan Documents shall automatically immediately become due and payable, and</w:t>
      </w:r>
    </w:p>
    <w:p>
      <w:pPr>
        <w:spacing w:after="0" w:line="174" w:lineRule="exact"/>
        <w:rPr>
          <w:rFonts w:ascii="Times New Roman" w:cs="Times New Roman" w:eastAsia="Times New Roman" w:hAnsi="Times New Roman"/>
          <w:sz w:val="20"/>
          <w:szCs w:val="20"/>
          <w:color w:val="auto"/>
        </w:rPr>
      </w:pPr>
    </w:p>
    <w:p>
      <w:pPr>
        <w:jc w:val="both"/>
        <w:ind w:firstLine="1304"/>
        <w:spacing w:after="0" w:line="230" w:lineRule="auto"/>
        <w:tabs>
          <w:tab w:leader="none" w:pos="181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Swingline Commitments and the L/C Commitments to be terminated forthwith, whereupon the Revolving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Loan Parties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(including for the avoidance of doubt, place a “hold” on any account maintained with SVB and/or deliver a notice of exclusive control, any entitlement order, or other directions or instructions pursuant to any Control Agreement or similar agreements providing control of any Collateral and demand and receive possession of Borrower’s books and records), any such Cash Management Bank, the Lenders and the Issuing Lender under the Loan Documents.</w:t>
      </w:r>
    </w:p>
    <w:p>
      <w:pPr>
        <w:spacing w:after="0" w:line="18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0"/>
          <w:szCs w:val="20"/>
          <w:color w:val="auto"/>
        </w:rPr>
        <w:t>With respect to all Letters of Credit with respect to which presentment for honor shall not have occurred at the time of an acceleration pursuant to this paragraph, the Borrower shall Cash Collateralize an amount equal to 105% (110% in the case of a Letter of Credit denominated in an Alternative Currency) of the aggregate then undrawn and unexpired amount of such Letters of Credit. Amounts so Cash Collateralized shall be applied by the Administrative Agent to the payment of drafts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145" w:name="page146"/>
    <w:bookmarkEnd w:id="145"/>
    <w:p>
      <w:pPr>
        <w:jc w:val="both"/>
        <w:ind w:right="20"/>
        <w:spacing w:after="0"/>
        <w:rPr>
          <w:sz w:val="20"/>
          <w:szCs w:val="20"/>
          <w:color w:val="auto"/>
        </w:rPr>
      </w:pPr>
      <w:r>
        <w:rPr>
          <w:rFonts w:ascii="Times New Roman" w:cs="Times New Roman" w:eastAsia="Times New Roman" w:hAnsi="Times New Roman"/>
          <w:sz w:val="20"/>
          <w:szCs w:val="20"/>
          <w:color w:val="auto"/>
        </w:rPr>
        <w:t xml:space="preserve">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addition, (x) the Borrower shall also Cash Collateralize the full amount of any Swingline Loans then outstanding, and</w:t>
      </w:r>
    </w:p>
    <w:p>
      <w:pPr>
        <w:spacing w:after="0" w:line="22" w:lineRule="exact"/>
        <w:rPr>
          <w:sz w:val="20"/>
          <w:szCs w:val="20"/>
          <w:color w:val="auto"/>
        </w:rPr>
      </w:pPr>
    </w:p>
    <w:p>
      <w:pPr>
        <w:jc w:val="both"/>
        <w:ind w:firstLine="8"/>
        <w:spacing w:after="0" w:line="229" w:lineRule="auto"/>
        <w:tabs>
          <w:tab w:leader="none" w:pos="28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firstLine="1304"/>
        <w:spacing w:after="0" w:line="235" w:lineRule="auto"/>
        <w:tabs>
          <w:tab w:leader="none" w:pos="1739"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1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8.3 Application of Funds</w:t>
      </w:r>
      <w:r>
        <w:rPr>
          <w:rFonts w:ascii="Times New Roman" w:cs="Times New Roman" w:eastAsia="Times New Roman" w:hAnsi="Times New Roman"/>
          <w:sz w:val="20"/>
          <w:szCs w:val="20"/>
          <w:color w:val="auto"/>
        </w:rPr>
        <w:t>. After the exercise of remedies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any amounts received by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on account of the Obligations shall be applied by the Administrative Agent in the following order:</w:t>
      </w:r>
    </w:p>
    <w:p>
      <w:pPr>
        <w:spacing w:after="0" w:line="15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(including interest thereon)) payable to the Administrative Agent, in its capacity as such;</w:t>
      </w:r>
    </w:p>
    <w:p>
      <w:pPr>
        <w:spacing w:after="0" w:line="17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and documented out-of-pocket fees, charges and disbursements of counsel to the respective Lenders and the Issuing Lender, and amounts payable 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7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spacing w:after="0" w:line="16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1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 xml:space="preserve">Counterparties,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payable to them;</w:t>
      </w:r>
    </w:p>
    <w:p>
      <w:pPr>
        <w:spacing w:after="0" w:line="202"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and payable to them;</w:t>
      </w:r>
    </w:p>
    <w:p>
      <w:pPr>
        <w:spacing w:after="0" w:line="17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Administrative Agent for the account of the Issuing Lender, to Cash Collateralize that portion of the L/C Exposure comprised of the Dollar Equivalent of the aggregate undrawn amount of Letters of Credit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for the account of any applicable Qualified Counterparty and any applicable Cash Management Bank, to any settlement amounts, payment amounts and other termination payment obligations under any Specified Swap Agreements and Cash Management Agreements not paid pursuant to clause Fifth and to Cash Collateralize Obligations arising under any then outstanding Specified Swap Agreements and Cash Management Services,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Times New Roman" w:cs="Times New Roman" w:eastAsia="Times New Roman" w:hAnsi="Times New Roman"/>
          <w:sz w:val="20"/>
          <w:szCs w:val="20"/>
          <w:u w:val="single" w:color="auto"/>
          <w:color w:val="auto"/>
        </w:rPr>
        <w:t>Eight</w:t>
      </w:r>
      <w:r>
        <w:rPr>
          <w:rFonts w:ascii="Times New Roman" w:cs="Times New Roman" w:eastAsia="Times New Roman" w:hAnsi="Times New Roman"/>
          <w:sz w:val="20"/>
          <w:szCs w:val="20"/>
          <w:color w:val="auto"/>
        </w:rPr>
        <w:t xml:space="preserve"> and payable to them;</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the Discharge of Obligations, to the Borrower or as otherwise required by Law.</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2.24(a)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3.10</w:t>
      </w:r>
      <w:r>
        <w:rPr>
          <w:rFonts w:ascii="Times New Roman" w:cs="Times New Roman" w:eastAsia="Times New Roman" w:hAnsi="Times New Roman"/>
          <w:sz w:val="20"/>
          <w:szCs w:val="20"/>
          <w:color w:val="auto"/>
        </w:rPr>
        <w:t xml:space="preserve">, amounts used to Cash Collateralize the Dollar Equivalent of the aggregate undrawn amount of Letters of Credit pursuant to clause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spacing w:after="0" w:line="17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ADMINISTRATIVE AGENT</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Appointment and Authority</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tabs>
          <w:tab w:leader="none" w:pos="176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1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color w:val="auto"/>
        </w:rPr>
        <w:t>Administrative Agent by the terms hereof or thereof, together with such actions and powers as are reasonably incidental thereto.</w:t>
      </w:r>
    </w:p>
    <w:p>
      <w:pPr>
        <w:spacing w:after="0" w:line="202" w:lineRule="exact"/>
        <w:rPr>
          <w:sz w:val="20"/>
          <w:szCs w:val="20"/>
          <w:color w:val="auto"/>
        </w:rPr>
      </w:pPr>
    </w:p>
    <w:p>
      <w:pPr>
        <w:jc w:val="both"/>
        <w:ind w:firstLine="1304"/>
        <w:spacing w:after="0" w:line="231" w:lineRule="auto"/>
        <w:tabs>
          <w:tab w:leader="none" w:pos="173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1"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3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subordination or intercreditor agreements contemplated hereby,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6741795</wp:posOffset>
            </wp:positionH>
            <wp:positionV relativeFrom="paragraph">
              <wp:posOffset>-1870075</wp:posOffset>
            </wp:positionV>
            <wp:extent cx="463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46355" cy="8255"/>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b w:val="1"/>
          <w:bCs w:val="1"/>
          <w:color w:val="auto"/>
        </w:rPr>
        <w:t>9.2 Delegation of Duties</w:t>
      </w:r>
      <w:r>
        <w:rPr>
          <w:rFonts w:ascii="Times New Roman" w:cs="Times New Roman" w:eastAsia="Times New Roman" w:hAnsi="Times New Roman"/>
          <w:sz w:val="19"/>
          <w:szCs w:val="19"/>
          <w:color w:val="auto"/>
        </w:rPr>
        <w:t>. The Administrative Agent may perform any and all of its duties and exercise its rights and powers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9.3 Exculpatory Provisions</w:t>
      </w:r>
      <w:r>
        <w:rPr>
          <w:rFonts w:ascii="Times New Roman" w:cs="Times New Roman" w:eastAsia="Times New Roman" w:hAnsi="Times New Roman"/>
          <w:sz w:val="20"/>
          <w:szCs w:val="20"/>
          <w:color w:val="auto"/>
        </w:rPr>
        <w:t>. The Administrative Agent shall have no duties or obligations except those expressly set forth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the other Loan Documents, and its duties hereunder and thereunder shall be administrative in nature. Without limiting the generality of the foregoing, the Administrative Agent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148" w:name="page149"/>
    <w:bookmarkEnd w:id="148"/>
    <w:p>
      <w:pPr>
        <w:ind w:firstLine="1304"/>
        <w:spacing w:after="0" w:line="255" w:lineRule="auto"/>
        <w:tabs>
          <w:tab w:leader="none" w:pos="181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any fiduciary or other implied duties, regardless of whether any Default or any Event of Default has occurred and is continuing;</w:t>
      </w:r>
    </w:p>
    <w:p>
      <w:pPr>
        <w:spacing w:after="0" w:line="159" w:lineRule="exact"/>
        <w:rPr>
          <w:rFonts w:ascii="Times New Roman" w:cs="Times New Roman" w:eastAsia="Times New Roman" w:hAnsi="Times New Roman"/>
          <w:sz w:val="20"/>
          <w:szCs w:val="20"/>
          <w:color w:val="auto"/>
        </w:rPr>
      </w:pPr>
    </w:p>
    <w:p>
      <w:pPr>
        <w:jc w:val="both"/>
        <w:ind w:firstLine="1304"/>
        <w:spacing w:after="0" w:line="233" w:lineRule="auto"/>
        <w:tabs>
          <w:tab w:leader="none" w:pos="18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8" w:lineRule="exact"/>
        <w:rPr>
          <w:rFonts w:ascii="Times New Roman" w:cs="Times New Roman" w:eastAsia="Times New Roman" w:hAnsi="Times New Roman"/>
          <w:sz w:val="20"/>
          <w:szCs w:val="20"/>
          <w:color w:val="auto"/>
        </w:rPr>
      </w:pPr>
    </w:p>
    <w:p>
      <w:pPr>
        <w:jc w:val="both"/>
        <w:ind w:firstLine="1304"/>
        <w:spacing w:after="0"/>
        <w:tabs>
          <w:tab w:leader="none" w:pos="172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spacing w:after="0" w:line="18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w:t>
      </w:r>
    </w:p>
    <w:p>
      <w:pPr>
        <w:spacing w:after="0" w:line="17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b w:val="1"/>
          <w:bCs w:val="1"/>
          <w:color w:val="auto"/>
        </w:rPr>
        <w:t>9.4 Reliance by Administrative Agent</w:t>
      </w:r>
      <w:r>
        <w:rPr>
          <w:rFonts w:ascii="Times New Roman" w:cs="Times New Roman" w:eastAsia="Times New Roman" w:hAnsi="Times New Roman"/>
          <w:sz w:val="20"/>
          <w:szCs w:val="20"/>
          <w:color w:val="auto"/>
        </w:rPr>
        <w:t>. The Administrative Agent shall be entitled to rely upon, and shall not incur any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33" w:lineRule="auto"/>
        <w:rPr>
          <w:sz w:val="20"/>
          <w:szCs w:val="20"/>
          <w:color w:val="auto"/>
        </w:rPr>
      </w:pPr>
      <w:r>
        <w:rPr>
          <w:rFonts w:ascii="Times New Roman" w:cs="Times New Roman" w:eastAsia="Times New Roman" w:hAnsi="Times New Roman"/>
          <w:sz w:val="20"/>
          <w:szCs w:val="20"/>
          <w:color w:val="auto"/>
        </w:rPr>
        <w:t>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spacing w:after="0" w:line="17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auto"/>
        </w:rPr>
        <w:t>9.5 Notice of Default</w:t>
      </w:r>
      <w:r>
        <w:rPr>
          <w:rFonts w:ascii="Times New Roman" w:cs="Times New Roman" w:eastAsia="Times New Roman" w:hAnsi="Times New Roman"/>
          <w:sz w:val="20"/>
          <w:szCs w:val="20"/>
          <w:color w:val="auto"/>
        </w:rPr>
        <w:t>. The Administrative Agent shall not be deemed to have knowledge or notice of the occurrence of any Default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Event of Default unless the Administrative Agent has received notice in writing from a Lender or the Borrower referring to this Agreement, describing such Default or Event of Default and stating that such notice is a “</w:t>
      </w:r>
      <w:r>
        <w:rPr>
          <w:rFonts w:ascii="Times New Roman" w:cs="Times New Roman" w:eastAsia="Times New Roman" w:hAnsi="Times New Roman"/>
          <w:sz w:val="20"/>
          <w:szCs w:val="20"/>
          <w:b w:val="1"/>
          <w:bCs w:val="1"/>
          <w:i w:val="1"/>
          <w:iCs w:val="1"/>
          <w:color w:val="auto"/>
        </w:rPr>
        <w:t>notice of default</w:t>
      </w:r>
      <w:r>
        <w:rPr>
          <w:rFonts w:ascii="Times New Roman" w:cs="Times New Roman" w:eastAsia="Times New Roman" w:hAnsi="Times New Roman"/>
          <w:sz w:val="20"/>
          <w:szCs w:val="20"/>
          <w:color w:val="auto"/>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b w:val="1"/>
          <w:bCs w:val="1"/>
          <w:color w:val="auto"/>
        </w:rPr>
        <w:t>9.6 Non-Reliance on Administrative Agent and Other Lenders</w:t>
      </w:r>
      <w:r>
        <w:rPr>
          <w:rFonts w:ascii="Times New Roman" w:cs="Times New Roman" w:eastAsia="Times New Roman" w:hAnsi="Times New Roman"/>
          <w:sz w:val="19"/>
          <w:szCs w:val="19"/>
          <w:color w:val="auto"/>
        </w:rPr>
        <w:t>. Each Lender expressly acknowledges that neither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spacing w:after="0" w:line="17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b w:val="1"/>
          <w:bCs w:val="1"/>
          <w:color w:val="auto"/>
        </w:rPr>
        <w:t>9.7 Indemnification</w:t>
      </w:r>
      <w:r>
        <w:rPr>
          <w:rFonts w:ascii="Times New Roman" w:cs="Times New Roman" w:eastAsia="Times New Roman" w:hAnsi="Times New Roman"/>
          <w:sz w:val="20"/>
          <w:szCs w:val="20"/>
          <w:color w:val="auto"/>
        </w:rPr>
        <w:t>. Each of the Lenders agrees to indemnify each of the Administrative Agent, the Issuing Lender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Swingline Lender and each of its Related Parties in its capacity as such (to the extent not reimbursed by the Borrower or any other Loan Party and without limiting the obligation of the Borrower or any other Loan Party to do so) according to its Aggregate Exposure Percentage in effect on the date on which indemnification is sought under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13" w:right="339" w:bottom="1440" w:gutter="0" w:footer="0" w:header="0"/>
        </w:sectPr>
      </w:pPr>
    </w:p>
    <w:bookmarkStart w:id="150" w:name="page151"/>
    <w:bookmarkEnd w:id="150"/>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Borrower or such other Loan Party;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The agreements in this Section shall survive the payment of the Loans and all other amounts payable hereunder.</w:t>
      </w:r>
    </w:p>
    <w:p>
      <w:pPr>
        <w:spacing w:after="0" w:line="18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9.8 Agent in Its Individual Capacity</w:t>
      </w:r>
      <w:r>
        <w:rPr>
          <w:rFonts w:ascii="Times New Roman" w:cs="Times New Roman" w:eastAsia="Times New Roman" w:hAnsi="Times New Roman"/>
          <w:sz w:val="20"/>
          <w:szCs w:val="20"/>
          <w:color w:val="auto"/>
        </w:rPr>
        <w:t>. The Person serving as the Administrative Agent hereunder shall have the same rights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9.9</w:t>
      </w:r>
      <w:r>
        <w:rPr>
          <w:sz w:val="20"/>
          <w:szCs w:val="20"/>
          <w:color w:val="auto"/>
        </w:rPr>
        <w:tab/>
      </w:r>
      <w:r>
        <w:rPr>
          <w:rFonts w:ascii="Times New Roman" w:cs="Times New Roman" w:eastAsia="Times New Roman" w:hAnsi="Times New Roman"/>
          <w:sz w:val="19"/>
          <w:szCs w:val="19"/>
          <w:b w:val="1"/>
          <w:bCs w:val="1"/>
          <w:color w:val="auto"/>
        </w:rPr>
        <w:t>Successor Administrative Agent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30" w:lineRule="auto"/>
        <w:tabs>
          <w:tab w:leader="none" w:pos="172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b w:val="1"/>
          <w:bCs w:val="1"/>
          <w:i w:val="1"/>
          <w:iCs w:val="1"/>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appoint a successor Administrative Agent meeting the qualifications set forth above;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in no event shall any such successor Administrative Agent be a Defaulting Lender. Whether or not a successor has been appointed, such resignation shall become effective in accordance with such notice on the Resignation Effective Date.</w:t>
      </w:r>
    </w:p>
    <w:p>
      <w:pPr>
        <w:spacing w:after="0" w:line="194"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27"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b w:val="1"/>
          <w:bCs w:val="1"/>
          <w:i w:val="1"/>
          <w:iCs w:val="1"/>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78" w:lineRule="exact"/>
        <w:rPr>
          <w:rFonts w:ascii="Times New Roman" w:cs="Times New Roman" w:eastAsia="Times New Roman" w:hAnsi="Times New Roman"/>
          <w:sz w:val="20"/>
          <w:szCs w:val="20"/>
          <w:color w:val="auto"/>
        </w:rPr>
      </w:pPr>
    </w:p>
    <w:p>
      <w:pPr>
        <w:jc w:val="both"/>
        <w:ind w:firstLine="1304"/>
        <w:spacing w:after="0" w:line="239" w:lineRule="auto"/>
        <w:tabs>
          <w:tab w:leader="none" w:pos="183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Times New Roman" w:cs="Times New Roman" w:eastAsia="Times New Roman" w:hAnsi="Times New Roman"/>
          <w:sz w:val="19"/>
          <w:szCs w:val="19"/>
          <w:b w:val="1"/>
          <w:bCs w:val="1"/>
          <w:color w:val="auto"/>
        </w:rPr>
        <w:t>Collateral and Guaranty Matters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1720" w:hanging="416"/>
        <w:spacing w:after="0"/>
        <w:tabs>
          <w:tab w:leader="none" w:pos="172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irrevocably authorize the Administrative Agent, at its option and in its discretion,</w:t>
      </w:r>
    </w:p>
    <w:p>
      <w:pPr>
        <w:spacing w:after="0" w:line="202" w:lineRule="exact"/>
        <w:rPr>
          <w:rFonts w:ascii="Times New Roman" w:cs="Times New Roman" w:eastAsia="Times New Roman" w:hAnsi="Times New Roman"/>
          <w:sz w:val="20"/>
          <w:szCs w:val="20"/>
          <w:color w:val="auto"/>
        </w:rPr>
      </w:pPr>
    </w:p>
    <w:p>
      <w:pPr>
        <w:jc w:val="both"/>
        <w:ind w:firstLine="1952"/>
        <w:spacing w:after="0" w:line="235" w:lineRule="auto"/>
        <w:tabs>
          <w:tab w:leader="none" w:pos="2329"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Collateral or other property granted to or held by the Administrative Agent under any Loan Document (A)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 hereunder or under any other Loan Document, or (C) subject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if approved, authorized or ratified in writing by the Required Lenders;</w:t>
      </w:r>
    </w:p>
    <w:p>
      <w:pPr>
        <w:spacing w:after="0" w:line="174" w:lineRule="exact"/>
        <w:rPr>
          <w:rFonts w:ascii="Times New Roman" w:cs="Times New Roman" w:eastAsia="Times New Roman" w:hAnsi="Times New Roman"/>
          <w:sz w:val="20"/>
          <w:szCs w:val="20"/>
          <w:color w:val="auto"/>
        </w:rPr>
      </w:pPr>
    </w:p>
    <w:p>
      <w:pPr>
        <w:ind w:firstLine="1952"/>
        <w:spacing w:after="0" w:line="255" w:lineRule="auto"/>
        <w:tabs>
          <w:tab w:leader="none" w:pos="2461"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Collateral or other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Sections 7.3 (g)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firstLine="1952"/>
        <w:spacing w:after="0" w:line="255" w:lineRule="auto"/>
        <w:tabs>
          <w:tab w:leader="none" w:pos="251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Guarantee and Collateral Agreement if such Person ceases to be a Subsidiary as a result of a transaction permitted under the Loan Documents.</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1304"/>
        <w:spacing w:after="0" w:line="236" w:lineRule="auto"/>
        <w:tabs>
          <w:tab w:leader="none" w:pos="175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13" w:right="339" w:bottom="1440" w:gutter="0" w:footer="0" w:header="0"/>
        </w:sectPr>
      </w:pPr>
    </w:p>
    <w:bookmarkStart w:id="152" w:name="page153"/>
    <w:bookmarkEnd w:id="152"/>
    <w:p>
      <w:pPr>
        <w:jc w:val="both"/>
        <w:ind w:firstLine="1304"/>
        <w:spacing w:after="0" w:line="229" w:lineRule="auto"/>
        <w:tabs>
          <w:tab w:leader="none" w:pos="181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9.11 Administrative Agent May File Proofs of Claim</w:t>
      </w:r>
      <w:r>
        <w:rPr>
          <w:rFonts w:ascii="Times New Roman" w:cs="Times New Roman" w:eastAsia="Times New Roman" w:hAnsi="Times New Roman"/>
          <w:sz w:val="20"/>
          <w:szCs w:val="20"/>
          <w:color w:val="auto"/>
        </w:rPr>
        <w:t>. In case of the pendency of any proceeding under any Debtor Relief Law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judicial proceeding relative to any Loan Party, the Administrative Agent (irrespective of whether the principal of any Loan or Obligation in respect of any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74" w:lineRule="exact"/>
        <w:rPr>
          <w:sz w:val="20"/>
          <w:szCs w:val="20"/>
          <w:color w:val="auto"/>
        </w:rPr>
      </w:pPr>
    </w:p>
    <w:p>
      <w:pPr>
        <w:jc w:val="both"/>
        <w:ind w:firstLine="1304"/>
        <w:spacing w:after="0" w:line="237" w:lineRule="auto"/>
        <w:tabs>
          <w:tab w:leader="none" w:pos="1751"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allowed in such judicial proceeding; and</w:t>
      </w:r>
    </w:p>
    <w:p>
      <w:pPr>
        <w:spacing w:after="0" w:line="173"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13" w:right="339" w:bottom="1440" w:gutter="0" w:footer="0" w:header="0"/>
        </w:sectPr>
      </w:pPr>
    </w:p>
    <w:bookmarkStart w:id="153" w:name="page154"/>
    <w:bookmarkEnd w:id="153"/>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6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9.12 No Other Duties, etc.</w:t>
      </w:r>
      <w:r>
        <w:rPr>
          <w:rFonts w:ascii="Times New Roman" w:cs="Times New Roman" w:eastAsia="Times New Roman" w:hAnsi="Times New Roman"/>
          <w:sz w:val="20"/>
          <w:szCs w:val="20"/>
          <w:color w:val="auto"/>
        </w:rPr>
        <w:t>. Anything herein to the contrary notwithstanding, the Lead Arranger listed on the cover page 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have any powers, duties or responsibilities under this Agreement or any of the other Loan Documents, except in its capacity, as applicable, as the Administrative Agent, a Lender, the Issuing Lender or the Swingline Lender hereunder.</w:t>
      </w:r>
    </w:p>
    <w:p>
      <w:pPr>
        <w:spacing w:after="0" w:line="16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9.13 Cash Management Bank and Qualified Counterparty Reports</w:t>
      </w:r>
      <w:r>
        <w:rPr>
          <w:rFonts w:ascii="Times New Roman" w:cs="Times New Roman" w:eastAsia="Times New Roman" w:hAnsi="Times New Roman"/>
          <w:sz w:val="20"/>
          <w:szCs w:val="20"/>
          <w:color w:val="auto"/>
        </w:rPr>
        <w:t>. Each Cash Management Bank and each Qualified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Counterparty agrees to furnish to the Administrative 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 with any distributions to be made hereunder, the Administrative Agent shall be entitled to assume that no 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9.14</w:t>
      </w:r>
      <w:r>
        <w:rPr>
          <w:sz w:val="20"/>
          <w:szCs w:val="20"/>
          <w:color w:val="auto"/>
        </w:rPr>
        <w:tab/>
      </w:r>
      <w:r>
        <w:rPr>
          <w:rFonts w:ascii="Times New Roman" w:cs="Times New Roman" w:eastAsia="Times New Roman" w:hAnsi="Times New Roman"/>
          <w:sz w:val="19"/>
          <w:szCs w:val="19"/>
          <w:b w:val="1"/>
          <w:bCs w:val="1"/>
          <w:color w:val="auto"/>
        </w:rPr>
        <w:t>Certain ERISA Matters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9" w:lineRule="auto"/>
        <w:tabs>
          <w:tab w:leader="none" w:pos="1859"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at least one of the following is and will be true:</w:t>
      </w:r>
    </w:p>
    <w:p>
      <w:pPr>
        <w:spacing w:after="0" w:line="177" w:lineRule="exact"/>
        <w:rPr>
          <w:rFonts w:ascii="Times New Roman" w:cs="Times New Roman" w:eastAsia="Times New Roman" w:hAnsi="Times New Roman"/>
          <w:sz w:val="20"/>
          <w:szCs w:val="20"/>
          <w:color w:val="auto"/>
        </w:rPr>
      </w:pPr>
    </w:p>
    <w:p>
      <w:pPr>
        <w:jc w:val="both"/>
        <w:ind w:firstLine="1952"/>
        <w:spacing w:after="0"/>
        <w:tabs>
          <w:tab w:leader="none" w:pos="2416"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Assets Regulations or otherwise for purposes of Title I of ERISA or Section 4975 of the Code) of one or more Benefit Plans in connection with the Loans, the Letters of Credit or the Commitments,</w:t>
      </w:r>
    </w:p>
    <w:p>
      <w:pPr>
        <w:spacing w:after="0" w:line="174" w:lineRule="exact"/>
        <w:rPr>
          <w:rFonts w:ascii="Times New Roman" w:cs="Times New Roman" w:eastAsia="Times New Roman" w:hAnsi="Times New Roman"/>
          <w:sz w:val="20"/>
          <w:szCs w:val="20"/>
          <w:color w:val="auto"/>
        </w:rPr>
      </w:pPr>
    </w:p>
    <w:p>
      <w:pPr>
        <w:jc w:val="both"/>
        <w:ind w:firstLine="1952"/>
        <w:spacing w:after="0" w:line="235" w:lineRule="auto"/>
        <w:tabs>
          <w:tab w:leader="none" w:pos="2411"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4" w:lineRule="exact"/>
        <w:rPr>
          <w:rFonts w:ascii="Times New Roman" w:cs="Times New Roman" w:eastAsia="Times New Roman" w:hAnsi="Times New Roman"/>
          <w:sz w:val="20"/>
          <w:szCs w:val="20"/>
          <w:color w:val="auto"/>
        </w:rPr>
      </w:pPr>
    </w:p>
    <w:p>
      <w:pPr>
        <w:jc w:val="both"/>
        <w:ind w:firstLine="1952"/>
        <w:spacing w:after="0" w:line="236" w:lineRule="auto"/>
        <w:tabs>
          <w:tab w:leader="none" w:pos="2532"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1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Letters of Credit, the Commitments and this Agreement satisfies the requirements of sub-sections (b) through (g) of Part I of PTE 84-14 and</w:t>
      </w:r>
    </w:p>
    <w:p>
      <w:pPr>
        <w:spacing w:after="0" w:line="8" w:lineRule="exact"/>
        <w:rPr>
          <w:sz w:val="20"/>
          <w:szCs w:val="20"/>
          <w:color w:val="auto"/>
        </w:rPr>
      </w:pPr>
    </w:p>
    <w:p>
      <w:pPr>
        <w:jc w:val="both"/>
        <w:ind w:firstLine="8"/>
        <w:spacing w:after="0" w:line="232" w:lineRule="auto"/>
        <w:tabs>
          <w:tab w:leader="none" w:pos="353"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20"/>
          <w:szCs w:val="20"/>
          <w:color w:val="auto"/>
        </w:rPr>
      </w:pPr>
    </w:p>
    <w:p>
      <w:pPr>
        <w:ind w:firstLine="1952"/>
        <w:spacing w:after="0" w:line="255" w:lineRule="auto"/>
        <w:tabs>
          <w:tab w:leader="none" w:pos="252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none of the Administrative Agent, or the Lead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79" w:lineRule="exact"/>
        <w:rPr>
          <w:sz w:val="20"/>
          <w:szCs w:val="20"/>
          <w:color w:val="auto"/>
        </w:rPr>
      </w:pPr>
    </w:p>
    <w:p>
      <w:pPr>
        <w:jc w:val="both"/>
        <w:ind w:firstLine="656"/>
        <w:spacing w:after="0" w:line="231" w:lineRule="auto"/>
        <w:tabs>
          <w:tab w:leader="none" w:pos="1073"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Lead Arranger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9.15</w:t>
      </w:r>
      <w:r>
        <w:rPr>
          <w:sz w:val="20"/>
          <w:szCs w:val="20"/>
          <w:color w:val="auto"/>
        </w:rPr>
        <w:tab/>
      </w:r>
      <w:r>
        <w:rPr>
          <w:rFonts w:ascii="Times New Roman" w:cs="Times New Roman" w:eastAsia="Times New Roman" w:hAnsi="Times New Roman"/>
          <w:sz w:val="19"/>
          <w:szCs w:val="19"/>
          <w:b w:val="1"/>
          <w:bCs w:val="1"/>
          <w:color w:val="auto"/>
        </w:rPr>
        <w:t>Erroneous Payment</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43" w:lineRule="auto"/>
        <w:tabs>
          <w:tab w:leader="none" w:pos="1747"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notifies a Lender, Issuing Lender, Swingline Lender, or Secured Party, or any Person who has received funds on behalf of a Lender, Issuing Lender, Swingline Lender, or Secured Party (any such Lender, Issuing Lender, Swingline Lender, Secured Party or other recipient, a “</w:t>
      </w:r>
      <w:r>
        <w:rPr>
          <w:rFonts w:ascii="Times New Roman" w:cs="Times New Roman" w:eastAsia="Times New Roman" w:hAnsi="Times New Roman"/>
          <w:sz w:val="19"/>
          <w:szCs w:val="19"/>
          <w:b w:val="1"/>
          <w:bCs w:val="1"/>
          <w:color w:val="auto"/>
        </w:rPr>
        <w:t>Payment Recipient</w:t>
      </w:r>
      <w:r>
        <w:rPr>
          <w:rFonts w:ascii="Times New Roman" w:cs="Times New Roman" w:eastAsia="Times New Roman" w:hAnsi="Times New Roman"/>
          <w:sz w:val="19"/>
          <w:szCs w:val="19"/>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Swingline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9"/>
          <w:szCs w:val="19"/>
          <w:b w:val="1"/>
          <w:bCs w:val="1"/>
          <w:color w:val="auto"/>
        </w:rPr>
        <w:t>Erroneous Payment</w:t>
      </w:r>
      <w:r>
        <w:rPr>
          <w:rFonts w:ascii="Times New Roman" w:cs="Times New Roman" w:eastAsia="Times New Roman" w:hAnsi="Times New Roman"/>
          <w:sz w:val="19"/>
          <w:szCs w:val="19"/>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Swingline Lender, or Secured Party shall (or, with respect to any Payment Recipient who received such funds on its behalf, shall cause such Payment Recipient to) promptly, but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35" w:lineRule="auto"/>
        <w:rPr>
          <w:sz w:val="20"/>
          <w:szCs w:val="20"/>
          <w:color w:val="auto"/>
        </w:rPr>
      </w:pPr>
      <w:r>
        <w:rPr>
          <w:rFonts w:ascii="Times New Roman" w:cs="Times New Roman" w:eastAsia="Times New Roman" w:hAnsi="Times New Roman"/>
          <w:sz w:val="20"/>
          <w:szCs w:val="20"/>
          <w:color w:val="auto"/>
        </w:rPr>
        <w:t>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74" w:lineRule="exact"/>
        <w:rPr>
          <w:sz w:val="20"/>
          <w:szCs w:val="20"/>
          <w:color w:val="auto"/>
        </w:rPr>
      </w:pPr>
    </w:p>
    <w:p>
      <w:pPr>
        <w:jc w:val="both"/>
        <w:ind w:firstLine="1304"/>
        <w:spacing w:after="0" w:line="232" w:lineRule="auto"/>
        <w:tabs>
          <w:tab w:leader="none" w:pos="172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each Lender, Issuing Lender, Swingline Lender or Secured Party, or any Person who has received funds on behalf of a Lender, Issuing Lender, Swingline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Swingline Lender, or Secured Party, or other such recipient, otherwise becomes aware was transmitted, or received, in error or by mistake (in whole or in part) in each case:</w:t>
      </w:r>
    </w:p>
    <w:p>
      <w:pPr>
        <w:spacing w:after="0" w:line="179" w:lineRule="exact"/>
        <w:rPr>
          <w:rFonts w:ascii="Times New Roman" w:cs="Times New Roman" w:eastAsia="Times New Roman" w:hAnsi="Times New Roman"/>
          <w:sz w:val="20"/>
          <w:szCs w:val="20"/>
          <w:color w:val="auto"/>
        </w:rPr>
      </w:pPr>
    </w:p>
    <w:p>
      <w:pPr>
        <w:jc w:val="both"/>
        <w:ind w:firstLine="1304"/>
        <w:spacing w:after="0" w:line="234" w:lineRule="auto"/>
        <w:tabs>
          <w:tab w:leader="none" w:pos="172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Issuing Lender, Swingline Lender or Secured Party hereby authorizes the Administrative Agent to set off, net and apply any and all amounts at any time owing to such Lender, Issuing Lender, Swingline Lender or Secured Party under any Loan Document, or otherwise payable or distributable by the Administrative Agent to such Lender, Issuing Lender, Swingline Lender or Secured Party from any source, against any amount due to the Administrative Agent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or under the indemnification provisions of this Agreement.</w:t>
      </w:r>
    </w:p>
    <w:p>
      <w:pPr>
        <w:spacing w:after="0" w:line="174" w:lineRule="exact"/>
        <w:rPr>
          <w:rFonts w:ascii="Times New Roman" w:cs="Times New Roman" w:eastAsia="Times New Roman" w:hAnsi="Times New Roman"/>
          <w:sz w:val="20"/>
          <w:szCs w:val="20"/>
          <w:color w:val="auto"/>
        </w:rPr>
      </w:pPr>
    </w:p>
    <w:p>
      <w:pPr>
        <w:jc w:val="both"/>
        <w:ind w:firstLine="1304"/>
        <w:spacing w:after="0" w:line="229" w:lineRule="auto"/>
        <w:tabs>
          <w:tab w:leader="none" w:pos="182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 Erroneous Payment (or portion thereof) is not recovered by the Administrative Agent for any reason, after demand therefor by the Administrative Agent in accordance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from any Lender, Issuing Lender or Swingline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b w:val="1"/>
          <w:bCs w:val="1"/>
          <w:color w:val="auto"/>
        </w:rPr>
        <w:t>Erroneous Payment Return Deficiency</w:t>
      </w:r>
      <w:r>
        <w:rPr>
          <w:rFonts w:ascii="Times New Roman" w:cs="Times New Roman" w:eastAsia="Times New Roman" w:hAnsi="Times New Roman"/>
          <w:sz w:val="20"/>
          <w:szCs w:val="20"/>
          <w:color w:val="auto"/>
        </w:rPr>
        <w:t>”), upon the Administrative Agent’s notice to such Lender, Issuing Lender or Swingline Lender at any time, (i) such Lender, Issuing Lender or Swingline Lender shall be deemed to have assigned its Loans (but not its Commitments) with respect to which such Erroneous Payment was made in an amount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20"/>
          <w:szCs w:val="20"/>
          <w:b w:val="1"/>
          <w:bCs w:val="1"/>
          <w:color w:val="auto"/>
        </w:rPr>
        <w:t>Erroneous Payment Deficiency Assignment</w:t>
      </w:r>
      <w:r>
        <w:rPr>
          <w:rFonts w:ascii="Times New Roman" w:cs="Times New Roman" w:eastAsia="Times New Roman" w:hAnsi="Times New Roman"/>
          <w:sz w:val="20"/>
          <w:szCs w:val="20"/>
          <w:color w:val="auto"/>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Issuing Lender or Swingline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Issuing Lender or Swingline Lender, as applicable, hereunder with respect to such Erroneous Payment Deficiency Assignment and the assigning Lender, assigning Issuing Lender or assigning Swingline Lender shall cease to be a Lender, Issuing Lender or Swingline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assigning Issuing Lender or assigning Swingline Lender and (iv) the Administrative Agent may reflect in the Register its ownership interest in the Loans subject to the Erroneous Payment Deficiency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13" w:right="339" w:bottom="1440" w:gutter="0" w:footer="0" w:header="0"/>
        </w:sectPr>
      </w:pPr>
    </w:p>
    <w:bookmarkStart w:id="156" w:name="page157"/>
    <w:bookmarkEnd w:id="156"/>
    <w:p>
      <w:pPr>
        <w:jc w:val="both"/>
        <w:spacing w:after="0" w:line="230" w:lineRule="auto"/>
        <w:rPr>
          <w:sz w:val="20"/>
          <w:szCs w:val="20"/>
          <w:color w:val="auto"/>
        </w:rPr>
      </w:pPr>
      <w:r>
        <w:rPr>
          <w:rFonts w:ascii="Times New Roman" w:cs="Times New Roman" w:eastAsia="Times New Roman" w:hAnsi="Times New Roman"/>
          <w:sz w:val="20"/>
          <w:szCs w:val="20"/>
          <w:color w:val="auto"/>
        </w:rPr>
        <w:t>The Administrative Agent may, in its discretion, sell any Loans acquired pursuant to an Erroneous Payment Deficiency Assignment and upon receipt of the proceeds of such sale, the Erroneous Payment Return Deficiency owing by the applicable Lender, Issuing Lender or Swingline Lender shall be reduced by the net proceeds of the sale of such Loan (or portion thereof), and the Administrative Agent shall retain all other rights, remedies and claims against such Lender, Issuing Lender or Swingline Lender (and/or against any recipient that receives funds on its respective behalf). For the avoidance of doubt, no Erroneous Payment Deficiency Assignment will reduce the Commitments of any Lender, Issuing Lender or Swingline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Swingline Lender or Secured Party under the Loan Documents with respect to each Erroneous Payment Return Deficiency (the “</w:t>
      </w:r>
      <w:r>
        <w:rPr>
          <w:rFonts w:ascii="Times New Roman" w:cs="Times New Roman" w:eastAsia="Times New Roman" w:hAnsi="Times New Roman"/>
          <w:sz w:val="20"/>
          <w:szCs w:val="20"/>
          <w:b w:val="1"/>
          <w:bCs w:val="1"/>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Payment Subrogation Rights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304"/>
        <w:spacing w:after="0" w:line="239" w:lineRule="auto"/>
        <w:tabs>
          <w:tab w:leader="none" w:pos="1792"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77" w:lineRule="exact"/>
        <w:rPr>
          <w:rFonts w:ascii="Times New Roman" w:cs="Times New Roman" w:eastAsia="Times New Roman" w:hAnsi="Times New Roman"/>
          <w:sz w:val="20"/>
          <w:szCs w:val="20"/>
          <w:color w:val="auto"/>
        </w:rPr>
      </w:pPr>
    </w:p>
    <w:p>
      <w:pPr>
        <w:jc w:val="both"/>
        <w:ind w:firstLine="1304"/>
        <w:spacing w:after="0" w:line="236" w:lineRule="auto"/>
        <w:tabs>
          <w:tab w:leader="none" w:pos="18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a Swingline Lender or Issuing Lender, the termination of the Commitments and/or the repayment, satisfaction or discharge of all Obligations (or any portion thereof) under any Loan Document.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9.16</w:t>
      </w:r>
      <w:r>
        <w:rPr>
          <w:sz w:val="20"/>
          <w:szCs w:val="20"/>
          <w:color w:val="auto"/>
        </w:rPr>
        <w:tab/>
      </w:r>
      <w:r>
        <w:rPr>
          <w:rFonts w:ascii="Times New Roman" w:cs="Times New Roman" w:eastAsia="Times New Roman" w:hAnsi="Times New Roman"/>
          <w:sz w:val="19"/>
          <w:szCs w:val="19"/>
          <w:b w:val="1"/>
          <w:bCs w:val="1"/>
          <w:color w:val="auto"/>
        </w:rPr>
        <w:t>Survival</w:t>
      </w:r>
      <w:r>
        <w:rPr>
          <w:rFonts w:ascii="Times New Roman" w:cs="Times New Roman" w:eastAsia="Times New Roman" w:hAnsi="Times New Roman"/>
          <w:sz w:val="19"/>
          <w:szCs w:val="19"/>
          <w:color w:val="auto"/>
        </w:rPr>
        <w:t>.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Discharge of Obligations.</w:t>
      </w:r>
    </w:p>
    <w:p>
      <w:pPr>
        <w:spacing w:after="0" w:line="20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SECTION 10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7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color w:val="auto"/>
        </w:rPr>
        <w:t>Amendments and Waivers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2" w:lineRule="auto"/>
        <w:tabs>
          <w:tab w:leader="none" w:pos="17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this Agreement, any other Loan Document (other than any L/C Related Document and the Existing Fee Letter or the Fee Letter), nor any terms hereof or thereof may be amended, supplemented or modified except in accordance with the provisions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no such waiver and no such amendment, supplement or modification shall (A) forgive the principal amount or extend the final scheduled date of maturity of any Loan, reduce the stated rate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13" w:right="339" w:bottom="1440" w:gutter="0" w:footer="0" w:header="0"/>
        </w:sectPr>
      </w:pPr>
    </w:p>
    <w:bookmarkStart w:id="157" w:name="page158"/>
    <w:bookmarkEnd w:id="157"/>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interest or fee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in each case, without the written consent of each Lender directly affected thereby; (B) eliminate or reduce the voting rights of any Lender under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without the written consent of such Lender;</w:t>
      </w:r>
    </w:p>
    <w:p>
      <w:pPr>
        <w:spacing w:after="0" w:line="4" w:lineRule="exact"/>
        <w:rPr>
          <w:sz w:val="20"/>
          <w:szCs w:val="20"/>
          <w:color w:val="auto"/>
        </w:rPr>
      </w:pPr>
    </w:p>
    <w:p>
      <w:pPr>
        <w:jc w:val="both"/>
        <w:ind w:firstLine="8"/>
        <w:spacing w:after="0"/>
        <w:tabs>
          <w:tab w:leader="none" w:pos="315"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reduce any percentage specified in the definition of Required Lenders, consent to the assignment or transfer by the Borrower of any of its rights and obligations under this Agreement and the other Loan Documents, release all or substantially all of the Collateral or release all or substantially all of the value of the guarantees (taken as a whole) of the Guarantors from their obligations under the Guarantee and Collateral Agreement, in each case without the written consent of all Lenders; (D) (i) amend, modify or waive the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requirements of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any other provision of the Loan Documents requiring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treatment of the Lenders in a manner that adversely affects Revolving Lenders without the written consent of each Revolving Lender or (ii) amend, modify or waive the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requirements of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any other provision of the Loan Documents requiring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treatment of the Lenders in a manner that adversely affects the L/C Lenders without the written consent of each L/C Lender; (E) subordinate the Obligations or all or substantially all of the Liens securing the Obligations without the written consent of each Lender; (F) amend, modify or waive any provision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without the written consent of the Administrative Agent; (G) amend, modify or waive any provision of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 xml:space="preserve"> without the written consent of the Swingline Lender; (H) amend, modify or waive any provision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the definition of Alternative Currency or </w:t>
      </w:r>
      <w:r>
        <w:rPr>
          <w:rFonts w:ascii="Times New Roman" w:cs="Times New Roman" w:eastAsia="Times New Roman" w:hAnsi="Times New Roman"/>
          <w:sz w:val="19"/>
          <w:szCs w:val="19"/>
          <w:u w:val="single" w:color="auto"/>
          <w:color w:val="auto"/>
        </w:rPr>
        <w:t>Section 1.5</w:t>
      </w:r>
      <w:r>
        <w:rPr>
          <w:rFonts w:ascii="Times New Roman" w:cs="Times New Roman" w:eastAsia="Times New Roman" w:hAnsi="Times New Roman"/>
          <w:sz w:val="19"/>
          <w:szCs w:val="19"/>
          <w:color w:val="auto"/>
        </w:rPr>
        <w:t xml:space="preserve"> without the written consent of the Administrative Agent, the Issuing Lender and each Lender; or (I) amend or modify the application of payments set forth in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 xml:space="preserve"> without the written consent of each Lender.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Issuing Lender may amend any of the L/C 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388" w:lineRule="exact"/>
        <w:rPr>
          <w:rFonts w:ascii="Times New Roman" w:cs="Times New Roman" w:eastAsia="Times New Roman" w:hAnsi="Times New Roman"/>
          <w:sz w:val="19"/>
          <w:szCs w:val="19"/>
          <w:color w:val="auto"/>
        </w:rPr>
      </w:pPr>
    </w:p>
    <w:p>
      <w:pPr>
        <w:jc w:val="both"/>
        <w:ind w:firstLine="1304"/>
        <w:spacing w:after="0" w:line="235" w:lineRule="auto"/>
        <w:tabs>
          <w:tab w:leader="none" w:pos="1779"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to provide for:</w:t>
      </w:r>
    </w:p>
    <w:p>
      <w:pPr>
        <w:spacing w:after="0" w:line="174"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2"/>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the Commitment of each such Minority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13" w:right="339" w:bottom="1440" w:gutter="0" w:footer="0" w:header="0"/>
        </w:sectPr>
      </w:pPr>
    </w:p>
    <w:bookmarkStart w:id="158" w:name="page159"/>
    <w:bookmarkEnd w:id="158"/>
    <w:p>
      <w:pPr>
        <w:ind w:firstLine="1952"/>
        <w:spacing w:after="0" w:line="255" w:lineRule="auto"/>
        <w:tabs>
          <w:tab w:leader="none" w:pos="2473"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assumption of the Loans and Commitment of each such Minority Lender by one or more Replacement Lenders pursuant to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firstLine="1952"/>
        <w:spacing w:after="0" w:line="247" w:lineRule="auto"/>
        <w:tabs>
          <w:tab w:leader="none" w:pos="244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167"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3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this Agreement may be amended (or amended and restated) with the written consent of the Required Lenders, the Administrative Agent, and the Borrower, (i) to add one or more additional credit or term loan facilities to this Agreement and to permit all such additional extensions of credit and all related obligations and liabilities arising in connection therewith and from time to time outstanding thereunder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w:t>
      </w:r>
    </w:p>
    <w:p>
      <w:pPr>
        <w:spacing w:after="0" w:line="179" w:lineRule="exact"/>
        <w:rPr>
          <w:rFonts w:ascii="Times New Roman" w:cs="Times New Roman" w:eastAsia="Times New Roman" w:hAnsi="Times New Roman"/>
          <w:sz w:val="20"/>
          <w:szCs w:val="20"/>
          <w:color w:val="auto"/>
        </w:rPr>
      </w:pPr>
    </w:p>
    <w:p>
      <w:pPr>
        <w:ind w:firstLine="1304"/>
        <w:spacing w:after="0" w:line="281" w:lineRule="auto"/>
        <w:tabs>
          <w:tab w:leader="none" w:pos="1736"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herein to the contrary, any Cash Management Agreement may be amended or otherwise modified by the parties thereto in accordance with the terms thereof without the consent of the Administrative Agent or any Lender.</w:t>
      </w:r>
    </w:p>
    <w:p>
      <w:pPr>
        <w:spacing w:after="0" w:line="136" w:lineRule="exact"/>
        <w:rPr>
          <w:rFonts w:ascii="Times New Roman" w:cs="Times New Roman" w:eastAsia="Times New Roman" w:hAnsi="Times New Roman"/>
          <w:sz w:val="19"/>
          <w:szCs w:val="19"/>
          <w:color w:val="auto"/>
        </w:rPr>
      </w:pPr>
    </w:p>
    <w:p>
      <w:pPr>
        <w:jc w:val="both"/>
        <w:ind w:firstLine="1304"/>
        <w:spacing w:after="0" w:line="234" w:lineRule="auto"/>
        <w:tabs>
          <w:tab w:leader="none" w:pos="174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188" w:lineRule="exact"/>
        <w:rPr>
          <w:rFonts w:ascii="Times New Roman" w:cs="Times New Roman" w:eastAsia="Times New Roman" w:hAnsi="Times New Roman"/>
          <w:sz w:val="20"/>
          <w:szCs w:val="20"/>
          <w:color w:val="auto"/>
        </w:rPr>
      </w:pPr>
    </w:p>
    <w:p>
      <w:pPr>
        <w:ind w:right="20" w:firstLine="1304"/>
        <w:spacing w:after="0" w:line="255" w:lineRule="auto"/>
        <w:tabs>
          <w:tab w:leader="none" w:pos="169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herein to the contrary, no consent of any Lender (or other Secured Party other than the Administrative Agent) shall be required to effectuate any amendment to implement any Increase permitted by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304"/>
        <w:spacing w:after="0"/>
        <w:tabs>
          <w:tab w:leader="none" w:pos="176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herein to the contrary, this Agreement may be amended with the written consent of the Administrative Agent, the Issuing Lender, the Borrower and the Lenders affected thereby to amend the definition of “Alternative Currency” solely to add additional currency options, in each case solely to the extent permitted pursuant to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1304"/>
        <w:spacing w:after="0" w:line="255" w:lineRule="auto"/>
        <w:tabs>
          <w:tab w:leader="none" w:pos="1721"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with the consent of the Borrower only, amend, modify or supplement this Agreement or any of the Loan Documents to cure any omission, mistake or defect.</w:t>
      </w:r>
    </w:p>
    <w:p>
      <w:pPr>
        <w:spacing w:after="0" w:line="15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32" w:lineRule="auto"/>
        <w:tabs>
          <w:tab w:leader="none" w:pos="1733"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and demands to or upon the respective parties hereto to be effective shall be in writing (including by facsimile or electronic mail), and, unless otherwise expressly provided herein, shall be deemed to have been duly given or made when delivered, or 3 Business Days after being deposited in the mail, postage prepaid, or, in the case of facsimile or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13" w:right="33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60"/>
        <w:spacing w:after="0" w:line="233" w:lineRule="auto"/>
        <w:rPr>
          <w:sz w:val="20"/>
          <w:szCs w:val="20"/>
          <w:color w:val="auto"/>
        </w:rPr>
      </w:pPr>
      <w:r>
        <w:rPr>
          <w:rFonts w:ascii="Times New Roman" w:cs="Times New Roman" w:eastAsia="Times New Roman" w:hAnsi="Times New Roman"/>
          <w:sz w:val="20"/>
          <w:szCs w:val="20"/>
          <w:color w:val="auto"/>
        </w:rPr>
        <w:t>with a copy (which shall not constitute notice) to :</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80" w:right="20"/>
        <w:spacing w:after="0" w:line="233" w:lineRule="auto"/>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NerdWallet, Inc.</w:t>
      </w:r>
    </w:p>
    <w:p>
      <w:pPr>
        <w:spacing w:after="0" w:line="184" w:lineRule="auto"/>
        <w:rPr>
          <w:sz w:val="20"/>
          <w:szCs w:val="20"/>
          <w:color w:val="auto"/>
        </w:rPr>
      </w:pPr>
      <w:r>
        <w:rPr>
          <w:rFonts w:ascii="Times New Roman" w:cs="Times New Roman" w:eastAsia="Times New Roman" w:hAnsi="Times New Roman"/>
          <w:sz w:val="18"/>
          <w:szCs w:val="18"/>
          <w:color w:val="auto"/>
        </w:rPr>
        <w:t>875 Stevenson St.,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212" w:lineRule="auto"/>
        <w:rPr>
          <w:sz w:val="20"/>
          <w:szCs w:val="20"/>
          <w:color w:val="auto"/>
        </w:rPr>
      </w:pPr>
      <w:r>
        <w:rPr>
          <w:rFonts w:ascii="Times New Roman" w:cs="Times New Roman" w:eastAsia="Times New Roman" w:hAnsi="Times New Roman"/>
          <w:sz w:val="20"/>
          <w:szCs w:val="20"/>
          <w:color w:val="auto"/>
        </w:rPr>
        <w:t>San Francisco, California 94103</w:t>
      </w:r>
    </w:p>
    <w:p>
      <w:pPr>
        <w:spacing w:after="0" w:line="222" w:lineRule="auto"/>
        <w:rPr>
          <w:sz w:val="20"/>
          <w:szCs w:val="20"/>
          <w:color w:val="auto"/>
        </w:rPr>
      </w:pPr>
      <w:r>
        <w:rPr>
          <w:rFonts w:ascii="Times New Roman" w:cs="Times New Roman" w:eastAsia="Times New Roman" w:hAnsi="Times New Roman"/>
          <w:sz w:val="19"/>
          <w:szCs w:val="19"/>
          <w:color w:val="auto"/>
        </w:rPr>
        <w:t>Attn: Aby Castro, Corporate Counsel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acastro@nerdwallet.com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Cooley LLP</w:t>
      </w:r>
    </w:p>
    <w:p>
      <w:pPr>
        <w:spacing w:after="0" w:line="211" w:lineRule="auto"/>
        <w:rPr>
          <w:sz w:val="20"/>
          <w:szCs w:val="20"/>
          <w:color w:val="auto"/>
        </w:rPr>
      </w:pPr>
      <w:r>
        <w:rPr>
          <w:rFonts w:ascii="Times New Roman" w:cs="Times New Roman" w:eastAsia="Times New Roman" w:hAnsi="Times New Roman"/>
          <w:sz w:val="20"/>
          <w:szCs w:val="20"/>
          <w:color w:val="auto"/>
        </w:rPr>
        <w:t>101 California Street</w:t>
      </w:r>
    </w:p>
    <w:p>
      <w:pPr>
        <w:spacing w:after="0" w:line="197" w:lineRule="auto"/>
        <w:rPr>
          <w:sz w:val="20"/>
          <w:szCs w:val="20"/>
          <w:color w:val="auto"/>
        </w:rPr>
      </w:pPr>
      <w:r>
        <w:rPr>
          <w:rFonts w:ascii="Times New Roman" w:cs="Times New Roman" w:eastAsia="Times New Roman" w:hAnsi="Times New Roman"/>
          <w:sz w:val="20"/>
          <w:szCs w:val="20"/>
          <w:color w:val="auto"/>
        </w:rPr>
        <w:t>San Francisco, CA 94111-5800</w:t>
      </w:r>
    </w:p>
    <w:p>
      <w:pPr>
        <w:spacing w:after="0" w:line="211" w:lineRule="auto"/>
        <w:rPr>
          <w:sz w:val="20"/>
          <w:szCs w:val="20"/>
          <w:color w:val="auto"/>
        </w:rPr>
      </w:pPr>
      <w:r>
        <w:rPr>
          <w:rFonts w:ascii="Times New Roman" w:cs="Times New Roman" w:eastAsia="Times New Roman" w:hAnsi="Times New Roman"/>
          <w:sz w:val="20"/>
          <w:szCs w:val="20"/>
          <w:color w:val="auto"/>
        </w:rPr>
        <w:t>Attention: Maricel Mojares-Moore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mmoore@cooley.com</w:t>
      </w:r>
    </w:p>
    <w:p>
      <w:pPr>
        <w:spacing w:after="0"/>
        <w:rPr>
          <w:sz w:val="20"/>
          <w:szCs w:val="20"/>
          <w:color w:val="auto"/>
        </w:rPr>
      </w:pPr>
      <w:r>
        <w:rPr>
          <w:rFonts w:ascii="Times New Roman" w:cs="Times New Roman" w:eastAsia="Times New Roman" w:hAnsi="Times New Roman"/>
          <w:sz w:val="20"/>
          <w:szCs w:val="20"/>
          <w:color w:val="auto"/>
        </w:rPr>
        <w:t>Silicon Valley Bank</w:t>
      </w:r>
    </w:p>
    <w:p>
      <w:pPr>
        <w:spacing w:after="0" w:line="197" w:lineRule="auto"/>
        <w:rPr>
          <w:sz w:val="20"/>
          <w:szCs w:val="20"/>
          <w:color w:val="auto"/>
        </w:rPr>
      </w:pPr>
      <w:r>
        <w:rPr>
          <w:rFonts w:ascii="Times New Roman" w:cs="Times New Roman" w:eastAsia="Times New Roman" w:hAnsi="Times New Roman"/>
          <w:sz w:val="20"/>
          <w:szCs w:val="20"/>
          <w:color w:val="auto"/>
        </w:rPr>
        <w:t>2400 Hanover Street</w:t>
      </w:r>
    </w:p>
    <w:p>
      <w:pPr>
        <w:spacing w:after="0" w:line="211" w:lineRule="auto"/>
        <w:rPr>
          <w:sz w:val="20"/>
          <w:szCs w:val="20"/>
          <w:color w:val="auto"/>
        </w:rPr>
      </w:pPr>
      <w:r>
        <w:rPr>
          <w:rFonts w:ascii="Times New Roman" w:cs="Times New Roman" w:eastAsia="Times New Roman" w:hAnsi="Times New Roman"/>
          <w:sz w:val="20"/>
          <w:szCs w:val="20"/>
          <w:color w:val="auto"/>
        </w:rPr>
        <w:t>Palo Alto, CA 94304</w:t>
      </w:r>
    </w:p>
    <w:p>
      <w:pPr>
        <w:spacing w:after="0" w:line="211" w:lineRule="auto"/>
        <w:rPr>
          <w:sz w:val="20"/>
          <w:szCs w:val="20"/>
          <w:color w:val="auto"/>
        </w:rPr>
      </w:pPr>
      <w:r>
        <w:rPr>
          <w:rFonts w:ascii="Times New Roman" w:cs="Times New Roman" w:eastAsia="Times New Roman" w:hAnsi="Times New Roman"/>
          <w:sz w:val="20"/>
          <w:szCs w:val="20"/>
          <w:color w:val="auto"/>
        </w:rPr>
        <w:t>Attn: Alex Grotevant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agrotevant@svb.com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Morrison &amp; Foerster LLP</w:t>
      </w:r>
    </w:p>
    <w:p>
      <w:pPr>
        <w:spacing w:after="0" w:line="211" w:lineRule="auto"/>
        <w:rPr>
          <w:sz w:val="20"/>
          <w:szCs w:val="20"/>
          <w:color w:val="auto"/>
        </w:rPr>
      </w:pPr>
      <w:r>
        <w:rPr>
          <w:rFonts w:ascii="Times New Roman" w:cs="Times New Roman" w:eastAsia="Times New Roman" w:hAnsi="Times New Roman"/>
          <w:sz w:val="20"/>
          <w:szCs w:val="20"/>
          <w:color w:val="auto"/>
        </w:rPr>
        <w:t>200 Clarendon Street</w:t>
      </w:r>
    </w:p>
    <w:p>
      <w:pPr>
        <w:spacing w:after="0" w:line="197" w:lineRule="auto"/>
        <w:rPr>
          <w:sz w:val="20"/>
          <w:szCs w:val="20"/>
          <w:color w:val="auto"/>
        </w:rPr>
      </w:pPr>
      <w:r>
        <w:rPr>
          <w:rFonts w:ascii="Times New Roman" w:cs="Times New Roman" w:eastAsia="Times New Roman" w:hAnsi="Times New Roman"/>
          <w:sz w:val="20"/>
          <w:szCs w:val="20"/>
          <w:color w:val="auto"/>
        </w:rPr>
        <w:t>Boston, Massachusetts 02116</w:t>
      </w:r>
    </w:p>
    <w:p>
      <w:pPr>
        <w:spacing w:after="0" w:line="211" w:lineRule="auto"/>
        <w:rPr>
          <w:sz w:val="20"/>
          <w:szCs w:val="20"/>
          <w:color w:val="auto"/>
        </w:rPr>
      </w:pPr>
      <w:r>
        <w:rPr>
          <w:rFonts w:ascii="Times New Roman" w:cs="Times New Roman" w:eastAsia="Times New Roman" w:hAnsi="Times New Roman"/>
          <w:sz w:val="20"/>
          <w:szCs w:val="20"/>
          <w:color w:val="auto"/>
        </w:rPr>
        <w:t>Attention: Charles W. Stavros, Esq.</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Cstavros@mofo.com</w:t>
      </w:r>
    </w:p>
    <w:p>
      <w:pPr>
        <w:spacing w:after="0" w:line="205" w:lineRule="exact"/>
        <w:rPr>
          <w:sz w:val="20"/>
          <w:szCs w:val="20"/>
          <w:color w:val="auto"/>
        </w:rPr>
      </w:pPr>
    </w:p>
    <w:p>
      <w:pPr>
        <w:sectPr>
          <w:pgSz w:w="11900" w:h="16838" w:orient="portrait"/>
          <w:cols w:equalWidth="0" w:num="2">
            <w:col w:w="3900" w:space="140"/>
            <w:col w:w="7200"/>
          </w:cols>
          <w:pgMar w:left="320" w:top="1440" w:right="339" w:bottom="1440" w:gutter="0" w:footer="0" w:header="0"/>
        </w:sectPr>
      </w:pP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any notice, request or demand to or upon the Administrative Agent or the Lenders shall not be effective until received.</w:t>
      </w:r>
    </w:p>
    <w:p>
      <w:pPr>
        <w:spacing w:after="0" w:line="214" w:lineRule="exact"/>
        <w:rPr>
          <w:sz w:val="20"/>
          <w:szCs w:val="20"/>
          <w:color w:val="auto"/>
        </w:rPr>
      </w:pPr>
    </w:p>
    <w:p>
      <w:pPr>
        <w:jc w:val="both"/>
        <w:ind w:firstLine="1304"/>
        <w:spacing w:after="0" w:line="242" w:lineRule="auto"/>
        <w:tabs>
          <w:tab w:leader="none" w:pos="1998"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the foregoing shall not apply to notices to any Lender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for both clauses (i) and (ii), if such notice or other communication is not sent during the normal business hours of the recipient, such notice or communication shall be deemed to have been sent at the opening of business on the next Business Day for the recipient.</w:t>
      </w:r>
    </w:p>
    <w:p>
      <w:pPr>
        <w:spacing w:after="0" w:line="177" w:lineRule="exact"/>
        <w:rPr>
          <w:rFonts w:ascii="Times New Roman" w:cs="Times New Roman" w:eastAsia="Times New Roman" w:hAnsi="Times New Roman"/>
          <w:sz w:val="19"/>
          <w:szCs w:val="19"/>
          <w:color w:val="auto"/>
        </w:rPr>
      </w:pPr>
    </w:p>
    <w:p>
      <w:pPr>
        <w:ind w:firstLine="1304"/>
        <w:spacing w:after="0" w:line="255" w:lineRule="auto"/>
        <w:tabs>
          <w:tab w:leader="none" w:pos="1703"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facsimile number for notices and other communications hereunder by notice to the other parties hereto.</w:t>
      </w:r>
    </w:p>
    <w:p>
      <w:pPr>
        <w:spacing w:after="0" w:line="172" w:lineRule="exact"/>
        <w:rPr>
          <w:rFonts w:ascii="Times New Roman" w:cs="Times New Roman" w:eastAsia="Times New Roman" w:hAnsi="Times New Roman"/>
          <w:sz w:val="20"/>
          <w:szCs w:val="20"/>
          <w:color w:val="auto"/>
        </w:rPr>
      </w:pPr>
    </w:p>
    <w:p>
      <w:pPr>
        <w:ind w:right="20" w:firstLine="1304"/>
        <w:spacing w:after="0" w:line="255" w:lineRule="auto"/>
        <w:tabs>
          <w:tab w:leader="none" w:pos="203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type w:val="continuous"/>
        </w:sectPr>
      </w:pPr>
    </w:p>
    <w:bookmarkStart w:id="160" w:name="page161"/>
    <w:bookmarkEnd w:id="160"/>
    <w:p>
      <w:pPr>
        <w:jc w:val="both"/>
        <w:ind w:firstLine="1952"/>
        <w:spacing w:after="0" w:line="230" w:lineRule="auto"/>
        <w:tabs>
          <w:tab w:leader="none" w:pos="242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have any liability to the Borrower or the other 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 w:cs="Times New Roman" w:eastAsia="Times New Roman" w:hAnsi="Times New Roman"/>
          <w:sz w:val="20"/>
          <w:szCs w:val="20"/>
          <w:b w:val="1"/>
          <w:bCs w:val="1"/>
          <w:i w:val="1"/>
          <w:iCs w:val="1"/>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1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10.3 No Waiver; Cumulative Remedies</w:t>
      </w:r>
      <w:r>
        <w:rPr>
          <w:rFonts w:ascii="Times New Roman" w:cs="Times New Roman" w:eastAsia="Times New Roman" w:hAnsi="Times New Roman"/>
          <w:sz w:val="20"/>
          <w:szCs w:val="20"/>
          <w:color w:val="auto"/>
        </w:rPr>
        <w:t>. No failure to exercise and no delay in exercising, on the part of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4"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10.4 Survival of Representations and Warranties</w:t>
      </w:r>
      <w:r>
        <w:rPr>
          <w:rFonts w:ascii="Times New Roman" w:cs="Times New Roman" w:eastAsia="Times New Roman" w:hAnsi="Times New Roman"/>
          <w:sz w:val="20"/>
          <w:szCs w:val="20"/>
          <w:color w:val="auto"/>
        </w:rPr>
        <w:t>. All representations and warranties made hereunder, in the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and in any document, certificate or statement delivered pursuant hereto or in connection herewith shall survive the execution and delivery of this Agreement and the making of the Loans and other extensions of credit hereunder.</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color w:val="auto"/>
        </w:rPr>
        <w:t>Expenses; Indemnity; Damage Waiver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30" w:lineRule="auto"/>
        <w:tabs>
          <w:tab w:leader="none" w:pos="1727"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pay (i) all reasonable and documented out-of-pocket expenses incurred by the Administrative Agent and its Affiliates (including the reasonable fees, charges and disbursements of counsel for the Administrative Agent),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and (iii) all reasonable and documented out-of-pocket expenses incurred by the Administrative Agent or any Lender (including the fees, charges and disbursements of counsel for the Administrative Agent or any Lender),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documented out-of-pocket expenses incurred during any workout, restructuring or negotiations in respect of such Loans or Letters of Credit.</w:t>
      </w:r>
    </w:p>
    <w:p>
      <w:pPr>
        <w:spacing w:after="0" w:line="181" w:lineRule="exact"/>
        <w:rPr>
          <w:rFonts w:ascii="Times New Roman" w:cs="Times New Roman" w:eastAsia="Times New Roman" w:hAnsi="Times New Roman"/>
          <w:sz w:val="20"/>
          <w:szCs w:val="20"/>
          <w:color w:val="auto"/>
        </w:rPr>
      </w:pPr>
    </w:p>
    <w:p>
      <w:pPr>
        <w:jc w:val="both"/>
        <w:ind w:firstLine="1304"/>
        <w:spacing w:after="0" w:line="234" w:lineRule="auto"/>
        <w:tabs>
          <w:tab w:leader="none" w:pos="172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the Administrative Agent (and any sub-agent thereof), each Lender (including the Issuing Lender), and each Related Party of any of the foregoing Persons (each such Person being called an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13" w:right="339" w:bottom="1440" w:gutter="0" w:footer="0" w:header="0"/>
        </w:sectPr>
      </w:pPr>
    </w:p>
    <w:bookmarkStart w:id="161" w:name="page162"/>
    <w:bookmarkEnd w:id="161"/>
    <w:p>
      <w:pPr>
        <w:jc w:val="both"/>
        <w:spacing w:after="0" w:line="245" w:lineRule="auto"/>
        <w:rPr>
          <w:sz w:val="20"/>
          <w:szCs w:val="20"/>
          <w:color w:val="auto"/>
        </w:rPr>
      </w:pPr>
      <w:r>
        <w:rPr>
          <w:rFonts w:ascii="Times New Roman" w:cs="Times New Roman" w:eastAsia="Times New Roman" w:hAnsi="Times New Roman"/>
          <w:sz w:val="19"/>
          <w:szCs w:val="19"/>
          <w:color w:val="auto"/>
        </w:rPr>
        <w:t>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w:t>
      </w:r>
    </w:p>
    <w:p>
      <w:pPr>
        <w:spacing w:after="0" w:line="1" w:lineRule="exact"/>
        <w:rPr>
          <w:sz w:val="20"/>
          <w:szCs w:val="20"/>
          <w:color w:val="auto"/>
        </w:rPr>
      </w:pPr>
    </w:p>
    <w:p>
      <w:pPr>
        <w:jc w:val="both"/>
        <w:ind w:firstLine="8"/>
        <w:spacing w:after="0" w:line="229" w:lineRule="auto"/>
        <w:tabs>
          <w:tab w:leader="none" w:pos="29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Group Members, or any Environmental Liability related in any way to the Group Members,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76" w:lineRule="exact"/>
        <w:rPr>
          <w:rFonts w:ascii="Times New Roman" w:cs="Times New Roman" w:eastAsia="Times New Roman" w:hAnsi="Times New Roman"/>
          <w:sz w:val="20"/>
          <w:szCs w:val="20"/>
          <w:color w:val="auto"/>
        </w:rPr>
      </w:pPr>
    </w:p>
    <w:p>
      <w:pPr>
        <w:jc w:val="both"/>
        <w:ind w:firstLine="1304"/>
        <w:spacing w:after="0" w:line="230" w:lineRule="auto"/>
        <w:tabs>
          <w:tab w:leader="none" w:pos="1835"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(determined as of the time that the applicable unreimbursed expense or indemnity payment is sought based on each Lender’s Revolving Percentage at such time) of such unpaid amount (including any such unpaid amount in respect of a claim asserted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 (c) are subject to the provisions of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2.20(e)</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1304"/>
        <w:spacing w:after="0" w:line="231" w:lineRule="auto"/>
        <w:tabs>
          <w:tab w:leader="none" w:pos="1738"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the Borrower and each other Loan Party shall not assert, and hereby waives, any claim against the Administrative Agent (and any sub-agent thereof), each Lender (including the Issuing Lender), and each Related Party of any of the foregoing Persons (each such Person being called an “</w:t>
      </w:r>
      <w:r>
        <w:rPr>
          <w:rFonts w:ascii="Times New Roman" w:cs="Times New Roman" w:eastAsia="Times New Roman" w:hAnsi="Times New Roman"/>
          <w:sz w:val="20"/>
          <w:szCs w:val="20"/>
          <w:b w:val="1"/>
          <w:bCs w:val="1"/>
          <w:i w:val="1"/>
          <w:iCs w:val="1"/>
          <w:color w:val="auto"/>
        </w:rPr>
        <w:t>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on any theory of liability, for special, indirect, consequential or punitive damages (as opposed to direct or actual damages) arising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 of, in connection with, or as a result of, this Agreement, any other Loan Document or any agreement or instrument contemplated hereby, the transactions contemplated hereby or thereby, any Loan or Letter of Credit, or the use of the proceeds thereof. No Applicable Party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13" w:right="339" w:bottom="1440" w:gutter="0" w:footer="0" w:header="0"/>
        </w:sectPr>
      </w:pPr>
    </w:p>
    <w:bookmarkStart w:id="162" w:name="page163"/>
    <w:bookmarkEnd w:id="162"/>
    <w:p>
      <w:pPr>
        <w:ind w:left="1720" w:hanging="416"/>
        <w:spacing w:after="0"/>
        <w:tabs>
          <w:tab w:leader="none" w:pos="17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after demand therefor.</w:t>
      </w:r>
    </w:p>
    <w:p>
      <w:pPr>
        <w:spacing w:after="0" w:line="202"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Discharge of Obligations.</w:t>
      </w:r>
    </w:p>
    <w:p>
      <w:pPr>
        <w:spacing w:after="0" w:line="19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color w:val="auto"/>
        </w:rPr>
        <w:t>Successors and Assigns; Participations and Assignments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1" w:lineRule="auto"/>
        <w:tabs>
          <w:tab w:leader="none" w:pos="174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(which, for purposes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84" w:lineRule="exact"/>
        <w:rPr>
          <w:rFonts w:ascii="Times New Roman" w:cs="Times New Roman" w:eastAsia="Times New Roman" w:hAnsi="Times New Roman"/>
          <w:sz w:val="20"/>
          <w:szCs w:val="20"/>
          <w:color w:val="auto"/>
        </w:rPr>
      </w:pPr>
    </w:p>
    <w:p>
      <w:pPr>
        <w:jc w:val="both"/>
        <w:ind w:firstLine="1304"/>
        <w:spacing w:after="0"/>
        <w:tabs>
          <w:tab w:leader="none" w:pos="173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(in each case with respect to any Facility) any such assignment shall be subject to the following conditions:</w:t>
      </w:r>
    </w:p>
    <w:p>
      <w:pPr>
        <w:spacing w:after="0" w:line="174"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2600"/>
        <w:spacing w:after="0" w:line="237" w:lineRule="auto"/>
        <w:tabs>
          <w:tab w:leader="none" w:pos="3127"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73" w:lineRule="exact"/>
        <w:rPr>
          <w:rFonts w:ascii="Times New Roman" w:cs="Times New Roman" w:eastAsia="Times New Roman" w:hAnsi="Times New Roman"/>
          <w:sz w:val="20"/>
          <w:szCs w:val="20"/>
          <w:color w:val="auto"/>
        </w:rPr>
      </w:pPr>
    </w:p>
    <w:p>
      <w:pPr>
        <w:jc w:val="both"/>
        <w:ind w:firstLine="2600"/>
        <w:spacing w:after="0" w:line="233" w:lineRule="auto"/>
        <w:tabs>
          <w:tab w:leader="none" w:pos="3241"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is specified in the Assignment and Assumption, as of the Trade Date) shall not be less than $5,000,000, unless each of the Administrative Agent and, so long as no Default or Event of Default has occurred and is continuing, the Borrower otherwise consents (each such consent not to be unreasonably withheld or delayed).</w:t>
      </w:r>
    </w:p>
    <w:p>
      <w:pPr>
        <w:spacing w:after="0" w:line="178" w:lineRule="exact"/>
        <w:rPr>
          <w:rFonts w:ascii="Times New Roman" w:cs="Times New Roman" w:eastAsia="Times New Roman" w:hAnsi="Times New Roman"/>
          <w:sz w:val="20"/>
          <w:szCs w:val="20"/>
          <w:color w:val="auto"/>
        </w:rPr>
      </w:pPr>
    </w:p>
    <w:p>
      <w:pPr>
        <w:jc w:val="both"/>
        <w:ind w:firstLine="1952"/>
        <w:spacing w:after="0" w:line="236" w:lineRule="auto"/>
        <w:tabs>
          <w:tab w:leader="none" w:pos="241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13" w:right="339" w:bottom="1440" w:gutter="0" w:footer="0" w:header="0"/>
        </w:sectPr>
      </w:pPr>
    </w:p>
    <w:bookmarkStart w:id="163" w:name="page164"/>
    <w:bookmarkEnd w:id="163"/>
    <w:p>
      <w:pPr>
        <w:ind w:firstLine="1952"/>
        <w:spacing w:after="0" w:line="255" w:lineRule="auto"/>
        <w:tabs>
          <w:tab w:leader="none" w:pos="26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paragraph (b)(i)(B) of this Section and, in addition:</w:t>
      </w:r>
    </w:p>
    <w:p>
      <w:pPr>
        <w:spacing w:after="0" w:line="159" w:lineRule="exact"/>
        <w:rPr>
          <w:rFonts w:ascii="Times New Roman" w:cs="Times New Roman" w:eastAsia="Times New Roman" w:hAnsi="Times New Roman"/>
          <w:sz w:val="20"/>
          <w:szCs w:val="20"/>
          <w:color w:val="auto"/>
        </w:rPr>
      </w:pPr>
    </w:p>
    <w:p>
      <w:pPr>
        <w:jc w:val="both"/>
        <w:ind w:firstLine="2600"/>
        <w:spacing w:after="0" w:line="239" w:lineRule="auto"/>
        <w:tabs>
          <w:tab w:leader="none" w:pos="319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Borrower shall be deemed to have consented to any such assignment unless it shall object thereto by written notice to the Administrative Agent within 5 Business Days after having received notice thereof;</w:t>
      </w:r>
    </w:p>
    <w:p>
      <w:pPr>
        <w:spacing w:after="0" w:line="177" w:lineRule="exact"/>
        <w:rPr>
          <w:rFonts w:ascii="Times New Roman" w:cs="Times New Roman" w:eastAsia="Times New Roman" w:hAnsi="Times New Roman"/>
          <w:sz w:val="20"/>
          <w:szCs w:val="20"/>
          <w:color w:val="auto"/>
        </w:rPr>
      </w:pPr>
    </w:p>
    <w:p>
      <w:pPr>
        <w:jc w:val="both"/>
        <w:ind w:firstLine="2600"/>
        <w:spacing w:after="0"/>
        <w:tabs>
          <w:tab w:leader="none" w:pos="3129"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the Revolving Facility if such assignment is to a Person that is not a Lender with a Revolving Commitment; and</w:t>
      </w:r>
    </w:p>
    <w:p>
      <w:pPr>
        <w:spacing w:after="0" w:line="174" w:lineRule="exact"/>
        <w:rPr>
          <w:rFonts w:ascii="Times New Roman" w:cs="Times New Roman" w:eastAsia="Times New Roman" w:hAnsi="Times New Roman"/>
          <w:sz w:val="20"/>
          <w:szCs w:val="20"/>
          <w:color w:val="auto"/>
        </w:rPr>
      </w:pPr>
    </w:p>
    <w:p>
      <w:pPr>
        <w:ind w:right="20" w:firstLine="2600"/>
        <w:spacing w:after="0" w:line="255" w:lineRule="auto"/>
        <w:tabs>
          <w:tab w:leader="none" w:pos="3197"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Issuing Lender and the Swingline Lender (such consent not to be unreasonably withheld or delayed) shall be required for any assignment in respect of the Revolving Facility.</w:t>
      </w:r>
    </w:p>
    <w:p>
      <w:pPr>
        <w:spacing w:after="0" w:line="159" w:lineRule="exact"/>
        <w:rPr>
          <w:rFonts w:ascii="Times New Roman" w:cs="Times New Roman" w:eastAsia="Times New Roman" w:hAnsi="Times New Roman"/>
          <w:sz w:val="20"/>
          <w:szCs w:val="20"/>
          <w:color w:val="auto"/>
        </w:rPr>
      </w:pPr>
    </w:p>
    <w:p>
      <w:pPr>
        <w:jc w:val="both"/>
        <w:ind w:firstLine="1952"/>
        <w:spacing w:after="0" w:line="239" w:lineRule="auto"/>
        <w:tabs>
          <w:tab w:leader="none" w:pos="246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Administrative Agent may, in its sole discretion, elect to waive such processing and recordation fee in the case of any assignment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assignee, if it is not a Lender, shall deliver to the Administrative Agent any such administrative questionnaire as the Administrative Agent may request.</w:t>
      </w:r>
    </w:p>
    <w:p>
      <w:pPr>
        <w:spacing w:after="0" w:line="177" w:lineRule="exact"/>
        <w:rPr>
          <w:rFonts w:ascii="Times New Roman" w:cs="Times New Roman" w:eastAsia="Times New Roman" w:hAnsi="Times New Roman"/>
          <w:sz w:val="20"/>
          <w:szCs w:val="20"/>
          <w:color w:val="auto"/>
        </w:rPr>
      </w:pPr>
    </w:p>
    <w:p>
      <w:pPr>
        <w:jc w:val="both"/>
        <w:ind w:firstLine="1952"/>
        <w:spacing w:after="0"/>
        <w:tabs>
          <w:tab w:leader="none" w:pos="248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174" w:lineRule="exact"/>
        <w:rPr>
          <w:rFonts w:ascii="Times New Roman" w:cs="Times New Roman" w:eastAsia="Times New Roman" w:hAnsi="Times New Roman"/>
          <w:sz w:val="20"/>
          <w:szCs w:val="20"/>
          <w:color w:val="auto"/>
        </w:rPr>
      </w:pPr>
    </w:p>
    <w:p>
      <w:pPr>
        <w:ind w:firstLine="1952"/>
        <w:spacing w:after="0" w:line="255" w:lineRule="auto"/>
        <w:tabs>
          <w:tab w:leader="none" w:pos="253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established for, or owned and operated for the primary benefit of, a natural Person).</w:t>
      </w:r>
    </w:p>
    <w:p>
      <w:pPr>
        <w:spacing w:after="0" w:line="172" w:lineRule="exact"/>
        <w:rPr>
          <w:rFonts w:ascii="Times New Roman" w:cs="Times New Roman" w:eastAsia="Times New Roman" w:hAnsi="Times New Roman"/>
          <w:sz w:val="20"/>
          <w:szCs w:val="20"/>
          <w:color w:val="auto"/>
        </w:rPr>
      </w:pPr>
    </w:p>
    <w:p>
      <w:pPr>
        <w:jc w:val="both"/>
        <w:ind w:firstLine="1952"/>
        <w:spacing w:after="0" w:line="230" w:lineRule="auto"/>
        <w:tabs>
          <w:tab w:leader="none" w:pos="250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81" w:lineRule="exact"/>
        <w:rPr>
          <w:sz w:val="20"/>
          <w:szCs w:val="20"/>
          <w:color w:val="auto"/>
        </w:rPr>
      </w:pPr>
    </w:p>
    <w:p>
      <w:pPr>
        <w:jc w:val="both"/>
        <w:ind w:firstLine="1304"/>
        <w:spacing w:after="0" w:line="233" w:lineRule="auto"/>
        <w:tabs>
          <w:tab w:leader="none" w:pos="1821"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78" w:lineRule="exact"/>
        <w:rPr>
          <w:rFonts w:ascii="Times New Roman" w:cs="Times New Roman" w:eastAsia="Times New Roman" w:hAnsi="Times New Roman"/>
          <w:sz w:val="20"/>
          <w:szCs w:val="20"/>
          <w:color w:val="auto"/>
        </w:rPr>
      </w:pPr>
    </w:p>
    <w:p>
      <w:pPr>
        <w:jc w:val="both"/>
        <w:ind w:firstLine="1304"/>
        <w:spacing w:after="0" w:line="232" w:lineRule="auto"/>
        <w:tabs>
          <w:tab w:leader="none" w:pos="1778"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such Lender’s obligations under this Agreement shall remain unchanged,</w:t>
      </w:r>
    </w:p>
    <w:p>
      <w:pPr>
        <w:spacing w:after="0" w:line="3" w:lineRule="exact"/>
        <w:rPr>
          <w:rFonts w:ascii="Times New Roman" w:cs="Times New Roman" w:eastAsia="Times New Roman" w:hAnsi="Times New Roman"/>
          <w:sz w:val="20"/>
          <w:szCs w:val="20"/>
          <w:color w:val="auto"/>
        </w:rPr>
      </w:pPr>
    </w:p>
    <w:p>
      <w:pPr>
        <w:jc w:val="both"/>
        <w:ind w:firstLine="8"/>
        <w:spacing w:after="0" w:line="230" w:lineRule="auto"/>
        <w:tabs>
          <w:tab w:leader="none" w:pos="29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Times New Roman" w:cs="Times New Roman" w:eastAsia="Times New Roman" w:hAnsi="Times New Roman"/>
          <w:sz w:val="20"/>
          <w:szCs w:val="20"/>
          <w:u w:val="single" w:color="auto"/>
          <w:color w:val="auto"/>
        </w:rPr>
        <w:t>Sections 2.20(e)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9.7</w:t>
      </w:r>
      <w:r>
        <w:rPr>
          <w:rFonts w:ascii="Times New Roman" w:cs="Times New Roman" w:eastAsia="Times New Roman" w:hAnsi="Times New Roman"/>
          <w:sz w:val="20"/>
          <w:szCs w:val="20"/>
          <w:color w:val="auto"/>
        </w:rPr>
        <w:t xml:space="preserve"> with respect to any payments made by such Lender to its Participant(s).</w:t>
      </w:r>
    </w:p>
    <w:p>
      <w:pPr>
        <w:spacing w:after="0" w:line="17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The Borrower agrees that each Participant shall be entitled to the benefits of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shall be delivered by such Participant to the Lender granting such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Participant (A) agrees to be subject to the provisions of </w:t>
      </w:r>
      <w:r>
        <w:rPr>
          <w:rFonts w:ascii="Times New Roman" w:cs="Times New Roman" w:eastAsia="Times New Roman" w:hAnsi="Times New Roman"/>
          <w:sz w:val="20"/>
          <w:szCs w:val="20"/>
          <w:u w:val="single" w:color="auto"/>
          <w:color w:val="auto"/>
        </w:rPr>
        <w:t>Sections 2.23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with respect to any participation, than its participating Lender would have been entitled to receive, except to the extent such entitlement to receive a greater payment results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13" w:right="339" w:bottom="1440" w:gutter="0" w:footer="0" w:header="0"/>
        </w:sectPr>
      </w:pPr>
    </w:p>
    <w:bookmarkStart w:id="165" w:name="page166"/>
    <w:bookmarkEnd w:id="165"/>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Participant agrees to be subject to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1" w:lineRule="exact"/>
        <w:rPr>
          <w:sz w:val="20"/>
          <w:szCs w:val="20"/>
          <w:color w:val="auto"/>
        </w:rPr>
      </w:pPr>
    </w:p>
    <w:p>
      <w:pPr>
        <w:jc w:val="both"/>
        <w:ind w:firstLine="1304"/>
        <w:spacing w:after="0" w:line="236" w:lineRule="auto"/>
        <w:tabs>
          <w:tab w:leader="none" w:pos="171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no such pledge or assignment shall release such Lender from any of its obligations hereunder or substitute any such pledgee or assignee for such Lender as a party hereto.</w:t>
      </w:r>
    </w:p>
    <w:p>
      <w:pPr>
        <w:spacing w:after="0" w:line="175" w:lineRule="exact"/>
        <w:rPr>
          <w:rFonts w:ascii="Times New Roman" w:cs="Times New Roman" w:eastAsia="Times New Roman" w:hAnsi="Times New Roman"/>
          <w:sz w:val="20"/>
          <w:szCs w:val="20"/>
          <w:color w:val="auto"/>
        </w:rPr>
      </w:pPr>
    </w:p>
    <w:p>
      <w:pPr>
        <w:ind w:right="20" w:firstLine="1304"/>
        <w:spacing w:after="0" w:line="255" w:lineRule="auto"/>
        <w:tabs>
          <w:tab w:leader="none" w:pos="170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The Borrower, upon receipt by the Borrower of written notice from the relevant Lender, agrees to issue Notes to any Lender requiring Notes to facilitate transactions of the type described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1304"/>
        <w:spacing w:after="0" w:line="244" w:lineRule="auto"/>
        <w:tabs>
          <w:tab w:leader="none" w:pos="1738"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Lenders</w:t>
      </w:r>
      <w:r>
        <w:rPr>
          <w:rFonts w:ascii="Times New Roman" w:cs="Times New Roman" w:eastAsia="Times New Roman" w:hAnsi="Times New Roman"/>
          <w:sz w:val="19"/>
          <w:szCs w:val="19"/>
          <w:color w:val="auto"/>
        </w:rPr>
        <w:t xml:space="preserve">.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the disposition of such Commitments and Loans or any interests therein shall at all times remain within its exclusive control).</w:t>
      </w:r>
    </w:p>
    <w:p>
      <w:pPr>
        <w:spacing w:after="0" w:line="16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color w:val="auto"/>
        </w:rPr>
        <w:t>Adjustments; Set-off</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30" w:lineRule="auto"/>
        <w:tabs>
          <w:tab w:leader="none" w:pos="172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all or any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13" w:right="339" w:bottom="1440" w:gutter="0" w:footer="0" w:header="0"/>
        </w:sectPr>
      </w:pPr>
    </w:p>
    <w:bookmarkStart w:id="166" w:name="page167"/>
    <w:bookmarkEnd w:id="166"/>
    <w:p>
      <w:pPr>
        <w:spacing w:after="0" w:line="255" w:lineRule="auto"/>
        <w:rPr>
          <w:sz w:val="20"/>
          <w:szCs w:val="20"/>
          <w:color w:val="auto"/>
        </w:rPr>
      </w:pPr>
      <w:r>
        <w:rPr>
          <w:rFonts w:ascii="Times New Roman" w:cs="Times New Roman" w:eastAsia="Times New Roman" w:hAnsi="Times New Roman"/>
          <w:sz w:val="20"/>
          <w:szCs w:val="20"/>
          <w:color w:val="auto"/>
        </w:rPr>
        <w:t>of such excess payment or benefits is thereafter recovered from such Benefitted Lender, such purchase shall be rescinded, and the purchase price and benefits returned, to the extent of such recovery, but without interest.</w:t>
      </w:r>
    </w:p>
    <w:p>
      <w:pPr>
        <w:spacing w:after="0" w:line="159" w:lineRule="exact"/>
        <w:rPr>
          <w:sz w:val="20"/>
          <w:szCs w:val="20"/>
          <w:color w:val="auto"/>
        </w:rPr>
      </w:pPr>
    </w:p>
    <w:p>
      <w:pPr>
        <w:jc w:val="both"/>
        <w:ind w:firstLine="1304"/>
        <w:spacing w:after="0" w:line="229" w:lineRule="auto"/>
        <w:tabs>
          <w:tab w:leader="none" w:pos="1741"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 the occurrence and during the continuance of any Event of Default and (ii) obtaining the prior written consent of the Administrative Agent, each Lender and each of its Affiliates is hereby authorized at any time and from time to time, without prior notice to the Borrower or any other Loan Party, any such notice being expressly waived by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the Borrower or any other Loan Party, as the case may be, against any and all of the obligations of the Borrower or such other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other Loan Party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failure to give such notice shall not affect the validity of such setoff and application. The rights of each Lender and its Affiliates under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are in addition to other rights and remedies (including other rights of set-off) which such Lender or its Affiliates may have.</w:t>
      </w:r>
    </w:p>
    <w:p>
      <w:pPr>
        <w:spacing w:after="0" w:line="18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10.8 Payments Set Aside</w:t>
      </w:r>
      <w:r>
        <w:rPr>
          <w:rFonts w:ascii="Times New Roman" w:cs="Times New Roman" w:eastAsia="Times New Roman" w:hAnsi="Times New Roman"/>
          <w:sz w:val="20"/>
          <w:szCs w:val="20"/>
          <w:color w:val="auto"/>
        </w:rPr>
        <w:t>. To the extent that any payment by or on behalf of the Borrower is made to the Administrative Agent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2" w:lineRule="exact"/>
        <w:rPr>
          <w:sz w:val="20"/>
          <w:szCs w:val="20"/>
          <w:color w:val="auto"/>
        </w:rPr>
      </w:pPr>
    </w:p>
    <w:p>
      <w:pPr>
        <w:jc w:val="both"/>
        <w:ind w:firstLine="8"/>
        <w:spacing w:after="0" w:line="230" w:lineRule="auto"/>
        <w:tabs>
          <w:tab w:leader="none" w:pos="28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spacing w:after="0" w:line="17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10.9 Interest Rate Limitation</w:t>
      </w:r>
      <w:r>
        <w:rPr>
          <w:rFonts w:ascii="Times New Roman" w:cs="Times New Roman" w:eastAsia="Times New Roman" w:hAnsi="Times New Roman"/>
          <w:sz w:val="20"/>
          <w:szCs w:val="20"/>
          <w:color w:val="auto"/>
        </w:rPr>
        <w:t>. Notwithstanding anything to the contrary contained in any Loan Document, the interest paid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agreed to be paid under the Loan Documents shall not exceed the maximum rate of non-usurious interest permitted by applicable law (the “</w:t>
      </w:r>
      <w:r>
        <w:rPr>
          <w:rFonts w:ascii="Times New Roman" w:cs="Times New Roman" w:eastAsia="Times New Roman" w:hAnsi="Times New Roman"/>
          <w:sz w:val="20"/>
          <w:szCs w:val="20"/>
          <w:b w:val="1"/>
          <w:bCs w:val="1"/>
          <w:i w:val="1"/>
          <w:iCs w:val="1"/>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13" w:right="339" w:bottom="1440" w:gutter="0" w:footer="0" w:header="0"/>
        </w:sectPr>
      </w:pPr>
    </w:p>
    <w:bookmarkStart w:id="167" w:name="page168"/>
    <w:bookmarkEnd w:id="167"/>
    <w:p>
      <w:pPr>
        <w:jc w:val="both"/>
        <w:spacing w:after="0"/>
        <w:rPr>
          <w:sz w:val="20"/>
          <w:szCs w:val="20"/>
          <w:color w:val="auto"/>
        </w:rPr>
      </w:pPr>
      <w:r>
        <w:rPr>
          <w:rFonts w:ascii="Times New Roman" w:cs="Times New Roman" w:eastAsia="Times New Roman" w:hAnsi="Times New Roman"/>
          <w:sz w:val="20"/>
          <w:szCs w:val="20"/>
          <w:color w:val="auto"/>
        </w:rPr>
        <w:t>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color w:val="auto"/>
        </w:rPr>
        <w:t>Counterparts; Electronic Execution of Assignments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34" w:lineRule="auto"/>
        <w:tabs>
          <w:tab w:leader="none" w:pos="1867"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w:t>
      </w:r>
    </w:p>
    <w:p>
      <w:pPr>
        <w:spacing w:after="0" w:line="174"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7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b w:val="1"/>
          <w:bCs w:val="1"/>
          <w:color w:val="auto"/>
        </w:rPr>
        <w:t>10.11 Severability</w:t>
      </w:r>
      <w:r>
        <w:rPr>
          <w:rFonts w:ascii="Times New Roman" w:cs="Times New Roman" w:eastAsia="Times New Roman" w:hAnsi="Times New Roman"/>
          <w:sz w:val="20"/>
          <w:szCs w:val="20"/>
          <w:color w:val="auto"/>
        </w:rPr>
        <w:t>. Any provision of this Agreement that is prohibited or unenforceable in any jurisdiction shall, as to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b w:val="1"/>
          <w:bCs w:val="1"/>
          <w:color w:val="auto"/>
        </w:rPr>
        <w:t>10.12 Integration</w:t>
      </w:r>
      <w:r>
        <w:rPr>
          <w:rFonts w:ascii="Times New Roman" w:cs="Times New Roman" w:eastAsia="Times New Roman" w:hAnsi="Times New Roman"/>
          <w:sz w:val="20"/>
          <w:szCs w:val="20"/>
          <w:color w:val="auto"/>
        </w:rPr>
        <w:t>. This Agreement and the other Loan Documents represent the entire agreement of the Borrower, the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72"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10.13</w:t>
      </w:r>
      <w:r>
        <w:rPr>
          <w:sz w:val="20"/>
          <w:szCs w:val="20"/>
          <w:color w:val="auto"/>
        </w:rPr>
        <w:tab/>
      </w: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THIS  AGREEMENT,  THE  OTHER  LOAN  DOCUMENTS,  AND  ANY  CLAIM,</w:t>
      </w:r>
    </w:p>
    <w:p>
      <w:pPr>
        <w:spacing w:after="0" w:line="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LAWS OF THE STATE OF NEW YORK. </w:t>
      </w:r>
      <w:r>
        <w:rPr>
          <w:rFonts w:ascii="Times New Roman" w:cs="Times New Roman" w:eastAsia="Times New Roman" w:hAnsi="Times New Roman"/>
          <w:sz w:val="19"/>
          <w:szCs w:val="19"/>
          <w:color w:val="auto"/>
        </w:rPr>
        <w:t>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Discharge of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13" w:right="339" w:bottom="1440" w:gutter="0" w:footer="0" w:header="0"/>
        </w:sectPr>
      </w:pPr>
    </w:p>
    <w:bookmarkStart w:id="168" w:name="page169"/>
    <w:bookmarkEnd w:id="168"/>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ab/>
      </w:r>
      <w:r>
        <w:rPr>
          <w:rFonts w:ascii="Times New Roman" w:cs="Times New Roman" w:eastAsia="Times New Roman" w:hAnsi="Times New Roman"/>
          <w:sz w:val="19"/>
          <w:szCs w:val="19"/>
          <w:b w:val="1"/>
          <w:bCs w:val="1"/>
          <w:color w:val="auto"/>
        </w:rPr>
        <w:t>Submission to Jurisdiction; Waivers</w:t>
      </w:r>
      <w:r>
        <w:rPr>
          <w:rFonts w:ascii="Times New Roman" w:cs="Times New Roman" w:eastAsia="Times New Roman" w:hAnsi="Times New Roman"/>
          <w:sz w:val="19"/>
          <w:szCs w:val="19"/>
          <w:color w:val="auto"/>
        </w:rPr>
        <w:t>. Each party hereto hereby irrevocably and unconditionally:</w:t>
      </w:r>
    </w:p>
    <w:p>
      <w:pPr>
        <w:spacing w:after="0" w:line="206" w:lineRule="exact"/>
        <w:rPr>
          <w:sz w:val="20"/>
          <w:szCs w:val="20"/>
          <w:color w:val="auto"/>
        </w:rPr>
      </w:pPr>
    </w:p>
    <w:p>
      <w:pPr>
        <w:jc w:val="both"/>
        <w:ind w:firstLine="1304"/>
        <w:spacing w:after="0" w:line="241" w:lineRule="auto"/>
        <w:tabs>
          <w:tab w:leader="none" w:pos="1719"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the Borrower or any other Group Member against the Administrative Agent or any Lender or any other Secured Party of any kind, shall be brought only in a state court located in the Borough of Manhattan, or, to the extent permitted by law, in a federal court sitting in the Borough of Manhattan;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to the extent permitted by law. The Borrower, on behalf of itself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Borrower at the address set forth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of this Agreement and that service so made shall be deemed completed upon the earlier to occur of the Borrower’s actual receipt thereof or 3 days after deposit in the U.S. mails, proper postage prepaid;</w:t>
      </w:r>
    </w:p>
    <w:p>
      <w:pPr>
        <w:spacing w:after="0" w:line="181" w:lineRule="exact"/>
        <w:rPr>
          <w:rFonts w:ascii="Times New Roman" w:cs="Times New Roman" w:eastAsia="Times New Roman" w:hAnsi="Times New Roman"/>
          <w:sz w:val="19"/>
          <w:szCs w:val="19"/>
          <w:color w:val="auto"/>
        </w:rPr>
      </w:pPr>
    </w:p>
    <w:p>
      <w:pPr>
        <w:jc w:val="both"/>
        <w:ind w:firstLine="1304"/>
        <w:spacing w:after="0" w:line="234" w:lineRule="auto"/>
        <w:tabs>
          <w:tab w:leader="none" w:pos="180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THE BORROWER HAS REVIEWED THIS WAIVER WITH ITS COUNSEL; and</w:t>
      </w:r>
    </w:p>
    <w:p>
      <w:pPr>
        <w:spacing w:after="0" w:line="175" w:lineRule="exact"/>
        <w:rPr>
          <w:rFonts w:ascii="Times New Roman" w:cs="Times New Roman" w:eastAsia="Times New Roman" w:hAnsi="Times New Roman"/>
          <w:sz w:val="20"/>
          <w:szCs w:val="20"/>
          <w:color w:val="auto"/>
        </w:rPr>
      </w:pPr>
    </w:p>
    <w:p>
      <w:pPr>
        <w:jc w:val="both"/>
        <w:ind w:firstLine="1304"/>
        <w:spacing w:after="0"/>
        <w:tabs>
          <w:tab w:leader="none" w:pos="1753"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any special, exemplary, punitive or consequential damages; provided that nothing herein shall limit the right of any Indemnitee to be indemnified as provided in this Agreement and the other Loan Documents.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10.14</w:t>
      </w:r>
      <w:r>
        <w:rPr>
          <w:rFonts w:ascii="Times New Roman" w:cs="Times New Roman" w:eastAsia="Times New Roman" w:hAnsi="Times New Roman"/>
          <w:sz w:val="20"/>
          <w:szCs w:val="20"/>
          <w:color w:val="auto"/>
        </w:rPr>
        <w:t xml:space="preserve"> shall survive the Discharge of Obligations.</w:t>
      </w:r>
    </w:p>
    <w:p>
      <w:pPr>
        <w:spacing w:after="0" w:line="19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10.15</w:t>
      </w:r>
      <w:r>
        <w:rPr>
          <w:sz w:val="20"/>
          <w:szCs w:val="20"/>
          <w:color w:val="auto"/>
        </w:rPr>
        <w:tab/>
      </w:r>
      <w:r>
        <w:rPr>
          <w:rFonts w:ascii="Times New Roman" w:cs="Times New Roman" w:eastAsia="Times New Roman" w:hAnsi="Times New Roman"/>
          <w:sz w:val="19"/>
          <w:szCs w:val="19"/>
          <w:b w:val="1"/>
          <w:bCs w:val="1"/>
          <w:color w:val="auto"/>
        </w:rPr>
        <w:t>Acknowledgements</w:t>
      </w:r>
      <w:r>
        <w:rPr>
          <w:rFonts w:ascii="Times New Roman" w:cs="Times New Roman" w:eastAsia="Times New Roman" w:hAnsi="Times New Roman"/>
          <w:sz w:val="19"/>
          <w:szCs w:val="19"/>
          <w:color w:val="auto"/>
        </w:rPr>
        <w:t>. The Borrower hereby acknowledges that:</w:t>
      </w:r>
    </w:p>
    <w:p>
      <w:pPr>
        <w:spacing w:after="0" w:line="206" w:lineRule="exact"/>
        <w:rPr>
          <w:sz w:val="20"/>
          <w:szCs w:val="20"/>
          <w:color w:val="auto"/>
        </w:rPr>
      </w:pPr>
    </w:p>
    <w:p>
      <w:pPr>
        <w:ind w:left="1860" w:hanging="556"/>
        <w:spacing w:after="0"/>
        <w:tabs>
          <w:tab w:leader="none" w:pos="18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09" w:right="339" w:bottom="1440" w:gutter="0" w:footer="0" w:header="0"/>
        </w:sectPr>
      </w:pPr>
    </w:p>
    <w:bookmarkStart w:id="169" w:name="page170"/>
    <w:bookmarkEnd w:id="169"/>
    <w:p>
      <w:pPr>
        <w:jc w:val="both"/>
        <w:ind w:firstLine="1304"/>
        <w:spacing w:after="0" w:line="229" w:lineRule="auto"/>
        <w:tabs>
          <w:tab w:leader="none" w:pos="176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all aspects of each transaction contemplated hereby (including in connection with any amendment, waiver or other modification hereof or of any other Loan Document), the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its Affiliates, each Lender and any of their Affiliates with respect to any breach or alleged breach of agency or fiduciary duty in connection with any aspect of any transactions contemplated hereby; and</w:t>
      </w:r>
    </w:p>
    <w:p>
      <w:pPr>
        <w:spacing w:after="0" w:line="187" w:lineRule="exact"/>
        <w:rPr>
          <w:rFonts w:ascii="Times New Roman" w:cs="Times New Roman" w:eastAsia="Times New Roman" w:hAnsi="Times New Roman"/>
          <w:sz w:val="20"/>
          <w:szCs w:val="20"/>
          <w:color w:val="auto"/>
        </w:rPr>
      </w:pPr>
    </w:p>
    <w:p>
      <w:pPr>
        <w:ind w:right="20" w:firstLine="1304"/>
        <w:spacing w:after="0" w:line="255" w:lineRule="auto"/>
        <w:tabs>
          <w:tab w:leader="none" w:pos="179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Group Members and the Lenders.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10.16</w:t>
      </w:r>
      <w:r>
        <w:rPr>
          <w:sz w:val="20"/>
          <w:szCs w:val="20"/>
          <w:color w:val="auto"/>
        </w:rPr>
        <w:tab/>
      </w:r>
      <w:r>
        <w:rPr>
          <w:rFonts w:ascii="Times New Roman" w:cs="Times New Roman" w:eastAsia="Times New Roman" w:hAnsi="Times New Roman"/>
          <w:sz w:val="19"/>
          <w:szCs w:val="19"/>
          <w:b w:val="1"/>
          <w:bCs w:val="1"/>
          <w:color w:val="auto"/>
        </w:rPr>
        <w:t>Releases of Guarantees and Liens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4" w:lineRule="auto"/>
        <w:tabs>
          <w:tab w:leader="none" w:pos="17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(2) under the circumstances described in </w:t>
      </w:r>
      <w:r>
        <w:rPr>
          <w:rFonts w:ascii="Times New Roman" w:cs="Times New Roman" w:eastAsia="Times New Roman" w:hAnsi="Times New Roman"/>
          <w:sz w:val="20"/>
          <w:szCs w:val="20"/>
          <w:u w:val="single" w:color="auto"/>
          <w:color w:val="auto"/>
        </w:rPr>
        <w:t>Section 10.16(b)</w:t>
      </w:r>
      <w:r>
        <w:rPr>
          <w:rFonts w:ascii="Times New Roman" w:cs="Times New Roman" w:eastAsia="Times New Roman" w:hAnsi="Times New Roman"/>
          <w:sz w:val="20"/>
          <w:szCs w:val="20"/>
          <w:color w:val="auto"/>
        </w:rPr>
        <w:t xml:space="preserve"> below.</w:t>
      </w:r>
    </w:p>
    <w:p>
      <w:pPr>
        <w:spacing w:after="0" w:line="188" w:lineRule="exact"/>
        <w:rPr>
          <w:rFonts w:ascii="Times New Roman" w:cs="Times New Roman" w:eastAsia="Times New Roman" w:hAnsi="Times New Roman"/>
          <w:sz w:val="20"/>
          <w:szCs w:val="20"/>
          <w:color w:val="auto"/>
        </w:rPr>
      </w:pPr>
    </w:p>
    <w:p>
      <w:pPr>
        <w:jc w:val="both"/>
        <w:ind w:firstLine="1304"/>
        <w:spacing w:after="0" w:line="231" w:lineRule="auto"/>
        <w:tabs>
          <w:tab w:leader="none" w:pos="1892"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Discharge of Obligations, the Collateral (other than any cash collateral securing any Specified Swap Agreements, any Cash Management Services or outstanding Letters of Credit)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 used to Cash Collateralize any Obligations arising in connection with Cash Management Agreements) shall terminate, all without delivery of any instrument or performance of any act by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13" w:right="339" w:bottom="1440" w:gutter="0" w:footer="0" w:header="0"/>
        </w:sectPr>
      </w:pPr>
    </w:p>
    <w:bookmarkStart w:id="170" w:name="page171"/>
    <w:bookmarkEnd w:id="170"/>
    <w:p>
      <w:pPr>
        <w:jc w:val="both"/>
        <w:ind w:firstLine="648"/>
        <w:spacing w:after="0" w:line="242" w:lineRule="auto"/>
        <w:rPr>
          <w:sz w:val="20"/>
          <w:szCs w:val="20"/>
          <w:color w:val="auto"/>
        </w:rPr>
      </w:pPr>
      <w:r>
        <w:rPr>
          <w:rFonts w:ascii="Times New Roman" w:cs="Times New Roman" w:eastAsia="Times New Roman" w:hAnsi="Times New Roman"/>
          <w:sz w:val="19"/>
          <w:szCs w:val="19"/>
          <w:b w:val="1"/>
          <w:bCs w:val="1"/>
          <w:color w:val="auto"/>
        </w:rPr>
        <w:t>10.17 Treatment of Certain Information; Confidentiality</w:t>
      </w:r>
      <w:r>
        <w:rPr>
          <w:rFonts w:ascii="Times New Roman" w:cs="Times New Roman" w:eastAsia="Times New Roman" w:hAnsi="Times New Roman"/>
          <w:sz w:val="19"/>
          <w:szCs w:val="19"/>
          <w:color w:val="auto"/>
        </w:rPr>
        <w:t>. Each of the Administrative Agent and each Lender agrees to maintain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Group Members or the Facilities or</w:t>
      </w:r>
    </w:p>
    <w:p>
      <w:pPr>
        <w:spacing w:after="0" w:line="1" w:lineRule="exact"/>
        <w:rPr>
          <w:sz w:val="20"/>
          <w:szCs w:val="20"/>
          <w:color w:val="auto"/>
        </w:rPr>
      </w:pPr>
    </w:p>
    <w:p>
      <w:pPr>
        <w:jc w:val="both"/>
        <w:ind w:firstLine="8"/>
        <w:spacing w:after="0" w:line="228" w:lineRule="auto"/>
        <w:tabs>
          <w:tab w:leader="none" w:pos="3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w:t>
      </w:r>
    </w:p>
    <w:p>
      <w:pPr>
        <w:spacing w:after="0" w:line="18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17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 xml:space="preserve">” means all information received from the Group Members relating to the Group Members or any of their respective businesses, other than any such information that is available to the Administrative Agent or any Lender on a non-confidential basis prior to disclosure by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Group Members after the Original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09" w:right="339" w:bottom="1440" w:gutter="0" w:footer="0" w:header="0"/>
        </w:sectPr>
      </w:pPr>
    </w:p>
    <w:bookmarkStart w:id="171" w:name="page172"/>
    <w:bookmarkEnd w:id="171"/>
    <w:p>
      <w:pPr>
        <w:jc w:val="both"/>
        <w:ind w:firstLine="648"/>
        <w:spacing w:after="0" w:line="234" w:lineRule="auto"/>
        <w:rPr>
          <w:sz w:val="20"/>
          <w:szCs w:val="20"/>
          <w:color w:val="auto"/>
        </w:rPr>
      </w:pPr>
      <w:r>
        <w:rPr>
          <w:rFonts w:ascii="Times New Roman" w:cs="Times New Roman" w:eastAsia="Times New Roman" w:hAnsi="Times New Roman"/>
          <w:sz w:val="20"/>
          <w:szCs w:val="20"/>
          <w:b w:val="1"/>
          <w:bCs w:val="1"/>
          <w:color w:val="auto"/>
        </w:rPr>
        <w:t>10.18 Automatic Debits</w:t>
      </w:r>
      <w:r>
        <w:rPr>
          <w:rFonts w:ascii="Times New Roman" w:cs="Times New Roman" w:eastAsia="Times New Roman" w:hAnsi="Times New Roman"/>
          <w:sz w:val="20"/>
          <w:szCs w:val="20"/>
          <w:color w:val="auto"/>
        </w:rPr>
        <w:t>. With respect to any principal, interest, fee, or any other cost or expense (including attorney costs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xml:space="preserve"> shall be deemed a set-off.</w:t>
      </w:r>
    </w:p>
    <w:p>
      <w:pPr>
        <w:spacing w:after="0" w:line="17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b w:val="1"/>
          <w:bCs w:val="1"/>
          <w:color w:val="auto"/>
        </w:rPr>
        <w:t>10.19 Judgment Currency</w:t>
      </w:r>
      <w:r>
        <w:rPr>
          <w:rFonts w:ascii="Times New Roman" w:cs="Times New Roman" w:eastAsia="Times New Roman" w:hAnsi="Times New Roman"/>
          <w:sz w:val="20"/>
          <w:szCs w:val="20"/>
          <w:color w:val="auto"/>
        </w:rPr>
        <w:t>. If, for the purposes of obtaining judgment in any court, it is necessary to convert a sum due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spacing w:after="0" w:line="177"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b w:val="1"/>
          <w:bCs w:val="1"/>
          <w:color w:val="auto"/>
        </w:rPr>
        <w:t>10.20 Patriot Act; Other Regulations</w:t>
      </w:r>
      <w:r>
        <w:rPr>
          <w:rFonts w:ascii="Times New Roman" w:cs="Times New Roman" w:eastAsia="Times New Roman" w:hAnsi="Times New Roman"/>
          <w:sz w:val="20"/>
          <w:szCs w:val="20"/>
          <w:color w:val="auto"/>
        </w:rPr>
        <w:t>. Each Lender and the Administrative Agent (for itself and not on behalf of any other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notifies the Borrower and each other Loan Party that, pursuant to the requirements of “know your customer” and anti-money laundering rules and regulations, including the Patriot Act and the Beneficial Ownership Regulation, it is required to obtain, verify and record information that identifies each Loan Party and certain related parties thereto, which information includes the names and addresses and other information that will allow such Lender or the Administrative Agent, as applicable, to identify each Loan Party and certain of their beneficial owners and other officers in accordance with the Patriot Act and the Beneficial Ownership Regulation. The Borrower and each other Loan Party will, and will cause each of their respective Subsidiaries to, to the extent commercially reasonable or required by any Requirement of Law, provide, furnish or deliver such information and documents and take such actions as are reasonably requested by the Administrative Agent or any Lender to assist the Administrative Agent and the Lenders in maintaining compliance with “know your customer” requirements under the PATRIOT Act, the Beneficial Ownership Regulation or other applicable anti-money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09" w:right="339" w:bottom="1440" w:gutter="0" w:footer="0" w:header="0"/>
        </w:sectPr>
      </w:pPr>
    </w:p>
    <w:bookmarkStart w:id="172" w:name="page173"/>
    <w:bookmarkEnd w:id="172"/>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10.21</w:t>
      </w:r>
      <w:r>
        <w:rPr>
          <w:sz w:val="20"/>
          <w:szCs w:val="20"/>
          <w:color w:val="auto"/>
        </w:rPr>
        <w:tab/>
      </w:r>
      <w:r>
        <w:rPr>
          <w:rFonts w:ascii="Times New Roman" w:cs="Times New Roman" w:eastAsia="Times New Roman" w:hAnsi="Times New Roman"/>
          <w:sz w:val="19"/>
          <w:szCs w:val="19"/>
          <w:b w:val="1"/>
          <w:bCs w:val="1"/>
          <w:color w:val="auto"/>
        </w:rPr>
        <w:t>Acknowledgement and Consent to Bail-In of EEA Financial Institutions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Notwithstanding anything to the contrary in this Agreement or in any other Loan Document or in any other agreement, arrangement or understanding among any such parties, each party hereto acknowledges that any liability of any Affected Financial Institutions arising under any Loan Document, to the extent such liability is unsecured, may be subject to the Write-Down and Conversion Powers of the applicable Resolution Authority and agrees and consents to, and acknowledges and agrees to be bound by:</w:t>
      </w:r>
    </w:p>
    <w:p>
      <w:pPr>
        <w:spacing w:after="0" w:line="191" w:lineRule="exact"/>
        <w:rPr>
          <w:sz w:val="20"/>
          <w:szCs w:val="20"/>
          <w:color w:val="auto"/>
        </w:rPr>
      </w:pPr>
    </w:p>
    <w:p>
      <w:pPr>
        <w:ind w:firstLine="899"/>
        <w:spacing w:after="0" w:line="235" w:lineRule="auto"/>
        <w:tabs>
          <w:tab w:leader="none" w:pos="140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or</w:t>
      </w:r>
    </w:p>
    <w:p>
      <w:pPr>
        <w:spacing w:after="0" w:line="188" w:lineRule="exact"/>
        <w:rPr>
          <w:rFonts w:ascii="Times New Roman" w:cs="Times New Roman" w:eastAsia="Times New Roman" w:hAnsi="Times New Roman"/>
          <w:sz w:val="22"/>
          <w:szCs w:val="22"/>
          <w:color w:val="auto"/>
        </w:rPr>
      </w:pPr>
    </w:p>
    <w:p>
      <w:pPr>
        <w:ind w:left="1360" w:hanging="461"/>
        <w:spacing w:after="0"/>
        <w:tabs>
          <w:tab w:leader="none" w:pos="13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92" w:lineRule="exact"/>
        <w:rPr>
          <w:rFonts w:ascii="Times New Roman" w:cs="Times New Roman" w:eastAsia="Times New Roman" w:hAnsi="Times New Roman"/>
          <w:sz w:val="22"/>
          <w:szCs w:val="22"/>
          <w:color w:val="auto"/>
        </w:rPr>
      </w:pPr>
    </w:p>
    <w:p>
      <w:pPr>
        <w:ind w:left="1760" w:hanging="375"/>
        <w:spacing w:after="0"/>
        <w:tabs>
          <w:tab w:leader="none" w:pos="176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02" w:lineRule="exact"/>
        <w:rPr>
          <w:rFonts w:ascii="Times New Roman" w:cs="Times New Roman" w:eastAsia="Times New Roman" w:hAnsi="Times New Roman"/>
          <w:sz w:val="20"/>
          <w:szCs w:val="20"/>
          <w:color w:val="auto"/>
        </w:rPr>
      </w:pPr>
    </w:p>
    <w:p>
      <w:pPr>
        <w:jc w:val="both"/>
        <w:ind w:left="1960" w:hanging="575"/>
        <w:spacing w:after="0" w:line="236" w:lineRule="auto"/>
        <w:tabs>
          <w:tab w:leader="none" w:pos="1936"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8" w:lineRule="exact"/>
        <w:rPr>
          <w:rFonts w:ascii="Times New Roman" w:cs="Times New Roman" w:eastAsia="Times New Roman" w:hAnsi="Times New Roman"/>
          <w:sz w:val="20"/>
          <w:szCs w:val="20"/>
          <w:color w:val="auto"/>
        </w:rPr>
      </w:pPr>
    </w:p>
    <w:p>
      <w:pPr>
        <w:ind w:left="1960" w:right="20" w:hanging="575"/>
        <w:spacing w:after="0" w:line="255" w:lineRule="auto"/>
        <w:tabs>
          <w:tab w:leader="none" w:pos="1902"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10.22</w:t>
      </w:r>
      <w:r>
        <w:rPr>
          <w:sz w:val="20"/>
          <w:szCs w:val="20"/>
          <w:color w:val="auto"/>
        </w:rPr>
        <w:tab/>
      </w:r>
      <w:r>
        <w:rPr>
          <w:rFonts w:ascii="Times New Roman" w:cs="Times New Roman" w:eastAsia="Times New Roman" w:hAnsi="Times New Roman"/>
          <w:sz w:val="19"/>
          <w:szCs w:val="19"/>
          <w:b w:val="1"/>
          <w:bCs w:val="1"/>
          <w:color w:val="auto"/>
        </w:rPr>
        <w:t>Amendment and Restatement of Existing Credit Agreement; Acknowledgment of Prior Obligations; No Novation</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304"/>
        <w:spacing w:after="0" w:line="231" w:lineRule="auto"/>
        <w:tabs>
          <w:tab w:leader="none" w:pos="1816"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to this Agreement agree that, upon (i) the execution and delivery by each of the parties hereto of this Agreement and (ii) satisfaction of the conditions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the terms and provisions of the Existing Credit Agreement shall be and hereby are amended, superseded and restated in their entirety by the terms and provisions of this Agreement. Upon the effectiveness of this Agreement, (A) the Administrative Agent shall make such reallocations, sales, assignments or other relevant actions in respect of each Lender’s credit exposure under the Existing Credit Agreement as are necessary in order to ensure that each such Lender’s Aggregate Exposure and outstanding Loans hereunder reflects such Lender’s Aggregate Exposure Percentage of the outstanding Aggregate Exposure on the Closing Date, and (B) the Borrower hereby agrees to compensate each Lender for any and all losses, costs and expenses incurred by such Lender in connection with the sale and assignment of any SOFR Loans (including the “SOFR Loans” under the Existing Credit Agreement) and such reallocation described above, in each case on the terms and in the manner set forth in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hereof.</w:t>
      </w:r>
    </w:p>
    <w:p>
      <w:pPr>
        <w:spacing w:after="0" w:line="140" w:lineRule="exact"/>
        <w:rPr>
          <w:rFonts w:ascii="Times New Roman" w:cs="Times New Roman" w:eastAsia="Times New Roman" w:hAnsi="Times New Roman"/>
          <w:sz w:val="20"/>
          <w:szCs w:val="20"/>
          <w:color w:val="auto"/>
        </w:rPr>
      </w:pPr>
    </w:p>
    <w:p>
      <w:pPr>
        <w:jc w:val="both"/>
        <w:ind w:firstLine="1304"/>
        <w:spacing w:after="0" w:line="247" w:lineRule="auto"/>
        <w:tabs>
          <w:tab w:leader="none" w:pos="1740"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 on behalf of itself and each other Loan Party, (i) acknowledges and agrees that the prior grant or grants of security interests in favor of any of the Administrative Agent or any other Secured Party (as defined in the Existing Credit Agreement) in its properties and assets, under each “Loan Document” as defined in the Existing Credit Agreement (the “</w:t>
      </w:r>
      <w:r>
        <w:rPr>
          <w:rFonts w:ascii="Times New Roman" w:cs="Times New Roman" w:eastAsia="Times New Roman" w:hAnsi="Times New Roman"/>
          <w:sz w:val="19"/>
          <w:szCs w:val="19"/>
          <w:b w:val="1"/>
          <w:bCs w:val="1"/>
          <w:i w:val="1"/>
          <w:iCs w:val="1"/>
          <w:color w:val="auto"/>
        </w:rPr>
        <w:t>Original 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Documents</w:t>
      </w:r>
      <w:r>
        <w:rPr>
          <w:rFonts w:ascii="Times New Roman" w:cs="Times New Roman" w:eastAsia="Times New Roman" w:hAnsi="Times New Roman"/>
          <w:sz w:val="19"/>
          <w:szCs w:val="19"/>
          <w:color w:val="auto"/>
        </w:rPr>
        <w:t>”) to which it is a party shall be in respect of the Obligations of such Person under this Agreement and the other Loan Documents;</w:t>
      </w:r>
    </w:p>
    <w:p>
      <w:pPr>
        <w:jc w:val="both"/>
        <w:ind w:firstLine="8"/>
        <w:spacing w:after="0" w:line="230" w:lineRule="auto"/>
        <w:tabs>
          <w:tab w:leader="none" w:pos="32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reaffirms (A) all of the Obligations (as defined in the Existing Credit Agreement) owing to the Administrative Agent and the other Secured Parties (as defined in the Existing Credit Agreement), and (B) all prior or concurrent grants of security interests in favor of any of the Administrative Agent or any other Secured Party (as defined in the Existing Credit Agreement) under each Original Loan Document and each Loan Document; and (iii) agrees that,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09" w:right="339" w:bottom="1440" w:gutter="0" w:footer="0" w:header="0"/>
        </w:sectPr>
      </w:pPr>
    </w:p>
    <w:bookmarkStart w:id="173" w:name="page174"/>
    <w:bookmarkEnd w:id="173"/>
    <w:p>
      <w:pPr>
        <w:jc w:val="both"/>
        <w:spacing w:after="0" w:line="235" w:lineRule="auto"/>
        <w:rPr>
          <w:sz w:val="20"/>
          <w:szCs w:val="20"/>
          <w:color w:val="auto"/>
        </w:rPr>
      </w:pPr>
      <w:r>
        <w:rPr>
          <w:rFonts w:ascii="Times New Roman" w:cs="Times New Roman" w:eastAsia="Times New Roman" w:hAnsi="Times New Roman"/>
          <w:sz w:val="20"/>
          <w:szCs w:val="20"/>
          <w:color w:val="auto"/>
        </w:rPr>
        <w:t>as expressly amended hereby or unless being amended and restated concurrently herewith, each of the Original Loan Documents to which it is a party (including, without limitation, the Guarantee and Collateral Agreement) is and shall remain in full force and effect. The Borrower hereby confirms and agrees that all outstanding principal, interest and fees and other “Obligations” (as defined in the Existing Credit Agreement) under the Existing Credit Agreement immediately prior to the Closing Date shall, to the extent not paid on the Closing Date, from and after the Closing Date, be, without duplication, Obligations pursuant to this Agreement and the other Loan Documents as in effect from time to time, shall accrue interest thereon as specified in this Agreement, and shall be secured by the Loan Documents.</w:t>
      </w:r>
    </w:p>
    <w:p>
      <w:pPr>
        <w:spacing w:after="0" w:line="134" w:lineRule="exact"/>
        <w:rPr>
          <w:sz w:val="20"/>
          <w:szCs w:val="20"/>
          <w:color w:val="auto"/>
        </w:rPr>
      </w:pPr>
    </w:p>
    <w:p>
      <w:pPr>
        <w:jc w:val="both"/>
        <w:ind w:firstLine="1304"/>
        <w:spacing w:after="0" w:line="229" w:lineRule="auto"/>
        <w:tabs>
          <w:tab w:leader="none" w:pos="177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does not extinguish the obligations for the payment of money outstanding under the Existing Credit Agreement or discharge or release the obligations or the Liens or priority of any Liens or any other security therefor. Nothing herein contained shall be construed as a substitution or novation of the obligations outstanding under the Existing Credit Agreement, the other Original Loan Documents or instruments securing the same, which shall remain in full force and effect, except as modified hereby or by instruments executed concurrently herewith. Nothing expressed or implied in this Agreement shall be construed as a release or other discharge of the Borrower or any Guarantor from any of its obligations or liabilities under the Existing Credit Agreement or any of the security agreements, pledge agreements, mortgages, guaranties or other loan documents executed in connection therewith. The Borrower, on behalf of itself and each other Loan Party, hereby (i) confirms and agrees that each Original Loan Document to which it is a party that is not being amended and restated concurrently herewith is, and shall continue to be, in full force and effect and is hereby ratified and confirmed in all respects except that on and after the Closing Date, all references in any such Original Loan Document to “the Credit Agreement,” “thereto,” “thereof,” “thereunder” or words of like import referring to the Existing Credit Agreement shall mean the Existing Credit Agreement as amended and restated by this Agreement; and (ii) confirms and agrees that to the extent that any such Original Loan Document purports to assign or pledge to any Secured Party a security interest in or Lien on, any collateral as security for all or any portion of any of the Obligations of the Borrower or any other Loan Party, as the case may be, from time to time existing in respect of the Existing Credit Agreement or the Original Loan Document, such pledge or assignment or grant of the security interest or Lien is hereby ratified and confirmed in all respects with respect to this Agreement and the Loan Documents.</w:t>
      </w:r>
    </w:p>
    <w:p>
      <w:pPr>
        <w:spacing w:after="0" w:line="14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b w:val="1"/>
          <w:bCs w:val="1"/>
          <w:color w:val="auto"/>
        </w:rPr>
        <w:t>10.23 Acknowledgement Regarding Any Supported QFCs</w:t>
      </w:r>
      <w:r>
        <w:rPr>
          <w:rFonts w:ascii="Times New Roman" w:cs="Times New Roman" w:eastAsia="Times New Roman" w:hAnsi="Times New Roman"/>
          <w:sz w:val="20"/>
          <w:szCs w:val="20"/>
          <w:color w:val="auto"/>
        </w:rPr>
        <w:t>. To the extent that the Loan Documents provide support, through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guarantee or otherwise, for Swap Agreements or any other agreement or instrument that is a QFC (such support, “</w:t>
      </w:r>
      <w:r>
        <w:rPr>
          <w:rFonts w:ascii="Times New Roman" w:cs="Times New Roman" w:eastAsia="Times New Roman" w:hAnsi="Times New Roman"/>
          <w:sz w:val="20"/>
          <w:szCs w:val="20"/>
          <w:b w:val="1"/>
          <w:bCs w:val="1"/>
          <w:i w:val="1"/>
          <w:iCs w:val="1"/>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b w:val="1"/>
          <w:bCs w:val="1"/>
          <w:i w:val="1"/>
          <w:iCs w:val="1"/>
          <w:color w:val="auto"/>
        </w:rPr>
        <w:t>Supported QFC</w:t>
      </w:r>
      <w:r>
        <w:rPr>
          <w:rFonts w:ascii="Times New Roman" w:cs="Times New Roman" w:eastAsia="Times New Roman" w:hAnsi="Times New Roman"/>
          <w:sz w:val="20"/>
          <w:szCs w:val="20"/>
          <w:color w:val="auto"/>
        </w:rPr>
        <w:t>”), the parties hereto hereby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b w:val="1"/>
          <w:bCs w:val="1"/>
          <w:i w:val="1"/>
          <w:iCs w:val="1"/>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1" w:lineRule="exact"/>
        <w:rPr>
          <w:sz w:val="20"/>
          <w:szCs w:val="20"/>
          <w:color w:val="auto"/>
        </w:rPr>
      </w:pPr>
    </w:p>
    <w:p>
      <w:pPr>
        <w:jc w:val="both"/>
        <w:ind w:firstLine="1304"/>
        <w:spacing w:after="0" w:line="245" w:lineRule="auto"/>
        <w:tabs>
          <w:tab w:leader="none" w:pos="1839"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b w:val="1"/>
          <w:bCs w:val="1"/>
          <w:i w:val="1"/>
          <w:iCs w:val="1"/>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413" w:right="339" w:bottom="1440" w:gutter="0" w:footer="0" w:header="0"/>
        </w:sectPr>
      </w:pPr>
    </w:p>
    <w:bookmarkStart w:id="174" w:name="page175"/>
    <w:bookmarkEnd w:id="174"/>
    <w:p>
      <w:pPr>
        <w:jc w:val="both"/>
        <w:spacing w:after="0"/>
        <w:rPr>
          <w:sz w:val="20"/>
          <w:szCs w:val="20"/>
          <w:color w:val="auto"/>
        </w:rPr>
      </w:pPr>
      <w:r>
        <w:rPr>
          <w:rFonts w:ascii="Times New Roman" w:cs="Times New Roman" w:eastAsia="Times New Roman" w:hAnsi="Times New Roman"/>
          <w:sz w:val="20"/>
          <w:szCs w:val="20"/>
          <w:color w:val="auto"/>
        </w:rPr>
        <w:t>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7"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 xml:space="preserve">As used in this </w:t>
      </w:r>
      <w:r>
        <w:rPr>
          <w:rFonts w:ascii="Times New Roman" w:cs="Times New Roman" w:eastAsia="Times New Roman" w:hAnsi="Times New Roman"/>
          <w:sz w:val="19"/>
          <w:szCs w:val="19"/>
          <w:u w:val="single" w:color="auto"/>
          <w:color w:val="auto"/>
        </w:rPr>
        <w:t>Section 10.23</w:t>
      </w:r>
      <w:r>
        <w:rPr>
          <w:rFonts w:ascii="Times New Roman" w:cs="Times New Roman" w:eastAsia="Times New Roman" w:hAnsi="Times New Roman"/>
          <w:sz w:val="19"/>
          <w:szCs w:val="19"/>
          <w:color w:val="auto"/>
        </w:rPr>
        <w:t>, the following terms have the following meanings:</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Entity</w:t>
      </w:r>
      <w:r>
        <w:rPr>
          <w:rFonts w:ascii="Times New Roman" w:cs="Times New Roman" w:eastAsia="Times New Roman" w:hAnsi="Times New Roman"/>
          <w:sz w:val="20"/>
          <w:szCs w:val="20"/>
          <w:color w:val="auto"/>
        </w:rPr>
        <w:t>” means any of the following:</w:t>
      </w:r>
    </w:p>
    <w:p>
      <w:pPr>
        <w:spacing w:after="0" w:line="220" w:lineRule="exact"/>
        <w:rPr>
          <w:sz w:val="20"/>
          <w:szCs w:val="20"/>
          <w:color w:val="auto"/>
        </w:rPr>
      </w:pPr>
    </w:p>
    <w:p>
      <w:pPr>
        <w:ind w:left="2340" w:hanging="388"/>
        <w:spacing w:after="0"/>
        <w:tabs>
          <w:tab w:leader="none" w:pos="234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161"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161"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171" w:lineRule="exact"/>
        <w:rPr>
          <w:sz w:val="20"/>
          <w:szCs w:val="20"/>
          <w:color w:val="auto"/>
        </w:rPr>
      </w:pPr>
    </w:p>
    <w:p>
      <w:pPr>
        <w:ind w:right="180" w:firstLine="129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2" w:lineRule="exact"/>
        <w:rPr>
          <w:sz w:val="20"/>
          <w:szCs w:val="20"/>
          <w:color w:val="auto"/>
        </w:rPr>
      </w:pPr>
    </w:p>
    <w:p>
      <w:pPr>
        <w:ind w:right="40" w:firstLine="129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left blank intentionally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413" w:right="339" w:bottom="1440" w:gutter="0" w:footer="0" w:header="0"/>
        </w:sectPr>
      </w:pPr>
    </w:p>
    <w:bookmarkStart w:id="175" w:name="page176"/>
    <w:bookmarkEnd w:id="175"/>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duly executed and delivered by their proper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authorized officers as of the day and year first above written.</w:t>
      </w:r>
    </w:p>
    <w:p>
      <w:pPr>
        <w:spacing w:after="0" w:line="1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NERDWALLET,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Lauren StClair Waugh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4033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403350" cy="8255"/>
                    </a:xfrm>
                    <a:prstGeom prst="rect">
                      <a:avLst/>
                    </a:prstGeom>
                    <a:noFill/>
                  </pic:spPr>
                </pic:pic>
              </a:graphicData>
            </a:graphic>
          </wp:anchor>
        </w:drawing>
      </w:r>
    </w:p>
    <w:p>
      <w:pPr>
        <w:spacing w:after="0" w:line="1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Lauren StClair Waugh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-10795</wp:posOffset>
            </wp:positionV>
            <wp:extent cx="12528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-10795</wp:posOffset>
            </wp:positionV>
            <wp:extent cx="3702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7020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NERDWALLET COMPARE, INC.</w:t>
      </w: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Lauren StClair Waugh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4033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403350" cy="8255"/>
                    </a:xfrm>
                    <a:prstGeom prst="rect">
                      <a:avLst/>
                    </a:prstGeom>
                    <a:noFill/>
                  </pic:spPr>
                </pic:pic>
              </a:graphicData>
            </a:graphic>
          </wp:anchor>
        </w:drawing>
      </w:r>
    </w:p>
    <w:p>
      <w:pPr>
        <w:spacing w:after="0" w:line="1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Lauren StClair Waugh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-10795</wp:posOffset>
            </wp:positionV>
            <wp:extent cx="12528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-10795</wp:posOffset>
            </wp:positionV>
            <wp:extent cx="3702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70205" cy="8890"/>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76" w:name="page177"/>
    <w:bookmarkEnd w:id="176"/>
    <w:p>
      <w:pPr>
        <w:ind w:left="2780"/>
        <w:spacing w:after="0"/>
        <w:rPr>
          <w:sz w:val="20"/>
          <w:szCs w:val="20"/>
          <w:color w:val="auto"/>
        </w:rPr>
      </w:pPr>
      <w:r>
        <w:rPr>
          <w:rFonts w:ascii="Times New Roman" w:cs="Times New Roman" w:eastAsia="Times New Roman" w:hAnsi="Times New Roman"/>
          <w:sz w:val="19"/>
          <w:szCs w:val="19"/>
          <w:b w:val="1"/>
          <w:bCs w:val="1"/>
          <w:color w:val="auto"/>
        </w:rPr>
        <w:t>ADMINISTRATIVE AGENT:</w:t>
      </w: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SILICON VALLEY BANK</w:t>
      </w: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Natalie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48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Natalie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-10795</wp:posOffset>
            </wp:positionV>
            <wp:extent cx="7988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9883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-10795</wp:posOffset>
            </wp:positionV>
            <wp:extent cx="8540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177" w:name="page178"/>
    <w:bookmarkEnd w:id="177"/>
    <w:p>
      <w:pPr>
        <w:ind w:left="2780"/>
        <w:spacing w:after="0"/>
        <w:rPr>
          <w:sz w:val="20"/>
          <w:szCs w:val="20"/>
          <w:color w:val="auto"/>
        </w:rPr>
      </w:pPr>
      <w:r>
        <w:rPr>
          <w:rFonts w:ascii="Times New Roman" w:cs="Times New Roman" w:eastAsia="Times New Roman" w:hAnsi="Times New Roman"/>
          <w:sz w:val="20"/>
          <w:szCs w:val="20"/>
          <w:b w:val="1"/>
          <w:bCs w:val="1"/>
          <w:color w:val="auto"/>
        </w:rPr>
        <w:t>LENDERS:</w:t>
      </w: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SILICON VALLEY BANK</w:t>
      </w:r>
    </w:p>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Natalie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48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Natalie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-10795</wp:posOffset>
            </wp:positionV>
            <wp:extent cx="7988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9883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-10795</wp:posOffset>
            </wp:positionV>
            <wp:extent cx="8540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178" w:name="page179"/>
    <w:bookmarkEnd w:id="178"/>
    <w:p>
      <w:pPr>
        <w:ind w:left="2780"/>
        <w:spacing w:after="0"/>
        <w:rPr>
          <w:sz w:val="20"/>
          <w:szCs w:val="20"/>
          <w:color w:val="auto"/>
        </w:rPr>
      </w:pPr>
      <w:r>
        <w:rPr>
          <w:rFonts w:ascii="Times New Roman" w:cs="Times New Roman" w:eastAsia="Times New Roman" w:hAnsi="Times New Roman"/>
          <w:sz w:val="19"/>
          <w:szCs w:val="19"/>
          <w:b w:val="1"/>
          <w:bCs w:val="1"/>
          <w:color w:val="auto"/>
        </w:rPr>
        <w:t>JP Morgan Chase Bank, N.A.,</w:t>
      </w:r>
    </w:p>
    <w:p>
      <w:pPr>
        <w:spacing w:after="0" w:line="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39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Daniel J. Maniaci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969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Daniel J. Maniaci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-10795</wp:posOffset>
            </wp:positionV>
            <wp:extent cx="10153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-10795</wp:posOffset>
            </wp:positionV>
            <wp:extent cx="13290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179" w:name="page180"/>
    <w:bookmarkEnd w:id="179"/>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HSBC Bank USA, National Association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Aislin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360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spacing w:after="0" w:line="1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Aislin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-10795</wp:posOffset>
            </wp:positionV>
            <wp:extent cx="954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954405" cy="8890"/>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-10795</wp:posOffset>
            </wp:positionV>
            <wp:extent cx="12312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180" w:name="page181"/>
    <w:bookmarkEnd w:id="180"/>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CONSENT AND REAFFIRMATION</w:t>
      </w:r>
    </w:p>
    <w:p>
      <w:pPr>
        <w:spacing w:after="0" w:line="39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The Guarantor hereby (i) acknowledges receipt of a copy of the foregoing Amended and Restated Credit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but not otherwise defined herein shall have the meanings ascribed to such terms in the Agreement); (ii) consents to Borrower's execution and delivery of the Agreement; (iii) affirms that nothing contained in the Agreement shall modify in any respect whatsoever any Loan Document to which it is a party except as expressly set forth therein; and (iv) ratifies, affirms, acknowledges and agrees that each of the Loan Documents to which the Guarantor is a party represents the valid, enforceable and collectible obligations of the Guarantor. The Guarantor hereby agrees that the Agreement in no way acts as a release or relinquishment of the Liens and rights securing payments of the Obligations. The guarantee, Liens and rights securing payment of the Obligations (including as amended by the Agreement) are hereby ratified and confirmed by the Guarantor in all respects. Although the Guarantor has been informed of the matters set forth herein and has acknowledged and agreed to same, the Guarantor understands that neither the Administrative Agent nor any Lender has any obligation to inform the Guarantor of such matters in the future or to seek the Guarantor's acknowledgment or agreement to future amendments, waivers or consents, and nothing herein shall create such a duty.</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FUNDERA, INC.</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 Lauren StClair Waugh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-3810</wp:posOffset>
            </wp:positionV>
            <wp:extent cx="14033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403350" cy="8255"/>
                    </a:xfrm>
                    <a:prstGeom prst="rect">
                      <a:avLst/>
                    </a:prstGeom>
                    <a:noFill/>
                  </pic:spPr>
                </pic:pic>
              </a:graphicData>
            </a:graphic>
          </wp:anchor>
        </w:drawing>
      </w:r>
    </w:p>
    <w:p>
      <w:pPr>
        <w:spacing w:after="0" w:line="16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Name: Lauren StClair Waugh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-3810</wp:posOffset>
            </wp:positionV>
            <wp:extent cx="12528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-10795</wp:posOffset>
            </wp:positionV>
            <wp:extent cx="3702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7020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2" w:name="page183"/>
    <w:bookmarkEnd w:id="182"/>
    <w:p>
      <w:pPr>
        <w:ind w:left="4600"/>
        <w:spacing w:after="0"/>
        <w:rPr>
          <w:sz w:val="20"/>
          <w:szCs w:val="20"/>
          <w:color w:val="auto"/>
        </w:rPr>
      </w:pPr>
      <w:r>
        <w:rPr>
          <w:rFonts w:ascii="Times New Roman" w:cs="Times New Roman" w:eastAsia="Times New Roman" w:hAnsi="Times New Roman"/>
          <w:sz w:val="20"/>
          <w:szCs w:val="20"/>
          <w:b w:val="1"/>
          <w:bCs w:val="1"/>
          <w:color w:val="auto"/>
        </w:rPr>
        <w:t>SCHEDULE 1.1A</w:t>
      </w:r>
    </w:p>
    <w:p>
      <w:pPr>
        <w:spacing w:after="0" w:line="20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0"/>
          <w:szCs w:val="20"/>
          <w:b w:val="1"/>
          <w:bCs w:val="1"/>
          <w:color w:val="auto"/>
        </w:rPr>
        <w:t>COMMITMENTS</w:t>
      </w:r>
    </w:p>
    <w:p>
      <w:pPr>
        <w:jc w:val="center"/>
        <w:ind w:right="-759"/>
        <w:spacing w:after="0"/>
        <w:rPr>
          <w:sz w:val="20"/>
          <w:szCs w:val="20"/>
          <w:color w:val="auto"/>
        </w:rPr>
      </w:pPr>
      <w:r>
        <w:rPr>
          <w:rFonts w:ascii="Times New Roman" w:cs="Times New Roman" w:eastAsia="Times New Roman" w:hAnsi="Times New Roman"/>
          <w:sz w:val="20"/>
          <w:szCs w:val="20"/>
          <w:b w:val="1"/>
          <w:bCs w:val="1"/>
          <w:color w:val="auto"/>
        </w:rPr>
        <w:t>AND AGGREGATE EXPOSURE PERCENTAGES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80" w:type="dxa"/>
            <w:vAlign w:val="bottom"/>
          </w:tcPr>
          <w:p>
            <w:pPr>
              <w:spacing w:after="0"/>
              <w:rPr>
                <w:sz w:val="22"/>
                <w:szCs w:val="22"/>
                <w:color w:val="auto"/>
              </w:rPr>
            </w:pPr>
          </w:p>
        </w:tc>
        <w:tc>
          <w:tcPr>
            <w:tcW w:w="392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REVOLVING COMMITMENTS</w:t>
            </w:r>
          </w:p>
        </w:tc>
        <w:tc>
          <w:tcPr>
            <w:tcW w:w="2460" w:type="dxa"/>
            <w:vAlign w:val="bottom"/>
          </w:tcPr>
          <w:p>
            <w:pPr>
              <w:spacing w:after="0"/>
              <w:rPr>
                <w:sz w:val="22"/>
                <w:szCs w:val="22"/>
                <w:color w:val="auto"/>
              </w:rPr>
            </w:pPr>
          </w:p>
        </w:tc>
      </w:tr>
      <w:tr>
        <w:trPr>
          <w:trHeight w:val="473"/>
        </w:trPr>
        <w:tc>
          <w:tcPr>
            <w:tcW w:w="3580" w:type="dxa"/>
            <w:vAlign w:val="bottom"/>
          </w:tcPr>
          <w:p>
            <w:pPr>
              <w:jc w:val="center"/>
              <w:ind w:right="281"/>
              <w:spacing w:after="0"/>
              <w:rPr>
                <w:sz w:val="20"/>
                <w:szCs w:val="20"/>
                <w:color w:val="auto"/>
              </w:rPr>
            </w:pPr>
            <w:r>
              <w:rPr>
                <w:rFonts w:ascii="Times New Roman" w:cs="Times New Roman" w:eastAsia="Times New Roman" w:hAnsi="Times New Roman"/>
                <w:sz w:val="20"/>
                <w:szCs w:val="20"/>
                <w:color w:val="auto"/>
                <w:w w:val="98"/>
              </w:rPr>
              <w:t>Lender</w:t>
            </w:r>
          </w:p>
        </w:tc>
        <w:tc>
          <w:tcPr>
            <w:tcW w:w="39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Revolving Commitment</w:t>
            </w:r>
          </w:p>
        </w:tc>
        <w:tc>
          <w:tcPr>
            <w:tcW w:w="246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97"/>
              </w:rPr>
              <w:t>Revolving Percentage</w:t>
            </w:r>
          </w:p>
        </w:tc>
      </w:tr>
      <w:tr>
        <w:trPr>
          <w:trHeight w:val="565"/>
        </w:trPr>
        <w:tc>
          <w:tcPr>
            <w:tcW w:w="3580" w:type="dxa"/>
            <w:vAlign w:val="bottom"/>
          </w:tcPr>
          <w:p>
            <w:pPr>
              <w:jc w:val="center"/>
              <w:ind w:right="261"/>
              <w:spacing w:after="0"/>
              <w:rPr>
                <w:sz w:val="20"/>
                <w:szCs w:val="20"/>
                <w:color w:val="auto"/>
              </w:rPr>
            </w:pPr>
            <w:r>
              <w:rPr>
                <w:rFonts w:ascii="Times New Roman" w:cs="Times New Roman" w:eastAsia="Times New Roman" w:hAnsi="Times New Roman"/>
                <w:sz w:val="20"/>
                <w:szCs w:val="20"/>
                <w:color w:val="auto"/>
                <w:w w:val="97"/>
              </w:rPr>
              <w:t>Silicon Valley Bank</w:t>
            </w:r>
          </w:p>
        </w:tc>
        <w:tc>
          <w:tcPr>
            <w:tcW w:w="39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7"/>
              </w:rPr>
              <w:t>$50,000,000</w:t>
            </w:r>
          </w:p>
        </w:tc>
        <w:tc>
          <w:tcPr>
            <w:tcW w:w="246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8"/>
              </w:rPr>
              <w:t>50.000000000%</w:t>
            </w:r>
          </w:p>
        </w:tc>
      </w:tr>
      <w:tr>
        <w:trPr>
          <w:trHeight w:val="257"/>
        </w:trPr>
        <w:tc>
          <w:tcPr>
            <w:tcW w:w="3580" w:type="dxa"/>
            <w:vAlign w:val="bottom"/>
          </w:tcPr>
          <w:p>
            <w:pPr>
              <w:jc w:val="center"/>
              <w:ind w:right="261"/>
              <w:spacing w:after="0"/>
              <w:rPr>
                <w:sz w:val="20"/>
                <w:szCs w:val="20"/>
                <w:color w:val="auto"/>
              </w:rPr>
            </w:pPr>
            <w:r>
              <w:rPr>
                <w:rFonts w:ascii="Times New Roman" w:cs="Times New Roman" w:eastAsia="Times New Roman" w:hAnsi="Times New Roman"/>
                <w:sz w:val="20"/>
                <w:szCs w:val="20"/>
                <w:color w:val="auto"/>
                <w:w w:val="98"/>
              </w:rPr>
              <w:t>JP Morgan Chase Bank, N.A.</w:t>
            </w:r>
          </w:p>
        </w:tc>
        <w:tc>
          <w:tcPr>
            <w:tcW w:w="39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7"/>
              </w:rPr>
              <w:t>$25,000,000</w:t>
            </w:r>
          </w:p>
        </w:tc>
        <w:tc>
          <w:tcPr>
            <w:tcW w:w="246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8"/>
              </w:rPr>
              <w:t>25.000000000%</w:t>
            </w:r>
          </w:p>
        </w:tc>
      </w:tr>
      <w:tr>
        <w:trPr>
          <w:trHeight w:val="257"/>
        </w:trPr>
        <w:tc>
          <w:tcPr>
            <w:tcW w:w="3580" w:type="dxa"/>
            <w:vAlign w:val="bottom"/>
          </w:tcPr>
          <w:p>
            <w:pPr>
              <w:jc w:val="center"/>
              <w:ind w:right="281"/>
              <w:spacing w:after="0"/>
              <w:rPr>
                <w:sz w:val="20"/>
                <w:szCs w:val="20"/>
                <w:color w:val="auto"/>
              </w:rPr>
            </w:pPr>
            <w:r>
              <w:rPr>
                <w:rFonts w:ascii="Times New Roman" w:cs="Times New Roman" w:eastAsia="Times New Roman" w:hAnsi="Times New Roman"/>
                <w:sz w:val="20"/>
                <w:szCs w:val="20"/>
                <w:color w:val="auto"/>
                <w:w w:val="99"/>
              </w:rPr>
              <w:t>HSBC Bank USA, National Association</w:t>
            </w:r>
          </w:p>
        </w:tc>
        <w:tc>
          <w:tcPr>
            <w:tcW w:w="39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7"/>
              </w:rPr>
              <w:t>$25,000,000</w:t>
            </w:r>
          </w:p>
        </w:tc>
        <w:tc>
          <w:tcPr>
            <w:tcW w:w="246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8"/>
              </w:rPr>
              <w:t>25.000000000%</w:t>
            </w:r>
          </w:p>
        </w:tc>
      </w:tr>
      <w:tr>
        <w:trPr>
          <w:trHeight w:val="258"/>
        </w:trPr>
        <w:tc>
          <w:tcPr>
            <w:tcW w:w="3580" w:type="dxa"/>
            <w:vAlign w:val="bottom"/>
          </w:tcPr>
          <w:p>
            <w:pPr>
              <w:jc w:val="center"/>
              <w:ind w:right="281"/>
              <w:spacing w:after="0"/>
              <w:rPr>
                <w:sz w:val="20"/>
                <w:szCs w:val="20"/>
                <w:color w:val="auto"/>
              </w:rPr>
            </w:pPr>
            <w:r>
              <w:rPr>
                <w:rFonts w:ascii="Times New Roman" w:cs="Times New Roman" w:eastAsia="Times New Roman" w:hAnsi="Times New Roman"/>
                <w:sz w:val="20"/>
                <w:szCs w:val="20"/>
                <w:color w:val="auto"/>
                <w:w w:val="94"/>
              </w:rPr>
              <w:t>Total</w:t>
            </w:r>
          </w:p>
        </w:tc>
        <w:tc>
          <w:tcPr>
            <w:tcW w:w="39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9"/>
              </w:rPr>
              <w:t>$100,000,000</w:t>
            </w:r>
          </w:p>
        </w:tc>
        <w:tc>
          <w:tcPr>
            <w:tcW w:w="246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rPr>
              <w:t>100.000000000%</w:t>
            </w:r>
          </w:p>
        </w:tc>
      </w:tr>
    </w:tbl>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800" w:type="dxa"/>
            <w:vAlign w:val="bottom"/>
          </w:tcPr>
          <w:p>
            <w:pPr>
              <w:spacing w:after="0"/>
              <w:rPr>
                <w:sz w:val="22"/>
                <w:szCs w:val="22"/>
                <w:color w:val="auto"/>
              </w:rPr>
            </w:pPr>
          </w:p>
        </w:tc>
        <w:tc>
          <w:tcPr>
            <w:tcW w:w="3520" w:type="dxa"/>
            <w:vAlign w:val="bottom"/>
          </w:tcPr>
          <w:p>
            <w:pPr>
              <w:jc w:val="center"/>
              <w:ind w:right="321"/>
              <w:spacing w:after="0"/>
              <w:rPr>
                <w:sz w:val="20"/>
                <w:szCs w:val="20"/>
                <w:color w:val="auto"/>
              </w:rPr>
            </w:pPr>
            <w:r>
              <w:rPr>
                <w:rFonts w:ascii="Times New Roman" w:cs="Times New Roman" w:eastAsia="Times New Roman" w:hAnsi="Times New Roman"/>
                <w:sz w:val="20"/>
                <w:szCs w:val="20"/>
                <w:b w:val="1"/>
                <w:bCs w:val="1"/>
                <w:color w:val="auto"/>
                <w:w w:val="99"/>
              </w:rPr>
              <w:t>L/C COMMITMENT</w:t>
            </w:r>
          </w:p>
        </w:tc>
        <w:tc>
          <w:tcPr>
            <w:tcW w:w="2460" w:type="dxa"/>
            <w:vAlign w:val="bottom"/>
          </w:tcPr>
          <w:p>
            <w:pPr>
              <w:spacing w:after="0"/>
              <w:rPr>
                <w:sz w:val="22"/>
                <w:szCs w:val="22"/>
                <w:color w:val="auto"/>
              </w:rPr>
            </w:pPr>
          </w:p>
        </w:tc>
      </w:tr>
      <w:tr>
        <w:trPr>
          <w:trHeight w:val="473"/>
        </w:trPr>
        <w:tc>
          <w:tcPr>
            <w:tcW w:w="3800" w:type="dxa"/>
            <w:vAlign w:val="bottom"/>
          </w:tcPr>
          <w:p>
            <w:pPr>
              <w:jc w:val="center"/>
              <w:ind w:right="501"/>
              <w:spacing w:after="0"/>
              <w:rPr>
                <w:sz w:val="20"/>
                <w:szCs w:val="20"/>
                <w:color w:val="auto"/>
              </w:rPr>
            </w:pPr>
            <w:r>
              <w:rPr>
                <w:rFonts w:ascii="Times New Roman" w:cs="Times New Roman" w:eastAsia="Times New Roman" w:hAnsi="Times New Roman"/>
                <w:sz w:val="20"/>
                <w:szCs w:val="20"/>
                <w:color w:val="auto"/>
                <w:w w:val="98"/>
              </w:rPr>
              <w:t>Lender</w:t>
            </w:r>
          </w:p>
        </w:tc>
        <w:tc>
          <w:tcPr>
            <w:tcW w:w="352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w w:val="98"/>
              </w:rPr>
              <w:t>L/C Commitment</w:t>
            </w:r>
          </w:p>
        </w:tc>
        <w:tc>
          <w:tcPr>
            <w:tcW w:w="246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L/C Percentage</w:t>
            </w:r>
          </w:p>
        </w:tc>
      </w:tr>
      <w:tr>
        <w:trPr>
          <w:trHeight w:val="565"/>
        </w:trPr>
        <w:tc>
          <w:tcPr>
            <w:tcW w:w="3800" w:type="dxa"/>
            <w:vAlign w:val="bottom"/>
          </w:tcPr>
          <w:p>
            <w:pPr>
              <w:jc w:val="center"/>
              <w:ind w:right="521"/>
              <w:spacing w:after="0"/>
              <w:rPr>
                <w:sz w:val="20"/>
                <w:szCs w:val="20"/>
                <w:color w:val="auto"/>
              </w:rPr>
            </w:pPr>
            <w:r>
              <w:rPr>
                <w:rFonts w:ascii="Times New Roman" w:cs="Times New Roman" w:eastAsia="Times New Roman" w:hAnsi="Times New Roman"/>
                <w:sz w:val="20"/>
                <w:szCs w:val="20"/>
                <w:color w:val="auto"/>
                <w:w w:val="97"/>
              </w:rPr>
              <w:t>Silicon Valley Bank</w:t>
            </w:r>
          </w:p>
        </w:tc>
        <w:tc>
          <w:tcPr>
            <w:tcW w:w="352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w w:val="97"/>
              </w:rPr>
              <w:t>$5,000,000</w:t>
            </w:r>
          </w:p>
        </w:tc>
        <w:tc>
          <w:tcPr>
            <w:tcW w:w="24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8"/>
              </w:rPr>
              <w:t>50.000000000%</w:t>
            </w:r>
          </w:p>
        </w:tc>
      </w:tr>
      <w:tr>
        <w:trPr>
          <w:trHeight w:val="256"/>
        </w:trPr>
        <w:tc>
          <w:tcPr>
            <w:tcW w:w="3800" w:type="dxa"/>
            <w:vAlign w:val="bottom"/>
          </w:tcPr>
          <w:p>
            <w:pPr>
              <w:jc w:val="center"/>
              <w:ind w:right="521"/>
              <w:spacing w:after="0"/>
              <w:rPr>
                <w:sz w:val="20"/>
                <w:szCs w:val="20"/>
                <w:color w:val="auto"/>
              </w:rPr>
            </w:pPr>
            <w:r>
              <w:rPr>
                <w:rFonts w:ascii="Times New Roman" w:cs="Times New Roman" w:eastAsia="Times New Roman" w:hAnsi="Times New Roman"/>
                <w:sz w:val="20"/>
                <w:szCs w:val="20"/>
                <w:color w:val="auto"/>
                <w:w w:val="98"/>
              </w:rPr>
              <w:t>JP Morgan Chase Bank, N.A.</w:t>
            </w:r>
          </w:p>
        </w:tc>
        <w:tc>
          <w:tcPr>
            <w:tcW w:w="352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w w:val="97"/>
              </w:rPr>
              <w:t>$2,500,000</w:t>
            </w:r>
          </w:p>
        </w:tc>
        <w:tc>
          <w:tcPr>
            <w:tcW w:w="24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8"/>
              </w:rPr>
              <w:t>25.000000000%</w:t>
            </w:r>
          </w:p>
        </w:tc>
      </w:tr>
      <w:tr>
        <w:trPr>
          <w:trHeight w:val="257"/>
        </w:trPr>
        <w:tc>
          <w:tcPr>
            <w:tcW w:w="3800" w:type="dxa"/>
            <w:vAlign w:val="bottom"/>
          </w:tcPr>
          <w:p>
            <w:pPr>
              <w:jc w:val="center"/>
              <w:ind w:right="521"/>
              <w:spacing w:after="0"/>
              <w:rPr>
                <w:sz w:val="20"/>
                <w:szCs w:val="20"/>
                <w:color w:val="auto"/>
              </w:rPr>
            </w:pPr>
            <w:r>
              <w:rPr>
                <w:rFonts w:ascii="Times New Roman" w:cs="Times New Roman" w:eastAsia="Times New Roman" w:hAnsi="Times New Roman"/>
                <w:sz w:val="20"/>
                <w:szCs w:val="20"/>
                <w:color w:val="auto"/>
                <w:w w:val="98"/>
              </w:rPr>
              <w:t>HSBC Bank USA, National Association</w:t>
            </w:r>
          </w:p>
        </w:tc>
        <w:tc>
          <w:tcPr>
            <w:tcW w:w="352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w w:val="97"/>
              </w:rPr>
              <w:t>$2,500,000</w:t>
            </w:r>
          </w:p>
        </w:tc>
        <w:tc>
          <w:tcPr>
            <w:tcW w:w="24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8"/>
              </w:rPr>
              <w:t>25.000000000%</w:t>
            </w:r>
          </w:p>
        </w:tc>
      </w:tr>
      <w:tr>
        <w:trPr>
          <w:trHeight w:val="258"/>
        </w:trPr>
        <w:tc>
          <w:tcPr>
            <w:tcW w:w="3800" w:type="dxa"/>
            <w:vAlign w:val="bottom"/>
          </w:tcPr>
          <w:p>
            <w:pPr>
              <w:jc w:val="center"/>
              <w:ind w:right="521"/>
              <w:spacing w:after="0"/>
              <w:rPr>
                <w:sz w:val="20"/>
                <w:szCs w:val="20"/>
                <w:color w:val="auto"/>
              </w:rPr>
            </w:pPr>
            <w:r>
              <w:rPr>
                <w:rFonts w:ascii="Times New Roman" w:cs="Times New Roman" w:eastAsia="Times New Roman" w:hAnsi="Times New Roman"/>
                <w:sz w:val="20"/>
                <w:szCs w:val="20"/>
                <w:color w:val="auto"/>
                <w:w w:val="99"/>
              </w:rPr>
              <w:t>Total</w:t>
            </w:r>
          </w:p>
        </w:tc>
        <w:tc>
          <w:tcPr>
            <w:tcW w:w="352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w w:val="99"/>
              </w:rPr>
              <w:t>$10,000,000</w:t>
            </w:r>
          </w:p>
        </w:tc>
        <w:tc>
          <w:tcPr>
            <w:tcW w:w="2460" w:type="dxa"/>
            <w:vAlign w:val="bottom"/>
          </w:tcPr>
          <w:p>
            <w:pPr>
              <w:jc w:val="center"/>
              <w:ind w:left="961"/>
              <w:spacing w:after="0"/>
              <w:rPr>
                <w:sz w:val="20"/>
                <w:szCs w:val="20"/>
                <w:color w:val="auto"/>
              </w:rPr>
            </w:pPr>
            <w:r>
              <w:rPr>
                <w:rFonts w:ascii="Times New Roman" w:cs="Times New Roman" w:eastAsia="Times New Roman" w:hAnsi="Times New Roman"/>
                <w:sz w:val="20"/>
                <w:szCs w:val="20"/>
                <w:color w:val="auto"/>
                <w:w w:val="98"/>
              </w:rPr>
              <w:t>100.000000000%</w:t>
            </w:r>
          </w:p>
        </w:tc>
      </w:tr>
    </w:tbl>
    <w:p>
      <w:pPr>
        <w:spacing w:after="0" w:line="200" w:lineRule="exact"/>
        <w:rPr>
          <w:sz w:val="20"/>
          <w:szCs w:val="20"/>
          <w:color w:val="auto"/>
        </w:rPr>
      </w:pPr>
    </w:p>
    <w:p>
      <w:pPr>
        <w:spacing w:after="0" w:line="321" w:lineRule="exact"/>
        <w:rPr>
          <w:sz w:val="20"/>
          <w:szCs w:val="20"/>
          <w:color w:val="auto"/>
        </w:rPr>
      </w:pPr>
    </w:p>
    <w:tbl>
      <w:tblPr>
        <w:tblLayout w:type="fixed"/>
        <w:tblInd w:w="820" w:type="dxa"/>
        <w:tblCellMar>
          <w:top w:w="0" w:type="dxa"/>
          <w:left w:w="0" w:type="dxa"/>
          <w:bottom w:w="0" w:type="dxa"/>
          <w:right w:w="0" w:type="dxa"/>
        </w:tblCellMar>
      </w:tblPr>
      <w:tr>
        <w:trPr>
          <w:trHeight w:val="262"/>
        </w:trPr>
        <w:tc>
          <w:tcPr>
            <w:tcW w:w="2380" w:type="dxa"/>
            <w:vAlign w:val="bottom"/>
          </w:tcPr>
          <w:p>
            <w:pPr>
              <w:spacing w:after="0"/>
              <w:rPr>
                <w:sz w:val="22"/>
                <w:szCs w:val="22"/>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SWINGLINE COMMITMENT</w:t>
            </w:r>
          </w:p>
        </w:tc>
        <w:tc>
          <w:tcPr>
            <w:tcW w:w="2440" w:type="dxa"/>
            <w:vAlign w:val="bottom"/>
          </w:tcPr>
          <w:p>
            <w:pPr>
              <w:spacing w:after="0"/>
              <w:rPr>
                <w:sz w:val="22"/>
                <w:szCs w:val="22"/>
                <w:color w:val="auto"/>
              </w:rPr>
            </w:pPr>
          </w:p>
        </w:tc>
      </w:tr>
      <w:tr>
        <w:trPr>
          <w:trHeight w:val="459"/>
        </w:trPr>
        <w:tc>
          <w:tcPr>
            <w:tcW w:w="2380" w:type="dxa"/>
            <w:vAlign w:val="bottom"/>
          </w:tcPr>
          <w:p>
            <w:pPr>
              <w:jc w:val="center"/>
              <w:ind w:right="721"/>
              <w:spacing w:after="0"/>
              <w:rPr>
                <w:sz w:val="20"/>
                <w:szCs w:val="20"/>
                <w:color w:val="auto"/>
              </w:rPr>
            </w:pPr>
            <w:r>
              <w:rPr>
                <w:rFonts w:ascii="Times New Roman" w:cs="Times New Roman" w:eastAsia="Times New Roman" w:hAnsi="Times New Roman"/>
                <w:sz w:val="20"/>
                <w:szCs w:val="20"/>
                <w:color w:val="auto"/>
                <w:w w:val="98"/>
              </w:rPr>
              <w:t>Lender</w:t>
            </w:r>
          </w:p>
        </w:tc>
        <w:tc>
          <w:tcPr>
            <w:tcW w:w="4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Swingline Commitment</w:t>
            </w:r>
          </w:p>
        </w:tc>
        <w:tc>
          <w:tcPr>
            <w:tcW w:w="2440" w:type="dxa"/>
            <w:vAlign w:val="bottom"/>
          </w:tcPr>
          <w:p>
            <w:pPr>
              <w:jc w:val="center"/>
              <w:ind w:left="681"/>
              <w:spacing w:after="0"/>
              <w:rPr>
                <w:sz w:val="20"/>
                <w:szCs w:val="20"/>
                <w:color w:val="auto"/>
              </w:rPr>
            </w:pPr>
            <w:r>
              <w:rPr>
                <w:rFonts w:ascii="Times New Roman" w:cs="Times New Roman" w:eastAsia="Times New Roman" w:hAnsi="Times New Roman"/>
                <w:sz w:val="20"/>
                <w:szCs w:val="20"/>
                <w:color w:val="auto"/>
                <w:w w:val="98"/>
              </w:rPr>
              <w:t>Exposure Percentage</w:t>
            </w:r>
          </w:p>
        </w:tc>
      </w:tr>
      <w:tr>
        <w:trPr>
          <w:trHeight w:val="565"/>
        </w:trPr>
        <w:tc>
          <w:tcPr>
            <w:tcW w:w="2380" w:type="dxa"/>
            <w:vAlign w:val="bottom"/>
          </w:tcPr>
          <w:p>
            <w:pPr>
              <w:jc w:val="center"/>
              <w:ind w:right="701"/>
              <w:spacing w:after="0"/>
              <w:rPr>
                <w:sz w:val="20"/>
                <w:szCs w:val="20"/>
                <w:color w:val="auto"/>
              </w:rPr>
            </w:pPr>
            <w:r>
              <w:rPr>
                <w:rFonts w:ascii="Times New Roman" w:cs="Times New Roman" w:eastAsia="Times New Roman" w:hAnsi="Times New Roman"/>
                <w:sz w:val="20"/>
                <w:szCs w:val="20"/>
                <w:color w:val="auto"/>
                <w:w w:val="97"/>
              </w:rPr>
              <w:t>Silicon Valley Bank</w:t>
            </w:r>
          </w:p>
        </w:tc>
        <w:tc>
          <w:tcPr>
            <w:tcW w:w="4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$10,000,000</w:t>
            </w:r>
          </w:p>
        </w:tc>
        <w:tc>
          <w:tcPr>
            <w:tcW w:w="2440" w:type="dxa"/>
            <w:vAlign w:val="bottom"/>
          </w:tcPr>
          <w:p>
            <w:pPr>
              <w:jc w:val="center"/>
              <w:ind w:left="701"/>
              <w:spacing w:after="0"/>
              <w:rPr>
                <w:sz w:val="20"/>
                <w:szCs w:val="20"/>
                <w:color w:val="auto"/>
              </w:rPr>
            </w:pPr>
            <w:r>
              <w:rPr>
                <w:rFonts w:ascii="Times New Roman" w:cs="Times New Roman" w:eastAsia="Times New Roman" w:hAnsi="Times New Roman"/>
                <w:sz w:val="20"/>
                <w:szCs w:val="20"/>
                <w:color w:val="auto"/>
                <w:w w:val="98"/>
              </w:rPr>
              <w:t>100.000000000%</w:t>
            </w:r>
          </w:p>
        </w:tc>
      </w:tr>
      <w:tr>
        <w:trPr>
          <w:trHeight w:val="258"/>
        </w:trPr>
        <w:tc>
          <w:tcPr>
            <w:tcW w:w="2380" w:type="dxa"/>
            <w:vAlign w:val="bottom"/>
          </w:tcPr>
          <w:p>
            <w:pPr>
              <w:jc w:val="center"/>
              <w:ind w:right="721"/>
              <w:spacing w:after="0"/>
              <w:rPr>
                <w:sz w:val="20"/>
                <w:szCs w:val="20"/>
                <w:color w:val="auto"/>
              </w:rPr>
            </w:pPr>
            <w:r>
              <w:rPr>
                <w:rFonts w:ascii="Times New Roman" w:cs="Times New Roman" w:eastAsia="Times New Roman" w:hAnsi="Times New Roman"/>
                <w:sz w:val="20"/>
                <w:szCs w:val="20"/>
                <w:color w:val="auto"/>
                <w:w w:val="94"/>
              </w:rPr>
              <w:t>Total</w:t>
            </w:r>
          </w:p>
        </w:tc>
        <w:tc>
          <w:tcPr>
            <w:tcW w:w="4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$10,000,000</w:t>
            </w:r>
          </w:p>
        </w:tc>
        <w:tc>
          <w:tcPr>
            <w:tcW w:w="2440" w:type="dxa"/>
            <w:vAlign w:val="bottom"/>
          </w:tcPr>
          <w:p>
            <w:pPr>
              <w:jc w:val="center"/>
              <w:ind w:left="701"/>
              <w:spacing w:after="0"/>
              <w:rPr>
                <w:sz w:val="20"/>
                <w:szCs w:val="20"/>
                <w:color w:val="auto"/>
              </w:rPr>
            </w:pPr>
            <w:r>
              <w:rPr>
                <w:rFonts w:ascii="Times New Roman" w:cs="Times New Roman" w:eastAsia="Times New Roman" w:hAnsi="Times New Roman"/>
                <w:sz w:val="20"/>
                <w:szCs w:val="20"/>
                <w:color w:val="auto"/>
                <w:w w:val="98"/>
              </w:rPr>
              <w:t>100.000000000%</w:t>
            </w:r>
          </w:p>
        </w:tc>
      </w:tr>
    </w:tbl>
    <w:p>
      <w:pPr>
        <w:sectPr>
          <w:pgSz w:w="11900" w:h="16838" w:orient="portrait"/>
          <w:cols w:equalWidth="0" w:num="1">
            <w:col w:w="9960"/>
          </w:cols>
          <w:pgMar w:left="580" w:top="1395" w:right="135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2022</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2022</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right="20" w:hanging="328"/>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2022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2022</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right="20" w:hanging="328"/>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2022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2022</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1."/>
      <w:numFmt w:val="decimal"/>
      <w:start w:val="1"/>
    </w:lvl>
  </w:abstractNum>
  <w:abstractNum w:abstractNumId="3">
    <w:nsid w:val="14FCE74E"/>
    <w:multiLevelType w:val="hybridMultilevel"/>
    <w:lvl w:ilvl="0">
      <w:lvlJc w:val="left"/>
      <w:lvlText w:val="%1."/>
      <w:numFmt w:val="decimal"/>
      <w:start w:val="2"/>
    </w:lvl>
  </w:abstractNum>
  <w:abstractNum w:abstractNumId="4">
    <w:nsid w:val="6A3DD3E8"/>
    <w:multiLevelType w:val="hybridMultilevel"/>
    <w:lvl w:ilvl="0">
      <w:lvlJc w:val="left"/>
      <w:lvlText w:val="%1."/>
      <w:numFmt w:val="decimal"/>
      <w:start w:val="3"/>
    </w:lvl>
  </w:abstractNum>
  <w:abstractNum w:abstractNumId="5">
    <w:nsid w:val="71C91298"/>
    <w:multiLevelType w:val="hybridMultilevel"/>
    <w:lvl w:ilvl="0">
      <w:lvlJc w:val="left"/>
      <w:lvlText w:val="%1."/>
      <w:numFmt w:val="decimal"/>
      <w:start w:val="4"/>
    </w:lvl>
  </w:abstractNum>
  <w:abstractNum w:abstractNumId="6">
    <w:nsid w:val="9DAF632"/>
    <w:multiLevelType w:val="hybridMultilevel"/>
    <w:lvl w:ilvl="0">
      <w:lvlJc w:val="left"/>
      <w:lvlText w:val="%1."/>
      <w:numFmt w:val="decimal"/>
      <w:start w:val="5"/>
    </w:lvl>
  </w:abstractNum>
  <w:abstractNum w:abstractNumId="7">
    <w:nsid w:val="53299938"/>
    <w:multiLevelType w:val="hybridMultilevel"/>
    <w:lvl w:ilvl="0">
      <w:lvlJc w:val="left"/>
      <w:lvlText w:val="(%1)"/>
      <w:numFmt w:val="decimal"/>
      <w:start w:val="1"/>
    </w:lvl>
  </w:abstractNum>
  <w:abstractNum w:abstractNumId="8">
    <w:nsid w:val="1FBFE8E0"/>
    <w:multiLevelType w:val="hybridMultilevel"/>
    <w:lvl w:ilvl="0">
      <w:lvlJc w:val="left"/>
      <w:lvlText w:val="%1."/>
      <w:numFmt w:val="decimal"/>
      <w:start w:val="6"/>
    </w:lvl>
  </w:abstractNum>
  <w:abstractNum w:abstractNumId="9">
    <w:nsid w:val="5092CA79"/>
    <w:multiLevelType w:val="hybridMultilevel"/>
    <w:lvl w:ilvl="0">
      <w:lvlJc w:val="left"/>
      <w:lvlText w:val="%1."/>
      <w:numFmt w:val="decimal"/>
      <w:start w:val="7"/>
    </w:lvl>
  </w:abstractNum>
  <w:abstractNum w:abstractNumId="10">
    <w:nsid w:val="1D545C4D"/>
    <w:multiLevelType w:val="hybridMultilevel"/>
    <w:lvl w:ilvl="0">
      <w:lvlJc w:val="left"/>
      <w:lvlText w:val="%1."/>
      <w:numFmt w:val="decimal"/>
      <w:start w:val="8"/>
    </w:lvl>
  </w:abstractNum>
  <w:abstractNum w:abstractNumId="11">
    <w:nsid w:val="59ADEA3D"/>
    <w:multiLevelType w:val="hybridMultilevel"/>
    <w:lvl w:ilvl="0">
      <w:lvlJc w:val="left"/>
      <w:lvlText w:val="%1."/>
      <w:numFmt w:val="decimal"/>
      <w:start w:val="9"/>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1)"/>
      <w:numFmt w:val="decimal"/>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1)"/>
      <w:numFmt w:val="lowerLetter"/>
      <w:start w:val="1"/>
    </w:lvl>
  </w:abstractNum>
  <w:abstractNum w:abstractNumId="19">
    <w:nsid w:val="415E286C"/>
    <w:multiLevelType w:val="hybridMultilevel"/>
    <w:lvl w:ilvl="0">
      <w:lvlJc w:val="left"/>
      <w:lvlText w:val="(%1)"/>
      <w:numFmt w:val="lowerLetter"/>
      <w:start w:val="1"/>
    </w:lvl>
  </w:abstractNum>
  <w:abstractNum w:abstractNumId="20">
    <w:nsid w:val="7C58FD05"/>
    <w:multiLevelType w:val="hybridMultilevel"/>
    <w:lvl w:ilvl="0">
      <w:lvlJc w:val="left"/>
      <w:lvlText w:val="(%1)"/>
      <w:numFmt w:val="lowerLetter"/>
      <w:start w:val="1"/>
    </w:lvl>
  </w:abstractNum>
  <w:abstractNum w:abstractNumId="21">
    <w:nsid w:val="23D86AAC"/>
    <w:multiLevelType w:val="hybridMultilevel"/>
    <w:lvl w:ilvl="0">
      <w:lvlJc w:val="left"/>
      <w:lvlText w:val="(%1)"/>
      <w:numFmt w:val="lowerLetter"/>
      <w:start w:val="3"/>
    </w:lvl>
  </w:abstractNum>
  <w:abstractNum w:abstractNumId="22">
    <w:nsid w:val="45E6D486"/>
    <w:multiLevelType w:val="hybridMultilevel"/>
    <w:lvl w:ilvl="0">
      <w:lvlJc w:val="left"/>
      <w:lvlText w:val="(%1)"/>
      <w:numFmt w:val="lowerLetter"/>
      <w:start w:val="1"/>
    </w:lvl>
    <w:lvl w:ilvl="1">
      <w:lvlJc w:val="left"/>
      <w:lvlText w:val="(%2)"/>
      <w:numFmt w:val="lowerRoman"/>
      <w:start w:val="1"/>
    </w:lvl>
  </w:abstractNum>
  <w:abstractNum w:abstractNumId="23">
    <w:nsid w:val="5C10FE21"/>
    <w:multiLevelType w:val="hybridMultilevel"/>
    <w:lvl w:ilvl="0">
      <w:lvlJc w:val="left"/>
      <w:lvlText w:val="%1"/>
      <w:numFmt w:val="upperLetter"/>
      <w:start w:val="1"/>
    </w:lvl>
    <w:lvl w:ilvl="1">
      <w:lvlJc w:val="left"/>
      <w:lvlText w:val="(%2)"/>
      <w:numFmt w:val="lowerRoman"/>
      <w:start w:val="11"/>
    </w:lvl>
  </w:abstractNum>
  <w:abstractNum w:abstractNumId="24">
    <w:nsid w:val="E7FFA2B"/>
    <w:multiLevelType w:val="hybridMultilevel"/>
    <w:lvl w:ilvl="0">
      <w:lvlJc w:val="left"/>
      <w:lvlText w:val="(%1)"/>
      <w:numFmt w:val="upperLetter"/>
      <w:start w:val="1"/>
    </w:lvl>
    <w:lvl w:ilvl="1">
      <w:lvlJc w:val="left"/>
      <w:lvlText w:val="(%2)"/>
      <w:numFmt w:val="lowerRoman"/>
      <w:start w:val="12"/>
    </w:lvl>
  </w:abstractNum>
  <w:abstractNum w:abstractNumId="25">
    <w:nsid w:val="3C5991AA"/>
    <w:multiLevelType w:val="hybridMultilevel"/>
    <w:lvl w:ilvl="0">
      <w:lvlJc w:val="left"/>
      <w:lvlText w:val="(%1)"/>
      <w:numFmt w:val="lowerLetter"/>
      <w:start w:val="3"/>
    </w:lvl>
    <w:lvl w:ilvl="1">
      <w:lvlJc w:val="left"/>
      <w:lvlText w:val="(%2)"/>
      <w:numFmt w:val="lowerRoman"/>
      <w:start w:val="1"/>
    </w:lvl>
  </w:abstractNum>
  <w:abstractNum w:abstractNumId="26">
    <w:nsid w:val="4BD8591A"/>
    <w:multiLevelType w:val="hybridMultilevel"/>
    <w:lvl w:ilvl="0">
      <w:lvlJc w:val="left"/>
      <w:lvlText w:val="(%1)"/>
      <w:numFmt w:val="lowerRoman"/>
      <w:start w:val="2"/>
    </w:lvl>
  </w:abstractNum>
  <w:abstractNum w:abstractNumId="27">
    <w:nsid w:val="78DF6A55"/>
    <w:multiLevelType w:val="hybridMultilevel"/>
    <w:lvl w:ilvl="0">
      <w:lvlJc w:val="left"/>
      <w:lvlText w:val="(%1)"/>
      <w:numFmt w:val="lowerRoman"/>
      <w:start w:val="1"/>
    </w:lvl>
  </w:abstractNum>
  <w:abstractNum w:abstractNumId="28">
    <w:nsid w:val="39B7AAA2"/>
    <w:multiLevelType w:val="hybridMultilevel"/>
    <w:lvl w:ilvl="0">
      <w:lvlJc w:val="left"/>
      <w:lvlText w:val="(%1)"/>
      <w:numFmt w:val="lowerLetter"/>
      <w:start w:val="1"/>
    </w:lvl>
  </w:abstractNum>
  <w:abstractNum w:abstractNumId="29">
    <w:nsid w:val="2B0D8DBE"/>
    <w:multiLevelType w:val="hybridMultilevel"/>
    <w:lvl w:ilvl="0">
      <w:lvlJc w:val="left"/>
      <w:lvlText w:val="(%1)"/>
      <w:numFmt w:val="lowerLetter"/>
      <w:start w:val="1"/>
    </w:lvl>
  </w:abstractNum>
  <w:abstractNum w:abstractNumId="30">
    <w:nsid w:val="6C80EC70"/>
    <w:multiLevelType w:val="hybridMultilevel"/>
    <w:lvl w:ilvl="0">
      <w:lvlJc w:val="left"/>
      <w:lvlText w:val="(%1)"/>
      <w:numFmt w:val="lowerLetter"/>
      <w:start w:val="3"/>
    </w:lvl>
  </w:abstractNum>
  <w:abstractNum w:abstractNumId="31">
    <w:nsid w:val="379E21B5"/>
    <w:multiLevelType w:val="hybridMultilevel"/>
    <w:lvl w:ilvl="0">
      <w:lvlJc w:val="left"/>
      <w:lvlText w:val="(%1)"/>
      <w:numFmt w:val="lowerRoman"/>
      <w:start w:val="1"/>
    </w:lvl>
  </w:abstractNum>
  <w:abstractNum w:abstractNumId="32">
    <w:nsid w:val="69E373"/>
    <w:multiLevelType w:val="hybridMultilevel"/>
    <w:lvl w:ilvl="0">
      <w:lvlJc w:val="left"/>
      <w:lvlText w:val="%1"/>
      <w:numFmt w:val="lowerRoman"/>
      <w:start w:val="1"/>
    </w:lvl>
    <w:lvl w:ilvl="1">
      <w:lvlJc w:val="left"/>
      <w:lvlText w:val="(%2)"/>
      <w:numFmt w:val="lowerLetter"/>
      <w:start w:val="1"/>
    </w:lvl>
  </w:abstractNum>
  <w:abstractNum w:abstractNumId="33">
    <w:nsid w:val="2C27173B"/>
    <w:multiLevelType w:val="hybridMultilevel"/>
    <w:lvl w:ilvl="0">
      <w:lvlJc w:val="left"/>
      <w:lvlText w:val="(%1)"/>
      <w:numFmt w:val="lowerRoman"/>
      <w:start w:val="4"/>
    </w:lvl>
    <w:lvl w:ilvl="1">
      <w:lvlJc w:val="left"/>
      <w:lvlText w:val="%2"/>
      <w:numFmt w:val="lowerLetter"/>
      <w:start w:val="1"/>
    </w:lvl>
  </w:abstractNum>
  <w:abstractNum w:abstractNumId="34">
    <w:nsid w:val="4C9B0904"/>
    <w:multiLevelType w:val="hybridMultilevel"/>
    <w:lvl w:ilvl="0">
      <w:lvlJc w:val="left"/>
      <w:lvlText w:val="(%1)"/>
      <w:numFmt w:val="lowerLetter"/>
      <w:start w:val="3"/>
    </w:lvl>
  </w:abstractNum>
  <w:abstractNum w:abstractNumId="35">
    <w:nsid w:val="6AA7B75C"/>
    <w:multiLevelType w:val="hybridMultilevel"/>
    <w:lvl w:ilvl="0">
      <w:lvlJc w:val="left"/>
      <w:lvlText w:val="(%1)"/>
      <w:numFmt w:val="lowerLetter"/>
      <w:start w:val="1"/>
    </w:lvl>
  </w:abstractNum>
  <w:abstractNum w:abstractNumId="36">
    <w:nsid w:val="1DF029D3"/>
    <w:multiLevelType w:val="hybridMultilevel"/>
    <w:lvl w:ilvl="0">
      <w:lvlJc w:val="left"/>
      <w:lvlText w:val="(%1)"/>
      <w:numFmt w:val="lowerLetter"/>
      <w:start w:val="1"/>
    </w:lvl>
  </w:abstractNum>
  <w:abstractNum w:abstractNumId="37">
    <w:nsid w:val="5675FF36"/>
    <w:multiLevelType w:val="hybridMultilevel"/>
    <w:lvl w:ilvl="0">
      <w:lvlJc w:val="left"/>
      <w:lvlText w:val="(%1)"/>
      <w:numFmt w:val="lowerLetter"/>
      <w:start w:val="1"/>
    </w:lvl>
  </w:abstractNum>
  <w:abstractNum w:abstractNumId="38">
    <w:nsid w:val="3DD15094"/>
    <w:multiLevelType w:val="hybridMultilevel"/>
    <w:lvl w:ilvl="0">
      <w:lvlJc w:val="left"/>
      <w:lvlText w:val="(%1)"/>
      <w:numFmt w:val="lowerLetter"/>
      <w:start w:val="1"/>
    </w:lvl>
  </w:abstractNum>
  <w:abstractNum w:abstractNumId="39">
    <w:nsid w:val="3DB012B3"/>
    <w:multiLevelType w:val="hybridMultilevel"/>
    <w:lvl w:ilvl="0">
      <w:lvlJc w:val="left"/>
      <w:lvlText w:val="(%1)"/>
      <w:numFmt w:val="lowerLetter"/>
      <w:start w:val="2"/>
    </w:lvl>
  </w:abstractNum>
  <w:abstractNum w:abstractNumId="40">
    <w:nsid w:val="2708C9AF"/>
    <w:multiLevelType w:val="hybridMultilevel"/>
    <w:lvl w:ilvl="0">
      <w:lvlJc w:val="left"/>
      <w:lvlText w:val="(%1)"/>
      <w:numFmt w:val="lowerLetter"/>
      <w:start w:val="1"/>
    </w:lvl>
  </w:abstractNum>
  <w:abstractNum w:abstractNumId="41">
    <w:nsid w:val="5B25ACE2"/>
    <w:multiLevelType w:val="hybridMultilevel"/>
    <w:lvl w:ilvl="0">
      <w:lvlJc w:val="left"/>
      <w:lvlText w:val="(%1)"/>
      <w:numFmt w:val="lowerLetter"/>
      <w:start w:val="4"/>
    </w:lvl>
  </w:abstractNum>
  <w:abstractNum w:abstractNumId="42">
    <w:nsid w:val="175DFCF0"/>
    <w:multiLevelType w:val="hybridMultilevel"/>
    <w:lvl w:ilvl="0">
      <w:lvlJc w:val="left"/>
      <w:lvlText w:val="(%1)"/>
      <w:numFmt w:val="lowerLetter"/>
      <w:start w:val="1"/>
    </w:lvl>
  </w:abstractNum>
  <w:abstractNum w:abstractNumId="43">
    <w:nsid w:val="4F97E3E4"/>
    <w:multiLevelType w:val="hybridMultilevel"/>
    <w:lvl w:ilvl="0">
      <w:lvlJc w:val="left"/>
      <w:lvlText w:val="(%1)"/>
      <w:numFmt w:val="lowerLetter"/>
      <w:start w:val="3"/>
    </w:lvl>
  </w:abstractNum>
  <w:abstractNum w:abstractNumId="44">
    <w:nsid w:val="53B0A9E"/>
    <w:multiLevelType w:val="hybridMultilevel"/>
    <w:lvl w:ilvl="0">
      <w:lvlJc w:val="left"/>
      <w:lvlText w:val="(%1)"/>
      <w:numFmt w:val="lowerLetter"/>
      <w:start w:val="1"/>
    </w:lvl>
  </w:abstractNum>
  <w:abstractNum w:abstractNumId="45">
    <w:nsid w:val="34FD6B4F"/>
    <w:multiLevelType w:val="hybridMultilevel"/>
    <w:lvl w:ilvl="0">
      <w:lvlJc w:val="left"/>
      <w:lvlText w:val="(%1)"/>
      <w:numFmt w:val="lowerLetter"/>
      <w:start w:val="2"/>
    </w:lvl>
  </w:abstractNum>
  <w:abstractNum w:abstractNumId="46">
    <w:nsid w:val="5915FF32"/>
    <w:multiLevelType w:val="hybridMultilevel"/>
    <w:lvl w:ilvl="0">
      <w:lvlJc w:val="left"/>
      <w:lvlText w:val="(%1)"/>
      <w:numFmt w:val="lowerLetter"/>
      <w:start w:val="1"/>
    </w:lvl>
  </w:abstractNum>
  <w:abstractNum w:abstractNumId="47">
    <w:nsid w:val="56438D15"/>
    <w:multiLevelType w:val="hybridMultilevel"/>
    <w:lvl w:ilvl="0">
      <w:lvlJc w:val="left"/>
      <w:lvlText w:val="(%1)"/>
      <w:numFmt w:val="lowerLetter"/>
      <w:start w:val="4"/>
    </w:lvl>
  </w:abstractNum>
  <w:abstractNum w:abstractNumId="48">
    <w:nsid w:val="519E3149"/>
    <w:multiLevelType w:val="hybridMultilevel"/>
    <w:lvl w:ilvl="0">
      <w:lvlJc w:val="left"/>
      <w:lvlText w:val="(%1)"/>
      <w:numFmt w:val="lowerLetter"/>
      <w:start w:val="1"/>
    </w:lvl>
  </w:abstractNum>
  <w:abstractNum w:abstractNumId="49">
    <w:nsid w:val="2C6E4AFD"/>
    <w:multiLevelType w:val="hybridMultilevel"/>
    <w:lvl w:ilvl="0">
      <w:lvlJc w:val="left"/>
      <w:lvlText w:val="(%1)"/>
      <w:numFmt w:val="lowerLetter"/>
      <w:start w:val="1"/>
    </w:lvl>
    <w:lvl w:ilvl="1">
      <w:lvlJc w:val="left"/>
      <w:lvlText w:val="(%2)"/>
      <w:numFmt w:val="lowerRoman"/>
      <w:start w:val="1"/>
    </w:lvl>
  </w:abstractNum>
  <w:abstractNum w:abstractNumId="50">
    <w:nsid w:val="17A1B582"/>
    <w:multiLevelType w:val="hybridMultilevel"/>
    <w:lvl w:ilvl="0">
      <w:lvlJc w:val="left"/>
      <w:lvlText w:val="(%1)"/>
      <w:numFmt w:val="lowerLetter"/>
      <w:start w:val="2"/>
    </w:lvl>
    <w:lvl w:ilvl="1">
      <w:lvlJc w:val="left"/>
      <w:lvlText w:val="(%2)"/>
      <w:numFmt w:val="lowerRoman"/>
      <w:start w:val="1"/>
    </w:lvl>
  </w:abstractNum>
  <w:abstractNum w:abstractNumId="51">
    <w:nsid w:val="4DF72E4E"/>
    <w:multiLevelType w:val="hybridMultilevel"/>
    <w:lvl w:ilvl="0">
      <w:lvlJc w:val="left"/>
      <w:lvlText w:val="(%1)"/>
      <w:numFmt w:val="upperLetter"/>
      <w:start w:val="2"/>
    </w:lvl>
    <w:lvl w:ilvl="1">
      <w:lvlJc w:val="left"/>
      <w:lvlText w:val="(%2)"/>
      <w:numFmt w:val="lowerLetter"/>
      <w:start w:val="3"/>
    </w:lvl>
  </w:abstractNum>
  <w:abstractNum w:abstractNumId="52">
    <w:nsid w:val="5046B5A9"/>
    <w:multiLevelType w:val="hybridMultilevel"/>
    <w:lvl w:ilvl="0">
      <w:lvlJc w:val="left"/>
      <w:lvlText w:val="(%1)"/>
      <w:numFmt w:val="lowerLetter"/>
      <w:start w:val="1"/>
    </w:lvl>
  </w:abstractNum>
  <w:abstractNum w:abstractNumId="53">
    <w:nsid w:val="5D888A08"/>
    <w:multiLevelType w:val="hybridMultilevel"/>
    <w:lvl w:ilvl="0">
      <w:lvlJc w:val="left"/>
      <w:lvlText w:val="(%1)"/>
      <w:numFmt w:val="lowerLetter"/>
      <w:start w:val="5"/>
    </w:lvl>
  </w:abstractNum>
  <w:abstractNum w:abstractNumId="54">
    <w:nsid w:val="2A082C70"/>
    <w:multiLevelType w:val="hybridMultilevel"/>
    <w:lvl w:ilvl="0">
      <w:lvlJc w:val="left"/>
      <w:lvlText w:val="%1"/>
      <w:numFmt w:val="lowerLetter"/>
      <w:start w:val="1"/>
    </w:lvl>
    <w:lvl w:ilvl="1">
      <w:lvlJc w:val="left"/>
      <w:lvlText w:val="(%2)"/>
      <w:numFmt w:val="lowerLetter"/>
      <w:start w:val="9"/>
    </w:lvl>
  </w:abstractNum>
  <w:abstractNum w:abstractNumId="55">
    <w:nsid w:val="5EC6AFD4"/>
    <w:multiLevelType w:val="hybridMultilevel"/>
    <w:lvl w:ilvl="0">
      <w:lvlJc w:val="left"/>
      <w:lvlText w:val="(%1)"/>
      <w:numFmt w:val="lowerLetter"/>
      <w:start w:val="61"/>
    </w:lvl>
    <w:lvl w:ilvl="1">
      <w:lvlJc w:val="left"/>
      <w:lvlText w:val="%2"/>
      <w:numFmt w:val="lowerLetter"/>
      <w:start w:val="1"/>
    </w:lvl>
  </w:abstractNum>
  <w:abstractNum w:abstractNumId="56">
    <w:nsid w:val="19E21BB2"/>
    <w:multiLevelType w:val="hybridMultilevel"/>
    <w:lvl w:ilvl="0">
      <w:lvlJc w:val="left"/>
      <w:lvlText w:val="(%1)"/>
      <w:numFmt w:val="lowerLetter"/>
      <w:start w:val="12"/>
    </w:lvl>
  </w:abstractNum>
  <w:abstractNum w:abstractNumId="57">
    <w:nsid w:val="75E085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58">
    <w:nsid w:val="57A61A29"/>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59">
    <w:nsid w:val="5399C654"/>
    <w:multiLevelType w:val="hybridMultilevel"/>
    <w:lvl w:ilvl="0">
      <w:lvlJc w:val="left"/>
      <w:lvlText w:val="(%1)"/>
      <w:numFmt w:val="lowerRoman"/>
      <w:start w:val="3"/>
    </w:lvl>
  </w:abstractNum>
  <w:abstractNum w:abstractNumId="60">
    <w:nsid w:val="20EE1348"/>
    <w:multiLevelType w:val="hybridMultilevel"/>
    <w:lvl w:ilvl="0">
      <w:lvlJc w:val="left"/>
      <w:lvlText w:val="(%1)"/>
      <w:numFmt w:val="lowerLetter"/>
      <w:start w:val="3"/>
    </w:lvl>
  </w:abstractNum>
  <w:abstractNum w:abstractNumId="61">
    <w:nsid w:val="4427069A"/>
    <w:multiLevelType w:val="hybridMultilevel"/>
    <w:lvl w:ilvl="0">
      <w:lvlJc w:val="left"/>
      <w:lvlText w:val="(%1)"/>
      <w:numFmt w:val="lowerLetter"/>
      <w:start w:val="1"/>
    </w:lvl>
  </w:abstractNum>
  <w:abstractNum w:abstractNumId="62">
    <w:nsid w:val="B37E80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3">
    <w:nsid w:val="2157F6B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64">
    <w:nsid w:val="704E1DD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65">
    <w:nsid w:val="57D2F10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66">
    <w:nsid w:val="BFFAE18"/>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67">
    <w:nsid w:val="E3E47A8"/>
    <w:multiLevelType w:val="hybridMultilevel"/>
    <w:lvl w:ilvl="0">
      <w:lvlJc w:val="left"/>
      <w:lvlText w:val="(%1)"/>
      <w:numFmt w:val="lowerLetter"/>
      <w:start w:val="8"/>
    </w:lvl>
  </w:abstractNum>
  <w:abstractNum w:abstractNumId="68">
    <w:nsid w:val="2E48F044"/>
    <w:multiLevelType w:val="hybridMultilevel"/>
    <w:lvl w:ilvl="0">
      <w:lvlJc w:val="left"/>
      <w:lvlText w:val="(%1)"/>
      <w:numFmt w:val="lowerRoman"/>
      <w:start w:val="1"/>
    </w:lvl>
  </w:abstractNum>
  <w:abstractNum w:abstractNumId="69">
    <w:nsid w:val="49D0FEAC"/>
    <w:multiLevelType w:val="hybridMultilevel"/>
    <w:lvl w:ilvl="0">
      <w:lvlJc w:val="left"/>
      <w:lvlText w:val="(%1)"/>
      <w:numFmt w:val="lowerLetter"/>
      <w:start w:val="1"/>
    </w:lvl>
  </w:abstractNum>
  <w:abstractNum w:abstractNumId="70">
    <w:nsid w:val="4BEE5A5B"/>
    <w:multiLevelType w:val="hybridMultilevel"/>
    <w:lvl w:ilvl="0">
      <w:lvlJc w:val="left"/>
      <w:lvlText w:val="(%1)"/>
      <w:numFmt w:val="lowerLetter"/>
      <w:start w:val="2"/>
    </w:lvl>
  </w:abstractNum>
  <w:abstractNum w:abstractNumId="71">
    <w:nsid w:val="5551B9F3"/>
    <w:multiLevelType w:val="hybridMultilevel"/>
    <w:lvl w:ilvl="0">
      <w:lvlJc w:val="left"/>
      <w:lvlText w:val="(%1)"/>
      <w:numFmt w:val="lowerRoman"/>
      <w:start w:val="1"/>
    </w:lvl>
  </w:abstractNum>
  <w:abstractNum w:abstractNumId="72">
    <w:nsid w:val="24F6AB8E"/>
    <w:multiLevelType w:val="hybridMultilevel"/>
    <w:lvl w:ilvl="0">
      <w:lvlJc w:val="left"/>
      <w:lvlText w:val="(%1)"/>
      <w:numFmt w:val="lowerLetter"/>
      <w:start w:val="1"/>
    </w:lvl>
    <w:lvl w:ilvl="1">
      <w:lvlJc w:val="left"/>
      <w:lvlText w:val="(%2)"/>
      <w:numFmt w:val="lowerLetter"/>
      <w:start w:val="9"/>
    </w:lvl>
  </w:abstractNum>
  <w:abstractNum w:abstractNumId="73">
    <w:nsid w:val="634C574C"/>
    <w:multiLevelType w:val="hybridMultilevel"/>
    <w:lvl w:ilvl="0">
      <w:lvlJc w:val="left"/>
      <w:lvlText w:val="(%1)"/>
      <w:numFmt w:val="lowerRoman"/>
      <w:start w:val="2"/>
    </w:lvl>
    <w:lvl w:ilvl="1">
      <w:lvlJc w:val="left"/>
      <w:lvlText w:val="(%2)"/>
      <w:numFmt w:val="upperLetter"/>
      <w:start w:val="1"/>
    </w:lvl>
  </w:abstractNum>
  <w:abstractNum w:abstractNumId="74">
    <w:nsid w:val="24E99DD7"/>
    <w:multiLevelType w:val="hybridMultilevel"/>
    <w:lvl w:ilvl="0">
      <w:lvlJc w:val="left"/>
      <w:lvlText w:val="%1"/>
      <w:numFmt w:val="lowerLetter"/>
      <w:start w:val="1"/>
    </w:lvl>
    <w:lvl w:ilvl="1">
      <w:lvlJc w:val="left"/>
      <w:lvlText w:val="(%2)"/>
      <w:numFmt w:val="lowerRoman"/>
      <w:start w:val="4"/>
    </w:lvl>
  </w:abstractNum>
  <w:abstractNum w:abstractNumId="75">
    <w:nsid w:val="2A31B62D"/>
    <w:multiLevelType w:val="hybridMultilevel"/>
    <w:lvl w:ilvl="0">
      <w:lvlJc w:val="left"/>
      <w:lvlText w:val="(%1)"/>
      <w:numFmt w:val="lowerLetter"/>
      <w:start w:val="2"/>
    </w:lvl>
    <w:lvl w:ilvl="1">
      <w:lvlJc w:val="left"/>
      <w:lvlText w:val="%2"/>
      <w:numFmt w:val="lowerRoman"/>
      <w:start w:val="1"/>
    </w:lvl>
  </w:abstractNum>
  <w:abstractNum w:abstractNumId="76">
    <w:nsid w:val="1849C29B"/>
    <w:multiLevelType w:val="hybridMultilevel"/>
    <w:lvl w:ilvl="0">
      <w:lvlJc w:val="left"/>
      <w:lvlText w:val="(%1)"/>
      <w:numFmt w:val="lowerLetter"/>
      <w:start w:val="1"/>
    </w:lvl>
  </w:abstractNum>
  <w:abstractNum w:abstractNumId="77">
    <w:nsid w:val="7DFF9D0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8">
    <w:nsid w:val="754342"/>
    <w:multiLevelType w:val="hybridMultilevel"/>
    <w:lvl w:ilvl="0">
      <w:lvlJc w:val="left"/>
      <w:lvlText w:val="(%1)"/>
      <w:numFmt w:val="lowerRoman"/>
      <w:start w:val="1"/>
    </w:lvl>
  </w:abstractNum>
  <w:abstractNum w:abstractNumId="79">
    <w:nsid w:val="69E7F3E5"/>
    <w:multiLevelType w:val="hybridMultilevel"/>
    <w:lvl w:ilvl="0">
      <w:lvlJc w:val="left"/>
      <w:lvlText w:val="%1"/>
      <w:numFmt w:val="lowerLetter"/>
      <w:start w:val="1"/>
    </w:lvl>
    <w:lvl w:ilvl="1">
      <w:lvlJc w:val="left"/>
      <w:lvlText w:val="(%2)"/>
      <w:numFmt w:val="lowerLetter"/>
      <w:start w:val="10"/>
    </w:lvl>
  </w:abstractNum>
  <w:abstractNum w:abstractNumId="80">
    <w:nsid w:val="2A6DE806"/>
    <w:multiLevelType w:val="hybridMultilevel"/>
    <w:lvl w:ilvl="0">
      <w:lvlJc w:val="left"/>
      <w:lvlText w:val="(%1)"/>
      <w:numFmt w:val="lowerLetter"/>
      <w:start w:val="1"/>
    </w:lvl>
    <w:lvl w:ilvl="1">
      <w:lvlJc w:val="left"/>
      <w:lvlText w:val="%2"/>
      <w:numFmt w:val="lowerLetter"/>
      <w:start w:val="1"/>
    </w:lvl>
  </w:abstractNum>
  <w:abstractNum w:abstractNumId="81">
    <w:nsid w:val="1816F8C4"/>
    <w:multiLevelType w:val="hybridMultilevel"/>
    <w:lvl w:ilvl="0">
      <w:lvlJc w:val="left"/>
      <w:lvlText w:val="(%1)"/>
      <w:numFmt w:val="lowerLetter"/>
      <w:start w:val="13"/>
    </w:lvl>
  </w:abstractNum>
  <w:abstractNum w:abstractNumId="82">
    <w:nsid w:val="37DF2233"/>
    <w:multiLevelType w:val="hybridMultilevel"/>
    <w:lvl w:ilvl="0">
      <w:lvlJc w:val="left"/>
      <w:lvlText w:val="(%1)"/>
      <w:numFmt w:val="lowerLetter"/>
      <w:start w:val="1"/>
    </w:lvl>
    <w:lvl w:ilvl="1">
      <w:lvlJc w:val="left"/>
      <w:lvlText w:val="(%2)"/>
      <w:numFmt w:val="lowerLetter"/>
      <w:start w:val="9"/>
    </w:lvl>
  </w:abstractNum>
  <w:abstractNum w:abstractNumId="83">
    <w:nsid w:val="7AB49DAF"/>
    <w:multiLevelType w:val="hybridMultilevel"/>
    <w:lvl w:ilvl="0">
      <w:lvlJc w:val="left"/>
      <w:lvlText w:val="(%1)"/>
      <w:numFmt w:val="lowerRoman"/>
      <w:start w:val="2"/>
    </w:lvl>
  </w:abstractNum>
  <w:abstractNum w:abstractNumId="84">
    <w:nsid w:val="759F82CD"/>
    <w:multiLevelType w:val="hybridMultilevel"/>
    <w:lvl w:ilvl="0">
      <w:lvlJc w:val="left"/>
      <w:lvlText w:val="(%1)"/>
      <w:numFmt w:val="lowerLetter"/>
      <w:start w:val="3"/>
    </w:lvl>
  </w:abstractNum>
  <w:abstractNum w:abstractNumId="85">
    <w:nsid w:val="61E74EA3"/>
    <w:multiLevelType w:val="hybridMultilevel"/>
    <w:lvl w:ilvl="0">
      <w:lvlJc w:val="left"/>
      <w:lvlText w:val="(%1)"/>
      <w:numFmt w:val="lowerLetter"/>
      <w:start w:val="1"/>
    </w:lvl>
    <w:lvl w:ilvl="1">
      <w:lvlJc w:val="left"/>
      <w:lvlText w:val="(%2)"/>
      <w:numFmt w:val="lowerRoman"/>
      <w:start w:val="1"/>
    </w:lvl>
  </w:abstractNum>
  <w:abstractNum w:abstractNumId="86">
    <w:nsid w:val="597B4D84"/>
    <w:multiLevelType w:val="hybridMultilevel"/>
    <w:lvl w:ilvl="0">
      <w:lvlJc w:val="left"/>
      <w:lvlText w:val="(%1)"/>
      <w:numFmt w:val="lowerRoman"/>
      <w:start w:val="3"/>
    </w:lvl>
  </w:abstractNum>
  <w:abstractNum w:abstractNumId="87">
    <w:nsid w:val="F819E7F"/>
    <w:multiLevelType w:val="hybridMultilevel"/>
    <w:lvl w:ilvl="0">
      <w:lvlJc w:val="left"/>
      <w:lvlText w:val="%1"/>
      <w:numFmt w:val="lowerLetter"/>
      <w:start w:val="1"/>
    </w:lvl>
    <w:lvl w:ilvl="1">
      <w:lvlJc w:val="left"/>
      <w:lvlText w:val="(%2)"/>
      <w:numFmt w:val="lowerLetter"/>
      <w:start w:val="1"/>
    </w:lvl>
  </w:abstractNum>
  <w:abstractNum w:abstractNumId="88">
    <w:nsid w:val="57C7D42D"/>
    <w:multiLevelType w:val="hybridMultilevel"/>
    <w:lvl w:ilvl="0">
      <w:lvlJc w:val="left"/>
      <w:lvlText w:val="(%1)"/>
      <w:numFmt w:val="lowerLetter"/>
      <w:start w:val="35"/>
    </w:lvl>
    <w:lvl w:ilvl="1">
      <w:lvlJc w:val="left"/>
      <w:lvlText w:val="(%2)"/>
      <w:numFmt w:val="lowerLetter"/>
      <w:start w:val="2"/>
    </w:lvl>
  </w:abstractNum>
  <w:abstractNum w:abstractNumId="89">
    <w:nsid w:val="312167AD"/>
    <w:multiLevelType w:val="hybridMultilevel"/>
    <w:lvl w:ilvl="0">
      <w:lvlJc w:val="left"/>
      <w:lvlText w:val="(%1)"/>
      <w:numFmt w:val="lowerLetter"/>
      <w:start w:val="1"/>
    </w:lvl>
  </w:abstractNum>
  <w:abstractNum w:abstractNumId="90">
    <w:nsid w:val="631B64D4"/>
    <w:multiLevelType w:val="hybridMultilevel"/>
    <w:lvl w:ilvl="0">
      <w:lvlJc w:val="left"/>
      <w:lvlText w:val="(%1)"/>
      <w:numFmt w:val="lowerRoman"/>
      <w:start w:val="4"/>
    </w:lvl>
    <w:lvl w:ilvl="1">
      <w:lvlJc w:val="left"/>
      <w:lvlText w:val="(%2)"/>
      <w:numFmt w:val="lowerLetter"/>
      <w:start w:val="2"/>
    </w:lvl>
  </w:abstractNum>
  <w:abstractNum w:abstractNumId="91">
    <w:nsid w:val="78B5E776"/>
    <w:multiLevelType w:val="hybridMultilevel"/>
    <w:lvl w:ilvl="0">
      <w:lvlJc w:val="left"/>
      <w:lvlText w:val="(%1)"/>
      <w:numFmt w:val="lowerLetter"/>
      <w:start w:val="1"/>
    </w:lvl>
  </w:abstractNum>
  <w:abstractNum w:abstractNumId="92">
    <w:nsid w:val="75486E47"/>
    <w:multiLevelType w:val="hybridMultilevel"/>
    <w:lvl w:ilvl="0">
      <w:lvlJc w:val="left"/>
      <w:lvlText w:val="%1"/>
      <w:numFmt w:val="lowerLetter"/>
      <w:start w:val="1"/>
    </w:lvl>
    <w:lvl w:ilvl="1">
      <w:lvlJc w:val="left"/>
      <w:lvlText w:val="(%2)"/>
      <w:numFmt w:val="lowerLetter"/>
      <w:start w:val="1"/>
    </w:lvl>
  </w:abstractNum>
  <w:abstractNum w:abstractNumId="93">
    <w:nsid w:val="6E534CDE"/>
    <w:multiLevelType w:val="hybridMultilevel"/>
    <w:lvl w:ilvl="0">
      <w:lvlJc w:val="left"/>
      <w:lvlText w:val="(%1)"/>
      <w:numFmt w:val="lowerLetter"/>
      <w:start w:val="35"/>
    </w:lvl>
    <w:lvl w:ilvl="1">
      <w:lvlJc w:val="left"/>
      <w:lvlText w:val="%2"/>
      <w:numFmt w:val="lowerLetter"/>
      <w:start w:val="1"/>
    </w:lvl>
  </w:abstractNum>
  <w:abstractNum w:abstractNumId="94">
    <w:nsid w:val="1A0DDE32"/>
    <w:multiLevelType w:val="hybridMultilevel"/>
    <w:lvl w:ilvl="0">
      <w:lvlJc w:val="left"/>
      <w:lvlText w:val="(%1)"/>
      <w:numFmt w:val="lowerLetter"/>
      <w:start w:val="2"/>
    </w:lvl>
  </w:abstractNum>
  <w:abstractNum w:abstractNumId="95">
    <w:nsid w:val="65968C1C"/>
    <w:multiLevelType w:val="hybridMultilevel"/>
    <w:lvl w:ilvl="0">
      <w:lvlJc w:val="left"/>
      <w:lvlText w:val="(%1)"/>
      <w:numFmt w:val="lowerLetter"/>
      <w:start w:val="3"/>
    </w:lvl>
  </w:abstractNum>
  <w:abstractNum w:abstractNumId="96">
    <w:nsid w:val="46263DEC"/>
    <w:multiLevelType w:val="hybridMultilevel"/>
    <w:lvl w:ilvl="0">
      <w:lvlJc w:val="left"/>
      <w:lvlText w:val="(%1)"/>
      <w:numFmt w:val="lowerLetter"/>
      <w:start w:val="1"/>
    </w:lvl>
  </w:abstractNum>
  <w:abstractNum w:abstractNumId="97">
    <w:nsid w:val="260D8C4A"/>
    <w:multiLevelType w:val="hybridMultilevel"/>
    <w:lvl w:ilvl="0">
      <w:lvlJc w:val="left"/>
      <w:lvlText w:val="(%1)"/>
      <w:numFmt w:val="lowerLetter"/>
      <w:start w:val="1"/>
    </w:lvl>
  </w:abstractNum>
  <w:abstractNum w:abstractNumId="98">
    <w:nsid w:val="73D4D3C4"/>
    <w:multiLevelType w:val="hybridMultilevel"/>
    <w:lvl w:ilvl="0">
      <w:lvlJc w:val="left"/>
      <w:lvlText w:val="%1"/>
      <w:numFmt w:val="lowerLetter"/>
      <w:start w:val="1"/>
    </w:lvl>
    <w:lvl w:ilvl="1">
      <w:lvlJc w:val="left"/>
      <w:lvlText w:val="(%2)"/>
      <w:numFmt w:val="lowerLetter"/>
      <w:start w:val="4"/>
    </w:lvl>
  </w:abstractNum>
  <w:abstractNum w:abstractNumId="99">
    <w:nsid w:val="746F2E30"/>
    <w:multiLevelType w:val="hybridMultilevel"/>
    <w:lvl w:ilvl="0">
      <w:lvlJc w:val="left"/>
      <w:lvlText w:val="(%1)"/>
      <w:numFmt w:val="lowerLetter"/>
      <w:start w:val="9"/>
    </w:lvl>
    <w:lvl w:ilvl="1">
      <w:lvlJc w:val="left"/>
      <w:lvlText w:val="(%2)"/>
      <w:numFmt w:val="lowerLetter"/>
      <w:start w:val="9"/>
    </w:lvl>
  </w:abstractNum>
  <w:abstractNum w:abstractNumId="100">
    <w:nsid w:val="6FDE8AF6"/>
    <w:multiLevelType w:val="hybridMultilevel"/>
    <w:lvl w:ilvl="0">
      <w:lvlJc w:val="left"/>
      <w:lvlText w:val="%1"/>
      <w:numFmt w:val="lowerLetter"/>
      <w:start w:val="1"/>
    </w:lvl>
    <w:lvl w:ilvl="1">
      <w:lvlJc w:val="left"/>
      <w:lvlText w:val="(%2)"/>
      <w:numFmt w:val="lowerLetter"/>
      <w:start w:val="1"/>
    </w:lvl>
  </w:abstractNum>
  <w:abstractNum w:abstractNumId="101">
    <w:nsid w:val="3FC32E20"/>
    <w:multiLevelType w:val="hybridMultilevel"/>
    <w:lvl w:ilvl="0">
      <w:lvlJc w:val="left"/>
      <w:lvlText w:val="(%1)"/>
      <w:numFmt w:val="lowerLetter"/>
      <w:start w:val="1"/>
    </w:lvl>
    <w:lvl w:ilvl="1">
      <w:lvlJc w:val="left"/>
      <w:lvlText w:val="%2"/>
      <w:numFmt w:val="lowerLetter"/>
      <w:start w:val="1"/>
    </w:lvl>
  </w:abstractNum>
  <w:abstractNum w:abstractNumId="102">
    <w:nsid w:val="49C0E823"/>
    <w:multiLevelType w:val="hybridMultilevel"/>
    <w:lvl w:ilvl="0">
      <w:lvlJc w:val="left"/>
      <w:lvlText w:val="(%1)"/>
      <w:numFmt w:val="lowerLetter"/>
      <w:start w:val="2"/>
    </w:lvl>
  </w:abstractNum>
  <w:abstractNum w:abstractNumId="103">
    <w:nsid w:val="14D53685"/>
    <w:multiLevelType w:val="hybridMultilevel"/>
    <w:lvl w:ilvl="0">
      <w:lvlJc w:val="left"/>
      <w:lvlText w:val="(%1)"/>
      <w:numFmt w:val="lowerLetter"/>
      <w:start w:val="1"/>
    </w:lvl>
  </w:abstractNum>
  <w:abstractNum w:abstractNumId="104">
    <w:nsid w:val="230F856C"/>
    <w:multiLevelType w:val="hybridMultilevel"/>
    <w:lvl w:ilvl="0">
      <w:lvlJc w:val="left"/>
      <w:lvlText w:val="(%1)"/>
      <w:numFmt w:val="lowerLetter"/>
      <w:start w:val="1"/>
    </w:lvl>
  </w:abstractNum>
  <w:abstractNum w:abstractNumId="105">
    <w:nsid w:val="6EAA85FB"/>
    <w:multiLevelType w:val="hybridMultilevel"/>
    <w:lvl w:ilvl="0">
      <w:lvlJc w:val="left"/>
      <w:lvlText w:val="(%1)"/>
      <w:numFmt w:val="lowerLetter"/>
      <w:start w:val="1"/>
    </w:lvl>
    <w:lvl w:ilvl="1">
      <w:lvlJc w:val="left"/>
      <w:lvlText w:val="(%2)"/>
      <w:numFmt w:val="lowerRoman"/>
      <w:start w:val="1"/>
    </w:lvl>
  </w:abstractNum>
  <w:abstractNum w:abstractNumId="106">
    <w:nsid w:val="3F06ECB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7">
    <w:nsid w:val="3B594807"/>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108">
    <w:nsid w:val="6CAA2304"/>
    <w:multiLevelType w:val="hybridMultilevel"/>
    <w:lvl w:ilvl="0">
      <w:lvlJc w:val="left"/>
      <w:lvlText w:val="(%1)"/>
      <w:numFmt w:val="lowerLetter"/>
      <w:start w:val="10"/>
    </w:lvl>
    <w:lvl w:ilvl="1">
      <w:lvlJc w:val="left"/>
      <w:lvlText w:val="(%2)"/>
      <w:numFmt w:val="lowerRoman"/>
      <w:start w:val="1"/>
    </w:lvl>
  </w:abstractNum>
  <w:abstractNum w:abstractNumId="109">
    <w:nsid w:val="3F7C2FF4"/>
    <w:multiLevelType w:val="hybridMultilevel"/>
    <w:lvl w:ilvl="0">
      <w:lvlJc w:val="left"/>
      <w:lvlText w:val="%1"/>
      <w:numFmt w:val="lowerLetter"/>
      <w:start w:val="1"/>
    </w:lvl>
    <w:lvl w:ilvl="1">
      <w:lvlJc w:val="left"/>
      <w:lvlText w:val="(%2)"/>
      <w:numFmt w:val="lowerLetter"/>
      <w:start w:val="1"/>
    </w:lvl>
  </w:abstractNum>
  <w:abstractNum w:abstractNumId="110">
    <w:nsid w:val="25413BEC"/>
    <w:multiLevelType w:val="hybridMultilevel"/>
    <w:lvl w:ilvl="0">
      <w:lvlJc w:val="left"/>
      <w:lvlText w:val="(%1)"/>
      <w:numFmt w:val="lowerLetter"/>
      <w:start w:val="35"/>
    </w:lvl>
    <w:lvl w:ilvl="1">
      <w:lvlJc w:val="left"/>
      <w:lvlText w:val="%2"/>
      <w:numFmt w:val="lowerLetter"/>
      <w:start w:val="1"/>
    </w:lvl>
  </w:abstractNum>
  <w:abstractNum w:abstractNumId="111">
    <w:nsid w:val="17180B0B"/>
    <w:multiLevelType w:val="hybridMultilevel"/>
    <w:lvl w:ilvl="0">
      <w:lvlJc w:val="left"/>
      <w:lvlText w:val="(%1)"/>
      <w:numFmt w:val="lowerLetter"/>
      <w:start w:val="5"/>
    </w:lvl>
  </w:abstractNum>
  <w:abstractNum w:abstractNumId="112">
    <w:nsid w:val="579328B9"/>
    <w:multiLevelType w:val="hybridMultilevel"/>
    <w:lvl w:ilvl="0">
      <w:lvlJc w:val="left"/>
      <w:lvlText w:val="(%1)"/>
      <w:numFmt w:val="lowerLetter"/>
      <w:start w:val="1"/>
    </w:lvl>
  </w:abstractNum>
  <w:abstractNum w:abstractNumId="113">
    <w:nsid w:val="5D205E20"/>
    <w:multiLevelType w:val="hybridMultilevel"/>
    <w:lvl w:ilvl="0">
      <w:lvlJc w:val="left"/>
      <w:lvlText w:val="(%1)"/>
      <w:numFmt w:val="lowerLetter"/>
      <w:start w:val="1"/>
    </w:lvl>
  </w:abstractNum>
  <w:abstractNum w:abstractNumId="114">
    <w:nsid w:val="11CCA8BA"/>
    <w:multiLevelType w:val="hybridMultilevel"/>
    <w:lvl w:ilvl="0">
      <w:lvlJc w:val="left"/>
      <w:lvlText w:val="(%1)"/>
      <w:numFmt w:val="lowerLetter"/>
      <w:start w:val="5"/>
    </w:lvl>
  </w:abstractNum>
  <w:abstractNum w:abstractNumId="115">
    <w:nsid w:val="4D32AB86"/>
    <w:multiLevelType w:val="hybridMultilevel"/>
    <w:lvl w:ilvl="0">
      <w:lvlJc w:val="left"/>
      <w:lvlText w:val="%1"/>
      <w:numFmt w:val="lowerLetter"/>
      <w:start w:val="1"/>
    </w:lvl>
    <w:lvl w:ilvl="1">
      <w:lvlJc w:val="left"/>
      <w:lvlText w:val="(%2)"/>
      <w:numFmt w:val="lowerLetter"/>
      <w:start w:val="1"/>
    </w:lvl>
  </w:abstractNum>
  <w:abstractNum w:abstractNumId="116">
    <w:nsid w:val="3F07ACC3"/>
    <w:multiLevelType w:val="hybridMultilevel"/>
    <w:lvl w:ilvl="0">
      <w:lvlJc w:val="left"/>
      <w:lvlText w:val="(%1)"/>
      <w:numFmt w:val="lowerLetter"/>
      <w:start w:val="35"/>
    </w:lvl>
    <w:lvl w:ilvl="1">
      <w:lvlJc w:val="left"/>
      <w:lvlText w:val="(%2)"/>
      <w:numFmt w:val="lowerLetter"/>
      <w:start w:val="5"/>
    </w:lvl>
  </w:abstractNum>
  <w:abstractNum w:abstractNumId="117">
    <w:nsid w:val="6B47F63E"/>
    <w:multiLevelType w:val="hybridMultilevel"/>
    <w:lvl w:ilvl="0">
      <w:lvlJc w:val="left"/>
      <w:lvlText w:val="(%1)"/>
      <w:numFmt w:val="lowerLetter"/>
      <w:start w:val="6"/>
    </w:lvl>
  </w:abstractNum>
  <w:abstractNum w:abstractNumId="118">
    <w:nsid w:val="5CB44A05"/>
    <w:multiLevelType w:val="hybridMultilevel"/>
    <w:lvl w:ilvl="0">
      <w:lvlJc w:val="left"/>
      <w:lvlText w:val="(%1)"/>
      <w:numFmt w:val="lowerLetter"/>
      <w:start w:val="1"/>
    </w:lvl>
  </w:abstractNum>
  <w:abstractNum w:abstractNumId="119">
    <w:nsid w:val="16CF80F1"/>
    <w:multiLevelType w:val="hybridMultilevel"/>
    <w:lvl w:ilvl="0">
      <w:lvlJc w:val="left"/>
      <w:lvlText w:val="(%1)"/>
      <w:numFmt w:val="lowerRoman"/>
      <w:start w:val="2"/>
    </w:lvl>
  </w:abstractNum>
  <w:abstractNum w:abstractNumId="120">
    <w:nsid w:val="1C695DEC"/>
    <w:multiLevelType w:val="hybridMultilevel"/>
    <w:lvl w:ilvl="0">
      <w:lvlJc w:val="left"/>
      <w:lvlText w:val="(%1)"/>
      <w:numFmt w:val="lowerLetter"/>
      <w:start w:val="1"/>
    </w:lvl>
  </w:abstractNum>
  <w:abstractNum w:abstractNumId="121">
    <w:nsid w:val="3FCFAED9"/>
    <w:multiLevelType w:val="hybridMultilevel"/>
    <w:lvl w:ilvl="0">
      <w:lvlJc w:val="left"/>
      <w:lvlText w:val="(%1)"/>
      <w:numFmt w:val="lowerLetter"/>
      <w:start w:val="3"/>
    </w:lvl>
  </w:abstractNum>
  <w:abstractNum w:abstractNumId="122">
    <w:nsid w:val="F856867"/>
    <w:multiLevelType w:val="hybridMultilevel"/>
    <w:lvl w:ilvl="0">
      <w:lvlJc w:val="left"/>
      <w:lvlText w:val="(%1)"/>
      <w:numFmt w:val="lowerLetter"/>
      <w:start w:val="5"/>
    </w:lvl>
  </w:abstractNum>
  <w:abstractNum w:abstractNumId="123">
    <w:nsid w:val="11B1CC33"/>
    <w:multiLevelType w:val="hybridMultilevel"/>
    <w:lvl w:ilvl="0">
      <w:lvlJc w:val="left"/>
      <w:lvlText w:val="(%1)"/>
      <w:numFmt w:val="lowerLetter"/>
      <w:start w:val="1"/>
    </w:lvl>
  </w:abstractNum>
  <w:abstractNum w:abstractNumId="124">
    <w:nsid w:val="2E22FBB7"/>
    <w:multiLevelType w:val="hybridMultilevel"/>
    <w:lvl w:ilvl="0">
      <w:lvlJc w:val="left"/>
      <w:lvlText w:val="(%1)"/>
      <w:numFmt w:val="lowerLetter"/>
      <w:start w:val="2"/>
    </w:lvl>
  </w:abstractNum>
  <w:abstractNum w:abstractNumId="125">
    <w:nsid w:val="29934699"/>
    <w:multiLevelType w:val="hybridMultilevel"/>
    <w:lvl w:ilvl="0">
      <w:lvlJc w:val="left"/>
      <w:lvlText w:val="(%1)"/>
      <w:numFmt w:val="lowerLetter"/>
      <w:start w:val="1"/>
    </w:lvl>
  </w:abstractNum>
  <w:abstractNum w:abstractNumId="126">
    <w:nsid w:val="77485850"/>
    <w:multiLevelType w:val="hybridMultilevel"/>
    <w:lvl w:ilvl="0">
      <w:lvlJc w:val="left"/>
      <w:lvlText w:val="(%1)"/>
      <w:numFmt w:val="lowerLetter"/>
      <w:start w:val="4"/>
    </w:lvl>
  </w:abstractNum>
  <w:abstractNum w:abstractNumId="127">
    <w:nsid w:val="744939A3"/>
    <w:multiLevelType w:val="hybridMultilevel"/>
    <w:lvl w:ilvl="0">
      <w:lvlJc w:val="left"/>
      <w:lvlText w:val="(%1)"/>
      <w:numFmt w:val="lowerLetter"/>
      <w:start w:val="15"/>
    </w:lvl>
  </w:abstractNum>
  <w:abstractNum w:abstractNumId="128">
    <w:nsid w:val="4FA0D2E3"/>
    <w:multiLevelType w:val="hybridMultilevel"/>
    <w:lvl w:ilvl="0">
      <w:lvlJc w:val="left"/>
      <w:lvlText w:val="(%1)"/>
      <w:numFmt w:val="lowerLetter"/>
      <w:start w:val="1"/>
    </w:lvl>
  </w:abstractNum>
  <w:abstractNum w:abstractNumId="129">
    <w:nsid w:val="6B1D2C14"/>
    <w:multiLevelType w:val="hybridMultilevel"/>
    <w:lvl w:ilvl="0">
      <w:lvlJc w:val="left"/>
      <w:lvlText w:val="%1"/>
      <w:numFmt w:val="lowerLetter"/>
      <w:start w:val="1"/>
    </w:lvl>
    <w:lvl w:ilvl="1">
      <w:lvlJc w:val="left"/>
      <w:lvlText w:val="(%2)"/>
      <w:numFmt w:val="lowerLetter"/>
      <w:start w:val="11"/>
    </w:lvl>
  </w:abstractNum>
  <w:abstractNum w:abstractNumId="130">
    <w:nsid w:val="68B867D3"/>
    <w:multiLevelType w:val="hybridMultilevel"/>
    <w:lvl w:ilvl="0">
      <w:lvlJc w:val="left"/>
      <w:lvlText w:val="(%1)"/>
      <w:numFmt w:val="lowerLetter"/>
      <w:start w:val="35"/>
    </w:lvl>
    <w:lvl w:ilvl="1">
      <w:lvlJc w:val="left"/>
      <w:lvlText w:val="(%2)"/>
      <w:numFmt w:val="lowerLetter"/>
      <w:start w:val="13"/>
    </w:lvl>
  </w:abstractNum>
  <w:abstractNum w:abstractNumId="131">
    <w:nsid w:val="3F7F5DD9"/>
    <w:multiLevelType w:val="hybridMultilevel"/>
    <w:lvl w:ilvl="0">
      <w:lvlJc w:val="left"/>
      <w:lvlText w:val="%1"/>
      <w:numFmt w:val="upperLetter"/>
      <w:start w:val="1"/>
    </w:lvl>
    <w:lvl w:ilvl="1">
      <w:lvlJc w:val="left"/>
      <w:lvlText w:val="(%2)"/>
      <w:numFmt w:val="lowerLetter"/>
      <w:start w:val="1"/>
    </w:lvl>
  </w:abstractNum>
  <w:abstractNum w:abstractNumId="132">
    <w:nsid w:val="2AE05A34"/>
    <w:multiLevelType w:val="hybridMultilevel"/>
    <w:lvl w:ilvl="0">
      <w:lvlJc w:val="left"/>
      <w:lvlText w:val="(%1)"/>
      <w:numFmt w:val="upperLetter"/>
      <w:start w:val="1"/>
    </w:lvl>
    <w:lvl w:ilvl="1">
      <w:lvlJc w:val="left"/>
      <w:lvlText w:val="(%2)"/>
      <w:numFmt w:val="lowerLetter"/>
      <w:start w:val="3"/>
    </w:lvl>
  </w:abstractNum>
  <w:abstractNum w:abstractNumId="133">
    <w:nsid w:val="32794FF7"/>
    <w:multiLevelType w:val="hybridMultilevel"/>
    <w:lvl w:ilvl="0">
      <w:lvlJc w:val="left"/>
      <w:lvlText w:val="%1"/>
      <w:numFmt w:val="lowerLetter"/>
      <w:start w:val="1"/>
    </w:lvl>
    <w:lvl w:ilvl="1">
      <w:lvlJc w:val="left"/>
      <w:lvlText w:val="(%2)"/>
      <w:numFmt w:val="lowerLetter"/>
      <w:start w:val="1"/>
    </w:lvl>
  </w:abstractNum>
  <w:abstractNum w:abstractNumId="134">
    <w:nsid w:val="5454945E"/>
    <w:multiLevelType w:val="hybridMultilevel"/>
    <w:lvl w:ilvl="0">
      <w:lvlJc w:val="left"/>
      <w:lvlText w:val="(%1)"/>
      <w:numFmt w:val="lowerLetter"/>
      <w:start w:val="35"/>
    </w:lvl>
    <w:lvl w:ilvl="1">
      <w:lvlJc w:val="left"/>
      <w:lvlText w:val="%2"/>
      <w:numFmt w:val="lowerLetter"/>
      <w:start w:val="1"/>
    </w:lvl>
  </w:abstractNum>
  <w:abstractNum w:abstractNumId="135">
    <w:nsid w:val="4DEFDFA0"/>
    <w:multiLevelType w:val="hybridMultilevel"/>
    <w:lvl w:ilvl="0">
      <w:lvlJc w:val="left"/>
      <w:lvlText w:val="(%1)"/>
      <w:numFmt w:val="lowerLetter"/>
      <w:start w:val="5"/>
    </w:lvl>
  </w:abstractNum>
  <w:abstractNum w:abstractNumId="136">
    <w:nsid w:val="2123D5F2"/>
    <w:multiLevelType w:val="hybridMultilevel"/>
    <w:lvl w:ilvl="0">
      <w:lvlJc w:val="left"/>
      <w:lvlText w:val="(%1)"/>
      <w:numFmt w:val="lowerLetter"/>
      <w:start w:val="10"/>
    </w:lvl>
  </w:abstractNum>
  <w:abstractNum w:abstractNumId="137">
    <w:nsid w:val="135B8110"/>
    <w:multiLevelType w:val="hybridMultilevel"/>
    <w:lvl w:ilvl="0">
      <w:lvlJc w:val="left"/>
      <w:lvlText w:val="(%1)"/>
      <w:numFmt w:val="lowerLetter"/>
      <w:start w:val="25"/>
    </w:lvl>
  </w:abstractNum>
  <w:abstractNum w:abstractNumId="138">
    <w:nsid w:val="94927A8"/>
    <w:multiLevelType w:val="hybridMultilevel"/>
    <w:lvl w:ilvl="0">
      <w:lvlJc w:val="left"/>
      <w:lvlText w:val="(%1)"/>
      <w:numFmt w:val="lowerLetter"/>
      <w:start w:val="1"/>
    </w:lvl>
  </w:abstractNum>
  <w:abstractNum w:abstractNumId="139">
    <w:nsid w:val="DCDF8F6"/>
    <w:multiLevelType w:val="hybridMultilevel"/>
    <w:lvl w:ilvl="0">
      <w:lvlJc w:val="left"/>
      <w:lvlText w:val="(%1)"/>
      <w:numFmt w:val="lowerLetter"/>
      <w:start w:val="4"/>
    </w:lvl>
  </w:abstractNum>
  <w:abstractNum w:abstractNumId="140">
    <w:nsid w:val="52D7B105"/>
    <w:multiLevelType w:val="hybridMultilevel"/>
    <w:lvl w:ilvl="0">
      <w:lvlJc w:val="left"/>
      <w:lvlText w:val="%1"/>
      <w:numFmt w:val="upperLetter"/>
      <w:start w:val="1"/>
    </w:lvl>
    <w:lvl w:ilvl="1">
      <w:lvlJc w:val="left"/>
      <w:lvlText w:val="(%2)"/>
      <w:numFmt w:val="lowerLetter"/>
      <w:start w:val="1"/>
    </w:lvl>
  </w:abstractNum>
  <w:abstractNum w:abstractNumId="141">
    <w:nsid w:val="2E8A6394"/>
    <w:multiLevelType w:val="hybridMultilevel"/>
    <w:lvl w:ilvl="0">
      <w:lvlJc w:val="left"/>
      <w:lvlText w:val="(%1)"/>
      <w:numFmt w:val="upperLetter"/>
      <w:start w:val="1"/>
    </w:lvl>
    <w:lvl w:ilvl="1">
      <w:lvlJc w:val="left"/>
      <w:lvlText w:val="(%2)"/>
      <w:numFmt w:val="lowerLetter"/>
      <w:start w:val="7"/>
    </w:lvl>
  </w:abstractNum>
  <w:abstractNum w:abstractNumId="142">
    <w:nsid w:val="24E60401"/>
    <w:multiLevelType w:val="hybridMultilevel"/>
    <w:lvl w:ilvl="0">
      <w:lvlJc w:val="left"/>
      <w:lvlText w:val="(%1)"/>
      <w:numFmt w:val="lowerLetter"/>
      <w:start w:val="10"/>
    </w:lvl>
    <w:lvl w:ilvl="1">
      <w:lvlJc w:val="left"/>
      <w:lvlText w:val="(%2)"/>
      <w:numFmt w:val="lowerRoman"/>
      <w:start w:val="1"/>
    </w:lvl>
  </w:abstractNum>
  <w:abstractNum w:abstractNumId="143">
    <w:nsid w:val="2A6AD9BE"/>
    <w:multiLevelType w:val="hybridMultilevel"/>
    <w:lvl w:ilvl="0">
      <w:lvlJc w:val="left"/>
      <w:lvlText w:val="(%1)"/>
      <w:numFmt w:val="lowerRoman"/>
      <w:start w:val="6"/>
    </w:lvl>
  </w:abstractNum>
  <w:abstractNum w:abstractNumId="144">
    <w:nsid w:val="BAAC1B4"/>
    <w:multiLevelType w:val="hybridMultilevel"/>
    <w:lvl w:ilvl="0">
      <w:lvlJc w:val="left"/>
      <w:lvlText w:val="(%1)"/>
      <w:numFmt w:val="lowerRoman"/>
      <w:start w:val="9"/>
    </w:lvl>
  </w:abstractNum>
  <w:abstractNum w:abstractNumId="145">
    <w:nsid w:val="36B2ACBC"/>
    <w:multiLevelType w:val="hybridMultilevel"/>
    <w:lvl w:ilvl="0">
      <w:lvlJc w:val="left"/>
      <w:lvlText w:val="(%1)"/>
      <w:numFmt w:val="lowerLetter"/>
      <w:start w:val="1"/>
    </w:lvl>
  </w:abstractNum>
  <w:abstractNum w:abstractNumId="146">
    <w:nsid w:val="779D8544"/>
    <w:multiLevelType w:val="hybridMultilevel"/>
    <w:lvl w:ilvl="0">
      <w:lvlJc w:val="left"/>
      <w:lvlText w:val="(%1)"/>
      <w:numFmt w:val="lowerLetter"/>
      <w:start w:val="1"/>
    </w:lvl>
  </w:abstractNum>
  <w:abstractNum w:abstractNumId="147">
    <w:nsid w:val="4AB26E78"/>
    <w:multiLevelType w:val="hybridMultilevel"/>
    <w:lvl w:ilvl="0">
      <w:lvlJc w:val="left"/>
      <w:lvlText w:val="%1"/>
      <w:numFmt w:val="lowerLetter"/>
      <w:start w:val="1"/>
    </w:lvl>
    <w:lvl w:ilvl="1">
      <w:lvlJc w:val="left"/>
      <w:lvlText w:val="(%2)"/>
      <w:numFmt w:val="lowerLetter"/>
      <w:start w:val="2"/>
    </w:lvl>
  </w:abstractNum>
  <w:abstractNum w:abstractNumId="148">
    <w:nsid w:val="21FAA2FA"/>
    <w:multiLevelType w:val="hybridMultilevel"/>
    <w:lvl w:ilvl="0">
      <w:lvlJc w:val="left"/>
      <w:lvlText w:val="(%1)"/>
      <w:numFmt w:val="lowerLetter"/>
      <w:start w:val="35"/>
    </w:lvl>
    <w:lvl w:ilvl="1">
      <w:lvlJc w:val="left"/>
      <w:lvlText w:val="(%2)"/>
      <w:numFmt w:val="lowerLetter"/>
      <w:start w:val="3"/>
    </w:lvl>
  </w:abstractNum>
  <w:abstractNum w:abstractNumId="149">
    <w:nsid w:val="5451CF49"/>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1"/>
    </w:lvl>
  </w:abstractNum>
  <w:abstractNum w:abstractNumId="150">
    <w:nsid w:val="6181EF69"/>
    <w:multiLevelType w:val="hybridMultilevel"/>
    <w:lvl w:ilvl="0">
      <w:lvlJc w:val="left"/>
      <w:lvlText w:val="(%1)"/>
      <w:numFmt w:val="lowerRoman"/>
      <w:start w:val="10"/>
    </w:lvl>
    <w:lvl w:ilvl="1">
      <w:lvlJc w:val="left"/>
      <w:lvlText w:val="%2"/>
      <w:numFmt w:val="lowerLetter"/>
      <w:start w:val="1"/>
    </w:lvl>
    <w:lvl w:ilvl="2">
      <w:lvlJc w:val="left"/>
      <w:lvlText w:val="%3"/>
      <w:numFmt w:val="lowerLetter"/>
      <w:start w:val="1"/>
    </w:lvl>
  </w:abstractNum>
  <w:abstractNum w:abstractNumId="151">
    <w:nsid w:val="3E6400E6"/>
    <w:multiLevelType w:val="hybridMultilevel"/>
    <w:lvl w:ilvl="0">
      <w:lvlJc w:val="left"/>
      <w:lvlText w:val="(%1)"/>
      <w:numFmt w:val="lowerRoman"/>
      <w:start w:val="3"/>
    </w:lvl>
    <w:lvl w:ilvl="1">
      <w:lvlJc w:val="left"/>
      <w:lvlText w:val="(%2)"/>
      <w:numFmt w:val="lowerLetter"/>
      <w:start w:val="7"/>
    </w:lvl>
    <w:lvl w:ilvl="2">
      <w:lvlJc w:val="left"/>
      <w:lvlText w:val="(%3)"/>
      <w:numFmt w:val="lowerLetter"/>
      <w:start w:val="35"/>
    </w:lvl>
  </w:abstractNum>
  <w:abstractNum w:abstractNumId="152">
    <w:nsid w:val="14217E23"/>
    <w:multiLevelType w:val="hybridMultilevel"/>
    <w:lvl w:ilvl="0">
      <w:lvlJc w:val="left"/>
      <w:lvlText w:val="(%1)"/>
      <w:numFmt w:val="lowerLetter"/>
      <w:start w:val="13"/>
    </w:lvl>
  </w:abstractNum>
  <w:abstractNum w:abstractNumId="153">
    <w:nsid w:val="710757D0"/>
    <w:multiLevelType w:val="hybridMultilevel"/>
    <w:lvl w:ilvl="0">
      <w:lvlJc w:val="left"/>
      <w:lvlText w:val="(%1)"/>
      <w:numFmt w:val="lowerLetter"/>
      <w:start w:val="1"/>
    </w:lvl>
  </w:abstractNum>
  <w:abstractNum w:abstractNumId="154">
    <w:nsid w:val="5015CD1A"/>
    <w:multiLevelType w:val="hybridMultilevel"/>
    <w:lvl w:ilvl="0">
      <w:lvlJc w:val="left"/>
      <w:lvlText w:val="(%1)"/>
      <w:numFmt w:val="lowerLetter"/>
      <w:start w:val="25"/>
    </w:lvl>
    <w:lvl w:ilvl="1">
      <w:lvlJc w:val="left"/>
      <w:lvlText w:val="(%2)"/>
      <w:numFmt w:val="lowerLetter"/>
      <w:start w:val="3"/>
    </w:lvl>
  </w:abstractNum>
  <w:abstractNum w:abstractNumId="155">
    <w:nsid w:val="424479DA"/>
    <w:multiLevelType w:val="hybridMultilevel"/>
    <w:lvl w:ilvl="0">
      <w:lvlJc w:val="left"/>
      <w:lvlText w:val="(%1)"/>
      <w:numFmt w:val="lowerLetter"/>
      <w:start w:val="1"/>
    </w:lvl>
  </w:abstractNum>
  <w:abstractNum w:abstractNumId="156">
    <w:nsid w:val="1A9A9E69"/>
    <w:multiLevelType w:val="hybridMultilevel"/>
    <w:lvl w:ilvl="0">
      <w:lvlJc w:val="left"/>
      <w:lvlText w:val="(%1)"/>
      <w:numFmt w:val="lowerLetter"/>
      <w:start w:val="2"/>
    </w:lvl>
  </w:abstractNum>
  <w:abstractNum w:abstractNumId="157">
    <w:nsid w:val="475E256A"/>
    <w:multiLevelType w:val="hybridMultilevel"/>
    <w:lvl w:ilvl="0">
      <w:lvlJc w:val="left"/>
      <w:lvlText w:val="(%1)"/>
      <w:numFmt w:val="lowerLetter"/>
      <w:start w:val="1"/>
    </w:lvl>
  </w:abstractNum>
  <w:abstractNum w:abstractNumId="158">
    <w:nsid w:val="368DB37E"/>
    <w:multiLevelType w:val="hybridMultilevel"/>
    <w:lvl w:ilvl="0">
      <w:lvlJc w:val="left"/>
      <w:lvlText w:val="(%1)"/>
      <w:numFmt w:val="lowerLetter"/>
      <w:start w:val="1"/>
    </w:lvl>
  </w:abstractNum>
  <w:abstractNum w:abstractNumId="159">
    <w:nsid w:val="6A3B714C"/>
    <w:multiLevelType w:val="hybridMultilevel"/>
    <w:lvl w:ilvl="0">
      <w:lvlJc w:val="left"/>
      <w:lvlText w:val="(%1)"/>
      <w:numFmt w:val="lowerLetter"/>
      <w:start w:val="1"/>
    </w:lvl>
    <w:lvl w:ilvl="1">
      <w:lvlJc w:val="left"/>
      <w:lvlText w:val="(%2)"/>
      <w:numFmt w:val="lowerRoman"/>
      <w:start w:val="1"/>
    </w:lvl>
  </w:abstractNum>
  <w:abstractNum w:abstractNumId="160">
    <w:nsid w:val="327B517E"/>
    <w:multiLevelType w:val="hybridMultilevel"/>
    <w:lvl w:ilvl="0">
      <w:lvlJc w:val="left"/>
      <w:lvlText w:val="(%1)"/>
      <w:numFmt w:val="lowerLetter"/>
      <w:start w:val="2"/>
    </w:lvl>
  </w:abstractNum>
  <w:abstractNum w:abstractNumId="161">
    <w:nsid w:val="1F461B51"/>
    <w:multiLevelType w:val="hybridMultilevel"/>
    <w:lvl w:ilvl="0">
      <w:lvlJc w:val="left"/>
      <w:lvlText w:val="(%1)"/>
      <w:numFmt w:val="lowerLetter"/>
      <w:start w:val="3"/>
    </w:lvl>
  </w:abstractNum>
  <w:abstractNum w:abstractNumId="162">
    <w:nsid w:val="29BACF25"/>
    <w:multiLevelType w:val="hybridMultilevel"/>
    <w:lvl w:ilvl="0">
      <w:lvlJc w:val="left"/>
      <w:lvlText w:val="(%1)"/>
      <w:numFmt w:val="lowerLetter"/>
      <w:start w:val="1"/>
    </w:lvl>
  </w:abstractNum>
  <w:abstractNum w:abstractNumId="163">
    <w:nsid w:val="5D5BABB3"/>
    <w:multiLevelType w:val="hybridMultilevel"/>
    <w:lvl w:ilvl="0">
      <w:lvlJc w:val="left"/>
      <w:lvlText w:val="(%1)"/>
      <w:numFmt w:val="lowerLetter"/>
      <w:start w:val="1"/>
    </w:lvl>
    <w:lvl w:ilvl="1">
      <w:lvlJc w:val="left"/>
      <w:lvlText w:val="(%2)"/>
      <w:numFmt w:val="lowerRoman"/>
      <w:start w:val="1"/>
    </w:lvl>
  </w:abstractNum>
  <w:abstractNum w:abstractNumId="164">
    <w:nsid w:val="51BF6B48"/>
    <w:multiLevelType w:val="hybridMultilevel"/>
    <w:lvl w:ilvl="0">
      <w:lvlJc w:val="left"/>
      <w:lvlText w:val="(%1)"/>
      <w:numFmt w:val="upperLetter"/>
      <w:start w:val="4"/>
    </w:lvl>
    <w:lvl w:ilvl="1">
      <w:lvlJc w:val="left"/>
      <w:lvlText w:val="(%2)"/>
      <w:numFmt w:val="lowerRoman"/>
      <w:start w:val="4"/>
    </w:lvl>
  </w:abstractNum>
  <w:abstractNum w:abstractNumId="165">
    <w:nsid w:val="7E0F6384"/>
    <w:multiLevelType w:val="hybridMultilevel"/>
    <w:lvl w:ilvl="0">
      <w:lvlJc w:val="left"/>
      <w:lvlText w:val="(%1)"/>
      <w:numFmt w:val="lowerLetter"/>
      <w:start w:val="2"/>
    </w:lvl>
  </w:abstractNum>
  <w:abstractNum w:abstractNumId="166">
    <w:nsid w:val="2B4B8B53"/>
    <w:multiLevelType w:val="hybridMultilevel"/>
    <w:lvl w:ilvl="0">
      <w:lvlJc w:val="left"/>
      <w:lvlText w:val="(%1)"/>
      <w:numFmt w:val="lowerLetter"/>
      <w:start w:val="1"/>
    </w:lvl>
  </w:abstractNum>
  <w:abstractNum w:abstractNumId="167">
    <w:nsid w:val="72E3413A"/>
    <w:multiLevelType w:val="hybridMultilevel"/>
    <w:lvl w:ilvl="0">
      <w:lvlJc w:val="left"/>
      <w:lvlText w:val="(%1)"/>
      <w:numFmt w:val="lowerLetter"/>
      <w:start w:val="2"/>
    </w:lvl>
  </w:abstractNum>
  <w:abstractNum w:abstractNumId="168">
    <w:nsid w:val="116AE494"/>
    <w:multiLevelType w:val="hybridMultilevel"/>
    <w:lvl w:ilvl="0">
      <w:lvlJc w:val="left"/>
      <w:lvlText w:val="(%1)"/>
      <w:numFmt w:val="lowerLetter"/>
      <w:start w:val="5"/>
    </w:lvl>
  </w:abstractNum>
  <w:abstractNum w:abstractNumId="169">
    <w:nsid w:val="3494B2FB"/>
    <w:multiLevelType w:val="hybridMultilevel"/>
    <w:lvl w:ilvl="0">
      <w:lvlJc w:val="left"/>
      <w:lvlText w:val="(%1)"/>
      <w:numFmt w:val="lowerLetter"/>
      <w:start w:val="1"/>
    </w:lvl>
  </w:abstractNum>
  <w:abstractNum w:abstractNumId="170">
    <w:nsid w:val="B13A31"/>
    <w:multiLevelType w:val="hybridMultilevel"/>
    <w:lvl w:ilvl="0">
      <w:lvlJc w:val="left"/>
      <w:lvlText w:val="(%1)"/>
      <w:numFmt w:val="upperLetter"/>
      <w:start w:val="3"/>
    </w:lvl>
    <w:lvl w:ilvl="1">
      <w:lvlJc w:val="left"/>
      <w:lvlText w:val="(%2)"/>
      <w:numFmt w:val="lowerLetter"/>
      <w:start w:val="2"/>
    </w:lvl>
    <w:lvl w:ilvl="2">
      <w:lvlJc w:val="left"/>
      <w:lvlText w:val="(%3)"/>
      <w:numFmt w:val="lowerLetter"/>
      <w:start w:val="9"/>
    </w:lvl>
  </w:abstractNum>
  <w:abstractNum w:abstractNumId="171">
    <w:nsid w:val="64429599"/>
    <w:multiLevelType w:val="hybridMultilevel"/>
    <w:lvl w:ilvl="0">
      <w:lvlJc w:val="left"/>
      <w:lvlText w:val="%1"/>
      <w:numFmt w:val="lowerLetter"/>
      <w:start w:val="1"/>
    </w:lvl>
    <w:lvl w:ilvl="1">
      <w:lvlJc w:val="left"/>
      <w:lvlText w:val="(%2)"/>
      <w:numFmt w:val="lowerRoman"/>
      <w:start w:val="2"/>
    </w:lvl>
  </w:abstractNum>
  <w:abstractNum w:abstractNumId="172">
    <w:nsid w:val="631F1690"/>
    <w:multiLevelType w:val="hybridMultilevel"/>
    <w:lvl w:ilvl="0">
      <w:lvlJc w:val="left"/>
      <w:lvlText w:val="(%1)"/>
      <w:numFmt w:val="lowerLetter"/>
      <w:start w:val="3"/>
    </w:lvl>
    <w:lvl w:ilvl="1">
      <w:lvlJc w:val="left"/>
      <w:lvlText w:val="%2"/>
      <w:numFmt w:val="lowerRoman"/>
      <w:start w:val="1"/>
    </w:lvl>
  </w:abstractNum>
  <w:abstractNum w:abstractNumId="173">
    <w:nsid w:val="25973E32"/>
    <w:multiLevelType w:val="hybridMultilevel"/>
    <w:lvl w:ilvl="0">
      <w:lvlJc w:val="left"/>
      <w:lvlText w:val="(%1)"/>
      <w:numFmt w:val="lowerLetter"/>
      <w:start w:val="1"/>
    </w:lvl>
  </w:abstractNum>
  <w:abstractNum w:abstractNumId="174">
    <w:nsid w:val="EAD6F57"/>
    <w:multiLevelType w:val="hybridMultilevel"/>
    <w:lvl w:ilvl="0">
      <w:lvlJc w:val="left"/>
      <w:lvlText w:val="(%1)"/>
      <w:numFmt w:val="lowerLetter"/>
      <w:start w:val="2"/>
    </w:lvl>
  </w:abstractNum>
  <w:abstractNum w:abstractNumId="175">
    <w:nsid w:val="6EC9D844"/>
    <w:multiLevelType w:val="hybridMultilevel"/>
    <w:lvl w:ilvl="0">
      <w:lvlJc w:val="left"/>
      <w:lvlText w:val="(%1)"/>
      <w:numFmt w:val="lowerRoman"/>
      <w:start w:val="2"/>
    </w:lvl>
  </w:abstractNum>
  <w:abstractNum w:abstractNumId="176">
    <w:nsid w:val="5C49EAEE"/>
    <w:multiLevelType w:val="hybridMultilevel"/>
    <w:lvl w:ilvl="0">
      <w:lvlJc w:val="left"/>
      <w:lvlText w:val="(%1)"/>
      <w:numFmt w:val="lowerLetter"/>
      <w:start w:val="1"/>
    </w:lvl>
  </w:abstractNum>
  <w:abstractNum w:abstractNumId="177">
    <w:nsid w:val="64AF49B"/>
    <w:multiLevelType w:val="hybridMultilevel"/>
    <w:lvl w:ilvl="0">
      <w:lvlJc w:val="left"/>
      <w:lvlText w:val="(%1)"/>
      <w:numFmt w:val="lowerLetter"/>
      <w:start w:val="35"/>
    </w:lvl>
    <w:lvl w:ilvl="1">
      <w:lvlJc w:val="left"/>
      <w:lvlText w:val="(%2)"/>
      <w:numFmt w:val="lowerLetter"/>
      <w:start w:val="3"/>
    </w:lvl>
  </w:abstractNum>
  <w:abstractNum w:abstractNumId="178">
    <w:nsid w:val="397C46BC"/>
    <w:multiLevelType w:val="hybridMultilevel"/>
    <w:lvl w:ilvl="0">
      <w:lvlJc w:val="left"/>
      <w:lvlText w:val="(%1)"/>
      <w:numFmt w:val="lowerLetter"/>
      <w:start w:val="5"/>
    </w:lvl>
  </w:abstractNum>
  <w:abstractNum w:abstractNumId="179">
    <w:nsid w:val="7E448D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0">
    <w:nsid w:val="5A9CC3E5"/>
    <w:multiLevelType w:val="hybridMultilevel"/>
    <w:lvl w:ilvl="0">
      <w:lvlJc w:val="left"/>
      <w:lvlText w:val="(%1)"/>
      <w:numFmt w:val="lowerRoman"/>
      <w:start w:val="3"/>
    </w:lvl>
    <w:lvl w:ilvl="1">
      <w:lvlJc w:val="left"/>
      <w:lvlText w:val="(%2)"/>
      <w:numFmt w:val="upperLetter"/>
      <w:start w:val="1"/>
    </w:lvl>
  </w:abstractNum>
  <w:abstractNum w:abstractNumId="181">
    <w:nsid w:val="1AFE3625"/>
    <w:multiLevelType w:val="hybridMultilevel"/>
    <w:lvl w:ilvl="0">
      <w:lvlJc w:val="left"/>
      <w:lvlText w:val="%1"/>
      <w:numFmt w:val="lowerLetter"/>
      <w:start w:val="1"/>
    </w:lvl>
    <w:lvl w:ilvl="1">
      <w:lvlJc w:val="left"/>
      <w:lvlText w:val="(%2)"/>
      <w:numFmt w:val="lowerLetter"/>
      <w:start w:val="3"/>
    </w:lvl>
  </w:abstractNum>
  <w:abstractNum w:abstractNumId="182">
    <w:nsid w:val="3CA88ECF"/>
    <w:multiLevelType w:val="hybridMultilevel"/>
    <w:lvl w:ilvl="0">
      <w:lvlJc w:val="left"/>
      <w:lvlText w:val="(%1)"/>
      <w:numFmt w:val="lowerLetter"/>
      <w:start w:val="35"/>
    </w:lvl>
    <w:lvl w:ilvl="1">
      <w:lvlJc w:val="left"/>
      <w:lvlText w:val="%2"/>
      <w:numFmt w:val="lowerLetter"/>
      <w:start w:val="1"/>
    </w:lvl>
  </w:abstractNum>
  <w:abstractNum w:abstractNumId="183">
    <w:nsid w:val="6EBE4208"/>
    <w:multiLevelType w:val="hybridMultilevel"/>
    <w:lvl w:ilvl="0">
      <w:lvlJc w:val="left"/>
      <w:lvlText w:val="(%1)"/>
      <w:numFmt w:val="lowerLetter"/>
      <w:start w:val="5"/>
    </w:lvl>
  </w:abstractNum>
  <w:abstractNum w:abstractNumId="184">
    <w:nsid w:val="C058DF5"/>
    <w:multiLevelType w:val="hybridMultilevel"/>
    <w:lvl w:ilvl="0">
      <w:lvlJc w:val="left"/>
      <w:lvlText w:val="(%1)"/>
      <w:numFmt w:val="lowerLetter"/>
      <w:start w:val="1"/>
    </w:lvl>
  </w:abstractNum>
  <w:abstractNum w:abstractNumId="185">
    <w:nsid w:val="CBE5BE9"/>
    <w:multiLevelType w:val="hybridMultilevel"/>
    <w:lvl w:ilvl="0">
      <w:lvlJc w:val="left"/>
      <w:lvlText w:val="(%1)"/>
      <w:numFmt w:val="lowerLetter"/>
      <w:start w:val="2"/>
    </w:lvl>
  </w:abstractNum>
  <w:abstractNum w:abstractNumId="186">
    <w:nsid w:val="3102BBE2"/>
    <w:multiLevelType w:val="hybridMultilevel"/>
    <w:lvl w:ilvl="0">
      <w:lvlJc w:val="left"/>
      <w:lvlText w:val="(%1)"/>
      <w:numFmt w:val="lowerLetter"/>
      <w:start w:val="2"/>
    </w:lvl>
  </w:abstractNum>
  <w:abstractNum w:abstractNumId="187">
    <w:nsid w:val="26A02C5E"/>
    <w:multiLevelType w:val="hybridMultilevel"/>
    <w:lvl w:ilvl="0">
      <w:lvlJc w:val="left"/>
      <w:lvlText w:val="(%1)"/>
      <w:numFmt w:val="lowerLetter"/>
      <w:start w:val="1"/>
    </w:lvl>
  </w:abstractNum>
  <w:abstractNum w:abstractNumId="188">
    <w:nsid w:val="541C8153"/>
    <w:multiLevelType w:val="hybridMultilevel"/>
    <w:lvl w:ilvl="0">
      <w:lvlJc w:val="left"/>
      <w:lvlText w:val="(%1)"/>
      <w:numFmt w:val="lowerLetter"/>
      <w:start w:val="1"/>
    </w:lvl>
  </w:abstractNum>
  <w:abstractNum w:abstractNumId="189">
    <w:nsid w:val="67906F60"/>
    <w:multiLevelType w:val="hybridMultilevel"/>
    <w:lvl w:ilvl="0">
      <w:lvlJc w:val="left"/>
      <w:lvlText w:val="(%1)"/>
      <w:numFmt w:val="lowerLetter"/>
      <w:start w:val="1"/>
    </w:lvl>
  </w:abstractNum>
  <w:abstractNum w:abstractNumId="190">
    <w:nsid w:val="10DB9DAA"/>
    <w:multiLevelType w:val="hybridMultilevel"/>
    <w:lvl w:ilvl="0">
      <w:lvlJc w:val="left"/>
      <w:lvlText w:val="(%1)"/>
      <w:numFmt w:val="lowerLetter"/>
      <w:start w:val="2"/>
    </w:lvl>
  </w:abstractNum>
  <w:abstractNum w:abstractNumId="191">
    <w:nsid w:val="697D2D2"/>
    <w:multiLevelType w:val="hybridMultilevel"/>
    <w:lvl w:ilvl="0">
      <w:lvlJc w:val="left"/>
      <w:lvlText w:val="(%1)"/>
      <w:numFmt w:val="lowerLetter"/>
      <w:start w:val="1"/>
    </w:lvl>
  </w:abstractNum>
  <w:abstractNum w:abstractNumId="192">
    <w:nsid w:val="6D68AB2"/>
    <w:multiLevelType w:val="hybridMultilevel"/>
    <w:lvl w:ilvl="0">
      <w:lvlJc w:val="left"/>
      <w:lvlText w:val="(%1)"/>
      <w:numFmt w:val="lowerRoman"/>
      <w:start w:val="2"/>
    </w:lvl>
  </w:abstractNum>
  <w:abstractNum w:abstractNumId="193">
    <w:nsid w:val="3A966CD0"/>
    <w:multiLevelType w:val="hybridMultilevel"/>
    <w:lvl w:ilvl="0">
      <w:lvlJc w:val="left"/>
      <w:lvlText w:val="(%1)"/>
      <w:numFmt w:val="lowerLetter"/>
      <w:start w:val="1"/>
    </w:lvl>
    <w:lvl w:ilvl="1">
      <w:lvlJc w:val="left"/>
      <w:lvlText w:val="(%2)"/>
      <w:numFmt w:val="lowerRoman"/>
      <w:start w:val="1"/>
    </w:lvl>
  </w:abstractNum>
  <w:abstractNum w:abstractNumId="194">
    <w:nsid w:val="63F37E85"/>
    <w:multiLevelType w:val="hybridMultilevel"/>
    <w:lvl w:ilvl="0">
      <w:lvlJc w:val="left"/>
      <w:lvlText w:val="%1"/>
      <w:numFmt w:val="lowerLetter"/>
      <w:start w:val="1"/>
    </w:lvl>
    <w:lvl w:ilvl="1">
      <w:lvlJc w:val="left"/>
      <w:lvlText w:val="(%2)"/>
      <w:numFmt w:val="lowerLetter"/>
      <w:start w:val="1"/>
    </w:lvl>
  </w:abstractNum>
  <w:abstractNum w:abstractNumId="195">
    <w:nsid w:val="5895F5FA"/>
    <w:multiLevelType w:val="hybridMultilevel"/>
    <w:lvl w:ilvl="0">
      <w:lvlJc w:val="left"/>
      <w:lvlText w:val="(%1)"/>
      <w:numFmt w:val="lowerLetter"/>
      <w:start w:val="35"/>
    </w:lvl>
    <w:lvl w:ilvl="1">
      <w:lvlJc w:val="left"/>
      <w:lvlText w:val="%2"/>
      <w:numFmt w:val="lowerLetter"/>
      <w:start w:val="1"/>
    </w:lvl>
  </w:abstractNum>
  <w:abstractNum w:abstractNumId="196">
    <w:nsid w:val="38A5D054"/>
    <w:multiLevelType w:val="hybridMultilevel"/>
    <w:lvl w:ilvl="0">
      <w:lvlJc w:val="left"/>
      <w:lvlText w:val="(%1)"/>
      <w:numFmt w:val="lowerLetter"/>
      <w:start w:val="3"/>
    </w:lvl>
  </w:abstractNum>
  <w:abstractNum w:abstractNumId="197">
    <w:nsid w:val="F3F09D8"/>
    <w:multiLevelType w:val="hybridMultilevel"/>
    <w:lvl w:ilvl="0">
      <w:lvlJc w:val="left"/>
      <w:lvlText w:val="(%1)"/>
      <w:numFmt w:val="lowerLetter"/>
      <w:start w:val="1"/>
    </w:lvl>
  </w:abstractNum>
  <w:abstractNum w:abstractNumId="198">
    <w:nsid w:val="4B793735"/>
    <w:multiLevelType w:val="hybridMultilevel"/>
    <w:lvl w:ilvl="0">
      <w:lvlJc w:val="left"/>
      <w:lvlText w:val="(%1)"/>
      <w:numFmt w:val="lowerRoman"/>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94" Type="http://schemas.openxmlformats.org/officeDocument/2006/relationships/hyperlink" Target="https://www.sec.gov/Archives/edgar/data/1625278/000162527822000107/exhibit991-nerdwalletinc20.htm" TargetMode="External"/><Relationship Id="rId95" Type="http://schemas.openxmlformats.org/officeDocument/2006/relationships/hyperlink" Target="https://www.sec.gov/Archives/edgar/data/1625278/000162527822000107/exhibit992-nerdwalletincfo.htm" TargetMode="External"/><Relationship Id="rId96" Type="http://schemas.openxmlformats.org/officeDocument/2006/relationships/hyperlink" Target="https://www.sec.gov/Archives/edgar/data/1625278/000162527822000107/exhibit993-nerdwalletincf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2022-11-02T16:56:20Z</dcterms:created>
  <dcterms:modified xsi:type="dcterms:W3CDTF">2022-11-02T16:56:20Z</dcterms:modified>
</cp:coreProperties>
</file>